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5C9" w:rsidRDefault="00C645C9">
      <w:pPr>
        <w:rPr>
          <w:rFonts w:cs="Times New Roman"/>
        </w:rPr>
      </w:pPr>
      <w:bookmarkStart w:id="0" w:name="OLE_LINK992"/>
      <w:bookmarkStart w:id="1" w:name="_Toc29646"/>
      <w:bookmarkStart w:id="2" w:name="OLE_LINK1132"/>
      <w:bookmarkStart w:id="3" w:name="OLE_LINK1240"/>
    </w:p>
    <w:p w:rsidR="00C645C9" w:rsidRDefault="00C645C9">
      <w:pPr>
        <w:rPr>
          <w:rFonts w:cs="Times New Roman"/>
        </w:rPr>
      </w:pPr>
    </w:p>
    <w:p w:rsidR="00C645C9" w:rsidRDefault="00C645C9">
      <w:pPr>
        <w:rPr>
          <w:rFonts w:cs="Times New Roman"/>
          <w:b/>
          <w:sz w:val="52"/>
          <w:szCs w:val="52"/>
        </w:rPr>
      </w:pPr>
    </w:p>
    <w:p w:rsidR="00C645C9" w:rsidRDefault="00C645C9">
      <w:pPr>
        <w:rPr>
          <w:rFonts w:cs="Times New Roman"/>
          <w:b/>
          <w:sz w:val="52"/>
          <w:szCs w:val="52"/>
        </w:rPr>
      </w:pPr>
    </w:p>
    <w:p w:rsidR="00C645C9" w:rsidRDefault="00C645C9">
      <w:pPr>
        <w:jc w:val="both"/>
        <w:rPr>
          <w:rFonts w:cs="Times New Roman"/>
          <w:b/>
          <w:sz w:val="52"/>
          <w:szCs w:val="52"/>
        </w:rPr>
      </w:pPr>
    </w:p>
    <w:p w:rsidR="00C645C9" w:rsidRDefault="00C645C9">
      <w:pPr>
        <w:jc w:val="both"/>
        <w:rPr>
          <w:rFonts w:cs="Times New Roman"/>
          <w:b/>
          <w:sz w:val="52"/>
          <w:szCs w:val="52"/>
        </w:rPr>
      </w:pPr>
    </w:p>
    <w:p w:rsidR="00C645C9" w:rsidRDefault="00F955D9">
      <w:pPr>
        <w:adjustRightInd w:val="0"/>
        <w:snapToGrid w:val="0"/>
        <w:spacing w:line="360" w:lineRule="auto"/>
        <w:jc w:val="center"/>
        <w:rPr>
          <w:rFonts w:eastAsia="黑体" w:cs="Times New Roman"/>
          <w:spacing w:val="-22"/>
          <w:kern w:val="2"/>
          <w:sz w:val="52"/>
          <w:szCs w:val="52"/>
        </w:rPr>
      </w:pPr>
      <w:r>
        <w:rPr>
          <w:rFonts w:eastAsia="黑体" w:cs="Times New Roman" w:hint="eastAsia"/>
          <w:spacing w:val="-22"/>
          <w:kern w:val="2"/>
          <w:sz w:val="52"/>
          <w:szCs w:val="52"/>
        </w:rPr>
        <w:t>新北区块试采工程</w:t>
      </w:r>
      <w:bookmarkEnd w:id="0"/>
    </w:p>
    <w:p w:rsidR="00C645C9" w:rsidRDefault="00F955D9">
      <w:pPr>
        <w:adjustRightInd w:val="0"/>
        <w:snapToGrid w:val="0"/>
        <w:jc w:val="center"/>
        <w:rPr>
          <w:rFonts w:cs="Times New Roman"/>
          <w:b/>
          <w:sz w:val="44"/>
          <w:szCs w:val="44"/>
        </w:rPr>
      </w:pPr>
      <w:r>
        <w:rPr>
          <w:rFonts w:ascii="宋体" w:hAnsi="宋体"/>
          <w:b/>
          <w:bCs/>
          <w:kern w:val="2"/>
          <w:sz w:val="72"/>
          <w:szCs w:val="72"/>
        </w:rPr>
        <w:t>环境影响报告书</w:t>
      </w:r>
      <w:bookmarkEnd w:id="1"/>
    </w:p>
    <w:p w:rsidR="00C645C9" w:rsidRDefault="00F955D9">
      <w:pPr>
        <w:widowControl w:val="0"/>
        <w:adjustRightInd w:val="0"/>
        <w:snapToGrid w:val="0"/>
        <w:jc w:val="center"/>
        <w:rPr>
          <w:rFonts w:ascii="宋体" w:hAnsi="宋体"/>
          <w:b/>
          <w:bCs/>
          <w:kern w:val="2"/>
          <w:sz w:val="32"/>
          <w:szCs w:val="40"/>
        </w:rPr>
      </w:pPr>
      <w:bookmarkStart w:id="4" w:name="_Toc32008"/>
      <w:r>
        <w:rPr>
          <w:rFonts w:ascii="宋体" w:hAnsi="宋体"/>
          <w:b/>
          <w:bCs/>
          <w:kern w:val="2"/>
          <w:sz w:val="32"/>
          <w:szCs w:val="40"/>
        </w:rPr>
        <w:t>（</w:t>
      </w:r>
      <w:r>
        <w:rPr>
          <w:rFonts w:ascii="宋体" w:hAnsi="宋体" w:hint="eastAsia"/>
          <w:b/>
          <w:bCs/>
          <w:kern w:val="2"/>
          <w:sz w:val="32"/>
          <w:szCs w:val="40"/>
        </w:rPr>
        <w:t>公示</w:t>
      </w:r>
      <w:r>
        <w:rPr>
          <w:rFonts w:ascii="宋体" w:hAnsi="宋体"/>
          <w:b/>
          <w:bCs/>
          <w:kern w:val="2"/>
          <w:sz w:val="32"/>
          <w:szCs w:val="40"/>
        </w:rPr>
        <w:t>稿）</w:t>
      </w:r>
      <w:bookmarkEnd w:id="4"/>
    </w:p>
    <w:p w:rsidR="00C645C9" w:rsidRDefault="00C645C9">
      <w:pPr>
        <w:widowControl w:val="0"/>
        <w:jc w:val="center"/>
        <w:rPr>
          <w:rFonts w:ascii="宋体" w:hAnsi="宋体"/>
          <w:b/>
          <w:bCs/>
          <w:color w:val="0000FF"/>
          <w:kern w:val="2"/>
          <w:sz w:val="32"/>
          <w:szCs w:val="40"/>
        </w:rPr>
      </w:pPr>
    </w:p>
    <w:p w:rsidR="00C645C9" w:rsidRDefault="00C645C9">
      <w:pPr>
        <w:jc w:val="center"/>
        <w:rPr>
          <w:rFonts w:cs="Times New Roman"/>
        </w:rPr>
      </w:pPr>
    </w:p>
    <w:p w:rsidR="00C645C9" w:rsidRDefault="00C645C9">
      <w:pPr>
        <w:jc w:val="center"/>
        <w:rPr>
          <w:rFonts w:cs="Times New Roman"/>
        </w:rPr>
      </w:pPr>
    </w:p>
    <w:p w:rsidR="00C645C9" w:rsidRDefault="00C645C9">
      <w:pPr>
        <w:jc w:val="center"/>
        <w:rPr>
          <w:rFonts w:cs="Times New Roman"/>
        </w:rPr>
      </w:pPr>
    </w:p>
    <w:p w:rsidR="00C645C9" w:rsidRDefault="00C645C9">
      <w:pPr>
        <w:jc w:val="center"/>
        <w:rPr>
          <w:rFonts w:cs="Times New Roman"/>
        </w:rPr>
      </w:pPr>
    </w:p>
    <w:p w:rsidR="00C645C9" w:rsidRDefault="00C645C9">
      <w:pPr>
        <w:jc w:val="center"/>
        <w:rPr>
          <w:rFonts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ind w:firstLine="0"/>
        <w:rPr>
          <w:rFonts w:ascii="Times New Roman" w:hAnsi="Times New Roman" w:cs="Times New Roman"/>
        </w:rPr>
      </w:pPr>
    </w:p>
    <w:p w:rsidR="00C645C9" w:rsidRDefault="00C645C9" w:rsidP="005718BB">
      <w:pPr>
        <w:pStyle w:val="CharCharCharCharCharCharCharCharChar1Char"/>
        <w:ind w:firstLine="480"/>
        <w:rPr>
          <w:rFonts w:hAnsi="Times New Roman" w:cs="Times New Roman"/>
        </w:rPr>
      </w:pPr>
    </w:p>
    <w:p w:rsidR="00C645C9" w:rsidRDefault="00C645C9">
      <w:pPr>
        <w:pStyle w:val="BodyTextFirstIndent1"/>
      </w:pPr>
    </w:p>
    <w:p w:rsidR="00C645C9" w:rsidRDefault="00C645C9"/>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p w:rsidR="00C645C9" w:rsidRDefault="00C645C9">
      <w:pPr>
        <w:pStyle w:val="a4"/>
        <w:rPr>
          <w:rFonts w:ascii="Times New Roman" w:hAnsi="Times New Roman" w:cs="Times New Roman"/>
        </w:rPr>
      </w:pPr>
    </w:p>
    <w:tbl>
      <w:tblPr>
        <w:tblW w:w="0" w:type="auto"/>
        <w:jc w:val="center"/>
        <w:tblLayout w:type="fixed"/>
        <w:tblCellMar>
          <w:left w:w="0" w:type="dxa"/>
          <w:right w:w="0" w:type="dxa"/>
        </w:tblCellMar>
        <w:tblLook w:val="04A0" w:firstRow="1" w:lastRow="0" w:firstColumn="1" w:lastColumn="0" w:noHBand="0" w:noVBand="1"/>
      </w:tblPr>
      <w:tblGrid>
        <w:gridCol w:w="1527"/>
        <w:gridCol w:w="5978"/>
      </w:tblGrid>
      <w:tr w:rsidR="00C645C9">
        <w:trPr>
          <w:trHeight w:val="510"/>
          <w:jc w:val="center"/>
        </w:trPr>
        <w:tc>
          <w:tcPr>
            <w:tcW w:w="1527" w:type="dxa"/>
            <w:vAlign w:val="center"/>
          </w:tcPr>
          <w:p w:rsidR="00C645C9" w:rsidRDefault="00F955D9">
            <w:pPr>
              <w:widowControl w:val="0"/>
              <w:spacing w:line="360" w:lineRule="auto"/>
              <w:rPr>
                <w:rFonts w:ascii="宋体" w:hAnsi="宋体"/>
                <w:b/>
                <w:bCs/>
                <w:color w:val="000000"/>
                <w:sz w:val="32"/>
                <w:szCs w:val="32"/>
              </w:rPr>
            </w:pPr>
            <w:r>
              <w:rPr>
                <w:rFonts w:ascii="宋体" w:hAnsi="宋体" w:hint="eastAsia"/>
                <w:b/>
                <w:bCs/>
                <w:color w:val="000000"/>
                <w:sz w:val="32"/>
                <w:szCs w:val="32"/>
              </w:rPr>
              <w:t>建设单位：</w:t>
            </w:r>
          </w:p>
        </w:tc>
        <w:tc>
          <w:tcPr>
            <w:tcW w:w="5978" w:type="dxa"/>
            <w:vAlign w:val="center"/>
          </w:tcPr>
          <w:p w:rsidR="00C645C9" w:rsidRDefault="00F955D9" w:rsidP="005718BB">
            <w:pPr>
              <w:widowControl w:val="0"/>
              <w:spacing w:beforeLines="10" w:before="24" w:line="360" w:lineRule="auto"/>
              <w:rPr>
                <w:rFonts w:ascii="宋体" w:hAnsi="宋体"/>
                <w:b/>
                <w:bCs/>
                <w:color w:val="000000"/>
                <w:spacing w:val="-10"/>
                <w:sz w:val="32"/>
                <w:szCs w:val="32"/>
              </w:rPr>
            </w:pPr>
            <w:r>
              <w:rPr>
                <w:rFonts w:ascii="宋体" w:hAnsi="宋体" w:hint="eastAsia"/>
                <w:b/>
                <w:bCs/>
                <w:spacing w:val="-20"/>
                <w:sz w:val="32"/>
                <w:szCs w:val="32"/>
              </w:rPr>
              <w:t>中国石油化工股份有限公司西北油田分公司</w:t>
            </w:r>
          </w:p>
        </w:tc>
      </w:tr>
      <w:tr w:rsidR="00C645C9">
        <w:trPr>
          <w:trHeight w:val="510"/>
          <w:jc w:val="center"/>
        </w:trPr>
        <w:tc>
          <w:tcPr>
            <w:tcW w:w="1527" w:type="dxa"/>
            <w:vAlign w:val="center"/>
          </w:tcPr>
          <w:p w:rsidR="00C645C9" w:rsidRDefault="00F955D9" w:rsidP="005718BB">
            <w:pPr>
              <w:widowControl w:val="0"/>
              <w:spacing w:beforeLines="10" w:before="24" w:line="360" w:lineRule="auto"/>
              <w:rPr>
                <w:rFonts w:ascii="宋体" w:hAnsi="宋体"/>
                <w:b/>
                <w:bCs/>
                <w:color w:val="000000"/>
                <w:sz w:val="32"/>
                <w:szCs w:val="32"/>
              </w:rPr>
            </w:pPr>
            <w:r>
              <w:rPr>
                <w:rFonts w:ascii="宋体" w:hAnsi="宋体" w:hint="eastAsia"/>
                <w:b/>
                <w:bCs/>
                <w:color w:val="000000"/>
                <w:sz w:val="32"/>
                <w:szCs w:val="32"/>
              </w:rPr>
              <w:t>编制</w:t>
            </w:r>
            <w:r>
              <w:rPr>
                <w:rFonts w:ascii="宋体" w:hAnsi="宋体" w:hint="eastAsia"/>
                <w:b/>
                <w:bCs/>
                <w:color w:val="000000"/>
                <w:sz w:val="32"/>
                <w:szCs w:val="32"/>
              </w:rPr>
              <w:t>单位：</w:t>
            </w:r>
          </w:p>
        </w:tc>
        <w:tc>
          <w:tcPr>
            <w:tcW w:w="5978" w:type="dxa"/>
            <w:vAlign w:val="center"/>
          </w:tcPr>
          <w:p w:rsidR="00C645C9" w:rsidRDefault="00F955D9" w:rsidP="005718BB">
            <w:pPr>
              <w:widowControl w:val="0"/>
              <w:spacing w:beforeLines="10" w:before="24" w:line="360" w:lineRule="auto"/>
              <w:rPr>
                <w:rFonts w:ascii="宋体" w:hAnsi="宋体"/>
                <w:b/>
                <w:bCs/>
                <w:color w:val="000000"/>
                <w:spacing w:val="-12"/>
                <w:sz w:val="32"/>
                <w:szCs w:val="32"/>
              </w:rPr>
            </w:pPr>
            <w:r>
              <w:rPr>
                <w:rFonts w:ascii="宋体" w:hAnsi="宋体" w:hint="eastAsia"/>
                <w:b/>
                <w:bCs/>
                <w:color w:val="000000"/>
                <w:sz w:val="32"/>
                <w:szCs w:val="32"/>
              </w:rPr>
              <w:t>新疆天合环境技术咨询有限公司</w:t>
            </w:r>
          </w:p>
        </w:tc>
      </w:tr>
      <w:tr w:rsidR="00C645C9">
        <w:trPr>
          <w:trHeight w:val="510"/>
          <w:jc w:val="center"/>
        </w:trPr>
        <w:tc>
          <w:tcPr>
            <w:tcW w:w="7505" w:type="dxa"/>
            <w:gridSpan w:val="2"/>
            <w:vAlign w:val="center"/>
          </w:tcPr>
          <w:p w:rsidR="00C645C9" w:rsidRDefault="00F955D9">
            <w:pPr>
              <w:jc w:val="center"/>
              <w:rPr>
                <w:rFonts w:ascii="宋体" w:hAnsi="宋体"/>
                <w:b/>
                <w:bCs/>
                <w:color w:val="000000"/>
                <w:sz w:val="30"/>
                <w:szCs w:val="30"/>
              </w:rPr>
            </w:pPr>
            <w:r>
              <w:rPr>
                <w:rFonts w:cs="Times New Roman"/>
                <w:b/>
                <w:bCs/>
                <w:color w:val="000000"/>
                <w:sz w:val="32"/>
                <w:szCs w:val="32"/>
              </w:rPr>
              <w:t>2025</w:t>
            </w:r>
            <w:r>
              <w:rPr>
                <w:rFonts w:cs="Times New Roman"/>
                <w:b/>
                <w:bCs/>
                <w:color w:val="000000"/>
                <w:sz w:val="32"/>
                <w:szCs w:val="32"/>
              </w:rPr>
              <w:t>年</w:t>
            </w:r>
            <w:r>
              <w:rPr>
                <w:rFonts w:cs="Times New Roman"/>
                <w:b/>
                <w:bCs/>
                <w:color w:val="000000"/>
                <w:sz w:val="32"/>
                <w:szCs w:val="32"/>
              </w:rPr>
              <w:t>5</w:t>
            </w:r>
            <w:r>
              <w:rPr>
                <w:rFonts w:cs="Times New Roman"/>
                <w:b/>
                <w:bCs/>
                <w:color w:val="000000"/>
                <w:sz w:val="32"/>
                <w:szCs w:val="32"/>
              </w:rPr>
              <w:t>月</w:t>
            </w:r>
          </w:p>
        </w:tc>
      </w:tr>
    </w:tbl>
    <w:p w:rsidR="00C645C9" w:rsidRDefault="00C645C9">
      <w:pPr>
        <w:pStyle w:val="a4"/>
        <w:rPr>
          <w:rFonts w:ascii="Times New Roman" w:hAnsi="Times New Roman" w:cs="Times New Roman"/>
        </w:rPr>
      </w:pPr>
    </w:p>
    <w:bookmarkEnd w:id="2"/>
    <w:bookmarkEnd w:id="3"/>
    <w:p w:rsidR="00C645C9" w:rsidRDefault="00C645C9" w:rsidP="005718BB">
      <w:pPr>
        <w:pStyle w:val="22"/>
        <w:tabs>
          <w:tab w:val="right" w:leader="dot" w:pos="8312"/>
        </w:tabs>
        <w:ind w:left="480"/>
        <w:jc w:val="center"/>
        <w:rPr>
          <w:rFonts w:eastAsia="黑体" w:cs="Times New Roman"/>
          <w:spacing w:val="-22"/>
          <w:sz w:val="31"/>
          <w:szCs w:val="31"/>
        </w:rPr>
      </w:pPr>
    </w:p>
    <w:p w:rsidR="00C645C9" w:rsidRDefault="00F955D9" w:rsidP="005718BB">
      <w:pPr>
        <w:pStyle w:val="22"/>
        <w:tabs>
          <w:tab w:val="right" w:leader="dot" w:pos="8312"/>
        </w:tabs>
        <w:ind w:left="480"/>
        <w:jc w:val="center"/>
        <w:rPr>
          <w:rFonts w:cs="Times New Roman"/>
        </w:rPr>
      </w:pPr>
      <w:r>
        <w:rPr>
          <w:rFonts w:eastAsia="黑体" w:cs="Times New Roman"/>
          <w:spacing w:val="-22"/>
          <w:sz w:val="31"/>
          <w:szCs w:val="31"/>
        </w:rPr>
        <w:lastRenderedPageBreak/>
        <w:t>目</w:t>
      </w:r>
      <w:r>
        <w:rPr>
          <w:rFonts w:eastAsia="黑体" w:cs="Times New Roman"/>
          <w:spacing w:val="31"/>
          <w:sz w:val="31"/>
          <w:szCs w:val="31"/>
        </w:rPr>
        <w:t xml:space="preserve">  </w:t>
      </w:r>
      <w:r>
        <w:rPr>
          <w:rFonts w:eastAsia="黑体" w:cs="Times New Roman"/>
          <w:spacing w:val="-22"/>
          <w:sz w:val="31"/>
          <w:szCs w:val="31"/>
        </w:rPr>
        <w:t>录</w:t>
      </w:r>
    </w:p>
    <w:sdt>
      <w:sdtPr>
        <w:rPr>
          <w:rFonts w:cs="Times New Roman"/>
          <w:b/>
          <w:snapToGrid w:val="0"/>
          <w:sz w:val="21"/>
        </w:rPr>
        <w:id w:val="147460534"/>
        <w:docPartObj>
          <w:docPartGallery w:val="Table of Contents"/>
          <w:docPartUnique/>
        </w:docPartObj>
      </w:sdtPr>
      <w:sdtEndPr>
        <w:rPr>
          <w:rFonts w:eastAsia="黑体"/>
          <w:spacing w:val="-22"/>
          <w:sz w:val="30"/>
          <w:szCs w:val="31"/>
          <w:lang w:eastAsia="en-US"/>
        </w:rPr>
      </w:sdtEndPr>
      <w:sdtContent>
        <w:p w:rsidR="00C645C9" w:rsidRDefault="00F955D9">
          <w:pPr>
            <w:adjustRightInd w:val="0"/>
            <w:snapToGrid w:val="0"/>
            <w:jc w:val="center"/>
            <w:rPr>
              <w:rFonts w:eastAsia="黑体" w:cs="Times New Roman"/>
              <w:b/>
              <w:spacing w:val="-22"/>
              <w:szCs w:val="31"/>
            </w:rPr>
          </w:pPr>
          <w:r>
            <w:rPr>
              <w:rFonts w:eastAsia="黑体" w:cs="Times New Roman"/>
              <w:spacing w:val="-22"/>
              <w:sz w:val="31"/>
              <w:szCs w:val="31"/>
            </w:rPr>
            <w:fldChar w:fldCharType="begin"/>
          </w:r>
          <w:r>
            <w:rPr>
              <w:rFonts w:eastAsia="黑体" w:cs="Times New Roman"/>
              <w:spacing w:val="-22"/>
              <w:sz w:val="31"/>
              <w:szCs w:val="31"/>
            </w:rPr>
            <w:instrText xml:space="preserve">TOC \o "1-2" \h \u </w:instrText>
          </w:r>
          <w:r>
            <w:rPr>
              <w:rFonts w:eastAsia="黑体" w:cs="Times New Roman"/>
              <w:spacing w:val="-22"/>
              <w:sz w:val="31"/>
              <w:szCs w:val="31"/>
            </w:rPr>
            <w:fldChar w:fldCharType="separate"/>
          </w:r>
        </w:p>
        <w:p w:rsidR="00C645C9" w:rsidRDefault="00F955D9">
          <w:pPr>
            <w:pStyle w:val="10"/>
            <w:tabs>
              <w:tab w:val="right" w:leader="dot" w:pos="8313"/>
            </w:tabs>
          </w:pPr>
          <w:hyperlink w:anchor="_Toc3939" w:history="1">
            <w:r>
              <w:rPr>
                <w:rFonts w:cs="Times New Roman"/>
                <w:szCs w:val="36"/>
              </w:rPr>
              <w:t>1</w:t>
            </w:r>
            <w:r>
              <w:rPr>
                <w:rFonts w:cs="Times New Roman"/>
                <w:szCs w:val="36"/>
              </w:rPr>
              <w:t>概述</w:t>
            </w:r>
            <w:r>
              <w:tab/>
            </w:r>
            <w:r>
              <w:fldChar w:fldCharType="begin"/>
            </w:r>
            <w:r>
              <w:instrText xml:space="preserve"> PAGEREF _Toc3939 \h </w:instrText>
            </w:r>
            <w:r>
              <w:fldChar w:fldCharType="separate"/>
            </w:r>
            <w:r>
              <w:t>1</w:t>
            </w:r>
            <w:r>
              <w:fldChar w:fldCharType="end"/>
            </w:r>
          </w:hyperlink>
        </w:p>
        <w:p w:rsidR="00C645C9" w:rsidRDefault="00F955D9" w:rsidP="005718BB">
          <w:pPr>
            <w:pStyle w:val="22"/>
            <w:tabs>
              <w:tab w:val="right" w:leader="dot" w:pos="8313"/>
            </w:tabs>
            <w:ind w:left="480"/>
          </w:pPr>
          <w:hyperlink w:anchor="_Toc26403" w:history="1">
            <w:r>
              <w:rPr>
                <w:rFonts w:cs="Times New Roman"/>
              </w:rPr>
              <w:t>1.1</w:t>
            </w:r>
            <w:r>
              <w:rPr>
                <w:rFonts w:cs="Times New Roman"/>
              </w:rPr>
              <w:t>建设项目特点</w:t>
            </w:r>
            <w:r>
              <w:tab/>
            </w:r>
            <w:r>
              <w:fldChar w:fldCharType="begin"/>
            </w:r>
            <w:r>
              <w:instrText xml:space="preserve"> PAGEREF _Toc26403 \h </w:instrText>
            </w:r>
            <w:r>
              <w:fldChar w:fldCharType="separate"/>
            </w:r>
            <w:r>
              <w:t>1</w:t>
            </w:r>
            <w:r>
              <w:fldChar w:fldCharType="end"/>
            </w:r>
          </w:hyperlink>
        </w:p>
        <w:p w:rsidR="00C645C9" w:rsidRDefault="00F955D9" w:rsidP="005718BB">
          <w:pPr>
            <w:pStyle w:val="22"/>
            <w:tabs>
              <w:tab w:val="right" w:leader="dot" w:pos="8313"/>
            </w:tabs>
            <w:ind w:left="480"/>
          </w:pPr>
          <w:hyperlink w:anchor="_Toc25562" w:history="1">
            <w:r>
              <w:rPr>
                <w:rFonts w:cs="Times New Roman"/>
              </w:rPr>
              <w:t>1.2</w:t>
            </w:r>
            <w:r>
              <w:rPr>
                <w:rFonts w:cs="Times New Roman"/>
              </w:rPr>
              <w:t>环境影响评价的工作过程</w:t>
            </w:r>
            <w:r>
              <w:tab/>
            </w:r>
            <w:r>
              <w:fldChar w:fldCharType="begin"/>
            </w:r>
            <w:r>
              <w:instrText xml:space="preserve"> PAGEREF _Toc25562 \h </w:instrText>
            </w:r>
            <w:r>
              <w:fldChar w:fldCharType="separate"/>
            </w:r>
            <w:r>
              <w:t>1</w:t>
            </w:r>
            <w:r>
              <w:fldChar w:fldCharType="end"/>
            </w:r>
          </w:hyperlink>
        </w:p>
        <w:p w:rsidR="00C645C9" w:rsidRDefault="00F955D9" w:rsidP="005718BB">
          <w:pPr>
            <w:pStyle w:val="22"/>
            <w:tabs>
              <w:tab w:val="right" w:leader="dot" w:pos="8313"/>
            </w:tabs>
            <w:ind w:left="480"/>
          </w:pPr>
          <w:hyperlink w:anchor="_Toc25479" w:history="1">
            <w:r>
              <w:rPr>
                <w:rFonts w:cs="Times New Roman"/>
              </w:rPr>
              <w:t>1.3</w:t>
            </w:r>
            <w:r>
              <w:rPr>
                <w:rFonts w:cs="Times New Roman"/>
              </w:rPr>
              <w:t>分析判定相关情况</w:t>
            </w:r>
            <w:r>
              <w:tab/>
            </w:r>
            <w:r>
              <w:fldChar w:fldCharType="begin"/>
            </w:r>
            <w:r>
              <w:instrText xml:space="preserve"> PAGEREF _Toc25479 \h </w:instrText>
            </w:r>
            <w:r>
              <w:fldChar w:fldCharType="separate"/>
            </w:r>
            <w:r>
              <w:t>4</w:t>
            </w:r>
            <w:r>
              <w:fldChar w:fldCharType="end"/>
            </w:r>
          </w:hyperlink>
        </w:p>
        <w:p w:rsidR="00C645C9" w:rsidRDefault="00F955D9" w:rsidP="005718BB">
          <w:pPr>
            <w:pStyle w:val="22"/>
            <w:tabs>
              <w:tab w:val="right" w:leader="dot" w:pos="8313"/>
            </w:tabs>
            <w:ind w:left="480"/>
          </w:pPr>
          <w:hyperlink w:anchor="_Toc15865" w:history="1">
            <w:r>
              <w:rPr>
                <w:rFonts w:cs="Times New Roman"/>
              </w:rPr>
              <w:t>1.4</w:t>
            </w:r>
            <w:r>
              <w:rPr>
                <w:rFonts w:cs="Times New Roman"/>
              </w:rPr>
              <w:t>关注的主要环境问题及环境影响</w:t>
            </w:r>
            <w:r>
              <w:tab/>
            </w:r>
            <w:r>
              <w:fldChar w:fldCharType="begin"/>
            </w:r>
            <w:r>
              <w:instrText xml:space="preserve"> PAGEREF _Toc15865 \h </w:instrText>
            </w:r>
            <w:r>
              <w:fldChar w:fldCharType="separate"/>
            </w:r>
            <w:r>
              <w:t>5</w:t>
            </w:r>
            <w:r>
              <w:fldChar w:fldCharType="end"/>
            </w:r>
          </w:hyperlink>
        </w:p>
        <w:p w:rsidR="00C645C9" w:rsidRDefault="00F955D9" w:rsidP="005718BB">
          <w:pPr>
            <w:pStyle w:val="22"/>
            <w:tabs>
              <w:tab w:val="right" w:leader="dot" w:pos="8313"/>
            </w:tabs>
            <w:ind w:left="480"/>
          </w:pPr>
          <w:hyperlink w:anchor="_Toc12643" w:history="1">
            <w:r>
              <w:rPr>
                <w:rFonts w:cs="Times New Roman"/>
              </w:rPr>
              <w:t>1.5</w:t>
            </w:r>
            <w:r>
              <w:rPr>
                <w:rFonts w:cs="Times New Roman"/>
              </w:rPr>
              <w:t>环境影响评价的主要结论</w:t>
            </w:r>
            <w:r>
              <w:tab/>
            </w:r>
            <w:r>
              <w:fldChar w:fldCharType="begin"/>
            </w:r>
            <w:r>
              <w:instrText xml:space="preserve"> PAGEREF _Toc12643 \h</w:instrText>
            </w:r>
            <w:r>
              <w:instrText xml:space="preserve"> </w:instrText>
            </w:r>
            <w:r>
              <w:fldChar w:fldCharType="separate"/>
            </w:r>
            <w:r>
              <w:t>6</w:t>
            </w:r>
            <w:r>
              <w:fldChar w:fldCharType="end"/>
            </w:r>
          </w:hyperlink>
        </w:p>
        <w:p w:rsidR="00C645C9" w:rsidRDefault="00F955D9">
          <w:pPr>
            <w:pStyle w:val="10"/>
            <w:tabs>
              <w:tab w:val="right" w:leader="dot" w:pos="8313"/>
            </w:tabs>
          </w:pPr>
          <w:hyperlink w:anchor="_Toc24912" w:history="1">
            <w:r>
              <w:rPr>
                <w:rFonts w:cs="Times New Roman"/>
                <w:szCs w:val="36"/>
              </w:rPr>
              <w:t>2</w:t>
            </w:r>
            <w:r>
              <w:rPr>
                <w:rFonts w:cs="Times New Roman"/>
                <w:szCs w:val="36"/>
              </w:rPr>
              <w:t>总则</w:t>
            </w:r>
            <w:r>
              <w:tab/>
            </w:r>
            <w:r>
              <w:fldChar w:fldCharType="begin"/>
            </w:r>
            <w:r>
              <w:instrText xml:space="preserve"> PAGEREF _Toc24912 \h </w:instrText>
            </w:r>
            <w:r>
              <w:fldChar w:fldCharType="separate"/>
            </w:r>
            <w:r>
              <w:t>7</w:t>
            </w:r>
            <w:r>
              <w:fldChar w:fldCharType="end"/>
            </w:r>
          </w:hyperlink>
        </w:p>
        <w:p w:rsidR="00C645C9" w:rsidRDefault="00F955D9" w:rsidP="005718BB">
          <w:pPr>
            <w:pStyle w:val="22"/>
            <w:tabs>
              <w:tab w:val="right" w:leader="dot" w:pos="8313"/>
            </w:tabs>
            <w:ind w:left="480"/>
          </w:pPr>
          <w:hyperlink w:anchor="_Toc15290" w:history="1">
            <w:r>
              <w:rPr>
                <w:rFonts w:cs="Times New Roman"/>
              </w:rPr>
              <w:t>2.</w:t>
            </w:r>
            <w:r>
              <w:rPr>
                <w:rFonts w:cs="Times New Roman" w:hint="eastAsia"/>
              </w:rPr>
              <w:t>1</w:t>
            </w:r>
            <w:r>
              <w:rPr>
                <w:rFonts w:cs="Times New Roman"/>
              </w:rPr>
              <w:t>编制依据</w:t>
            </w:r>
            <w:r>
              <w:tab/>
            </w:r>
            <w:r>
              <w:fldChar w:fldCharType="begin"/>
            </w:r>
            <w:r>
              <w:instrText xml:space="preserve"> PAGEREF _Toc15290 \h </w:instrText>
            </w:r>
            <w:r>
              <w:fldChar w:fldCharType="separate"/>
            </w:r>
            <w:r>
              <w:t>7</w:t>
            </w:r>
            <w:r>
              <w:fldChar w:fldCharType="end"/>
            </w:r>
          </w:hyperlink>
        </w:p>
        <w:p w:rsidR="00C645C9" w:rsidRDefault="00F955D9" w:rsidP="005718BB">
          <w:pPr>
            <w:pStyle w:val="22"/>
            <w:tabs>
              <w:tab w:val="right" w:leader="dot" w:pos="8313"/>
            </w:tabs>
            <w:ind w:left="480"/>
          </w:pPr>
          <w:hyperlink w:anchor="_Toc5082" w:history="1">
            <w:r>
              <w:rPr>
                <w:rFonts w:cs="Times New Roman"/>
              </w:rPr>
              <w:t>2.</w:t>
            </w:r>
            <w:r>
              <w:rPr>
                <w:rFonts w:cs="Times New Roman" w:hint="eastAsia"/>
              </w:rPr>
              <w:t>2</w:t>
            </w:r>
            <w:r>
              <w:rPr>
                <w:rFonts w:cs="Times New Roman"/>
              </w:rPr>
              <w:t>评价目的和评价原则</w:t>
            </w:r>
            <w:r>
              <w:tab/>
            </w:r>
            <w:r>
              <w:fldChar w:fldCharType="begin"/>
            </w:r>
            <w:r>
              <w:instrText xml:space="preserve"> PAGEREF _Toc5082 \h </w:instrText>
            </w:r>
            <w:r>
              <w:fldChar w:fldCharType="separate"/>
            </w:r>
            <w:r>
              <w:t>13</w:t>
            </w:r>
            <w:r>
              <w:fldChar w:fldCharType="end"/>
            </w:r>
          </w:hyperlink>
        </w:p>
        <w:p w:rsidR="00C645C9" w:rsidRDefault="00F955D9" w:rsidP="005718BB">
          <w:pPr>
            <w:pStyle w:val="22"/>
            <w:tabs>
              <w:tab w:val="right" w:leader="dot" w:pos="8313"/>
            </w:tabs>
            <w:ind w:left="480"/>
          </w:pPr>
          <w:hyperlink w:anchor="_Toc9104" w:history="1">
            <w:r>
              <w:rPr>
                <w:rFonts w:cs="Times New Roman"/>
              </w:rPr>
              <w:t>2.3</w:t>
            </w:r>
            <w:r>
              <w:rPr>
                <w:rFonts w:cs="Times New Roman"/>
              </w:rPr>
              <w:t>环境影响因素和评价因子</w:t>
            </w:r>
            <w:r>
              <w:tab/>
            </w:r>
            <w:r>
              <w:fldChar w:fldCharType="begin"/>
            </w:r>
            <w:r>
              <w:instrText xml:space="preserve"> PAGEREF _Toc9104 \h </w:instrText>
            </w:r>
            <w:r>
              <w:fldChar w:fldCharType="separate"/>
            </w:r>
            <w:r>
              <w:t>14</w:t>
            </w:r>
            <w:r>
              <w:fldChar w:fldCharType="end"/>
            </w:r>
          </w:hyperlink>
        </w:p>
        <w:p w:rsidR="00C645C9" w:rsidRDefault="00F955D9" w:rsidP="005718BB">
          <w:pPr>
            <w:pStyle w:val="22"/>
            <w:tabs>
              <w:tab w:val="right" w:leader="dot" w:pos="8313"/>
            </w:tabs>
            <w:ind w:left="480"/>
          </w:pPr>
          <w:hyperlink w:anchor="_Toc412" w:history="1">
            <w:r>
              <w:rPr>
                <w:rFonts w:cs="Times New Roman"/>
              </w:rPr>
              <w:t>2.4</w:t>
            </w:r>
            <w:r>
              <w:rPr>
                <w:rFonts w:cs="Times New Roman"/>
              </w:rPr>
              <w:t>环境功能区划及评价标准</w:t>
            </w:r>
            <w:r>
              <w:tab/>
            </w:r>
            <w:r>
              <w:fldChar w:fldCharType="begin"/>
            </w:r>
            <w:r>
              <w:instrText xml:space="preserve"> PAGEREF _Toc412 \h </w:instrText>
            </w:r>
            <w:r>
              <w:fldChar w:fldCharType="separate"/>
            </w:r>
            <w:r>
              <w:t>17</w:t>
            </w:r>
            <w:r>
              <w:fldChar w:fldCharType="end"/>
            </w:r>
          </w:hyperlink>
        </w:p>
        <w:p w:rsidR="00C645C9" w:rsidRDefault="00F955D9" w:rsidP="005718BB">
          <w:pPr>
            <w:pStyle w:val="22"/>
            <w:tabs>
              <w:tab w:val="right" w:leader="dot" w:pos="8313"/>
            </w:tabs>
            <w:ind w:left="480"/>
          </w:pPr>
          <w:hyperlink w:anchor="_Toc32674" w:history="1">
            <w:r>
              <w:rPr>
                <w:rFonts w:cs="Times New Roman"/>
              </w:rPr>
              <w:t>2.</w:t>
            </w:r>
            <w:r>
              <w:rPr>
                <w:rFonts w:cs="Times New Roman" w:hint="eastAsia"/>
              </w:rPr>
              <w:t>5</w:t>
            </w:r>
            <w:r>
              <w:rPr>
                <w:rFonts w:cs="Times New Roman"/>
              </w:rPr>
              <w:t>评价工作等级和评价范围</w:t>
            </w:r>
            <w:r>
              <w:tab/>
            </w:r>
            <w:r>
              <w:fldChar w:fldCharType="begin"/>
            </w:r>
            <w:r>
              <w:instrText xml:space="preserve"> PAGEREF _Toc32674 \h </w:instrText>
            </w:r>
            <w:r>
              <w:fldChar w:fldCharType="separate"/>
            </w:r>
            <w:r>
              <w:t>22</w:t>
            </w:r>
            <w:r>
              <w:fldChar w:fldCharType="end"/>
            </w:r>
          </w:hyperlink>
        </w:p>
        <w:p w:rsidR="00C645C9" w:rsidRDefault="00F955D9" w:rsidP="005718BB">
          <w:pPr>
            <w:pStyle w:val="22"/>
            <w:tabs>
              <w:tab w:val="right" w:leader="dot" w:pos="8313"/>
            </w:tabs>
            <w:ind w:left="480"/>
          </w:pPr>
          <w:hyperlink w:anchor="_Toc15871" w:history="1">
            <w:r>
              <w:rPr>
                <w:rFonts w:cs="Times New Roman"/>
              </w:rPr>
              <w:t>2.</w:t>
            </w:r>
            <w:r>
              <w:rPr>
                <w:rFonts w:cs="Times New Roman" w:hint="eastAsia"/>
              </w:rPr>
              <w:t>6</w:t>
            </w:r>
            <w:r>
              <w:rPr>
                <w:rFonts w:cs="Times New Roman"/>
              </w:rPr>
              <w:t>环境保护目标</w:t>
            </w:r>
            <w:r>
              <w:tab/>
            </w:r>
            <w:r>
              <w:fldChar w:fldCharType="begin"/>
            </w:r>
            <w:r>
              <w:instrText xml:space="preserve"> PAGEREF _Toc15871 \h </w:instrText>
            </w:r>
            <w:r>
              <w:fldChar w:fldCharType="separate"/>
            </w:r>
            <w:r>
              <w:t>33</w:t>
            </w:r>
            <w:r>
              <w:fldChar w:fldCharType="end"/>
            </w:r>
          </w:hyperlink>
        </w:p>
        <w:p w:rsidR="00C645C9" w:rsidRDefault="00F955D9" w:rsidP="005718BB">
          <w:pPr>
            <w:pStyle w:val="22"/>
            <w:tabs>
              <w:tab w:val="right" w:leader="dot" w:pos="8313"/>
            </w:tabs>
            <w:ind w:left="480"/>
          </w:pPr>
          <w:hyperlink w:anchor="_Toc5837" w:history="1">
            <w:r>
              <w:rPr>
                <w:rFonts w:cs="Times New Roman"/>
              </w:rPr>
              <w:t>2.7</w:t>
            </w:r>
            <w:r>
              <w:rPr>
                <w:rFonts w:cs="Times New Roman"/>
              </w:rPr>
              <w:t>评价内容和评价重点</w:t>
            </w:r>
            <w:r>
              <w:tab/>
            </w:r>
            <w:r>
              <w:fldChar w:fldCharType="begin"/>
            </w:r>
            <w:r>
              <w:instrText xml:space="preserve"> PAGEREF _Toc5837 \h </w:instrText>
            </w:r>
            <w:r>
              <w:fldChar w:fldCharType="separate"/>
            </w:r>
            <w:r>
              <w:t>41</w:t>
            </w:r>
            <w:r>
              <w:fldChar w:fldCharType="end"/>
            </w:r>
          </w:hyperlink>
        </w:p>
        <w:p w:rsidR="00C645C9" w:rsidRDefault="00F955D9" w:rsidP="005718BB">
          <w:pPr>
            <w:pStyle w:val="22"/>
            <w:tabs>
              <w:tab w:val="right" w:leader="dot" w:pos="8313"/>
            </w:tabs>
            <w:ind w:left="480"/>
          </w:pPr>
          <w:hyperlink w:anchor="_Toc22813" w:history="1">
            <w:r>
              <w:rPr>
                <w:rFonts w:cs="Times New Roman"/>
              </w:rPr>
              <w:t>2.</w:t>
            </w:r>
            <w:r>
              <w:rPr>
                <w:rFonts w:cs="Times New Roman" w:hint="eastAsia"/>
              </w:rPr>
              <w:t>8</w:t>
            </w:r>
            <w:r>
              <w:rPr>
                <w:rFonts w:cs="Times New Roman"/>
              </w:rPr>
              <w:t>评价时段和评价方法</w:t>
            </w:r>
            <w:r>
              <w:tab/>
            </w:r>
            <w:r>
              <w:fldChar w:fldCharType="begin"/>
            </w:r>
            <w:r>
              <w:instrText xml:space="preserve"> PAGEREF _Toc22813 \h </w:instrText>
            </w:r>
            <w:r>
              <w:fldChar w:fldCharType="separate"/>
            </w:r>
            <w:r>
              <w:t>42</w:t>
            </w:r>
            <w:r>
              <w:fldChar w:fldCharType="end"/>
            </w:r>
          </w:hyperlink>
        </w:p>
        <w:p w:rsidR="00C645C9" w:rsidRDefault="00F955D9">
          <w:pPr>
            <w:pStyle w:val="10"/>
            <w:tabs>
              <w:tab w:val="right" w:leader="dot" w:pos="8313"/>
            </w:tabs>
          </w:pPr>
          <w:hyperlink w:anchor="_Toc21169" w:history="1">
            <w:r>
              <w:rPr>
                <w:rFonts w:cs="Times New Roman"/>
                <w:szCs w:val="36"/>
              </w:rPr>
              <w:t>3</w:t>
            </w:r>
            <w:r>
              <w:rPr>
                <w:rFonts w:cs="Times New Roman" w:hint="eastAsia"/>
                <w:szCs w:val="36"/>
              </w:rPr>
              <w:t>建设项目工程概况和工程分析</w:t>
            </w:r>
            <w:r>
              <w:tab/>
            </w:r>
            <w:r>
              <w:fldChar w:fldCharType="begin"/>
            </w:r>
            <w:r>
              <w:instrText xml:space="preserve"> PAGEREF _Toc21169 \h </w:instrText>
            </w:r>
            <w:r>
              <w:fldChar w:fldCharType="separate"/>
            </w:r>
            <w:r>
              <w:t>42</w:t>
            </w:r>
            <w:r>
              <w:fldChar w:fldCharType="end"/>
            </w:r>
          </w:hyperlink>
        </w:p>
        <w:p w:rsidR="00C645C9" w:rsidRDefault="00F955D9" w:rsidP="005718BB">
          <w:pPr>
            <w:pStyle w:val="22"/>
            <w:tabs>
              <w:tab w:val="right" w:leader="dot" w:pos="8313"/>
            </w:tabs>
            <w:ind w:left="480"/>
          </w:pPr>
          <w:hyperlink w:anchor="_Toc28766" w:history="1">
            <w:r>
              <w:rPr>
                <w:rFonts w:cs="Times New Roman"/>
              </w:rPr>
              <w:t>3.</w:t>
            </w:r>
            <w:r>
              <w:rPr>
                <w:rFonts w:cs="Times New Roman" w:hint="eastAsia"/>
              </w:rPr>
              <w:t>1</w:t>
            </w:r>
            <w:r>
              <w:rPr>
                <w:rFonts w:cs="Times New Roman"/>
              </w:rPr>
              <w:t>现有工程</w:t>
            </w:r>
            <w:r>
              <w:tab/>
            </w:r>
            <w:r>
              <w:fldChar w:fldCharType="begin"/>
            </w:r>
            <w:r>
              <w:instrText xml:space="preserve"> PAGEREF _Toc28766 \h </w:instrText>
            </w:r>
            <w:r>
              <w:fldChar w:fldCharType="separate"/>
            </w:r>
            <w:r>
              <w:t>42</w:t>
            </w:r>
            <w:r>
              <w:fldChar w:fldCharType="end"/>
            </w:r>
          </w:hyperlink>
        </w:p>
        <w:p w:rsidR="00C645C9" w:rsidRDefault="00F955D9" w:rsidP="005718BB">
          <w:pPr>
            <w:pStyle w:val="22"/>
            <w:tabs>
              <w:tab w:val="right" w:leader="dot" w:pos="8313"/>
            </w:tabs>
            <w:ind w:left="480"/>
          </w:pPr>
          <w:hyperlink w:anchor="_Toc21579" w:history="1">
            <w:r>
              <w:rPr>
                <w:rFonts w:cs="Times New Roman"/>
                <w:lang w:eastAsia="en-US"/>
              </w:rPr>
              <w:t>3.</w:t>
            </w:r>
            <w:r>
              <w:rPr>
                <w:rFonts w:cs="Times New Roman" w:hint="eastAsia"/>
              </w:rPr>
              <w:t>2</w:t>
            </w:r>
            <w:r>
              <w:rPr>
                <w:rFonts w:cs="Times New Roman" w:hint="eastAsia"/>
              </w:rPr>
              <w:t>拟建工程</w:t>
            </w:r>
            <w:r>
              <w:tab/>
            </w:r>
            <w:r>
              <w:fldChar w:fldCharType="begin"/>
            </w:r>
            <w:r>
              <w:instrText xml:space="preserve"> PAGEREF _Toc21579 \h </w:instrText>
            </w:r>
            <w:r>
              <w:fldChar w:fldCharType="separate"/>
            </w:r>
            <w:r>
              <w:t>45</w:t>
            </w:r>
            <w:r>
              <w:fldChar w:fldCharType="end"/>
            </w:r>
          </w:hyperlink>
        </w:p>
        <w:p w:rsidR="00C645C9" w:rsidRDefault="00F955D9" w:rsidP="005718BB">
          <w:pPr>
            <w:pStyle w:val="22"/>
            <w:tabs>
              <w:tab w:val="right" w:leader="dot" w:pos="8313"/>
            </w:tabs>
            <w:ind w:left="480"/>
          </w:pPr>
          <w:hyperlink w:anchor="_Toc7448" w:history="1">
            <w:r>
              <w:rPr>
                <w:rFonts w:cs="Times New Roman"/>
                <w:bCs/>
                <w:szCs w:val="30"/>
              </w:rPr>
              <w:t>3.</w:t>
            </w:r>
            <w:r>
              <w:rPr>
                <w:rFonts w:cs="Times New Roman" w:hint="eastAsia"/>
                <w:bCs/>
                <w:szCs w:val="30"/>
              </w:rPr>
              <w:t>3</w:t>
            </w:r>
            <w:r>
              <w:rPr>
                <w:rFonts w:cs="Times New Roman"/>
                <w:bCs/>
                <w:szCs w:val="30"/>
              </w:rPr>
              <w:t>工程分析</w:t>
            </w:r>
            <w:r>
              <w:tab/>
            </w:r>
            <w:r>
              <w:fldChar w:fldCharType="begin"/>
            </w:r>
            <w:r>
              <w:instrText xml:space="preserve"> PAGEREF _Toc7448 \h </w:instrText>
            </w:r>
            <w:r>
              <w:fldChar w:fldCharType="separate"/>
            </w:r>
            <w:r>
              <w:t>65</w:t>
            </w:r>
            <w:r>
              <w:fldChar w:fldCharType="end"/>
            </w:r>
          </w:hyperlink>
        </w:p>
        <w:p w:rsidR="00C645C9" w:rsidRDefault="00F955D9" w:rsidP="005718BB">
          <w:pPr>
            <w:pStyle w:val="22"/>
            <w:tabs>
              <w:tab w:val="right" w:leader="dot" w:pos="8313"/>
            </w:tabs>
            <w:ind w:left="480"/>
          </w:pPr>
          <w:hyperlink w:anchor="_Toc8870" w:history="1">
            <w:r>
              <w:rPr>
                <w:rFonts w:cs="Times New Roman"/>
              </w:rPr>
              <w:t>3.</w:t>
            </w:r>
            <w:r>
              <w:rPr>
                <w:rFonts w:cs="Times New Roman" w:hint="eastAsia"/>
              </w:rPr>
              <w:t>4</w:t>
            </w:r>
            <w:r>
              <w:rPr>
                <w:rFonts w:cs="Times New Roman"/>
              </w:rPr>
              <w:t>相关政策法规、规划符合性分析</w:t>
            </w:r>
            <w:r>
              <w:tab/>
            </w:r>
            <w:r>
              <w:fldChar w:fldCharType="begin"/>
            </w:r>
            <w:r>
              <w:instrText xml:space="preserve"> PAGEREF _Toc8870 \h </w:instrText>
            </w:r>
            <w:r>
              <w:fldChar w:fldCharType="separate"/>
            </w:r>
            <w:r>
              <w:t>96</w:t>
            </w:r>
            <w:r>
              <w:fldChar w:fldCharType="end"/>
            </w:r>
          </w:hyperlink>
        </w:p>
        <w:p w:rsidR="00C645C9" w:rsidRDefault="00F955D9" w:rsidP="005718BB">
          <w:pPr>
            <w:pStyle w:val="22"/>
            <w:tabs>
              <w:tab w:val="right" w:leader="dot" w:pos="8313"/>
            </w:tabs>
            <w:ind w:left="480"/>
          </w:pPr>
          <w:hyperlink w:anchor="_Toc30990" w:history="1">
            <w:r>
              <w:rPr>
                <w:rFonts w:cs="Times New Roman"/>
              </w:rPr>
              <w:t>3.</w:t>
            </w:r>
            <w:r>
              <w:rPr>
                <w:rFonts w:cs="Times New Roman" w:hint="eastAsia"/>
              </w:rPr>
              <w:t>5</w:t>
            </w:r>
            <w:r>
              <w:rPr>
                <w:rFonts w:cs="Times New Roman"/>
              </w:rPr>
              <w:t>选址选线合理性分析</w:t>
            </w:r>
            <w:r>
              <w:tab/>
            </w:r>
            <w:r>
              <w:fldChar w:fldCharType="begin"/>
            </w:r>
            <w:r>
              <w:instrText xml:space="preserve"> PAGEREF _Toc30990 \h </w:instrText>
            </w:r>
            <w:r>
              <w:fldChar w:fldCharType="separate"/>
            </w:r>
            <w:r>
              <w:t>110</w:t>
            </w:r>
            <w:r>
              <w:fldChar w:fldCharType="end"/>
            </w:r>
          </w:hyperlink>
        </w:p>
        <w:p w:rsidR="00C645C9" w:rsidRDefault="00F955D9">
          <w:pPr>
            <w:pStyle w:val="10"/>
            <w:tabs>
              <w:tab w:val="right" w:leader="dot" w:pos="8313"/>
            </w:tabs>
          </w:pPr>
          <w:hyperlink w:anchor="_Toc27602" w:history="1">
            <w:r>
              <w:rPr>
                <w:rFonts w:cs="Times New Roman"/>
                <w:szCs w:val="36"/>
              </w:rPr>
              <w:t>4</w:t>
            </w:r>
            <w:r>
              <w:rPr>
                <w:rFonts w:cs="Times New Roman"/>
                <w:szCs w:val="36"/>
              </w:rPr>
              <w:t>环境现状调查与评价</w:t>
            </w:r>
            <w:r>
              <w:tab/>
            </w:r>
            <w:r>
              <w:fldChar w:fldCharType="begin"/>
            </w:r>
            <w:r>
              <w:instrText xml:space="preserve"> PAGEREF _Toc27602 \h </w:instrText>
            </w:r>
            <w:r>
              <w:fldChar w:fldCharType="separate"/>
            </w:r>
            <w:r>
              <w:t>111</w:t>
            </w:r>
            <w:r>
              <w:fldChar w:fldCharType="end"/>
            </w:r>
          </w:hyperlink>
        </w:p>
        <w:p w:rsidR="00C645C9" w:rsidRDefault="00F955D9" w:rsidP="005718BB">
          <w:pPr>
            <w:pStyle w:val="22"/>
            <w:tabs>
              <w:tab w:val="right" w:leader="dot" w:pos="8313"/>
            </w:tabs>
            <w:ind w:left="480"/>
          </w:pPr>
          <w:hyperlink w:anchor="_Toc28671" w:history="1">
            <w:r>
              <w:rPr>
                <w:rFonts w:cs="Times New Roman"/>
              </w:rPr>
              <w:t>4.1</w:t>
            </w:r>
            <w:r>
              <w:rPr>
                <w:rFonts w:cs="Times New Roman"/>
              </w:rPr>
              <w:t>自然环境概况</w:t>
            </w:r>
            <w:r>
              <w:tab/>
            </w:r>
            <w:r>
              <w:fldChar w:fldCharType="begin"/>
            </w:r>
            <w:r>
              <w:instrText xml:space="preserve"> PAGEREF _Toc28671 \h </w:instrText>
            </w:r>
            <w:r>
              <w:fldChar w:fldCharType="separate"/>
            </w:r>
            <w:r>
              <w:t>111</w:t>
            </w:r>
            <w:r>
              <w:fldChar w:fldCharType="end"/>
            </w:r>
          </w:hyperlink>
        </w:p>
        <w:p w:rsidR="00C645C9" w:rsidRDefault="00F955D9" w:rsidP="005718BB">
          <w:pPr>
            <w:pStyle w:val="22"/>
            <w:tabs>
              <w:tab w:val="right" w:leader="dot" w:pos="8313"/>
            </w:tabs>
            <w:ind w:left="480"/>
          </w:pPr>
          <w:hyperlink w:anchor="_Toc21179" w:history="1">
            <w:r>
              <w:rPr>
                <w:rFonts w:cs="Times New Roman"/>
              </w:rPr>
              <w:t>4.</w:t>
            </w:r>
            <w:r>
              <w:rPr>
                <w:rFonts w:cs="Times New Roman" w:hint="eastAsia"/>
              </w:rPr>
              <w:t>2</w:t>
            </w:r>
            <w:r>
              <w:rPr>
                <w:rFonts w:cs="Times New Roman"/>
              </w:rPr>
              <w:t>生态环境现状调查与评价</w:t>
            </w:r>
            <w:r>
              <w:tab/>
            </w:r>
            <w:r>
              <w:fldChar w:fldCharType="begin"/>
            </w:r>
            <w:r>
              <w:instrText xml:space="preserve"> PAGEREF _Toc21179 \h </w:instrText>
            </w:r>
            <w:r>
              <w:fldChar w:fldCharType="separate"/>
            </w:r>
            <w:r>
              <w:t>113</w:t>
            </w:r>
            <w:r>
              <w:fldChar w:fldCharType="end"/>
            </w:r>
          </w:hyperlink>
        </w:p>
        <w:p w:rsidR="00C645C9" w:rsidRDefault="00F955D9" w:rsidP="005718BB">
          <w:pPr>
            <w:pStyle w:val="22"/>
            <w:tabs>
              <w:tab w:val="right" w:leader="dot" w:pos="8313"/>
            </w:tabs>
            <w:ind w:left="480"/>
          </w:pPr>
          <w:hyperlink w:anchor="_Toc3755" w:history="1">
            <w:r>
              <w:rPr>
                <w:rFonts w:cs="Times New Roman"/>
              </w:rPr>
              <w:t>4.</w:t>
            </w:r>
            <w:r>
              <w:rPr>
                <w:rFonts w:cs="Times New Roman"/>
              </w:rPr>
              <w:t>3</w:t>
            </w:r>
            <w:r>
              <w:rPr>
                <w:rFonts w:cs="Times New Roman"/>
              </w:rPr>
              <w:t>地下水环境现状调查与评价</w:t>
            </w:r>
            <w:r>
              <w:tab/>
            </w:r>
            <w:r>
              <w:fldChar w:fldCharType="begin"/>
            </w:r>
            <w:r>
              <w:instrText xml:space="preserve"> PAGEREF _Toc3755 \h </w:instrText>
            </w:r>
            <w:r>
              <w:fldChar w:fldCharType="separate"/>
            </w:r>
            <w:r>
              <w:t>129</w:t>
            </w:r>
            <w:r>
              <w:fldChar w:fldCharType="end"/>
            </w:r>
          </w:hyperlink>
        </w:p>
        <w:p w:rsidR="00C645C9" w:rsidRDefault="00F955D9" w:rsidP="005718BB">
          <w:pPr>
            <w:pStyle w:val="22"/>
            <w:tabs>
              <w:tab w:val="right" w:leader="dot" w:pos="8313"/>
            </w:tabs>
            <w:ind w:left="480"/>
          </w:pPr>
          <w:hyperlink w:anchor="_Toc22685" w:history="1">
            <w:r>
              <w:rPr>
                <w:rFonts w:cs="Times New Roman"/>
              </w:rPr>
              <w:t>4.</w:t>
            </w:r>
            <w:r>
              <w:rPr>
                <w:rFonts w:cs="Times New Roman"/>
              </w:rPr>
              <w:t>4</w:t>
            </w:r>
            <w:r>
              <w:rPr>
                <w:rFonts w:cs="Times New Roman"/>
              </w:rPr>
              <w:t>地表水环境现状调查与评价</w:t>
            </w:r>
            <w:r>
              <w:tab/>
            </w:r>
            <w:r>
              <w:fldChar w:fldCharType="begin"/>
            </w:r>
            <w:r>
              <w:instrText xml:space="preserve"> PAGEREF _Toc22685 \h </w:instrText>
            </w:r>
            <w:r>
              <w:fldChar w:fldCharType="separate"/>
            </w:r>
            <w:r>
              <w:t>133</w:t>
            </w:r>
            <w:r>
              <w:fldChar w:fldCharType="end"/>
            </w:r>
          </w:hyperlink>
        </w:p>
        <w:p w:rsidR="00C645C9" w:rsidRDefault="00F955D9" w:rsidP="005718BB">
          <w:pPr>
            <w:pStyle w:val="22"/>
            <w:tabs>
              <w:tab w:val="right" w:leader="dot" w:pos="8313"/>
            </w:tabs>
            <w:ind w:left="480"/>
          </w:pPr>
          <w:hyperlink w:anchor="_Toc17139" w:history="1">
            <w:r>
              <w:rPr>
                <w:rFonts w:cs="Times New Roman"/>
              </w:rPr>
              <w:t>4.</w:t>
            </w:r>
            <w:r>
              <w:rPr>
                <w:rFonts w:cs="Times New Roman" w:hint="eastAsia"/>
              </w:rPr>
              <w:t>5</w:t>
            </w:r>
            <w:r>
              <w:rPr>
                <w:rFonts w:cs="Times New Roman"/>
              </w:rPr>
              <w:t>土壤环境现状调查与评价</w:t>
            </w:r>
            <w:r>
              <w:tab/>
            </w:r>
            <w:r>
              <w:fldChar w:fldCharType="begin"/>
            </w:r>
            <w:r>
              <w:instrText xml:space="preserve"> PAGEREF _Toc17139 \h</w:instrText>
            </w:r>
            <w:r>
              <w:instrText xml:space="preserve"> </w:instrText>
            </w:r>
            <w:r>
              <w:fldChar w:fldCharType="separate"/>
            </w:r>
            <w:r>
              <w:t>139</w:t>
            </w:r>
            <w:r>
              <w:fldChar w:fldCharType="end"/>
            </w:r>
          </w:hyperlink>
        </w:p>
        <w:p w:rsidR="00C645C9" w:rsidRDefault="00F955D9" w:rsidP="005718BB">
          <w:pPr>
            <w:pStyle w:val="22"/>
            <w:tabs>
              <w:tab w:val="right" w:leader="dot" w:pos="8313"/>
            </w:tabs>
            <w:ind w:left="480"/>
          </w:pPr>
          <w:hyperlink w:anchor="_Toc10016" w:history="1">
            <w:r>
              <w:rPr>
                <w:rFonts w:cs="Times New Roman"/>
              </w:rPr>
              <w:t>4.</w:t>
            </w:r>
            <w:r>
              <w:rPr>
                <w:rFonts w:cs="Times New Roman" w:hint="eastAsia"/>
              </w:rPr>
              <w:t>6</w:t>
            </w:r>
            <w:r>
              <w:rPr>
                <w:rFonts w:cs="Times New Roman"/>
                <w:snapToGrid w:val="0"/>
                <w:szCs w:val="21"/>
                <w:lang w:eastAsia="en-US"/>
              </w:rPr>
              <w:t>大气环境现状调查与评价</w:t>
            </w:r>
            <w:r>
              <w:tab/>
            </w:r>
            <w:r>
              <w:fldChar w:fldCharType="begin"/>
            </w:r>
            <w:r>
              <w:instrText xml:space="preserve"> PAGEREF _Toc10016 \h </w:instrText>
            </w:r>
            <w:r>
              <w:fldChar w:fldCharType="separate"/>
            </w:r>
            <w:r>
              <w:t>149</w:t>
            </w:r>
            <w:r>
              <w:fldChar w:fldCharType="end"/>
            </w:r>
          </w:hyperlink>
        </w:p>
        <w:p w:rsidR="00C645C9" w:rsidRDefault="00F955D9" w:rsidP="005718BB">
          <w:pPr>
            <w:pStyle w:val="22"/>
            <w:tabs>
              <w:tab w:val="right" w:leader="dot" w:pos="8313"/>
            </w:tabs>
            <w:ind w:left="480"/>
          </w:pPr>
          <w:hyperlink w:anchor="_Toc24060" w:history="1">
            <w:r>
              <w:rPr>
                <w:rFonts w:cs="Times New Roman"/>
              </w:rPr>
              <w:t>4.</w:t>
            </w:r>
            <w:r>
              <w:rPr>
                <w:rFonts w:cs="Times New Roman" w:hint="eastAsia"/>
              </w:rPr>
              <w:t>7</w:t>
            </w:r>
            <w:r>
              <w:rPr>
                <w:rFonts w:cs="Times New Roman"/>
              </w:rPr>
              <w:t>声环境现状调查与评价</w:t>
            </w:r>
            <w:r>
              <w:tab/>
            </w:r>
            <w:r>
              <w:fldChar w:fldCharType="begin"/>
            </w:r>
            <w:r>
              <w:instrText xml:space="preserve"> PAGEREF _Toc24060 \h </w:instrText>
            </w:r>
            <w:r>
              <w:fldChar w:fldCharType="separate"/>
            </w:r>
            <w:r>
              <w:t>151</w:t>
            </w:r>
            <w:r>
              <w:fldChar w:fldCharType="end"/>
            </w:r>
          </w:hyperlink>
        </w:p>
        <w:p w:rsidR="00C645C9" w:rsidRDefault="00F955D9">
          <w:pPr>
            <w:pStyle w:val="10"/>
            <w:tabs>
              <w:tab w:val="right" w:leader="dot" w:pos="8313"/>
            </w:tabs>
          </w:pPr>
          <w:hyperlink w:anchor="_Toc26731" w:history="1">
            <w:r>
              <w:rPr>
                <w:rFonts w:cs="Times New Roman"/>
              </w:rPr>
              <w:t>5</w:t>
            </w:r>
            <w:r>
              <w:rPr>
                <w:rFonts w:cs="Times New Roman"/>
              </w:rPr>
              <w:t>环境影响预测与评价</w:t>
            </w:r>
            <w:r>
              <w:tab/>
            </w:r>
            <w:r>
              <w:fldChar w:fldCharType="begin"/>
            </w:r>
            <w:r>
              <w:instrText xml:space="preserve"> PAGEREF _Toc26731 \h </w:instrText>
            </w:r>
            <w:r>
              <w:fldChar w:fldCharType="separate"/>
            </w:r>
            <w:r>
              <w:t>153</w:t>
            </w:r>
            <w:r>
              <w:fldChar w:fldCharType="end"/>
            </w:r>
          </w:hyperlink>
        </w:p>
        <w:p w:rsidR="00C645C9" w:rsidRDefault="00F955D9" w:rsidP="005718BB">
          <w:pPr>
            <w:pStyle w:val="22"/>
            <w:tabs>
              <w:tab w:val="right" w:leader="dot" w:pos="8313"/>
            </w:tabs>
            <w:ind w:left="480"/>
          </w:pPr>
          <w:hyperlink w:anchor="_Toc28807" w:history="1">
            <w:r>
              <w:rPr>
                <w:rFonts w:cs="Times New Roman"/>
              </w:rPr>
              <w:t>5.1</w:t>
            </w:r>
            <w:r>
              <w:rPr>
                <w:rFonts w:cs="Times New Roman"/>
              </w:rPr>
              <w:t>生态影响评价</w:t>
            </w:r>
            <w:r>
              <w:tab/>
            </w:r>
            <w:r>
              <w:fldChar w:fldCharType="begin"/>
            </w:r>
            <w:r>
              <w:instrText xml:space="preserve"> P</w:instrText>
            </w:r>
            <w:r>
              <w:instrText xml:space="preserve">AGEREF _Toc28807 \h </w:instrText>
            </w:r>
            <w:r>
              <w:fldChar w:fldCharType="separate"/>
            </w:r>
            <w:r>
              <w:t>153</w:t>
            </w:r>
            <w:r>
              <w:fldChar w:fldCharType="end"/>
            </w:r>
          </w:hyperlink>
        </w:p>
        <w:p w:rsidR="00C645C9" w:rsidRDefault="00F955D9" w:rsidP="005718BB">
          <w:pPr>
            <w:pStyle w:val="22"/>
            <w:tabs>
              <w:tab w:val="right" w:leader="dot" w:pos="8313"/>
            </w:tabs>
            <w:ind w:left="480"/>
          </w:pPr>
          <w:hyperlink w:anchor="_Toc1193" w:history="1">
            <w:r>
              <w:rPr>
                <w:rFonts w:cs="Times New Roman"/>
              </w:rPr>
              <w:t>5.</w:t>
            </w:r>
            <w:r>
              <w:rPr>
                <w:rFonts w:cs="Times New Roman" w:hint="eastAsia"/>
              </w:rPr>
              <w:t>2</w:t>
            </w:r>
            <w:r>
              <w:rPr>
                <w:rFonts w:cs="Times New Roman"/>
              </w:rPr>
              <w:t>地下水环境影响评价</w:t>
            </w:r>
            <w:r>
              <w:tab/>
            </w:r>
            <w:r>
              <w:fldChar w:fldCharType="begin"/>
            </w:r>
            <w:r>
              <w:instrText xml:space="preserve"> PAGEREF _Toc1193 \h </w:instrText>
            </w:r>
            <w:r>
              <w:fldChar w:fldCharType="separate"/>
            </w:r>
            <w:r>
              <w:t>163</w:t>
            </w:r>
            <w:r>
              <w:fldChar w:fldCharType="end"/>
            </w:r>
          </w:hyperlink>
        </w:p>
        <w:p w:rsidR="00C645C9" w:rsidRDefault="00F955D9" w:rsidP="005718BB">
          <w:pPr>
            <w:pStyle w:val="22"/>
            <w:tabs>
              <w:tab w:val="right" w:leader="dot" w:pos="8313"/>
            </w:tabs>
            <w:ind w:left="480"/>
          </w:pPr>
          <w:hyperlink w:anchor="_Toc6867" w:history="1">
            <w:r>
              <w:rPr>
                <w:rFonts w:cs="Times New Roman"/>
              </w:rPr>
              <w:t>5.</w:t>
            </w:r>
            <w:r>
              <w:rPr>
                <w:rFonts w:cs="Times New Roman" w:hint="eastAsia"/>
              </w:rPr>
              <w:t>3</w:t>
            </w:r>
            <w:r>
              <w:rPr>
                <w:rFonts w:cs="Times New Roman"/>
              </w:rPr>
              <w:t>地表水环境影响评价</w:t>
            </w:r>
            <w:r>
              <w:tab/>
            </w:r>
            <w:r>
              <w:fldChar w:fldCharType="begin"/>
            </w:r>
            <w:r>
              <w:instrText xml:space="preserve"> PA</w:instrText>
            </w:r>
            <w:r>
              <w:instrText xml:space="preserve">GEREF _Toc6867 \h </w:instrText>
            </w:r>
            <w:r>
              <w:fldChar w:fldCharType="separate"/>
            </w:r>
            <w:r>
              <w:t>180</w:t>
            </w:r>
            <w:r>
              <w:fldChar w:fldCharType="end"/>
            </w:r>
          </w:hyperlink>
        </w:p>
        <w:p w:rsidR="00C645C9" w:rsidRDefault="00F955D9" w:rsidP="005718BB">
          <w:pPr>
            <w:pStyle w:val="22"/>
            <w:tabs>
              <w:tab w:val="right" w:leader="dot" w:pos="8313"/>
            </w:tabs>
            <w:ind w:left="480"/>
          </w:pPr>
          <w:hyperlink w:anchor="_Toc29895" w:history="1">
            <w:r>
              <w:rPr>
                <w:rFonts w:cs="Times New Roman"/>
              </w:rPr>
              <w:t>5.4</w:t>
            </w:r>
            <w:r>
              <w:rPr>
                <w:rFonts w:cs="Times New Roman"/>
              </w:rPr>
              <w:t>土壤环境影响评价</w:t>
            </w:r>
            <w:r>
              <w:tab/>
            </w:r>
            <w:r>
              <w:fldChar w:fldCharType="begin"/>
            </w:r>
            <w:r>
              <w:instrText xml:space="preserve"> PAGEREF _Toc29895 \h </w:instrText>
            </w:r>
            <w:r>
              <w:fldChar w:fldCharType="separate"/>
            </w:r>
            <w:r>
              <w:t>182</w:t>
            </w:r>
            <w:r>
              <w:fldChar w:fldCharType="end"/>
            </w:r>
          </w:hyperlink>
        </w:p>
        <w:p w:rsidR="00C645C9" w:rsidRDefault="00F955D9" w:rsidP="005718BB">
          <w:pPr>
            <w:pStyle w:val="22"/>
            <w:tabs>
              <w:tab w:val="right" w:leader="dot" w:pos="8313"/>
            </w:tabs>
            <w:ind w:left="480"/>
          </w:pPr>
          <w:hyperlink w:anchor="_Toc22724" w:history="1">
            <w:r>
              <w:rPr>
                <w:rFonts w:cs="Times New Roman"/>
              </w:rPr>
              <w:t>5.5</w:t>
            </w:r>
            <w:r>
              <w:rPr>
                <w:rFonts w:cs="Times New Roman"/>
              </w:rPr>
              <w:t>大气环境环境影响评价</w:t>
            </w:r>
            <w:r>
              <w:tab/>
            </w:r>
            <w:r>
              <w:fldChar w:fldCharType="begin"/>
            </w:r>
            <w:r>
              <w:instrText xml:space="preserve"> PAGEREF _Toc22724 \h </w:instrText>
            </w:r>
            <w:r>
              <w:fldChar w:fldCharType="separate"/>
            </w:r>
            <w:r>
              <w:t>190</w:t>
            </w:r>
            <w:r>
              <w:fldChar w:fldCharType="end"/>
            </w:r>
          </w:hyperlink>
        </w:p>
        <w:p w:rsidR="00C645C9" w:rsidRDefault="00F955D9" w:rsidP="005718BB">
          <w:pPr>
            <w:pStyle w:val="22"/>
            <w:tabs>
              <w:tab w:val="right" w:leader="dot" w:pos="8313"/>
            </w:tabs>
            <w:ind w:left="480"/>
          </w:pPr>
          <w:hyperlink w:anchor="_Toc6197" w:history="1">
            <w:r>
              <w:rPr>
                <w:rFonts w:cs="Times New Roman"/>
              </w:rPr>
              <w:t>5.6</w:t>
            </w:r>
            <w:r>
              <w:rPr>
                <w:rFonts w:cs="Times New Roman"/>
              </w:rPr>
              <w:t>声环境影响评价</w:t>
            </w:r>
            <w:r>
              <w:tab/>
            </w:r>
            <w:r>
              <w:fldChar w:fldCharType="begin"/>
            </w:r>
            <w:r>
              <w:instrText xml:space="preserve"> PAGEREF _Toc6197 \h </w:instrText>
            </w:r>
            <w:r>
              <w:fldChar w:fldCharType="separate"/>
            </w:r>
            <w:r>
              <w:t>200</w:t>
            </w:r>
            <w:r>
              <w:fldChar w:fldCharType="end"/>
            </w:r>
          </w:hyperlink>
        </w:p>
        <w:p w:rsidR="00C645C9" w:rsidRDefault="00F955D9" w:rsidP="005718BB">
          <w:pPr>
            <w:pStyle w:val="22"/>
            <w:tabs>
              <w:tab w:val="right" w:leader="dot" w:pos="8313"/>
            </w:tabs>
            <w:ind w:left="480"/>
          </w:pPr>
          <w:hyperlink w:anchor="_Toc24280" w:history="1">
            <w:r>
              <w:rPr>
                <w:rFonts w:cs="Times New Roman"/>
              </w:rPr>
              <w:t>5.7</w:t>
            </w:r>
            <w:r>
              <w:rPr>
                <w:rFonts w:cs="Times New Roman"/>
              </w:rPr>
              <w:t>固体废物影响分析</w:t>
            </w:r>
            <w:r>
              <w:tab/>
            </w:r>
            <w:r>
              <w:fldChar w:fldCharType="begin"/>
            </w:r>
            <w:r>
              <w:instrText xml:space="preserve"> PAGEREF _Toc24280 \h </w:instrText>
            </w:r>
            <w:r>
              <w:fldChar w:fldCharType="separate"/>
            </w:r>
            <w:r>
              <w:t>206</w:t>
            </w:r>
            <w:r>
              <w:fldChar w:fldCharType="end"/>
            </w:r>
          </w:hyperlink>
        </w:p>
        <w:p w:rsidR="00C645C9" w:rsidRDefault="00F955D9" w:rsidP="005718BB">
          <w:pPr>
            <w:pStyle w:val="10"/>
            <w:tabs>
              <w:tab w:val="right" w:leader="dot" w:pos="8313"/>
            </w:tabs>
            <w:ind w:firstLineChars="200" w:firstLine="480"/>
          </w:pPr>
          <w:hyperlink w:anchor="_Toc26233" w:history="1">
            <w:r>
              <w:rPr>
                <w:rFonts w:cs="Times New Roman" w:hint="eastAsia"/>
                <w:snapToGrid w:val="0"/>
                <w:szCs w:val="21"/>
              </w:rPr>
              <w:t>5.8</w:t>
            </w:r>
            <w:r>
              <w:rPr>
                <w:rFonts w:cs="Times New Roman"/>
                <w:snapToGrid w:val="0"/>
                <w:szCs w:val="21"/>
                <w:lang w:eastAsia="en-US"/>
              </w:rPr>
              <w:t>环境风险评价</w:t>
            </w:r>
            <w:r>
              <w:tab/>
            </w:r>
            <w:r>
              <w:fldChar w:fldCharType="begin"/>
            </w:r>
            <w:r>
              <w:instrText xml:space="preserve"> PAGEREF _Toc26233 \h </w:instrText>
            </w:r>
            <w:r>
              <w:fldChar w:fldCharType="separate"/>
            </w:r>
            <w:r>
              <w:t>209</w:t>
            </w:r>
            <w:r>
              <w:fldChar w:fldCharType="end"/>
            </w:r>
          </w:hyperlink>
        </w:p>
        <w:p w:rsidR="00C645C9" w:rsidRDefault="00F955D9">
          <w:pPr>
            <w:pStyle w:val="10"/>
            <w:tabs>
              <w:tab w:val="right" w:leader="dot" w:pos="8313"/>
            </w:tabs>
          </w:pPr>
          <w:hyperlink w:anchor="_Toc15789" w:history="1">
            <w:r>
              <w:rPr>
                <w:rFonts w:cs="Times New Roman"/>
                <w:bCs/>
                <w:szCs w:val="36"/>
              </w:rPr>
              <w:t>6</w:t>
            </w:r>
            <w:r>
              <w:rPr>
                <w:rFonts w:cs="Times New Roman"/>
                <w:bCs/>
                <w:szCs w:val="36"/>
              </w:rPr>
              <w:t>环境保护措施可行性论证</w:t>
            </w:r>
            <w:r>
              <w:tab/>
            </w:r>
            <w:r>
              <w:fldChar w:fldCharType="begin"/>
            </w:r>
            <w:r>
              <w:instrText xml:space="preserve"> PAGEREF _Toc15789 \h </w:instrText>
            </w:r>
            <w:r>
              <w:fldChar w:fldCharType="separate"/>
            </w:r>
            <w:r>
              <w:t>227</w:t>
            </w:r>
            <w:r>
              <w:fldChar w:fldCharType="end"/>
            </w:r>
          </w:hyperlink>
        </w:p>
        <w:p w:rsidR="00C645C9" w:rsidRDefault="00F955D9" w:rsidP="005718BB">
          <w:pPr>
            <w:pStyle w:val="22"/>
            <w:tabs>
              <w:tab w:val="right" w:leader="dot" w:pos="8313"/>
            </w:tabs>
            <w:ind w:left="480"/>
          </w:pPr>
          <w:hyperlink w:anchor="_Toc11195" w:history="1">
            <w:r>
              <w:rPr>
                <w:rFonts w:cs="Times New Roman" w:hint="eastAsia"/>
                <w:snapToGrid w:val="0"/>
                <w:szCs w:val="21"/>
                <w:lang w:eastAsia="en-US"/>
              </w:rPr>
              <w:t>6.</w:t>
            </w:r>
            <w:r>
              <w:rPr>
                <w:rFonts w:cs="Times New Roman" w:hint="eastAsia"/>
                <w:snapToGrid w:val="0"/>
                <w:szCs w:val="21"/>
              </w:rPr>
              <w:t>1</w:t>
            </w:r>
            <w:r>
              <w:rPr>
                <w:rFonts w:cs="Times New Roman" w:hint="eastAsia"/>
                <w:snapToGrid w:val="0"/>
                <w:szCs w:val="21"/>
                <w:lang w:eastAsia="en-US"/>
              </w:rPr>
              <w:t xml:space="preserve"> </w:t>
            </w:r>
            <w:r>
              <w:rPr>
                <w:rFonts w:cs="Times New Roman" w:hint="eastAsia"/>
                <w:snapToGrid w:val="0"/>
                <w:szCs w:val="21"/>
                <w:lang w:eastAsia="en-US"/>
              </w:rPr>
              <w:t>生态保护措施可行性论证</w:t>
            </w:r>
            <w:r>
              <w:tab/>
            </w:r>
            <w:r>
              <w:fldChar w:fldCharType="begin"/>
            </w:r>
            <w:r>
              <w:instrText xml:space="preserve"> PAGEREF _Toc11195 \h </w:instrText>
            </w:r>
            <w:r>
              <w:fldChar w:fldCharType="separate"/>
            </w:r>
            <w:r>
              <w:t>227</w:t>
            </w:r>
            <w:r>
              <w:fldChar w:fldCharType="end"/>
            </w:r>
          </w:hyperlink>
        </w:p>
        <w:p w:rsidR="00C645C9" w:rsidRDefault="00F955D9" w:rsidP="005718BB">
          <w:pPr>
            <w:pStyle w:val="22"/>
            <w:tabs>
              <w:tab w:val="right" w:leader="dot" w:pos="8313"/>
            </w:tabs>
            <w:ind w:left="480"/>
          </w:pPr>
          <w:hyperlink w:anchor="_Toc3261" w:history="1">
            <w:r>
              <w:rPr>
                <w:rFonts w:cs="Times New Roman" w:hint="eastAsia"/>
                <w:snapToGrid w:val="0"/>
                <w:szCs w:val="21"/>
                <w:lang w:eastAsia="en-US"/>
              </w:rPr>
              <w:t xml:space="preserve">6.2 </w:t>
            </w:r>
            <w:r>
              <w:rPr>
                <w:rFonts w:cs="Times New Roman" w:hint="eastAsia"/>
                <w:snapToGrid w:val="0"/>
                <w:szCs w:val="21"/>
              </w:rPr>
              <w:t>地下水环境保护</w:t>
            </w:r>
            <w:r>
              <w:rPr>
                <w:rFonts w:cs="Times New Roman" w:hint="eastAsia"/>
                <w:snapToGrid w:val="0"/>
                <w:szCs w:val="21"/>
                <w:lang w:eastAsia="en-US"/>
              </w:rPr>
              <w:t>措施可行性论证</w:t>
            </w:r>
            <w:r>
              <w:tab/>
            </w:r>
            <w:r>
              <w:fldChar w:fldCharType="begin"/>
            </w:r>
            <w:r>
              <w:instrText xml:space="preserve"> PAGEREF _Toc3261 \h </w:instrText>
            </w:r>
            <w:r>
              <w:fldChar w:fldCharType="separate"/>
            </w:r>
            <w:r>
              <w:t>231</w:t>
            </w:r>
            <w:r>
              <w:fldChar w:fldCharType="end"/>
            </w:r>
          </w:hyperlink>
        </w:p>
        <w:p w:rsidR="00C645C9" w:rsidRDefault="00F955D9" w:rsidP="005718BB">
          <w:pPr>
            <w:pStyle w:val="22"/>
            <w:tabs>
              <w:tab w:val="right" w:leader="dot" w:pos="8313"/>
            </w:tabs>
            <w:ind w:left="480"/>
          </w:pPr>
          <w:hyperlink w:anchor="_Toc5538" w:history="1">
            <w:r>
              <w:rPr>
                <w:rFonts w:cs="Times New Roman" w:hint="eastAsia"/>
                <w:snapToGrid w:val="0"/>
                <w:szCs w:val="21"/>
              </w:rPr>
              <w:t>6.3</w:t>
            </w:r>
            <w:r>
              <w:rPr>
                <w:rFonts w:cs="Times New Roman" w:hint="eastAsia"/>
                <w:snapToGrid w:val="0"/>
                <w:szCs w:val="21"/>
              </w:rPr>
              <w:t>地表水环境保护</w:t>
            </w:r>
            <w:r>
              <w:rPr>
                <w:rFonts w:cs="Times New Roman" w:hint="eastAsia"/>
                <w:snapToGrid w:val="0"/>
                <w:szCs w:val="21"/>
                <w:lang w:eastAsia="en-US"/>
              </w:rPr>
              <w:t>措施可行性论证</w:t>
            </w:r>
            <w:r>
              <w:tab/>
            </w:r>
            <w:r>
              <w:fldChar w:fldCharType="begin"/>
            </w:r>
            <w:r>
              <w:instrText xml:space="preserve"> PAGEREF _Toc5538 \h </w:instrText>
            </w:r>
            <w:r>
              <w:fldChar w:fldCharType="separate"/>
            </w:r>
            <w:r>
              <w:t>239</w:t>
            </w:r>
            <w:r>
              <w:fldChar w:fldCharType="end"/>
            </w:r>
          </w:hyperlink>
        </w:p>
        <w:p w:rsidR="00C645C9" w:rsidRDefault="00F955D9" w:rsidP="005718BB">
          <w:pPr>
            <w:pStyle w:val="22"/>
            <w:tabs>
              <w:tab w:val="right" w:leader="dot" w:pos="8313"/>
            </w:tabs>
            <w:ind w:left="480"/>
          </w:pPr>
          <w:hyperlink w:anchor="_Toc12005" w:history="1">
            <w:r>
              <w:rPr>
                <w:rFonts w:cs="Times New Roman" w:hint="eastAsia"/>
                <w:snapToGrid w:val="0"/>
                <w:szCs w:val="21"/>
              </w:rPr>
              <w:t>6.4</w:t>
            </w:r>
            <w:r>
              <w:rPr>
                <w:rFonts w:cs="Times New Roman" w:hint="eastAsia"/>
                <w:snapToGrid w:val="0"/>
                <w:szCs w:val="21"/>
              </w:rPr>
              <w:t>土壤环境保护措施可行性论证</w:t>
            </w:r>
            <w:r>
              <w:tab/>
            </w:r>
            <w:r>
              <w:fldChar w:fldCharType="begin"/>
            </w:r>
            <w:r>
              <w:instrText xml:space="preserve"> PAGEREF _Toc12005 \h </w:instrText>
            </w:r>
            <w:r>
              <w:fldChar w:fldCharType="separate"/>
            </w:r>
            <w:r>
              <w:t>241</w:t>
            </w:r>
            <w:r>
              <w:fldChar w:fldCharType="end"/>
            </w:r>
          </w:hyperlink>
        </w:p>
        <w:p w:rsidR="00C645C9" w:rsidRDefault="00F955D9" w:rsidP="005718BB">
          <w:pPr>
            <w:pStyle w:val="22"/>
            <w:tabs>
              <w:tab w:val="right" w:leader="dot" w:pos="8313"/>
            </w:tabs>
            <w:ind w:left="480"/>
          </w:pPr>
          <w:hyperlink w:anchor="_Toc24632" w:history="1">
            <w:r>
              <w:rPr>
                <w:rFonts w:cs="Times New Roman" w:hint="eastAsia"/>
                <w:snapToGrid w:val="0"/>
                <w:szCs w:val="21"/>
              </w:rPr>
              <w:t>6.5</w:t>
            </w:r>
            <w:r>
              <w:rPr>
                <w:rFonts w:cs="Times New Roman" w:hint="eastAsia"/>
                <w:snapToGrid w:val="0"/>
                <w:szCs w:val="21"/>
              </w:rPr>
              <w:t>大气环境保</w:t>
            </w:r>
            <w:r>
              <w:rPr>
                <w:rFonts w:cs="Times New Roman" w:hint="eastAsia"/>
                <w:snapToGrid w:val="0"/>
                <w:szCs w:val="21"/>
              </w:rPr>
              <w:t>护措施可行性论证</w:t>
            </w:r>
            <w:r>
              <w:tab/>
            </w:r>
            <w:r>
              <w:fldChar w:fldCharType="begin"/>
            </w:r>
            <w:r>
              <w:instrText xml:space="preserve"> PAGEREF _Toc24632 \h </w:instrText>
            </w:r>
            <w:r>
              <w:fldChar w:fldCharType="separate"/>
            </w:r>
            <w:r>
              <w:t>242</w:t>
            </w:r>
            <w:r>
              <w:fldChar w:fldCharType="end"/>
            </w:r>
          </w:hyperlink>
        </w:p>
        <w:p w:rsidR="00C645C9" w:rsidRDefault="00F955D9" w:rsidP="005718BB">
          <w:pPr>
            <w:pStyle w:val="22"/>
            <w:tabs>
              <w:tab w:val="right" w:leader="dot" w:pos="8313"/>
            </w:tabs>
            <w:ind w:left="480"/>
          </w:pPr>
          <w:hyperlink w:anchor="_Toc29516" w:history="1">
            <w:r>
              <w:rPr>
                <w:rFonts w:cs="Times New Roman" w:hint="eastAsia"/>
                <w:snapToGrid w:val="0"/>
                <w:szCs w:val="21"/>
              </w:rPr>
              <w:t>6.6</w:t>
            </w:r>
            <w:r>
              <w:rPr>
                <w:rFonts w:cs="Times New Roman" w:hint="eastAsia"/>
                <w:snapToGrid w:val="0"/>
                <w:szCs w:val="21"/>
              </w:rPr>
              <w:t>声环境保护措施可行性论证</w:t>
            </w:r>
            <w:r>
              <w:tab/>
            </w:r>
            <w:r>
              <w:fldChar w:fldCharType="begin"/>
            </w:r>
            <w:r>
              <w:instrText xml:space="preserve"> PAGEREF _Toc29516 \h </w:instrText>
            </w:r>
            <w:r>
              <w:fldChar w:fldCharType="separate"/>
            </w:r>
            <w:r>
              <w:t>245</w:t>
            </w:r>
            <w:r>
              <w:fldChar w:fldCharType="end"/>
            </w:r>
          </w:hyperlink>
        </w:p>
        <w:p w:rsidR="00C645C9" w:rsidRDefault="00F955D9" w:rsidP="005718BB">
          <w:pPr>
            <w:pStyle w:val="22"/>
            <w:tabs>
              <w:tab w:val="right" w:leader="dot" w:pos="8313"/>
            </w:tabs>
            <w:ind w:left="480"/>
          </w:pPr>
          <w:hyperlink w:anchor="_Toc25056" w:history="1">
            <w:r>
              <w:rPr>
                <w:rFonts w:cs="Times New Roman" w:hint="eastAsia"/>
                <w:snapToGrid w:val="0"/>
                <w:szCs w:val="21"/>
              </w:rPr>
              <w:t>6.7</w:t>
            </w:r>
            <w:r>
              <w:rPr>
                <w:rFonts w:cs="Times New Roman" w:hint="eastAsia"/>
                <w:snapToGrid w:val="0"/>
                <w:szCs w:val="21"/>
              </w:rPr>
              <w:t>固体废物处理措施可行性论证</w:t>
            </w:r>
            <w:r>
              <w:tab/>
            </w:r>
            <w:r>
              <w:fldChar w:fldCharType="begin"/>
            </w:r>
            <w:r>
              <w:instrText xml:space="preserve"> PAGEREF _Toc25056 \h </w:instrText>
            </w:r>
            <w:r>
              <w:fldChar w:fldCharType="separate"/>
            </w:r>
            <w:r>
              <w:t>246</w:t>
            </w:r>
            <w:r>
              <w:fldChar w:fldCharType="end"/>
            </w:r>
          </w:hyperlink>
        </w:p>
        <w:p w:rsidR="00C645C9" w:rsidRDefault="00F955D9">
          <w:pPr>
            <w:pStyle w:val="10"/>
            <w:tabs>
              <w:tab w:val="right" w:leader="dot" w:pos="8313"/>
            </w:tabs>
          </w:pPr>
          <w:hyperlink w:anchor="_Toc15260" w:history="1">
            <w:r>
              <w:rPr>
                <w:rFonts w:cs="Times New Roman" w:hint="eastAsia"/>
                <w:bCs/>
                <w:szCs w:val="36"/>
                <w:lang w:eastAsia="en-US"/>
              </w:rPr>
              <w:t>7</w:t>
            </w:r>
            <w:r>
              <w:rPr>
                <w:rFonts w:cs="Times New Roman" w:hint="eastAsia"/>
                <w:bCs/>
                <w:szCs w:val="36"/>
              </w:rPr>
              <w:t>温室气体</w:t>
            </w:r>
            <w:r>
              <w:rPr>
                <w:rFonts w:cs="Times New Roman" w:hint="eastAsia"/>
                <w:bCs/>
                <w:szCs w:val="36"/>
                <w:lang w:eastAsia="en-US"/>
              </w:rPr>
              <w:t>排放影响评价</w:t>
            </w:r>
            <w:r>
              <w:tab/>
            </w:r>
            <w:r>
              <w:fldChar w:fldCharType="begin"/>
            </w:r>
            <w:r>
              <w:instrText xml:space="preserve"> PAGEREF _Toc15260 \h </w:instrText>
            </w:r>
            <w:r>
              <w:fldChar w:fldCharType="separate"/>
            </w:r>
            <w:r>
              <w:t>252</w:t>
            </w:r>
            <w:r>
              <w:fldChar w:fldCharType="end"/>
            </w:r>
          </w:hyperlink>
        </w:p>
        <w:p w:rsidR="00C645C9" w:rsidRDefault="00F955D9" w:rsidP="005718BB">
          <w:pPr>
            <w:pStyle w:val="22"/>
            <w:tabs>
              <w:tab w:val="right" w:leader="dot" w:pos="8313"/>
            </w:tabs>
            <w:ind w:left="480"/>
          </w:pPr>
          <w:hyperlink w:anchor="_Toc21040" w:history="1">
            <w:r>
              <w:rPr>
                <w:rFonts w:cs="Times New Roman" w:hint="eastAsia"/>
                <w:lang w:eastAsia="en-US"/>
              </w:rPr>
              <w:t>7.1</w:t>
            </w:r>
            <w:r>
              <w:rPr>
                <w:rFonts w:cs="Times New Roman" w:hint="eastAsia"/>
              </w:rPr>
              <w:t>温室气体</w:t>
            </w:r>
            <w:r>
              <w:rPr>
                <w:rFonts w:cs="Times New Roman" w:hint="eastAsia"/>
                <w:lang w:eastAsia="en-US"/>
              </w:rPr>
              <w:t>排放分析</w:t>
            </w:r>
            <w:r>
              <w:tab/>
            </w:r>
            <w:r>
              <w:fldChar w:fldCharType="begin"/>
            </w:r>
            <w:r>
              <w:instrText xml:space="preserve"> PAGEREF _Toc21040 \h </w:instrText>
            </w:r>
            <w:r>
              <w:fldChar w:fldCharType="separate"/>
            </w:r>
            <w:r>
              <w:t>252</w:t>
            </w:r>
            <w:r>
              <w:fldChar w:fldCharType="end"/>
            </w:r>
          </w:hyperlink>
        </w:p>
        <w:p w:rsidR="00C645C9" w:rsidRDefault="00F955D9" w:rsidP="005718BB">
          <w:pPr>
            <w:pStyle w:val="22"/>
            <w:tabs>
              <w:tab w:val="right" w:leader="dot" w:pos="8313"/>
            </w:tabs>
            <w:ind w:left="480"/>
          </w:pPr>
          <w:hyperlink w:anchor="_Toc9863" w:history="1">
            <w:r>
              <w:rPr>
                <w:rFonts w:cs="Times New Roman" w:hint="eastAsia"/>
                <w:lang w:eastAsia="en-US"/>
              </w:rPr>
              <w:t>7.2</w:t>
            </w:r>
            <w:r>
              <w:rPr>
                <w:rFonts w:cs="Times New Roman" w:hint="eastAsia"/>
                <w:lang w:eastAsia="en-US"/>
              </w:rPr>
              <w:t>减污降碳措施</w:t>
            </w:r>
            <w:r>
              <w:tab/>
            </w:r>
            <w:r>
              <w:fldChar w:fldCharType="begin"/>
            </w:r>
            <w:r>
              <w:instrText xml:space="preserve"> PAGEREF _Toc9863 \h </w:instrText>
            </w:r>
            <w:r>
              <w:fldChar w:fldCharType="separate"/>
            </w:r>
            <w:r>
              <w:t>259</w:t>
            </w:r>
            <w:r>
              <w:fldChar w:fldCharType="end"/>
            </w:r>
          </w:hyperlink>
        </w:p>
        <w:p w:rsidR="00C645C9" w:rsidRDefault="00F955D9" w:rsidP="005718BB">
          <w:pPr>
            <w:pStyle w:val="22"/>
            <w:tabs>
              <w:tab w:val="right" w:leader="dot" w:pos="8313"/>
            </w:tabs>
            <w:ind w:left="480"/>
          </w:pPr>
          <w:hyperlink w:anchor="_Toc5885" w:history="1">
            <w:r>
              <w:rPr>
                <w:rFonts w:cs="Times New Roman" w:hint="eastAsia"/>
                <w:lang w:eastAsia="en-US"/>
              </w:rPr>
              <w:t>7.3</w:t>
            </w:r>
            <w:r>
              <w:rPr>
                <w:rFonts w:cs="Times New Roman" w:hint="eastAsia"/>
              </w:rPr>
              <w:t>温室气体</w:t>
            </w:r>
            <w:r>
              <w:rPr>
                <w:rFonts w:cs="Times New Roman" w:hint="eastAsia"/>
                <w:lang w:eastAsia="en-US"/>
              </w:rPr>
              <w:t>排放评价结论</w:t>
            </w:r>
            <w:r>
              <w:tab/>
            </w:r>
            <w:r>
              <w:fldChar w:fldCharType="begin"/>
            </w:r>
            <w:r>
              <w:instrText xml:space="preserve"> PAGEREF _Toc5885 \h </w:instrText>
            </w:r>
            <w:r>
              <w:fldChar w:fldCharType="separate"/>
            </w:r>
            <w:r>
              <w:t>259</w:t>
            </w:r>
            <w:r>
              <w:fldChar w:fldCharType="end"/>
            </w:r>
          </w:hyperlink>
        </w:p>
        <w:p w:rsidR="00C645C9" w:rsidRDefault="00F955D9">
          <w:pPr>
            <w:pStyle w:val="10"/>
            <w:tabs>
              <w:tab w:val="right" w:leader="dot" w:pos="8313"/>
            </w:tabs>
          </w:pPr>
          <w:hyperlink w:anchor="_Toc7193" w:history="1">
            <w:r>
              <w:rPr>
                <w:rFonts w:cs="Times New Roman" w:hint="eastAsia"/>
                <w:bCs/>
                <w:szCs w:val="36"/>
                <w:lang w:eastAsia="en-US"/>
              </w:rPr>
              <w:t>8</w:t>
            </w:r>
            <w:r>
              <w:rPr>
                <w:rFonts w:cs="Times New Roman" w:hint="eastAsia"/>
                <w:bCs/>
                <w:szCs w:val="36"/>
                <w:lang w:eastAsia="en-US"/>
              </w:rPr>
              <w:t>环境影响经济损益分析</w:t>
            </w:r>
            <w:r>
              <w:tab/>
            </w:r>
            <w:r>
              <w:fldChar w:fldCharType="begin"/>
            </w:r>
            <w:r>
              <w:instrText xml:space="preserve"> PAGEREF _Toc7193 \h </w:instrText>
            </w:r>
            <w:r>
              <w:fldChar w:fldCharType="separate"/>
            </w:r>
            <w:r>
              <w:t>259</w:t>
            </w:r>
            <w:r>
              <w:fldChar w:fldCharType="end"/>
            </w:r>
          </w:hyperlink>
        </w:p>
        <w:p w:rsidR="00C645C9" w:rsidRDefault="00F955D9" w:rsidP="005718BB">
          <w:pPr>
            <w:pStyle w:val="22"/>
            <w:tabs>
              <w:tab w:val="right" w:leader="dot" w:pos="8313"/>
            </w:tabs>
            <w:ind w:left="480"/>
          </w:pPr>
          <w:hyperlink w:anchor="_Toc27770" w:history="1">
            <w:r>
              <w:rPr>
                <w:rFonts w:cs="Times New Roman" w:hint="eastAsia"/>
                <w:lang w:eastAsia="en-US"/>
              </w:rPr>
              <w:t>8.1</w:t>
            </w:r>
            <w:r>
              <w:rPr>
                <w:rFonts w:cs="Times New Roman" w:hint="eastAsia"/>
              </w:rPr>
              <w:t>环境</w:t>
            </w:r>
            <w:r>
              <w:rPr>
                <w:rFonts w:cs="Times New Roman" w:hint="eastAsia"/>
                <w:lang w:eastAsia="en-US"/>
              </w:rPr>
              <w:t>效益分析</w:t>
            </w:r>
            <w:r>
              <w:tab/>
            </w:r>
            <w:r>
              <w:fldChar w:fldCharType="begin"/>
            </w:r>
            <w:r>
              <w:instrText xml:space="preserve"> PAGEREF _Toc27770 \h </w:instrText>
            </w:r>
            <w:r>
              <w:fldChar w:fldCharType="separate"/>
            </w:r>
            <w:r>
              <w:t>260</w:t>
            </w:r>
            <w:r>
              <w:fldChar w:fldCharType="end"/>
            </w:r>
          </w:hyperlink>
        </w:p>
        <w:p w:rsidR="00C645C9" w:rsidRDefault="00F955D9" w:rsidP="005718BB">
          <w:pPr>
            <w:pStyle w:val="22"/>
            <w:tabs>
              <w:tab w:val="right" w:leader="dot" w:pos="8313"/>
            </w:tabs>
            <w:ind w:left="480"/>
          </w:pPr>
          <w:hyperlink w:anchor="_Toc29358" w:history="1">
            <w:r>
              <w:rPr>
                <w:rFonts w:cs="Times New Roman" w:hint="eastAsia"/>
                <w:lang w:eastAsia="en-US"/>
              </w:rPr>
              <w:t>8.2</w:t>
            </w:r>
            <w:r>
              <w:rPr>
                <w:rFonts w:cs="Times New Roman" w:hint="eastAsia"/>
                <w:lang w:eastAsia="en-US"/>
              </w:rPr>
              <w:t>社会效益分析</w:t>
            </w:r>
            <w:r>
              <w:tab/>
            </w:r>
            <w:r>
              <w:fldChar w:fldCharType="begin"/>
            </w:r>
            <w:r>
              <w:instrText xml:space="preserve"> PAGEREF _Toc29358 \h </w:instrText>
            </w:r>
            <w:r>
              <w:fldChar w:fldCharType="separate"/>
            </w:r>
            <w:r>
              <w:t>262</w:t>
            </w:r>
            <w:r>
              <w:fldChar w:fldCharType="end"/>
            </w:r>
          </w:hyperlink>
        </w:p>
        <w:p w:rsidR="00C645C9" w:rsidRDefault="00F955D9" w:rsidP="005718BB">
          <w:pPr>
            <w:pStyle w:val="22"/>
            <w:tabs>
              <w:tab w:val="right" w:leader="dot" w:pos="8313"/>
            </w:tabs>
            <w:ind w:left="480"/>
          </w:pPr>
          <w:hyperlink w:anchor="_Toc30396" w:history="1">
            <w:r>
              <w:rPr>
                <w:rFonts w:cs="Times New Roman" w:hint="eastAsia"/>
                <w:lang w:eastAsia="en-US"/>
              </w:rPr>
              <w:t>8.3</w:t>
            </w:r>
            <w:r>
              <w:rPr>
                <w:rFonts w:cs="Times New Roman" w:hint="eastAsia"/>
                <w:lang w:eastAsia="en-US"/>
              </w:rPr>
              <w:t>综合效益分析</w:t>
            </w:r>
            <w:r>
              <w:tab/>
            </w:r>
            <w:r>
              <w:fldChar w:fldCharType="begin"/>
            </w:r>
            <w:r>
              <w:instrText xml:space="preserve"> PAGEREF _Toc30396 \h </w:instrText>
            </w:r>
            <w:r>
              <w:fldChar w:fldCharType="separate"/>
            </w:r>
            <w:r>
              <w:t>262</w:t>
            </w:r>
            <w:r>
              <w:fldChar w:fldCharType="end"/>
            </w:r>
          </w:hyperlink>
        </w:p>
        <w:p w:rsidR="00C645C9" w:rsidRDefault="00F955D9" w:rsidP="005718BB">
          <w:pPr>
            <w:pStyle w:val="22"/>
            <w:tabs>
              <w:tab w:val="right" w:leader="dot" w:pos="8313"/>
            </w:tabs>
            <w:ind w:left="480"/>
          </w:pPr>
          <w:hyperlink w:anchor="_Toc28804" w:history="1">
            <w:r>
              <w:rPr>
                <w:rFonts w:cs="Times New Roman" w:hint="eastAsia"/>
                <w:lang w:eastAsia="en-US"/>
              </w:rPr>
              <w:t>8.4</w:t>
            </w:r>
            <w:r>
              <w:rPr>
                <w:rFonts w:cs="Times New Roman" w:hint="eastAsia"/>
                <w:lang w:eastAsia="en-US"/>
              </w:rPr>
              <w:t>环境经济损益分析结论</w:t>
            </w:r>
            <w:r>
              <w:tab/>
            </w:r>
            <w:r>
              <w:fldChar w:fldCharType="begin"/>
            </w:r>
            <w:r>
              <w:instrText xml:space="preserve"> PAGEREF _Toc28804 \h </w:instrText>
            </w:r>
            <w:r>
              <w:fldChar w:fldCharType="separate"/>
            </w:r>
            <w:r>
              <w:t>263</w:t>
            </w:r>
            <w:r>
              <w:fldChar w:fldCharType="end"/>
            </w:r>
          </w:hyperlink>
        </w:p>
        <w:p w:rsidR="00C645C9" w:rsidRDefault="00F955D9">
          <w:pPr>
            <w:pStyle w:val="10"/>
            <w:tabs>
              <w:tab w:val="right" w:leader="dot" w:pos="8313"/>
            </w:tabs>
          </w:pPr>
          <w:hyperlink w:anchor="_Toc21380" w:history="1">
            <w:r>
              <w:rPr>
                <w:rFonts w:cs="Times New Roman" w:hint="eastAsia"/>
                <w:bCs/>
                <w:szCs w:val="36"/>
                <w:lang w:eastAsia="en-US"/>
              </w:rPr>
              <w:t>9</w:t>
            </w:r>
            <w:r>
              <w:rPr>
                <w:rFonts w:cs="Times New Roman" w:hint="eastAsia"/>
                <w:bCs/>
                <w:szCs w:val="36"/>
                <w:lang w:eastAsia="en-US"/>
              </w:rPr>
              <w:t>环境管理与监测计划</w:t>
            </w:r>
            <w:r>
              <w:tab/>
            </w:r>
            <w:r>
              <w:fldChar w:fldCharType="begin"/>
            </w:r>
            <w:r>
              <w:instrText xml:space="preserve"> PAGEREF _Toc21380 \h </w:instrText>
            </w:r>
            <w:r>
              <w:fldChar w:fldCharType="separate"/>
            </w:r>
            <w:r>
              <w:t>264</w:t>
            </w:r>
            <w:r>
              <w:fldChar w:fldCharType="end"/>
            </w:r>
          </w:hyperlink>
        </w:p>
        <w:p w:rsidR="00C645C9" w:rsidRDefault="00F955D9" w:rsidP="005718BB">
          <w:pPr>
            <w:pStyle w:val="22"/>
            <w:tabs>
              <w:tab w:val="right" w:leader="dot" w:pos="8313"/>
            </w:tabs>
            <w:ind w:left="480"/>
          </w:pPr>
          <w:hyperlink w:anchor="_Toc21227" w:history="1">
            <w:r>
              <w:rPr>
                <w:rFonts w:cs="Times New Roman" w:hint="eastAsia"/>
                <w:lang w:eastAsia="en-US"/>
              </w:rPr>
              <w:t>9.1</w:t>
            </w:r>
            <w:r>
              <w:rPr>
                <w:rFonts w:cs="Times New Roman" w:hint="eastAsia"/>
                <w:lang w:eastAsia="en-US"/>
              </w:rPr>
              <w:t>环境管理</w:t>
            </w:r>
            <w:r>
              <w:tab/>
            </w:r>
            <w:r>
              <w:fldChar w:fldCharType="begin"/>
            </w:r>
            <w:r>
              <w:instrText xml:space="preserve"> PAGEREF _Toc21227 \h </w:instrText>
            </w:r>
            <w:r>
              <w:fldChar w:fldCharType="separate"/>
            </w:r>
            <w:r>
              <w:t>264</w:t>
            </w:r>
            <w:r>
              <w:fldChar w:fldCharType="end"/>
            </w:r>
          </w:hyperlink>
        </w:p>
        <w:p w:rsidR="00C645C9" w:rsidRDefault="00F955D9" w:rsidP="005718BB">
          <w:pPr>
            <w:pStyle w:val="22"/>
            <w:tabs>
              <w:tab w:val="right" w:leader="dot" w:pos="8313"/>
            </w:tabs>
            <w:ind w:left="480"/>
          </w:pPr>
          <w:hyperlink w:anchor="_Toc20268" w:history="1">
            <w:r>
              <w:rPr>
                <w:rFonts w:cs="Times New Roman" w:hint="eastAsia"/>
                <w:lang w:eastAsia="en-US"/>
              </w:rPr>
              <w:t xml:space="preserve">9.2 </w:t>
            </w:r>
            <w:r>
              <w:rPr>
                <w:rFonts w:cs="Times New Roman" w:hint="eastAsia"/>
                <w:lang w:eastAsia="en-US"/>
              </w:rPr>
              <w:t>企业环境信息披露</w:t>
            </w:r>
            <w:r>
              <w:tab/>
            </w:r>
            <w:r>
              <w:fldChar w:fldCharType="begin"/>
            </w:r>
            <w:r>
              <w:instrText xml:space="preserve"> PAGEREF _Toc20268 \h </w:instrText>
            </w:r>
            <w:r>
              <w:fldChar w:fldCharType="separate"/>
            </w:r>
            <w:r>
              <w:t>269</w:t>
            </w:r>
            <w:r>
              <w:fldChar w:fldCharType="end"/>
            </w:r>
          </w:hyperlink>
        </w:p>
        <w:p w:rsidR="00C645C9" w:rsidRDefault="00F955D9" w:rsidP="005718BB">
          <w:pPr>
            <w:pStyle w:val="22"/>
            <w:tabs>
              <w:tab w:val="right" w:leader="dot" w:pos="8313"/>
            </w:tabs>
            <w:ind w:left="480"/>
          </w:pPr>
          <w:hyperlink w:anchor="_Toc20477" w:history="1">
            <w:r>
              <w:rPr>
                <w:rFonts w:cs="Times New Roman" w:hint="eastAsia"/>
                <w:lang w:eastAsia="en-US"/>
              </w:rPr>
              <w:t>9.3</w:t>
            </w:r>
            <w:r>
              <w:rPr>
                <w:rFonts w:cs="Times New Roman" w:hint="eastAsia"/>
                <w:lang w:eastAsia="en-US"/>
              </w:rPr>
              <w:t>污染物排放清单</w:t>
            </w:r>
            <w:r>
              <w:tab/>
            </w:r>
            <w:r>
              <w:fldChar w:fldCharType="begin"/>
            </w:r>
            <w:r>
              <w:instrText xml:space="preserve"> PAGEREF _Toc20477 \h </w:instrText>
            </w:r>
            <w:r>
              <w:fldChar w:fldCharType="separate"/>
            </w:r>
            <w:r>
              <w:t>269</w:t>
            </w:r>
            <w:r>
              <w:fldChar w:fldCharType="end"/>
            </w:r>
          </w:hyperlink>
        </w:p>
        <w:p w:rsidR="00C645C9" w:rsidRDefault="00F955D9" w:rsidP="005718BB">
          <w:pPr>
            <w:pStyle w:val="22"/>
            <w:tabs>
              <w:tab w:val="right" w:leader="dot" w:pos="8313"/>
            </w:tabs>
            <w:ind w:left="480"/>
          </w:pPr>
          <w:hyperlink w:anchor="_Toc32257" w:history="1">
            <w:r>
              <w:rPr>
                <w:rFonts w:cs="Times New Roman" w:hint="eastAsia"/>
                <w:lang w:eastAsia="en-US"/>
              </w:rPr>
              <w:t>9.4</w:t>
            </w:r>
            <w:r>
              <w:rPr>
                <w:rFonts w:cs="Times New Roman" w:hint="eastAsia"/>
              </w:rPr>
              <w:t>生态环境</w:t>
            </w:r>
            <w:r>
              <w:rPr>
                <w:rFonts w:cs="Times New Roman" w:hint="eastAsia"/>
                <w:lang w:eastAsia="en-US"/>
              </w:rPr>
              <w:t>监测</w:t>
            </w:r>
            <w:r>
              <w:tab/>
            </w:r>
            <w:r>
              <w:fldChar w:fldCharType="begin"/>
            </w:r>
            <w:r>
              <w:instrText xml:space="preserve"> PAGEREF _Toc32257 \h </w:instrText>
            </w:r>
            <w:r>
              <w:fldChar w:fldCharType="separate"/>
            </w:r>
            <w:r>
              <w:t>270</w:t>
            </w:r>
            <w:r>
              <w:fldChar w:fldCharType="end"/>
            </w:r>
          </w:hyperlink>
        </w:p>
        <w:p w:rsidR="00C645C9" w:rsidRDefault="00F955D9" w:rsidP="005718BB">
          <w:pPr>
            <w:pStyle w:val="22"/>
            <w:tabs>
              <w:tab w:val="right" w:leader="dot" w:pos="8313"/>
            </w:tabs>
            <w:ind w:left="480"/>
          </w:pPr>
          <w:hyperlink w:anchor="_Toc28413" w:history="1">
            <w:r>
              <w:rPr>
                <w:rFonts w:cs="Times New Roman" w:hint="eastAsia"/>
                <w:lang w:eastAsia="en-US"/>
              </w:rPr>
              <w:t xml:space="preserve">9.5 </w:t>
            </w:r>
            <w:r>
              <w:rPr>
                <w:rFonts w:cs="Times New Roman" w:hint="eastAsia"/>
                <w:lang w:eastAsia="en-US"/>
              </w:rPr>
              <w:t>环保设施“三同时”验收</w:t>
            </w:r>
            <w:r>
              <w:tab/>
            </w:r>
            <w:r>
              <w:fldChar w:fldCharType="begin"/>
            </w:r>
            <w:r>
              <w:instrText xml:space="preserve"> PAGEREF _Toc28413 \h </w:instrText>
            </w:r>
            <w:r>
              <w:fldChar w:fldCharType="separate"/>
            </w:r>
            <w:r>
              <w:t>27</w:t>
            </w:r>
            <w:r>
              <w:t>1</w:t>
            </w:r>
            <w:r>
              <w:fldChar w:fldCharType="end"/>
            </w:r>
          </w:hyperlink>
        </w:p>
        <w:p w:rsidR="00C645C9" w:rsidRDefault="00F955D9">
          <w:pPr>
            <w:pStyle w:val="10"/>
            <w:tabs>
              <w:tab w:val="right" w:leader="dot" w:pos="8313"/>
            </w:tabs>
          </w:pPr>
          <w:hyperlink w:anchor="_Toc17826" w:history="1">
            <w:r>
              <w:rPr>
                <w:rFonts w:cs="Times New Roman" w:hint="eastAsia"/>
                <w:bCs/>
                <w:szCs w:val="36"/>
                <w:lang w:eastAsia="en-US"/>
              </w:rPr>
              <w:t>10</w:t>
            </w:r>
            <w:r>
              <w:rPr>
                <w:rFonts w:cs="Times New Roman" w:hint="eastAsia"/>
                <w:bCs/>
                <w:szCs w:val="36"/>
                <w:lang w:eastAsia="en-US"/>
              </w:rPr>
              <w:t>结论</w:t>
            </w:r>
            <w:r>
              <w:tab/>
            </w:r>
            <w:r>
              <w:fldChar w:fldCharType="begin"/>
            </w:r>
            <w:r>
              <w:instrText xml:space="preserve"> PAGEREF _Toc17826 \h </w:instrText>
            </w:r>
            <w:r>
              <w:fldChar w:fldCharType="separate"/>
            </w:r>
            <w:r>
              <w:t>275</w:t>
            </w:r>
            <w:r>
              <w:fldChar w:fldCharType="end"/>
            </w:r>
          </w:hyperlink>
        </w:p>
        <w:p w:rsidR="00C645C9" w:rsidRDefault="00F955D9" w:rsidP="005718BB">
          <w:pPr>
            <w:pStyle w:val="22"/>
            <w:tabs>
              <w:tab w:val="right" w:leader="dot" w:pos="8313"/>
            </w:tabs>
            <w:ind w:left="480"/>
          </w:pPr>
          <w:hyperlink w:anchor="_Toc13522" w:history="1">
            <w:r>
              <w:rPr>
                <w:rFonts w:cs="Times New Roman" w:hint="eastAsia"/>
                <w:lang w:eastAsia="en-US"/>
              </w:rPr>
              <w:t>10.1</w:t>
            </w:r>
            <w:r>
              <w:rPr>
                <w:rFonts w:cs="Times New Roman" w:hint="eastAsia"/>
                <w:lang w:eastAsia="en-US"/>
              </w:rPr>
              <w:t>建设项目情况</w:t>
            </w:r>
            <w:r>
              <w:tab/>
            </w:r>
            <w:r>
              <w:fldChar w:fldCharType="begin"/>
            </w:r>
            <w:r>
              <w:instrText xml:space="preserve"> PAGEREF _Toc13522 \h </w:instrText>
            </w:r>
            <w:r>
              <w:fldChar w:fldCharType="separate"/>
            </w:r>
            <w:r>
              <w:t>275</w:t>
            </w:r>
            <w:r>
              <w:fldChar w:fldCharType="end"/>
            </w:r>
          </w:hyperlink>
        </w:p>
        <w:p w:rsidR="00C645C9" w:rsidRDefault="00F955D9" w:rsidP="005718BB">
          <w:pPr>
            <w:pStyle w:val="22"/>
            <w:tabs>
              <w:tab w:val="right" w:leader="dot" w:pos="8313"/>
            </w:tabs>
            <w:ind w:left="480"/>
          </w:pPr>
          <w:hyperlink w:anchor="_Toc32279" w:history="1">
            <w:r>
              <w:rPr>
                <w:rFonts w:cs="Times New Roman" w:hint="eastAsia"/>
              </w:rPr>
              <w:t>10.2</w:t>
            </w:r>
            <w:r>
              <w:rPr>
                <w:rFonts w:cs="Times New Roman" w:hint="eastAsia"/>
                <w:lang w:eastAsia="en-US"/>
              </w:rPr>
              <w:t>产业政策</w:t>
            </w:r>
            <w:r>
              <w:rPr>
                <w:rFonts w:cs="Times New Roman" w:hint="eastAsia"/>
              </w:rPr>
              <w:t>、选址</w:t>
            </w:r>
            <w:r>
              <w:rPr>
                <w:rFonts w:cs="Times New Roman" w:hint="eastAsia"/>
                <w:lang w:eastAsia="en-US"/>
              </w:rPr>
              <w:t>符合性</w:t>
            </w:r>
            <w:r>
              <w:tab/>
            </w:r>
            <w:r>
              <w:fldChar w:fldCharType="begin"/>
            </w:r>
            <w:r>
              <w:instrText xml:space="preserve"> PAGEREF _Toc32279 \h </w:instrText>
            </w:r>
            <w:r>
              <w:fldChar w:fldCharType="separate"/>
            </w:r>
            <w:r>
              <w:t>275</w:t>
            </w:r>
            <w:r>
              <w:fldChar w:fldCharType="end"/>
            </w:r>
          </w:hyperlink>
        </w:p>
        <w:p w:rsidR="00C645C9" w:rsidRDefault="00F955D9" w:rsidP="005718BB">
          <w:pPr>
            <w:pStyle w:val="22"/>
            <w:tabs>
              <w:tab w:val="right" w:leader="dot" w:pos="8313"/>
            </w:tabs>
            <w:ind w:left="480"/>
          </w:pPr>
          <w:hyperlink w:anchor="_Toc19769" w:history="1">
            <w:r>
              <w:rPr>
                <w:rFonts w:cs="Times New Roman" w:hint="eastAsia"/>
                <w:lang w:eastAsia="en-US"/>
              </w:rPr>
              <w:t>10.</w:t>
            </w:r>
            <w:r>
              <w:rPr>
                <w:rFonts w:cs="Times New Roman" w:hint="eastAsia"/>
              </w:rPr>
              <w:t>3</w:t>
            </w:r>
            <w:r>
              <w:rPr>
                <w:rFonts w:cs="Times New Roman" w:hint="eastAsia"/>
                <w:lang w:eastAsia="en-US"/>
              </w:rPr>
              <w:t>环境</w:t>
            </w:r>
            <w:r>
              <w:rPr>
                <w:rFonts w:cs="Times New Roman" w:hint="eastAsia"/>
              </w:rPr>
              <w:t>质量</w:t>
            </w:r>
            <w:r>
              <w:rPr>
                <w:rFonts w:cs="Times New Roman" w:hint="eastAsia"/>
                <w:lang w:eastAsia="en-US"/>
              </w:rPr>
              <w:t>现状</w:t>
            </w:r>
            <w:r>
              <w:tab/>
            </w:r>
            <w:r>
              <w:fldChar w:fldCharType="begin"/>
            </w:r>
            <w:r>
              <w:instrText xml:space="preserve"> PAGEREF _Toc19769 \h </w:instrText>
            </w:r>
            <w:r>
              <w:fldChar w:fldCharType="separate"/>
            </w:r>
            <w:r>
              <w:t>275</w:t>
            </w:r>
            <w:r>
              <w:fldChar w:fldCharType="end"/>
            </w:r>
          </w:hyperlink>
        </w:p>
        <w:p w:rsidR="00C645C9" w:rsidRDefault="00F955D9" w:rsidP="005718BB">
          <w:pPr>
            <w:pStyle w:val="22"/>
            <w:tabs>
              <w:tab w:val="right" w:leader="dot" w:pos="8313"/>
            </w:tabs>
            <w:ind w:left="480"/>
          </w:pPr>
          <w:hyperlink w:anchor="_Toc20656" w:history="1">
            <w:r>
              <w:rPr>
                <w:rFonts w:cs="Times New Roman" w:hint="eastAsia"/>
              </w:rPr>
              <w:t>10.4</w:t>
            </w:r>
            <w:r>
              <w:rPr>
                <w:rFonts w:cs="Times New Roman" w:hint="eastAsia"/>
                <w:lang w:eastAsia="en-US"/>
              </w:rPr>
              <w:t>污染物排放情况</w:t>
            </w:r>
            <w:r>
              <w:tab/>
            </w:r>
            <w:r>
              <w:fldChar w:fldCharType="begin"/>
            </w:r>
            <w:r>
              <w:instrText xml:space="preserve"> PAGEREF _Toc20656 \h </w:instrText>
            </w:r>
            <w:r>
              <w:fldChar w:fldCharType="separate"/>
            </w:r>
            <w:r>
              <w:t>27</w:t>
            </w:r>
            <w:r>
              <w:t>6</w:t>
            </w:r>
            <w:r>
              <w:fldChar w:fldCharType="end"/>
            </w:r>
          </w:hyperlink>
        </w:p>
        <w:p w:rsidR="00C645C9" w:rsidRDefault="00F955D9" w:rsidP="005718BB">
          <w:pPr>
            <w:pStyle w:val="22"/>
            <w:tabs>
              <w:tab w:val="right" w:leader="dot" w:pos="8313"/>
            </w:tabs>
            <w:ind w:left="480"/>
          </w:pPr>
          <w:hyperlink w:anchor="_Toc24225" w:history="1">
            <w:r>
              <w:rPr>
                <w:rFonts w:cs="Times New Roman" w:hint="eastAsia"/>
                <w:lang w:eastAsia="en-US"/>
              </w:rPr>
              <w:t>10.</w:t>
            </w:r>
            <w:r>
              <w:rPr>
                <w:rFonts w:cs="Times New Roman" w:hint="eastAsia"/>
              </w:rPr>
              <w:t>5</w:t>
            </w:r>
            <w:r>
              <w:rPr>
                <w:rFonts w:cs="Times New Roman" w:hint="eastAsia"/>
                <w:lang w:eastAsia="en-US"/>
              </w:rPr>
              <w:t xml:space="preserve"> </w:t>
            </w:r>
            <w:r>
              <w:rPr>
                <w:rFonts w:cs="Times New Roman" w:hint="eastAsia"/>
              </w:rPr>
              <w:t>主要</w:t>
            </w:r>
            <w:r>
              <w:rPr>
                <w:rFonts w:cs="Times New Roman" w:hint="eastAsia"/>
                <w:lang w:eastAsia="en-US"/>
              </w:rPr>
              <w:t>环境影响</w:t>
            </w:r>
            <w:r>
              <w:tab/>
            </w:r>
            <w:r>
              <w:fldChar w:fldCharType="begin"/>
            </w:r>
            <w:r>
              <w:instrText xml:space="preserve"> PAGEREF _Toc24225 \h </w:instrText>
            </w:r>
            <w:r>
              <w:fldChar w:fldCharType="separate"/>
            </w:r>
            <w:r>
              <w:t>277</w:t>
            </w:r>
            <w:r>
              <w:fldChar w:fldCharType="end"/>
            </w:r>
          </w:hyperlink>
        </w:p>
        <w:p w:rsidR="00C645C9" w:rsidRDefault="00F955D9" w:rsidP="005718BB">
          <w:pPr>
            <w:pStyle w:val="22"/>
            <w:tabs>
              <w:tab w:val="right" w:leader="dot" w:pos="8313"/>
            </w:tabs>
            <w:ind w:left="480"/>
          </w:pPr>
          <w:hyperlink w:anchor="_Toc27389" w:history="1">
            <w:r>
              <w:rPr>
                <w:rFonts w:cs="Times New Roman" w:hint="eastAsia"/>
                <w:lang w:eastAsia="en-US"/>
              </w:rPr>
              <w:t>10.</w:t>
            </w:r>
            <w:r>
              <w:rPr>
                <w:rFonts w:cs="Times New Roman" w:hint="eastAsia"/>
              </w:rPr>
              <w:t>6</w:t>
            </w:r>
            <w:r>
              <w:rPr>
                <w:rFonts w:cs="Times New Roman" w:hint="eastAsia"/>
                <w:lang w:eastAsia="en-US"/>
              </w:rPr>
              <w:t xml:space="preserve"> </w:t>
            </w:r>
            <w:r>
              <w:rPr>
                <w:rFonts w:cs="Times New Roman" w:hint="eastAsia"/>
              </w:rPr>
              <w:t>环境保护</w:t>
            </w:r>
            <w:r>
              <w:rPr>
                <w:rFonts w:cs="Times New Roman" w:hint="eastAsia"/>
                <w:lang w:eastAsia="en-US"/>
              </w:rPr>
              <w:t>措施</w:t>
            </w:r>
            <w:r>
              <w:tab/>
            </w:r>
            <w:r>
              <w:fldChar w:fldCharType="begin"/>
            </w:r>
            <w:r>
              <w:instrText xml:space="preserve"> PAGEREF _Toc27389 \h </w:instrText>
            </w:r>
            <w:r>
              <w:fldChar w:fldCharType="separate"/>
            </w:r>
            <w:r>
              <w:t>280</w:t>
            </w:r>
            <w:r>
              <w:fldChar w:fldCharType="end"/>
            </w:r>
          </w:hyperlink>
        </w:p>
        <w:p w:rsidR="00C645C9" w:rsidRDefault="00F955D9" w:rsidP="005718BB">
          <w:pPr>
            <w:pStyle w:val="22"/>
            <w:tabs>
              <w:tab w:val="right" w:leader="dot" w:pos="8313"/>
            </w:tabs>
            <w:ind w:left="480"/>
          </w:pPr>
          <w:hyperlink w:anchor="_Toc26063" w:history="1">
            <w:r>
              <w:rPr>
                <w:rFonts w:cs="Times New Roman" w:hint="eastAsia"/>
              </w:rPr>
              <w:t>10</w:t>
            </w:r>
            <w:r>
              <w:rPr>
                <w:rFonts w:cs="Times New Roman" w:hint="eastAsia"/>
                <w:lang w:eastAsia="en-US"/>
              </w:rPr>
              <w:t>.7</w:t>
            </w:r>
            <w:r>
              <w:rPr>
                <w:rFonts w:cs="Times New Roman" w:hint="eastAsia"/>
                <w:lang w:eastAsia="en-US"/>
              </w:rPr>
              <w:t>公众意见采纳情况</w:t>
            </w:r>
            <w:r>
              <w:tab/>
            </w:r>
            <w:r>
              <w:fldChar w:fldCharType="begin"/>
            </w:r>
            <w:r>
              <w:instrText xml:space="preserve"> PAGEREF _Toc26063 \h </w:instrText>
            </w:r>
            <w:r>
              <w:fldChar w:fldCharType="separate"/>
            </w:r>
            <w:r>
              <w:t>282</w:t>
            </w:r>
            <w:r>
              <w:fldChar w:fldCharType="end"/>
            </w:r>
          </w:hyperlink>
        </w:p>
        <w:p w:rsidR="00C645C9" w:rsidRDefault="00F955D9" w:rsidP="005718BB">
          <w:pPr>
            <w:pStyle w:val="22"/>
            <w:tabs>
              <w:tab w:val="right" w:leader="dot" w:pos="8313"/>
            </w:tabs>
            <w:ind w:left="480"/>
          </w:pPr>
          <w:hyperlink w:anchor="_Toc3669" w:history="1">
            <w:r>
              <w:rPr>
                <w:rFonts w:cs="Times New Roman" w:hint="eastAsia"/>
              </w:rPr>
              <w:t>10</w:t>
            </w:r>
            <w:r>
              <w:rPr>
                <w:rFonts w:cs="Times New Roman" w:hint="eastAsia"/>
                <w:lang w:eastAsia="en-US"/>
              </w:rPr>
              <w:t>.8</w:t>
            </w:r>
            <w:r>
              <w:rPr>
                <w:rFonts w:cs="Times New Roman" w:hint="eastAsia"/>
                <w:lang w:eastAsia="en-US"/>
              </w:rPr>
              <w:t>环境影响经济损益分析</w:t>
            </w:r>
            <w:r>
              <w:tab/>
            </w:r>
            <w:r>
              <w:fldChar w:fldCharType="begin"/>
            </w:r>
            <w:r>
              <w:instrText xml:space="preserve"> PAGEREF _Toc3669 \h </w:instrText>
            </w:r>
            <w:r>
              <w:fldChar w:fldCharType="separate"/>
            </w:r>
            <w:r>
              <w:t>282</w:t>
            </w:r>
            <w:r>
              <w:fldChar w:fldCharType="end"/>
            </w:r>
          </w:hyperlink>
        </w:p>
        <w:p w:rsidR="00C645C9" w:rsidRDefault="00F955D9" w:rsidP="005718BB">
          <w:pPr>
            <w:pStyle w:val="22"/>
            <w:tabs>
              <w:tab w:val="right" w:leader="dot" w:pos="8313"/>
            </w:tabs>
            <w:ind w:left="480"/>
          </w:pPr>
          <w:hyperlink w:anchor="_Toc8125" w:history="1">
            <w:r>
              <w:rPr>
                <w:rFonts w:cs="Times New Roman" w:hint="eastAsia"/>
              </w:rPr>
              <w:t>10</w:t>
            </w:r>
            <w:r>
              <w:rPr>
                <w:rFonts w:cs="Times New Roman" w:hint="eastAsia"/>
                <w:lang w:eastAsia="en-US"/>
              </w:rPr>
              <w:t>.</w:t>
            </w:r>
            <w:r>
              <w:rPr>
                <w:rFonts w:cs="Times New Roman" w:hint="eastAsia"/>
              </w:rPr>
              <w:t>9</w:t>
            </w:r>
            <w:r>
              <w:rPr>
                <w:rFonts w:cs="Times New Roman" w:hint="eastAsia"/>
                <w:lang w:eastAsia="en-US"/>
              </w:rPr>
              <w:t>环境管理与监测计划</w:t>
            </w:r>
            <w:r>
              <w:tab/>
            </w:r>
            <w:r>
              <w:fldChar w:fldCharType="begin"/>
            </w:r>
            <w:r>
              <w:instrText xml:space="preserve"> PAGEREF _Toc8125 \h </w:instrText>
            </w:r>
            <w:r>
              <w:fldChar w:fldCharType="separate"/>
            </w:r>
            <w:r>
              <w:t>282</w:t>
            </w:r>
            <w:r>
              <w:fldChar w:fldCharType="end"/>
            </w:r>
          </w:hyperlink>
        </w:p>
        <w:p w:rsidR="00C645C9" w:rsidRDefault="00F955D9" w:rsidP="005718BB">
          <w:pPr>
            <w:pStyle w:val="22"/>
            <w:tabs>
              <w:tab w:val="right" w:leader="dot" w:pos="8313"/>
            </w:tabs>
            <w:ind w:left="480"/>
          </w:pPr>
          <w:hyperlink w:anchor="_Toc2248" w:history="1">
            <w:r>
              <w:rPr>
                <w:rFonts w:cs="Times New Roman" w:hint="eastAsia"/>
                <w:lang w:eastAsia="en-US"/>
              </w:rPr>
              <w:t>10.</w:t>
            </w:r>
            <w:r>
              <w:rPr>
                <w:rFonts w:cs="Times New Roman" w:hint="eastAsia"/>
              </w:rPr>
              <w:t>10</w:t>
            </w:r>
            <w:r>
              <w:rPr>
                <w:rFonts w:cs="Times New Roman" w:hint="eastAsia"/>
                <w:lang w:eastAsia="en-US"/>
              </w:rPr>
              <w:t>项目可行性结论</w:t>
            </w:r>
            <w:r>
              <w:tab/>
            </w:r>
            <w:r>
              <w:fldChar w:fldCharType="begin"/>
            </w:r>
            <w:r>
              <w:instrText xml:space="preserve"> PAGEREF _Toc2248 \h </w:instrText>
            </w:r>
            <w:r>
              <w:fldChar w:fldCharType="separate"/>
            </w:r>
            <w:r>
              <w:t>282</w:t>
            </w:r>
            <w:r>
              <w:fldChar w:fldCharType="end"/>
            </w:r>
          </w:hyperlink>
        </w:p>
        <w:p w:rsidR="00C645C9" w:rsidRDefault="00F955D9">
          <w:pPr>
            <w:pStyle w:val="25"/>
            <w:adjustRightInd w:val="0"/>
            <w:snapToGrid w:val="0"/>
            <w:spacing w:after="0" w:line="240" w:lineRule="auto"/>
            <w:jc w:val="center"/>
            <w:outlineLvl w:val="9"/>
            <w:rPr>
              <w:rFonts w:ascii="Times New Roman" w:eastAsia="黑体" w:hAnsi="Times New Roman"/>
              <w:spacing w:val="-22"/>
              <w:szCs w:val="31"/>
            </w:rPr>
            <w:sectPr w:rsidR="00C645C9">
              <w:footerReference w:type="default" r:id="rId9"/>
              <w:pgSz w:w="11907" w:h="16840"/>
              <w:pgMar w:top="1440" w:right="1797" w:bottom="1440" w:left="1797" w:header="0" w:footer="0" w:gutter="0"/>
              <w:cols w:space="720"/>
            </w:sectPr>
          </w:pPr>
          <w:r>
            <w:rPr>
              <w:rFonts w:ascii="Times New Roman" w:eastAsia="黑体" w:hAnsi="Times New Roman"/>
              <w:spacing w:val="-22"/>
              <w:szCs w:val="31"/>
            </w:rPr>
            <w:fldChar w:fldCharType="end"/>
          </w:r>
        </w:p>
      </w:sdtContent>
    </w:sdt>
    <w:p w:rsidR="00C645C9" w:rsidRDefault="00F955D9">
      <w:pPr>
        <w:pStyle w:val="1"/>
        <w:widowControl w:val="0"/>
        <w:adjustRightInd w:val="0"/>
        <w:snapToGrid w:val="0"/>
        <w:spacing w:before="0" w:after="0" w:line="360" w:lineRule="auto"/>
        <w:rPr>
          <w:rFonts w:ascii="Times New Roman" w:hAnsi="Times New Roman" w:cs="Times New Roman"/>
          <w:color w:val="auto"/>
          <w:sz w:val="36"/>
          <w:szCs w:val="36"/>
          <w:lang w:eastAsia="zh-CN"/>
        </w:rPr>
      </w:pPr>
      <w:bookmarkStart w:id="5" w:name="_Toc4040"/>
      <w:bookmarkStart w:id="6" w:name="_Toc3939"/>
      <w:r>
        <w:rPr>
          <w:rFonts w:ascii="Times New Roman" w:hAnsi="Times New Roman" w:cs="Times New Roman"/>
          <w:color w:val="auto"/>
          <w:sz w:val="36"/>
          <w:szCs w:val="36"/>
          <w:lang w:eastAsia="zh-CN"/>
        </w:rPr>
        <w:lastRenderedPageBreak/>
        <w:t>1</w:t>
      </w:r>
      <w:r>
        <w:rPr>
          <w:rFonts w:ascii="Times New Roman" w:hAnsi="Times New Roman" w:cs="Times New Roman"/>
          <w:color w:val="auto"/>
          <w:sz w:val="36"/>
          <w:szCs w:val="36"/>
          <w:lang w:eastAsia="zh-CN"/>
        </w:rPr>
        <w:t>概述</w:t>
      </w:r>
      <w:bookmarkEnd w:id="5"/>
      <w:bookmarkEnd w:id="6"/>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7" w:name="_Toc42981087"/>
      <w:bookmarkStart w:id="8" w:name="_Toc26180"/>
      <w:bookmarkStart w:id="9" w:name="_Toc75438870"/>
      <w:bookmarkStart w:id="10" w:name="_Toc508291867"/>
      <w:bookmarkStart w:id="11" w:name="_Toc26403"/>
      <w:r>
        <w:rPr>
          <w:rFonts w:ascii="Times New Roman" w:hAnsi="Times New Roman" w:cs="Times New Roman"/>
          <w:color w:val="auto"/>
          <w:lang w:eastAsia="zh-CN"/>
        </w:rPr>
        <w:t>1.1</w:t>
      </w:r>
      <w:bookmarkEnd w:id="7"/>
      <w:bookmarkEnd w:id="8"/>
      <w:bookmarkEnd w:id="9"/>
      <w:bookmarkEnd w:id="10"/>
      <w:r>
        <w:rPr>
          <w:rFonts w:ascii="Times New Roman" w:hAnsi="Times New Roman" w:cs="Times New Roman"/>
          <w:color w:val="auto"/>
          <w:lang w:eastAsia="zh-CN"/>
        </w:rPr>
        <w:t>建设项目特点</w:t>
      </w:r>
      <w:bookmarkEnd w:id="11"/>
    </w:p>
    <w:p w:rsidR="00C645C9" w:rsidRDefault="00F955D9">
      <w:pPr>
        <w:pStyle w:val="YJ"/>
        <w:widowControl w:val="0"/>
        <w:adjustRightInd w:val="0"/>
        <w:snapToGrid w:val="0"/>
        <w:spacing w:line="360" w:lineRule="auto"/>
        <w:ind w:firstLine="480"/>
        <w:rPr>
          <w:rFonts w:ascii="Times New Roman" w:hAnsi="Times New Roman"/>
        </w:rPr>
      </w:pPr>
      <w:r>
        <w:rPr>
          <w:rFonts w:ascii="Times New Roman" w:hAnsi="Times New Roman"/>
        </w:rPr>
        <w:t>中国石油化工股份有限公司西北油田分公司</w:t>
      </w:r>
      <w:r>
        <w:rPr>
          <w:rFonts w:ascii="Times New Roman" w:hAnsi="Times New Roman"/>
        </w:rPr>
        <w:t>（</w:t>
      </w:r>
      <w:r>
        <w:rPr>
          <w:rFonts w:ascii="Times New Roman" w:hAnsi="Times New Roman"/>
        </w:rPr>
        <w:t>以下简称</w:t>
      </w:r>
      <w:bookmarkStart w:id="12" w:name="OLE_LINK8"/>
      <w:r>
        <w:rPr>
          <w:rFonts w:ascii="Times New Roman" w:hAnsi="Times New Roman" w:hint="eastAsia"/>
        </w:rPr>
        <w:t>“</w:t>
      </w:r>
      <w:r>
        <w:rPr>
          <w:rFonts w:ascii="Times New Roman" w:hAnsi="Times New Roman"/>
        </w:rPr>
        <w:t>西北油田分公司</w:t>
      </w:r>
      <w:r>
        <w:rPr>
          <w:rFonts w:ascii="Times New Roman" w:hAnsi="Times New Roman" w:hint="eastAsia"/>
        </w:rPr>
        <w:t>”</w:t>
      </w:r>
      <w:bookmarkEnd w:id="12"/>
      <w:r>
        <w:rPr>
          <w:rFonts w:ascii="Times New Roman" w:hAnsi="Times New Roman"/>
        </w:rPr>
        <w:t>）</w:t>
      </w:r>
      <w:r>
        <w:rPr>
          <w:rFonts w:ascii="Times New Roman" w:hAnsi="Times New Roman"/>
        </w:rPr>
        <w:t>是中国石化上游第二大原油生产企业，油田主体位于新疆维吾尔自治区阿克苏地区、巴音郭楞蒙古自治州境内，部分分布在和田地区境内。总部设在自治区首府乌鲁木齐市，并在巴音郭楞蒙古自治州轮台县建立了前线指挥基地。西北油田分公司塔河油田位于新疆塔里木盆地北部，是中国第一个古生界海相亿吨级大油田，也是塔里木盆地主要石油天然气资源蕴藏区之一，资源量约</w:t>
      </w:r>
      <w:r>
        <w:rPr>
          <w:rFonts w:ascii="Times New Roman" w:hAnsi="Times New Roman"/>
        </w:rPr>
        <w:t>30</w:t>
      </w:r>
      <w:r>
        <w:rPr>
          <w:rFonts w:ascii="Times New Roman" w:hAnsi="Times New Roman"/>
        </w:rPr>
        <w:t>亿吨。根据《关于</w:t>
      </w:r>
      <w:bookmarkStart w:id="13" w:name="OLE_LINK1229"/>
      <w:r>
        <w:rPr>
          <w:rFonts w:ascii="Times New Roman" w:hAnsi="Times New Roman" w:hint="eastAsia"/>
        </w:rPr>
        <w:t>〈</w:t>
      </w:r>
      <w:bookmarkEnd w:id="13"/>
      <w:r>
        <w:rPr>
          <w:rFonts w:ascii="Times New Roman" w:hAnsi="Times New Roman" w:hint="eastAsia"/>
        </w:rPr>
        <w:t>中</w:t>
      </w:r>
      <w:r>
        <w:rPr>
          <w:rFonts w:ascii="Times New Roman" w:hAnsi="Times New Roman"/>
        </w:rPr>
        <w:t>国石油化工股份有限公司西北油田分公司</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规划环境影响报告书</w:t>
      </w:r>
      <w:r>
        <w:rPr>
          <w:rFonts w:ascii="Times New Roman" w:hAnsi="Times New Roman" w:hint="eastAsia"/>
        </w:rPr>
        <w:t>〉</w:t>
      </w:r>
      <w:r>
        <w:rPr>
          <w:rFonts w:ascii="Times New Roman" w:hAnsi="Times New Roman"/>
        </w:rPr>
        <w:t>审查意见》（新环审〔</w:t>
      </w:r>
      <w:r>
        <w:rPr>
          <w:rFonts w:ascii="Times New Roman" w:hAnsi="Times New Roman"/>
        </w:rPr>
        <w:t>2022</w:t>
      </w:r>
      <w:r>
        <w:rPr>
          <w:rFonts w:ascii="Times New Roman" w:hAnsi="Times New Roman"/>
        </w:rPr>
        <w:t>〕</w:t>
      </w:r>
      <w:r>
        <w:rPr>
          <w:rFonts w:ascii="Times New Roman" w:hAnsi="Times New Roman"/>
        </w:rPr>
        <w:t>147</w:t>
      </w:r>
      <w:r>
        <w:rPr>
          <w:rFonts w:ascii="Times New Roman" w:hAnsi="Times New Roman"/>
        </w:rPr>
        <w:t>号），中国石油化工股份有限公司西北油田分公司</w:t>
      </w:r>
      <w:r>
        <w:rPr>
          <w:rFonts w:ascii="Times New Roman" w:hAnsi="Times New Roman"/>
        </w:rPr>
        <w:t>“</w:t>
      </w:r>
      <w:r>
        <w:rPr>
          <w:rFonts w:ascii="Times New Roman" w:hAnsi="Times New Roman"/>
        </w:rPr>
        <w:t>十四五</w:t>
      </w:r>
      <w:r>
        <w:rPr>
          <w:rFonts w:ascii="Times New Roman" w:hAnsi="Times New Roman"/>
        </w:rPr>
        <w:t>”</w:t>
      </w:r>
      <w:r>
        <w:rPr>
          <w:rFonts w:ascii="Times New Roman" w:hAnsi="Times New Roman"/>
        </w:rPr>
        <w:t>规划期间实施</w:t>
      </w:r>
      <w:r>
        <w:rPr>
          <w:rFonts w:ascii="Times New Roman" w:hAnsi="Times New Roman"/>
        </w:rPr>
        <w:t>23</w:t>
      </w:r>
      <w:r>
        <w:rPr>
          <w:rFonts w:ascii="Times New Roman" w:hAnsi="Times New Roman"/>
        </w:rPr>
        <w:t>个探矿权，面积约为</w:t>
      </w:r>
      <w:r>
        <w:rPr>
          <w:rFonts w:ascii="Times New Roman" w:hAnsi="Times New Roman"/>
        </w:rPr>
        <w:t>7.825</w:t>
      </w:r>
      <w:r>
        <w:rPr>
          <w:rFonts w:ascii="Times New Roman" w:hAnsi="Times New Roman"/>
        </w:rPr>
        <w:t>万平方千米；</w:t>
      </w:r>
      <w:r>
        <w:rPr>
          <w:rFonts w:ascii="Times New Roman" w:hAnsi="Times New Roman"/>
        </w:rPr>
        <w:t>12</w:t>
      </w:r>
      <w:r>
        <w:rPr>
          <w:rFonts w:ascii="Times New Roman" w:hAnsi="Times New Roman"/>
        </w:rPr>
        <w:t>个采矿权，面积约为</w:t>
      </w:r>
      <w:r>
        <w:rPr>
          <w:rFonts w:ascii="Times New Roman" w:hAnsi="Times New Roman"/>
        </w:rPr>
        <w:t>0.565</w:t>
      </w:r>
      <w:r>
        <w:rPr>
          <w:rFonts w:ascii="Times New Roman" w:hAnsi="Times New Roman"/>
        </w:rPr>
        <w:t>万平方千米。规划实施三维地震勘探</w:t>
      </w:r>
      <w:r>
        <w:rPr>
          <w:rFonts w:ascii="Times New Roman" w:hAnsi="Times New Roman"/>
        </w:rPr>
        <w:t>1.05</w:t>
      </w:r>
      <w:r>
        <w:rPr>
          <w:rFonts w:ascii="Times New Roman" w:hAnsi="Times New Roman"/>
        </w:rPr>
        <w:t>万平方千米，新增探井</w:t>
      </w:r>
      <w:r>
        <w:rPr>
          <w:rFonts w:ascii="Times New Roman" w:hAnsi="Times New Roman"/>
        </w:rPr>
        <w:t>275</w:t>
      </w:r>
      <w:r>
        <w:rPr>
          <w:rFonts w:ascii="Times New Roman" w:hAnsi="Times New Roman"/>
        </w:rPr>
        <w:t>口、开发井</w:t>
      </w:r>
      <w:r>
        <w:rPr>
          <w:rFonts w:ascii="Times New Roman" w:hAnsi="Times New Roman"/>
        </w:rPr>
        <w:t>1216</w:t>
      </w:r>
      <w:r>
        <w:rPr>
          <w:rFonts w:ascii="Times New Roman" w:hAnsi="Times New Roman"/>
        </w:rPr>
        <w:t>口，到</w:t>
      </w:r>
      <w:r>
        <w:rPr>
          <w:rFonts w:ascii="Times New Roman" w:hAnsi="Times New Roman"/>
        </w:rPr>
        <w:t>2025</w:t>
      </w:r>
      <w:r>
        <w:rPr>
          <w:rFonts w:ascii="Times New Roman" w:hAnsi="Times New Roman"/>
        </w:rPr>
        <w:t>年建成年产</w:t>
      </w:r>
      <w:r>
        <w:rPr>
          <w:rFonts w:ascii="Times New Roman" w:hAnsi="Times New Roman"/>
        </w:rPr>
        <w:t>1500</w:t>
      </w:r>
      <w:r>
        <w:rPr>
          <w:rFonts w:ascii="Times New Roman" w:hAnsi="Times New Roman"/>
        </w:rPr>
        <w:t>万吨油当量油气田</w:t>
      </w:r>
      <w:r>
        <w:rPr>
          <w:rFonts w:ascii="Times New Roman" w:hAnsi="Times New Roman"/>
        </w:rPr>
        <w:t>。</w:t>
      </w:r>
    </w:p>
    <w:p w:rsidR="00C645C9" w:rsidRDefault="00F955D9">
      <w:pPr>
        <w:pStyle w:val="YJ"/>
        <w:widowControl w:val="0"/>
        <w:adjustRightInd w:val="0"/>
        <w:snapToGrid w:val="0"/>
        <w:spacing w:line="360" w:lineRule="auto"/>
        <w:ind w:firstLine="480"/>
        <w:rPr>
          <w:rFonts w:ascii="Times New Roman" w:hAnsi="Times New Roman"/>
        </w:rPr>
      </w:pPr>
      <w:r>
        <w:rPr>
          <w:rFonts w:ascii="Times New Roman" w:hAnsi="Times New Roman"/>
          <w:kern w:val="24"/>
        </w:rPr>
        <w:t>为</w:t>
      </w:r>
      <w:bookmarkStart w:id="14" w:name="OLE_LINK10"/>
      <w:r>
        <w:rPr>
          <w:rFonts w:ascii="Times New Roman" w:hAnsi="Times New Roman"/>
          <w:kern w:val="24"/>
        </w:rPr>
        <w:t>进一步探明新北区块</w:t>
      </w:r>
      <w:bookmarkEnd w:id="14"/>
      <w:r>
        <w:rPr>
          <w:rFonts w:ascii="Times New Roman" w:hAnsi="Times New Roman"/>
          <w:kern w:val="24"/>
        </w:rPr>
        <w:t>油藏地质规模</w:t>
      </w:r>
      <w:r>
        <w:rPr>
          <w:rFonts w:ascii="Times New Roman" w:hAnsi="Times New Roman"/>
          <w:kern w:val="24"/>
        </w:rPr>
        <w:t>以及区块</w:t>
      </w:r>
      <w:r>
        <w:rPr>
          <w:rFonts w:ascii="Times New Roman" w:hAnsi="Times New Roman"/>
          <w:kern w:val="24"/>
        </w:rPr>
        <w:t>产能，实现该区块开发，</w:t>
      </w:r>
      <w:r>
        <w:rPr>
          <w:rFonts w:ascii="Times New Roman" w:hAnsi="Times New Roman"/>
        </w:rPr>
        <w:t>西北油田分公司</w:t>
      </w:r>
      <w:r>
        <w:rPr>
          <w:rFonts w:ascii="Times New Roman" w:hAnsi="Times New Roman"/>
          <w:kern w:val="24"/>
        </w:rPr>
        <w:t>拟在</w:t>
      </w:r>
      <w:r>
        <w:rPr>
          <w:rFonts w:ascii="Times New Roman" w:hAnsi="Times New Roman"/>
        </w:rPr>
        <w:t>新疆维吾尔自治区</w:t>
      </w:r>
      <w:r>
        <w:rPr>
          <w:rFonts w:ascii="Times New Roman" w:hAnsi="Times New Roman"/>
        </w:rPr>
        <w:t>阿克苏地区</w:t>
      </w:r>
      <w:r>
        <w:rPr>
          <w:rFonts w:ascii="Times New Roman" w:hAnsi="Times New Roman"/>
        </w:rPr>
        <w:t>新和</w:t>
      </w:r>
      <w:r>
        <w:rPr>
          <w:rFonts w:ascii="Times New Roman" w:hAnsi="Times New Roman"/>
        </w:rPr>
        <w:t>县</w:t>
      </w:r>
      <w:r>
        <w:rPr>
          <w:rFonts w:ascii="Times New Roman" w:hAnsi="Times New Roman"/>
          <w:kern w:val="24"/>
        </w:rPr>
        <w:t>新北区块实施</w:t>
      </w:r>
      <w:r>
        <w:rPr>
          <w:rFonts w:ascii="Times New Roman" w:hAnsi="Times New Roman"/>
          <w:kern w:val="24"/>
        </w:rPr>
        <w:t>“</w:t>
      </w:r>
      <w:r>
        <w:rPr>
          <w:rFonts w:ascii="Times New Roman" w:hAnsi="Times New Roman" w:hint="eastAsia"/>
          <w:kern w:val="24"/>
        </w:rPr>
        <w:t>新北区块试采工程</w:t>
      </w:r>
      <w:r>
        <w:rPr>
          <w:rFonts w:ascii="Times New Roman" w:hAnsi="Times New Roman"/>
          <w:kern w:val="24"/>
        </w:rPr>
        <w:t>”</w:t>
      </w:r>
      <w:r>
        <w:rPr>
          <w:rFonts w:ascii="Times New Roman" w:hAnsi="Times New Roman"/>
          <w:kern w:val="24"/>
        </w:rPr>
        <w:t>。</w:t>
      </w:r>
      <w:r>
        <w:rPr>
          <w:rFonts w:ascii="Times New Roman" w:hAnsi="Times New Roman" w:hint="eastAsia"/>
          <w:kern w:val="24"/>
        </w:rPr>
        <w:t>新北区块试采工程</w:t>
      </w:r>
      <w:r>
        <w:rPr>
          <w:rFonts w:ascii="Times New Roman" w:hAnsi="Times New Roman"/>
          <w:kern w:val="24"/>
        </w:rPr>
        <w:t>（以下简称</w:t>
      </w:r>
      <w:r>
        <w:rPr>
          <w:rFonts w:ascii="Times New Roman" w:hAnsi="Times New Roman"/>
          <w:kern w:val="24"/>
        </w:rPr>
        <w:t>“</w:t>
      </w:r>
      <w:r>
        <w:rPr>
          <w:rFonts w:ascii="Times New Roman" w:hAnsi="Times New Roman"/>
          <w:kern w:val="24"/>
        </w:rPr>
        <w:t>本</w:t>
      </w:r>
      <w:r>
        <w:rPr>
          <w:rFonts w:ascii="Times New Roman" w:hAnsi="Times New Roman"/>
          <w:kern w:val="24"/>
        </w:rPr>
        <w:t>工程</w:t>
      </w:r>
      <w:r>
        <w:rPr>
          <w:rFonts w:ascii="Times New Roman" w:hAnsi="Times New Roman"/>
          <w:kern w:val="24"/>
        </w:rPr>
        <w:t>”</w:t>
      </w:r>
      <w:r>
        <w:rPr>
          <w:rFonts w:ascii="Times New Roman" w:hAnsi="Times New Roman"/>
          <w:kern w:val="24"/>
        </w:rPr>
        <w:t>）</w:t>
      </w:r>
      <w:r>
        <w:rPr>
          <w:rFonts w:ascii="Times New Roman" w:hAnsi="Times New Roman"/>
        </w:rPr>
        <w:t>北</w:t>
      </w:r>
      <w:r>
        <w:rPr>
          <w:rFonts w:ascii="Times New Roman" w:hAnsi="Times New Roman"/>
        </w:rPr>
        <w:t>部</w:t>
      </w:r>
      <w:r>
        <w:rPr>
          <w:rFonts w:ascii="Times New Roman" w:hAnsi="Times New Roman"/>
        </w:rPr>
        <w:t>距</w:t>
      </w:r>
      <w:r>
        <w:rPr>
          <w:rFonts w:ascii="Times New Roman" w:hAnsi="Times New Roman"/>
        </w:rPr>
        <w:t>库车市</w:t>
      </w:r>
      <w:r>
        <w:rPr>
          <w:rFonts w:ascii="Times New Roman" w:hAnsi="Times New Roman"/>
        </w:rPr>
        <w:t>约</w:t>
      </w:r>
      <w:r>
        <w:rPr>
          <w:rFonts w:ascii="Times New Roman" w:hAnsi="Times New Roman"/>
        </w:rPr>
        <w:t>41</w:t>
      </w:r>
      <w:r>
        <w:rPr>
          <w:rFonts w:ascii="Times New Roman" w:hAnsi="Times New Roman"/>
        </w:rPr>
        <w:t>km</w:t>
      </w:r>
      <w:r>
        <w:rPr>
          <w:rFonts w:ascii="Times New Roman" w:hAnsi="Times New Roman"/>
        </w:rPr>
        <w:t>，</w:t>
      </w:r>
      <w:r>
        <w:rPr>
          <w:rFonts w:ascii="Times New Roman" w:hAnsi="Times New Roman"/>
        </w:rPr>
        <w:t>南部</w:t>
      </w:r>
      <w:r>
        <w:rPr>
          <w:rFonts w:ascii="Times New Roman" w:hAnsi="Times New Roman"/>
        </w:rPr>
        <w:t>距</w:t>
      </w:r>
      <w:r>
        <w:rPr>
          <w:rFonts w:ascii="Times New Roman" w:hAnsi="Times New Roman"/>
        </w:rPr>
        <w:t>新和县</w:t>
      </w:r>
      <w:r>
        <w:rPr>
          <w:rFonts w:ascii="Times New Roman" w:hAnsi="Times New Roman"/>
        </w:rPr>
        <w:t>约</w:t>
      </w:r>
      <w:r>
        <w:rPr>
          <w:rFonts w:ascii="Times New Roman" w:hAnsi="Times New Roman"/>
        </w:rPr>
        <w:t>9</w:t>
      </w:r>
      <w:r>
        <w:rPr>
          <w:rFonts w:ascii="Times New Roman" w:hAnsi="Times New Roman"/>
        </w:rPr>
        <w:t>km</w:t>
      </w:r>
      <w:r>
        <w:rPr>
          <w:rFonts w:ascii="Times New Roman" w:hAnsi="Times New Roman"/>
        </w:rPr>
        <w:t>，</w:t>
      </w:r>
      <w:r>
        <w:rPr>
          <w:rFonts w:ascii="Times New Roman" w:hAnsi="Times New Roman"/>
        </w:rPr>
        <w:t>由雅克拉采气厂</w:t>
      </w:r>
      <w:r>
        <w:rPr>
          <w:rFonts w:ascii="Times New Roman" w:hAnsi="Times New Roman"/>
        </w:rPr>
        <w:t>管辖。本工程不涉及中央及自治区生态环境保护督察整改问题。</w:t>
      </w:r>
    </w:p>
    <w:p w:rsidR="00C645C9" w:rsidRDefault="00F955D9">
      <w:pPr>
        <w:pStyle w:val="YJ"/>
        <w:widowControl w:val="0"/>
        <w:adjustRightInd w:val="0"/>
        <w:snapToGrid w:val="0"/>
        <w:spacing w:line="360" w:lineRule="auto"/>
        <w:ind w:firstLine="480"/>
        <w:rPr>
          <w:rFonts w:ascii="Times New Roman" w:hAnsi="Times New Roman"/>
        </w:rPr>
      </w:pPr>
      <w:r>
        <w:rPr>
          <w:rFonts w:ascii="Times New Roman" w:hAnsi="Times New Roman"/>
        </w:rPr>
        <w:t>本</w:t>
      </w:r>
      <w:r>
        <w:rPr>
          <w:rFonts w:ascii="Times New Roman" w:hAnsi="Times New Roman"/>
        </w:rPr>
        <w:t>工程</w:t>
      </w:r>
      <w:r>
        <w:rPr>
          <w:rFonts w:ascii="Times New Roman" w:hAnsi="Times New Roman"/>
        </w:rPr>
        <w:t>主要建设内容包括：</w:t>
      </w:r>
      <w:bookmarkStart w:id="15" w:name="OLE_LINK528"/>
      <w:r>
        <w:rPr>
          <w:rFonts w:ascii="Times New Roman" w:hAnsi="Times New Roman"/>
        </w:rPr>
        <w:t>①</w:t>
      </w:r>
      <w:r>
        <w:rPr>
          <w:rFonts w:ascii="Times New Roman" w:hAnsi="Times New Roman"/>
        </w:rPr>
        <w:t>部署采</w:t>
      </w:r>
      <w:r>
        <w:rPr>
          <w:rFonts w:ascii="Times New Roman" w:hAnsi="Times New Roman" w:hint="eastAsia"/>
        </w:rPr>
        <w:t>气</w:t>
      </w:r>
      <w:r>
        <w:rPr>
          <w:rFonts w:ascii="Times New Roman" w:hAnsi="Times New Roman"/>
        </w:rPr>
        <w:t>井</w:t>
      </w:r>
      <w:r>
        <w:rPr>
          <w:rFonts w:ascii="Times New Roman" w:hAnsi="Times New Roman" w:hint="eastAsia"/>
        </w:rPr>
        <w:t>2</w:t>
      </w:r>
      <w:r>
        <w:rPr>
          <w:rFonts w:ascii="Times New Roman" w:hAnsi="Times New Roman" w:hint="eastAsia"/>
        </w:rPr>
        <w:t>口（包括</w:t>
      </w:r>
      <w:bookmarkStart w:id="16" w:name="OLE_LINK736"/>
      <w:r>
        <w:rPr>
          <w:rFonts w:ascii="Times New Roman" w:hAnsi="Times New Roman" w:hint="eastAsia"/>
        </w:rPr>
        <w:t>新北</w:t>
      </w:r>
      <w:r>
        <w:rPr>
          <w:rFonts w:ascii="Times New Roman" w:hAnsi="Times New Roman" w:hint="eastAsia"/>
        </w:rPr>
        <w:t>1X</w:t>
      </w:r>
      <w:r>
        <w:rPr>
          <w:rFonts w:ascii="Times New Roman" w:hAnsi="Times New Roman" w:hint="eastAsia"/>
        </w:rPr>
        <w:t>井</w:t>
      </w:r>
      <w:bookmarkEnd w:id="16"/>
      <w:r>
        <w:rPr>
          <w:rFonts w:ascii="Times New Roman" w:hAnsi="Times New Roman" w:hint="eastAsia"/>
        </w:rPr>
        <w:t>、</w:t>
      </w:r>
      <w:bookmarkStart w:id="17" w:name="OLE_LINK5"/>
      <w:r>
        <w:rPr>
          <w:rFonts w:hint="eastAsia"/>
        </w:rPr>
        <w:t>新北</w:t>
      </w:r>
      <w:r>
        <w:rPr>
          <w:rFonts w:hint="eastAsia"/>
        </w:rPr>
        <w:t>7</w:t>
      </w:r>
      <w:r>
        <w:rPr>
          <w:rFonts w:ascii="Times New Roman" w:hAnsi="Times New Roman" w:hint="eastAsia"/>
        </w:rPr>
        <w:t>井</w:t>
      </w:r>
      <w:bookmarkEnd w:id="17"/>
      <w:r>
        <w:rPr>
          <w:rFonts w:ascii="Times New Roman" w:hAnsi="Times New Roman" w:hint="eastAsia"/>
        </w:rPr>
        <w:t>），</w:t>
      </w:r>
      <w:r>
        <w:rPr>
          <w:rFonts w:ascii="Times New Roman" w:hAnsi="Times New Roman"/>
        </w:rPr>
        <w:t>其中</w:t>
      </w:r>
      <w:r>
        <w:rPr>
          <w:rFonts w:hint="eastAsia"/>
        </w:rPr>
        <w:t>新北</w:t>
      </w:r>
      <w:r>
        <w:rPr>
          <w:rFonts w:hint="eastAsia"/>
        </w:rPr>
        <w:t>7</w:t>
      </w:r>
      <w:r>
        <w:rPr>
          <w:rFonts w:ascii="Times New Roman" w:hAnsi="Times New Roman" w:hint="eastAsia"/>
        </w:rPr>
        <w:t>井为新钻井，新北</w:t>
      </w:r>
      <w:r>
        <w:rPr>
          <w:rFonts w:ascii="Times New Roman" w:hAnsi="Times New Roman" w:hint="eastAsia"/>
        </w:rPr>
        <w:t>1X</w:t>
      </w:r>
      <w:r>
        <w:rPr>
          <w:rFonts w:ascii="Times New Roman" w:hAnsi="Times New Roman" w:hint="eastAsia"/>
        </w:rPr>
        <w:t>井</w:t>
      </w:r>
      <w:r>
        <w:rPr>
          <w:rFonts w:hint="eastAsia"/>
        </w:rPr>
        <w:t>为老井侧钻井</w:t>
      </w:r>
      <w:r>
        <w:rPr>
          <w:rFonts w:ascii="Times New Roman" w:hAnsi="Times New Roman"/>
        </w:rPr>
        <w:t>。</w:t>
      </w:r>
      <w:r>
        <w:rPr>
          <w:rFonts w:ascii="Times New Roman" w:hAnsi="Times New Roman"/>
        </w:rPr>
        <w:fldChar w:fldCharType="begin"/>
      </w:r>
      <w:r>
        <w:rPr>
          <w:rFonts w:ascii="Times New Roman" w:hAnsi="Times New Roman"/>
        </w:rPr>
        <w:instrText xml:space="preserve"> = 2 \* GB3 \* MERGEFORMAT </w:instrText>
      </w:r>
      <w:r>
        <w:rPr>
          <w:rFonts w:ascii="Times New Roman" w:hAnsi="Times New Roman"/>
        </w:rPr>
        <w:fldChar w:fldCharType="separate"/>
      </w:r>
      <w:r>
        <w:rPr>
          <w:rFonts w:ascii="Times New Roman" w:hAnsi="Times New Roman"/>
        </w:rPr>
        <w:t>②</w:t>
      </w:r>
      <w:r>
        <w:rPr>
          <w:rFonts w:ascii="Times New Roman" w:hAnsi="Times New Roman"/>
        </w:rPr>
        <w:fldChar w:fldCharType="end"/>
      </w:r>
      <w:r>
        <w:rPr>
          <w:rFonts w:hint="eastAsia"/>
        </w:rPr>
        <w:t>2</w:t>
      </w:r>
      <w:r>
        <w:rPr>
          <w:rFonts w:hint="eastAsia"/>
        </w:rPr>
        <w:t>座井场</w:t>
      </w:r>
      <w:r>
        <w:rPr>
          <w:rFonts w:ascii="Times New Roman" w:hAnsi="Times New Roman"/>
          <w:kern w:val="2"/>
        </w:rPr>
        <w:t>内</w:t>
      </w:r>
      <w:r>
        <w:rPr>
          <w:rFonts w:hint="eastAsia"/>
          <w:kern w:val="2"/>
        </w:rPr>
        <w:t>均</w:t>
      </w:r>
      <w:r>
        <w:rPr>
          <w:rFonts w:ascii="Times New Roman" w:hAnsi="Times New Roman"/>
          <w:kern w:val="2"/>
        </w:rPr>
        <w:t>建设油气分离流程</w:t>
      </w:r>
      <w:r>
        <w:rPr>
          <w:rFonts w:ascii="Times New Roman" w:hAnsi="Times New Roman"/>
        </w:rPr>
        <w:t>，井场内</w:t>
      </w:r>
      <w:r>
        <w:rPr>
          <w:rFonts w:ascii="Times New Roman" w:hAnsi="Times New Roman"/>
        </w:rPr>
        <w:t>新建</w:t>
      </w:r>
      <w:r>
        <w:rPr>
          <w:rFonts w:hint="eastAsia"/>
        </w:rPr>
        <w:t>水套炉、高压分离器、闪蒸分离器、多功能储集器、过滤分离器橇、</w:t>
      </w:r>
      <w:r>
        <w:rPr>
          <w:rFonts w:ascii="Times New Roman" w:hAnsi="Times New Roman"/>
        </w:rPr>
        <w:t>分子筛脱水撬</w:t>
      </w:r>
      <w:r>
        <w:rPr>
          <w:rFonts w:hint="eastAsia"/>
        </w:rPr>
        <w:t>、低温分离橇、外输计量橇、</w:t>
      </w:r>
      <w:bookmarkStart w:id="18" w:name="OLE_LINK1079"/>
      <w:r>
        <w:rPr>
          <w:rFonts w:ascii="Times New Roman" w:hAnsi="Times New Roman"/>
        </w:rPr>
        <w:t>火炬</w:t>
      </w:r>
      <w:bookmarkEnd w:id="18"/>
      <w:r>
        <w:rPr>
          <w:rFonts w:ascii="Times New Roman" w:hAnsi="Times New Roman"/>
        </w:rPr>
        <w:t>、站内管网</w:t>
      </w:r>
      <w:r>
        <w:rPr>
          <w:rFonts w:ascii="Times New Roman" w:hAnsi="Times New Roman"/>
        </w:rPr>
        <w:t>。</w:t>
      </w:r>
      <w:r>
        <w:rPr>
          <w:rFonts w:ascii="Times New Roman" w:hAnsi="Times New Roman"/>
        </w:rPr>
        <w:fldChar w:fldCharType="begin"/>
      </w:r>
      <w:r>
        <w:rPr>
          <w:rFonts w:ascii="Times New Roman" w:hAnsi="Times New Roman"/>
        </w:rPr>
        <w:instrText xml:space="preserve"> = 3 \* GB3 \* MERGEFORMAT </w:instrText>
      </w:r>
      <w:r>
        <w:rPr>
          <w:rFonts w:ascii="Times New Roman" w:hAnsi="Times New Roman"/>
        </w:rPr>
        <w:fldChar w:fldCharType="separate"/>
      </w:r>
      <w:r>
        <w:rPr>
          <w:rFonts w:ascii="Times New Roman" w:hAnsi="Times New Roman"/>
        </w:rPr>
        <w:t>③</w:t>
      </w:r>
      <w:r>
        <w:rPr>
          <w:rFonts w:ascii="Times New Roman" w:hAnsi="Times New Roman"/>
        </w:rPr>
        <w:fldChar w:fldCharType="end"/>
      </w:r>
      <w:r>
        <w:rPr>
          <w:rFonts w:ascii="Times New Roman" w:hAnsi="Times New Roman"/>
        </w:rPr>
        <w:t>天然气外输：</w:t>
      </w:r>
      <w:r>
        <w:rPr>
          <w:rFonts w:ascii="Times New Roman" w:hAnsi="Times New Roman"/>
        </w:rPr>
        <w:t>天然气脱水脱烃后就地销售给地方企业。</w:t>
      </w:r>
      <w:r>
        <w:rPr>
          <w:rFonts w:ascii="Times New Roman" w:hAnsi="Times New Roman"/>
        </w:rPr>
        <w:t>④</w:t>
      </w:r>
      <w:r>
        <w:rPr>
          <w:rFonts w:ascii="Times New Roman" w:hAnsi="Times New Roman"/>
        </w:rPr>
        <w:t>凝析油</w:t>
      </w:r>
      <w:r>
        <w:rPr>
          <w:rFonts w:ascii="Times New Roman" w:hAnsi="Times New Roman"/>
        </w:rPr>
        <w:t>外输：油气分离后</w:t>
      </w:r>
      <w:bookmarkStart w:id="19" w:name="OLE_LINK646"/>
      <w:r>
        <w:rPr>
          <w:rFonts w:ascii="Times New Roman" w:hAnsi="Times New Roman"/>
        </w:rPr>
        <w:t>凝析油装车外运至雅克拉集气处理站处理</w:t>
      </w:r>
      <w:bookmarkEnd w:id="19"/>
      <w:r>
        <w:rPr>
          <w:rFonts w:ascii="Times New Roman" w:hAnsi="Times New Roman"/>
        </w:rPr>
        <w:t>。</w:t>
      </w:r>
      <w:r>
        <w:rPr>
          <w:rFonts w:ascii="Times New Roman" w:hAnsi="Times New Roman"/>
        </w:rPr>
        <w:fldChar w:fldCharType="begin"/>
      </w:r>
      <w:r>
        <w:rPr>
          <w:rFonts w:ascii="Times New Roman" w:hAnsi="Times New Roman"/>
        </w:rPr>
        <w:instrText xml:space="preserve"> = 5 \* GB3 \* MERGEFORMAT </w:instrText>
      </w:r>
      <w:r>
        <w:rPr>
          <w:rFonts w:ascii="Times New Roman" w:hAnsi="Times New Roman"/>
        </w:rPr>
        <w:fldChar w:fldCharType="separate"/>
      </w:r>
      <w:r>
        <w:t>⑤</w:t>
      </w:r>
      <w:r>
        <w:rPr>
          <w:rFonts w:ascii="Times New Roman" w:hAnsi="Times New Roman"/>
        </w:rPr>
        <w:fldChar w:fldCharType="end"/>
      </w:r>
      <w:r>
        <w:rPr>
          <w:rFonts w:ascii="Times New Roman" w:hAnsi="Times New Roman"/>
          <w:kern w:val="2"/>
        </w:rPr>
        <w:t>建设电力、自控、</w:t>
      </w:r>
      <w:r>
        <w:rPr>
          <w:rFonts w:ascii="Times New Roman" w:hAnsi="Times New Roman"/>
          <w:kern w:val="2"/>
        </w:rPr>
        <w:t>结</w:t>
      </w:r>
      <w:r>
        <w:rPr>
          <w:rFonts w:ascii="Times New Roman" w:hAnsi="Times New Roman"/>
        </w:rPr>
        <w:t>构、通信、消防等公辅工程。</w:t>
      </w:r>
      <w:bookmarkEnd w:id="15"/>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20" w:name="_Toc508291868"/>
      <w:bookmarkStart w:id="21" w:name="_Toc6893"/>
      <w:bookmarkStart w:id="22" w:name="_Toc75438871"/>
      <w:bookmarkStart w:id="23" w:name="_Toc42981088"/>
      <w:bookmarkStart w:id="24" w:name="_Toc25562"/>
      <w:r>
        <w:rPr>
          <w:rFonts w:ascii="Times New Roman" w:hAnsi="Times New Roman" w:cs="Times New Roman"/>
          <w:color w:val="auto"/>
          <w:lang w:eastAsia="zh-CN"/>
        </w:rPr>
        <w:t>1.2</w:t>
      </w:r>
      <w:bookmarkEnd w:id="20"/>
      <w:bookmarkEnd w:id="21"/>
      <w:bookmarkEnd w:id="22"/>
      <w:bookmarkEnd w:id="23"/>
      <w:r>
        <w:rPr>
          <w:rFonts w:ascii="Times New Roman" w:hAnsi="Times New Roman" w:cs="Times New Roman"/>
          <w:color w:val="auto"/>
          <w:lang w:eastAsia="zh-CN"/>
        </w:rPr>
        <w:t>环境影响评价的工作过程</w:t>
      </w:r>
      <w:bookmarkEnd w:id="24"/>
    </w:p>
    <w:p w:rsidR="00C645C9" w:rsidRDefault="00F955D9">
      <w:pPr>
        <w:adjustRightInd w:val="0"/>
        <w:snapToGrid w:val="0"/>
        <w:spacing w:line="360" w:lineRule="auto"/>
        <w:ind w:left="24" w:firstLine="480"/>
        <w:jc w:val="both"/>
        <w:rPr>
          <w:rFonts w:cs="Times New Roman"/>
        </w:rPr>
      </w:pPr>
      <w:r>
        <w:rPr>
          <w:rFonts w:cs="Times New Roman"/>
          <w:bCs/>
        </w:rPr>
        <w:t>本</w:t>
      </w:r>
      <w:r>
        <w:rPr>
          <w:rFonts w:cs="Times New Roman"/>
          <w:bCs/>
        </w:rPr>
        <w:t>工程</w:t>
      </w:r>
      <w:r>
        <w:rPr>
          <w:rFonts w:cs="Times New Roman"/>
          <w:bCs/>
        </w:rPr>
        <w:t>为</w:t>
      </w:r>
      <w:bookmarkStart w:id="25" w:name="OLE_LINK13"/>
      <w:bookmarkStart w:id="26" w:name="OLE_LINK23"/>
      <w:r>
        <w:rPr>
          <w:rFonts w:cs="Times New Roman"/>
          <w:bCs/>
        </w:rPr>
        <w:t>石油和天然气开采</w:t>
      </w:r>
      <w:bookmarkEnd w:id="25"/>
      <w:r>
        <w:rPr>
          <w:rFonts w:cs="Times New Roman"/>
          <w:bCs/>
        </w:rPr>
        <w:t>项目</w:t>
      </w:r>
      <w:bookmarkEnd w:id="26"/>
      <w:r>
        <w:rPr>
          <w:rFonts w:cs="Times New Roman"/>
          <w:bCs/>
        </w:rPr>
        <w:t>，位于阿克苏地区新和县</w:t>
      </w:r>
      <w:r>
        <w:rPr>
          <w:rFonts w:cs="Times New Roman"/>
          <w:bCs/>
        </w:rPr>
        <w:t>境内</w:t>
      </w:r>
      <w:r>
        <w:rPr>
          <w:rFonts w:cs="Times New Roman"/>
          <w:bCs/>
        </w:rPr>
        <w:t>。</w:t>
      </w:r>
      <w:r>
        <w:rPr>
          <w:rFonts w:cs="Times New Roman"/>
          <w:bCs/>
        </w:rPr>
        <w:t>根据</w:t>
      </w:r>
      <w:r>
        <w:rPr>
          <w:rFonts w:cs="Times New Roman"/>
          <w:bCs/>
        </w:rPr>
        <w:t>《</w:t>
      </w:r>
      <w:bookmarkStart w:id="27" w:name="OLE_LINK7"/>
      <w:r>
        <w:rPr>
          <w:rFonts w:cs="Times New Roman"/>
          <w:bCs/>
        </w:rPr>
        <w:t>关于印发新疆维吾尔自治区水土流失重点预防区和重点治理区复核划分成果的通知</w:t>
      </w:r>
      <w:bookmarkEnd w:id="27"/>
      <w:r>
        <w:rPr>
          <w:rFonts w:cs="Times New Roman"/>
          <w:bCs/>
        </w:rPr>
        <w:t>》（</w:t>
      </w:r>
      <w:r>
        <w:rPr>
          <w:rFonts w:cs="Times New Roman"/>
          <w:bCs/>
        </w:rPr>
        <w:t>新水水保〔</w:t>
      </w:r>
      <w:r>
        <w:rPr>
          <w:rFonts w:cs="Times New Roman"/>
          <w:bCs/>
        </w:rPr>
        <w:t>2019</w:t>
      </w:r>
      <w:r>
        <w:rPr>
          <w:rFonts w:cs="Times New Roman"/>
          <w:bCs/>
        </w:rPr>
        <w:t>〕</w:t>
      </w:r>
      <w:r>
        <w:rPr>
          <w:rFonts w:cs="Times New Roman"/>
          <w:bCs/>
        </w:rPr>
        <w:t>4</w:t>
      </w:r>
      <w:r>
        <w:rPr>
          <w:rFonts w:cs="Times New Roman"/>
          <w:bCs/>
        </w:rPr>
        <w:t>号</w:t>
      </w:r>
      <w:r>
        <w:rPr>
          <w:rFonts w:cs="Times New Roman"/>
          <w:bCs/>
        </w:rPr>
        <w:t>）</w:t>
      </w:r>
      <w:r>
        <w:rPr>
          <w:rFonts w:cs="Times New Roman"/>
          <w:bCs/>
        </w:rPr>
        <w:t>，项目所在地阿克苏地区新和县属于塔里木河流域水</w:t>
      </w:r>
      <w:r>
        <w:rPr>
          <w:rFonts w:cs="Times New Roman"/>
          <w:bCs/>
        </w:rPr>
        <w:lastRenderedPageBreak/>
        <w:t>土流失重点治理区</w:t>
      </w:r>
      <w:r>
        <w:rPr>
          <w:rFonts w:cs="Times New Roman" w:hint="eastAsia"/>
        </w:rPr>
        <w:t>。</w:t>
      </w:r>
      <w:r>
        <w:rPr>
          <w:rFonts w:cs="Times New Roman"/>
        </w:rPr>
        <w:t>根据《中华人民共和国环境影响评价法》《</w:t>
      </w:r>
      <w:bookmarkStart w:id="28" w:name="OLE_LINK9"/>
      <w:r>
        <w:rPr>
          <w:rFonts w:cs="Times New Roman"/>
        </w:rPr>
        <w:t>建设项目环境影响评价分类管理名录</w:t>
      </w:r>
      <w:bookmarkStart w:id="29" w:name="OLE_LINK14"/>
      <w:bookmarkStart w:id="30" w:name="OLE_LINK15"/>
      <w:bookmarkEnd w:id="28"/>
      <w:r>
        <w:rPr>
          <w:rFonts w:cs="Times New Roman"/>
        </w:rPr>
        <w:t>（</w:t>
      </w:r>
      <w:r>
        <w:rPr>
          <w:rFonts w:cs="Times New Roman"/>
        </w:rPr>
        <w:t>2021</w:t>
      </w:r>
      <w:r>
        <w:rPr>
          <w:rFonts w:cs="Times New Roman"/>
        </w:rPr>
        <w:t>年版）</w:t>
      </w:r>
      <w:bookmarkEnd w:id="29"/>
      <w:r>
        <w:rPr>
          <w:rFonts w:cs="Times New Roman"/>
        </w:rPr>
        <w:t>》（生态环境部令第</w:t>
      </w:r>
      <w:r>
        <w:rPr>
          <w:rFonts w:cs="Times New Roman"/>
        </w:rPr>
        <w:t>16</w:t>
      </w:r>
      <w:r>
        <w:rPr>
          <w:rFonts w:cs="Times New Roman"/>
        </w:rPr>
        <w:t>号）</w:t>
      </w:r>
      <w:bookmarkEnd w:id="30"/>
      <w:r>
        <w:rPr>
          <w:rFonts w:cs="Times New Roman" w:hint="eastAsia"/>
        </w:rPr>
        <w:t>，</w:t>
      </w:r>
      <w:bookmarkStart w:id="31" w:name="OLE_LINK12"/>
      <w:r>
        <w:rPr>
          <w:rFonts w:cs="Times New Roman"/>
          <w:bCs/>
          <w:snapToGrid w:val="0"/>
          <w:szCs w:val="20"/>
        </w:rPr>
        <w:t>本工程属于</w:t>
      </w:r>
      <w:bookmarkEnd w:id="31"/>
      <w:r>
        <w:rPr>
          <w:rFonts w:cs="Times New Roman" w:hint="eastAsia"/>
          <w:bCs/>
          <w:snapToGrid w:val="0"/>
          <w:szCs w:val="20"/>
        </w:rPr>
        <w:t>“</w:t>
      </w:r>
      <w:r>
        <w:rPr>
          <w:rFonts w:cs="Times New Roman"/>
          <w:bCs/>
          <w:snapToGrid w:val="0"/>
          <w:szCs w:val="20"/>
        </w:rPr>
        <w:t>五</w:t>
      </w:r>
      <w:r>
        <w:rPr>
          <w:rFonts w:cs="Times New Roman" w:hint="eastAsia"/>
          <w:bCs/>
          <w:snapToGrid w:val="0"/>
          <w:szCs w:val="20"/>
        </w:rPr>
        <w:t>、</w:t>
      </w:r>
      <w:r>
        <w:rPr>
          <w:rFonts w:cs="Times New Roman"/>
          <w:bCs/>
          <w:snapToGrid w:val="0"/>
          <w:szCs w:val="20"/>
        </w:rPr>
        <w:t>石油和天然气开采业</w:t>
      </w:r>
      <w:r>
        <w:rPr>
          <w:rFonts w:cs="Times New Roman" w:hint="eastAsia"/>
          <w:bCs/>
          <w:snapToGrid w:val="0"/>
          <w:szCs w:val="20"/>
        </w:rPr>
        <w:t>07</w:t>
      </w:r>
      <w:r>
        <w:rPr>
          <w:rFonts w:cs="Times New Roman" w:hint="eastAsia"/>
          <w:bCs/>
          <w:snapToGrid w:val="0"/>
          <w:szCs w:val="20"/>
        </w:rPr>
        <w:t>”</w:t>
      </w:r>
      <w:r>
        <w:rPr>
          <w:rFonts w:cs="Times New Roman" w:hint="eastAsia"/>
          <w:bCs/>
        </w:rPr>
        <w:t>，</w:t>
      </w:r>
      <w:r>
        <w:rPr>
          <w:rFonts w:cs="Times New Roman"/>
          <w:spacing w:val="-4"/>
        </w:rPr>
        <w:t>第</w:t>
      </w:r>
      <w:r>
        <w:rPr>
          <w:rFonts w:cs="Times New Roman"/>
          <w:spacing w:val="-51"/>
        </w:rPr>
        <w:t xml:space="preserve"> </w:t>
      </w:r>
      <w:r>
        <w:rPr>
          <w:rFonts w:cs="Times New Roman" w:hint="eastAsia"/>
          <w:spacing w:val="-4"/>
        </w:rPr>
        <w:t>8</w:t>
      </w:r>
      <w:r>
        <w:rPr>
          <w:rFonts w:cs="Times New Roman"/>
          <w:spacing w:val="-4"/>
        </w:rPr>
        <w:t>项</w:t>
      </w:r>
      <w:r>
        <w:rPr>
          <w:rFonts w:cs="Times New Roman" w:hint="eastAsia"/>
          <w:spacing w:val="-4"/>
        </w:rPr>
        <w:t>“</w:t>
      </w:r>
      <w:bookmarkStart w:id="32" w:name="OLE_LINK985"/>
      <w:r>
        <w:rPr>
          <w:rFonts w:cs="Times New Roman"/>
          <w:spacing w:val="-4"/>
        </w:rPr>
        <w:t>陆地</w:t>
      </w:r>
      <w:r>
        <w:rPr>
          <w:rFonts w:cs="Times New Roman" w:hint="eastAsia"/>
          <w:spacing w:val="-4"/>
        </w:rPr>
        <w:t>天然气</w:t>
      </w:r>
      <w:r>
        <w:rPr>
          <w:rFonts w:cs="Times New Roman"/>
          <w:spacing w:val="-4"/>
        </w:rPr>
        <w:t>开采</w:t>
      </w:r>
      <w:r>
        <w:rPr>
          <w:rFonts w:cs="Times New Roman"/>
          <w:spacing w:val="-4"/>
        </w:rPr>
        <w:t>07</w:t>
      </w:r>
      <w:r>
        <w:rPr>
          <w:rFonts w:cs="Times New Roman" w:hint="eastAsia"/>
          <w:spacing w:val="-4"/>
        </w:rPr>
        <w:t>2</w:t>
      </w:r>
      <w:r>
        <w:rPr>
          <w:rFonts w:cs="Times New Roman"/>
          <w:spacing w:val="-4"/>
        </w:rPr>
        <w:t>1</w:t>
      </w:r>
      <w:bookmarkEnd w:id="32"/>
      <w:r>
        <w:rPr>
          <w:rFonts w:cs="Times New Roman" w:hint="eastAsia"/>
          <w:spacing w:val="-4"/>
        </w:rPr>
        <w:t>”</w:t>
      </w:r>
      <w:r>
        <w:rPr>
          <w:rFonts w:cs="Times New Roman"/>
          <w:spacing w:val="-4"/>
        </w:rPr>
        <w:t>中</w:t>
      </w:r>
      <w:r>
        <w:rPr>
          <w:rFonts w:cs="Times New Roman"/>
          <w:spacing w:val="-4"/>
        </w:rPr>
        <w:t>的</w:t>
      </w:r>
      <w:r>
        <w:rPr>
          <w:rFonts w:cs="Times New Roman" w:hint="eastAsia"/>
          <w:spacing w:val="-4"/>
        </w:rPr>
        <w:t>：“新区块开发”“</w:t>
      </w:r>
      <w:r>
        <w:rPr>
          <w:rFonts w:cs="Times New Roman"/>
          <w:spacing w:val="-4"/>
        </w:rPr>
        <w:t>涉及环境敏感区的（含内部集输管线</w:t>
      </w:r>
      <w:r>
        <w:rPr>
          <w:rFonts w:cs="Times New Roman"/>
          <w:spacing w:val="-5"/>
        </w:rPr>
        <w:t>建设）</w:t>
      </w:r>
      <w:r>
        <w:rPr>
          <w:rFonts w:cs="Times New Roman" w:hint="eastAsia"/>
          <w:spacing w:val="-4"/>
        </w:rPr>
        <w:t>”</w:t>
      </w:r>
      <w:r>
        <w:rPr>
          <w:rFonts w:cs="Times New Roman"/>
          <w:spacing w:val="-4"/>
        </w:rPr>
        <w:t>，</w:t>
      </w:r>
      <w:bookmarkStart w:id="33" w:name="OLE_LINK1401"/>
      <w:r>
        <w:rPr>
          <w:rFonts w:cs="Times New Roman" w:hint="eastAsia"/>
          <w:spacing w:val="-4"/>
        </w:rPr>
        <w:t>本工程</w:t>
      </w:r>
      <w:r>
        <w:rPr>
          <w:rFonts w:cs="Times New Roman" w:hint="eastAsia"/>
        </w:rPr>
        <w:t>不占用永久基本农田，</w:t>
      </w:r>
      <w:r>
        <w:rPr>
          <w:rFonts w:cs="Times New Roman" w:hint="eastAsia"/>
          <w:spacing w:val="-4"/>
        </w:rPr>
        <w:t>评价范围涉及永久基本农田，</w:t>
      </w:r>
      <w:bookmarkEnd w:id="33"/>
      <w:r>
        <w:rPr>
          <w:rFonts w:cs="Times New Roman"/>
          <w:bCs/>
        </w:rPr>
        <w:t>应编制环境影响报告书</w:t>
      </w:r>
      <w:r>
        <w:rPr>
          <w:rFonts w:cs="Times New Roman"/>
          <w:szCs w:val="20"/>
        </w:rPr>
        <w:t>。</w:t>
      </w:r>
      <w:r>
        <w:rPr>
          <w:rFonts w:cs="Times New Roman"/>
        </w:rPr>
        <w:t>根据《新疆维吾尔自治区建设项目环境影响评价文件分级审批目录（</w:t>
      </w:r>
      <w:r>
        <w:rPr>
          <w:rFonts w:cs="Times New Roman"/>
        </w:rPr>
        <w:t>2024</w:t>
      </w:r>
      <w:r>
        <w:rPr>
          <w:rFonts w:cs="Times New Roman"/>
        </w:rPr>
        <w:t>年本）》，</w:t>
      </w:r>
      <w:r>
        <w:rPr>
          <w:rFonts w:cs="Times New Roman"/>
          <w:bCs/>
          <w:snapToGrid w:val="0"/>
          <w:szCs w:val="20"/>
        </w:rPr>
        <w:t>本工程属于</w:t>
      </w:r>
      <w:r>
        <w:rPr>
          <w:rFonts w:cs="Times New Roman"/>
        </w:rPr>
        <w:t>第</w:t>
      </w:r>
      <w:r>
        <w:rPr>
          <w:rFonts w:cs="Times New Roman"/>
        </w:rPr>
        <w:t>14</w:t>
      </w:r>
      <w:r>
        <w:rPr>
          <w:rFonts w:cs="Times New Roman"/>
        </w:rPr>
        <w:t>项</w:t>
      </w:r>
      <w:r>
        <w:rPr>
          <w:rFonts w:cs="Times New Roman" w:hint="eastAsia"/>
        </w:rPr>
        <w:t>“石油和天然气开采业”</w:t>
      </w:r>
      <w:r>
        <w:rPr>
          <w:rFonts w:cs="Times New Roman" w:hint="eastAsia"/>
        </w:rPr>
        <w:t>中的</w:t>
      </w:r>
      <w:r>
        <w:rPr>
          <w:rFonts w:cs="Times New Roman" w:hint="eastAsia"/>
          <w:spacing w:val="-4"/>
        </w:rPr>
        <w:t>“新区块开发”“涉及环境敏感区的”</w:t>
      </w:r>
      <w:r>
        <w:rPr>
          <w:rFonts w:cs="Times New Roman"/>
        </w:rPr>
        <w:t>，报新疆维吾尔自治区生态环境厅审批。</w:t>
      </w:r>
    </w:p>
    <w:p w:rsidR="00C645C9" w:rsidRDefault="00F955D9">
      <w:pPr>
        <w:pStyle w:val="13"/>
        <w:widowControl w:val="0"/>
        <w:adjustRightInd w:val="0"/>
        <w:snapToGrid w:val="0"/>
        <w:spacing w:line="360" w:lineRule="auto"/>
        <w:ind w:firstLine="480"/>
        <w:jc w:val="both"/>
        <w:rPr>
          <w:rFonts w:cs="Times New Roman"/>
        </w:rPr>
      </w:pPr>
      <w:r>
        <w:rPr>
          <w:rFonts w:cs="Times New Roman"/>
        </w:rPr>
        <w:t>根据</w:t>
      </w:r>
      <w:r>
        <w:rPr>
          <w:rFonts w:cs="Times New Roman"/>
        </w:rPr>
        <w:t>《中华人民共和国环境影响评价法》《国务院关于修改</w:t>
      </w:r>
      <w:r>
        <w:rPr>
          <w:rFonts w:cs="Times New Roman" w:hint="eastAsia"/>
        </w:rPr>
        <w:t>〈</w:t>
      </w:r>
      <w:r>
        <w:rPr>
          <w:rFonts w:cs="Times New Roman"/>
        </w:rPr>
        <w:t>设项目环境保护管理条例</w:t>
      </w:r>
      <w:bookmarkStart w:id="34" w:name="OLE_LINK1230"/>
      <w:r>
        <w:rPr>
          <w:rFonts w:cs="Times New Roman" w:hint="eastAsia"/>
        </w:rPr>
        <w:t>〉</w:t>
      </w:r>
      <w:bookmarkEnd w:id="34"/>
      <w:r>
        <w:rPr>
          <w:rFonts w:cs="Times New Roman"/>
        </w:rPr>
        <w:t>决定》</w:t>
      </w:r>
      <w:r>
        <w:rPr>
          <w:rFonts w:cs="Times New Roman"/>
        </w:rPr>
        <w:t>，</w:t>
      </w:r>
      <w:r>
        <w:rPr>
          <w:rFonts w:cs="Times New Roman"/>
        </w:rPr>
        <w:t>202</w:t>
      </w:r>
      <w:r>
        <w:rPr>
          <w:rFonts w:cs="Times New Roman" w:hint="eastAsia"/>
        </w:rPr>
        <w:t>5</w:t>
      </w:r>
      <w:r>
        <w:rPr>
          <w:rFonts w:cs="Times New Roman"/>
        </w:rPr>
        <w:t>年</w:t>
      </w:r>
      <w:r>
        <w:rPr>
          <w:rFonts w:cs="Times New Roman" w:hint="eastAsia"/>
        </w:rPr>
        <w:t>4</w:t>
      </w:r>
      <w:r>
        <w:rPr>
          <w:rFonts w:cs="Times New Roman"/>
        </w:rPr>
        <w:t>月</w:t>
      </w:r>
      <w:r>
        <w:rPr>
          <w:rFonts w:cs="Times New Roman" w:hint="eastAsia"/>
        </w:rPr>
        <w:t>2</w:t>
      </w:r>
      <w:r>
        <w:rPr>
          <w:rFonts w:cs="Times New Roman" w:hint="eastAsia"/>
        </w:rPr>
        <w:t>日</w:t>
      </w:r>
      <w:r>
        <w:rPr>
          <w:rFonts w:cs="Times New Roman"/>
        </w:rPr>
        <w:t>，</w:t>
      </w:r>
      <w:r>
        <w:rPr>
          <w:rFonts w:cs="Times New Roman"/>
          <w:shd w:val="clear" w:color="auto" w:fill="FFFFFF"/>
        </w:rPr>
        <w:t>中国石油化工股份有限公司西北油田分公司</w:t>
      </w:r>
      <w:r>
        <w:rPr>
          <w:rFonts w:cs="Times New Roman"/>
        </w:rPr>
        <w:t>委托新疆天合环境技术咨询有限公司</w:t>
      </w:r>
      <w:r>
        <w:rPr>
          <w:rFonts w:cs="Times New Roman"/>
        </w:rPr>
        <w:t>（</w:t>
      </w:r>
      <w:r>
        <w:rPr>
          <w:rFonts w:cs="Times New Roman"/>
        </w:rPr>
        <w:t>以下简称</w:t>
      </w:r>
      <w:r>
        <w:rPr>
          <w:rFonts w:cs="Times New Roman"/>
        </w:rPr>
        <w:t>“</w:t>
      </w:r>
      <w:r>
        <w:rPr>
          <w:rFonts w:cs="Times New Roman"/>
        </w:rPr>
        <w:t>天合公司</w:t>
      </w:r>
      <w:r>
        <w:rPr>
          <w:rFonts w:cs="Times New Roman"/>
        </w:rPr>
        <w:t>”</w:t>
      </w:r>
      <w:r>
        <w:rPr>
          <w:rFonts w:cs="Times New Roman"/>
        </w:rPr>
        <w:t>）</w:t>
      </w:r>
      <w:r>
        <w:rPr>
          <w:rFonts w:cs="Times New Roman"/>
        </w:rPr>
        <w:t>承担本工程的环境影响评价工作（委托书见附件</w:t>
      </w:r>
      <w:r>
        <w:rPr>
          <w:rFonts w:cs="Times New Roman"/>
        </w:rPr>
        <w:t>1</w:t>
      </w:r>
      <w:r>
        <w:rPr>
          <w:rFonts w:cs="Times New Roman"/>
        </w:rPr>
        <w:t>）。</w:t>
      </w:r>
    </w:p>
    <w:p w:rsidR="00C645C9" w:rsidRDefault="00F955D9">
      <w:pPr>
        <w:pStyle w:val="aff"/>
        <w:widowControl w:val="0"/>
        <w:adjustRightInd w:val="0"/>
        <w:snapToGrid w:val="0"/>
        <w:rPr>
          <w:rFonts w:cs="Times New Roman"/>
          <w:color w:val="auto"/>
        </w:rPr>
      </w:pPr>
      <w:r>
        <w:rPr>
          <w:rFonts w:cs="Times New Roman"/>
          <w:color w:val="auto"/>
        </w:rPr>
        <w:t>天合公司接受环评委托后，在建设单位的协助下，按照环境影响评价的相关技术导则及有关工作程序，组织专业人员，对项目区现场实地踏勘、开展现状调查工作、收集资料及其他支撑性文件资料，对建设项目进行工程分析，根据各环境要素的评价等级对各要素环境影响进行预测和评价，提出环境保护措施并进行经济技术论证。受天合公司委托</w:t>
      </w:r>
      <w:r>
        <w:rPr>
          <w:rFonts w:cs="Times New Roman" w:hint="eastAsia"/>
          <w:color w:val="auto"/>
        </w:rPr>
        <w:t>，</w:t>
      </w:r>
      <w:r>
        <w:rPr>
          <w:rFonts w:cs="Times New Roman" w:hint="eastAsia"/>
          <w:color w:val="auto"/>
        </w:rPr>
        <w:t>新疆昇腾环保科技有限公司</w:t>
      </w:r>
      <w:r>
        <w:rPr>
          <w:rFonts w:hint="eastAsia"/>
          <w:color w:val="auto"/>
        </w:rPr>
        <w:t>于</w:t>
      </w:r>
      <w:r>
        <w:rPr>
          <w:rFonts w:hint="eastAsia"/>
          <w:color w:val="auto"/>
        </w:rPr>
        <w:t>202</w:t>
      </w:r>
      <w:r>
        <w:rPr>
          <w:rFonts w:hint="eastAsia"/>
          <w:color w:val="auto"/>
        </w:rPr>
        <w:t>5</w:t>
      </w:r>
      <w:r>
        <w:rPr>
          <w:rFonts w:hint="eastAsia"/>
          <w:color w:val="auto"/>
        </w:rPr>
        <w:t>年</w:t>
      </w:r>
      <w:r>
        <w:rPr>
          <w:rFonts w:hint="eastAsia"/>
          <w:color w:val="auto"/>
        </w:rPr>
        <w:t>4</w:t>
      </w:r>
      <w:r>
        <w:rPr>
          <w:rFonts w:hint="eastAsia"/>
          <w:color w:val="auto"/>
        </w:rPr>
        <w:t>月</w:t>
      </w:r>
      <w:r>
        <w:rPr>
          <w:rFonts w:cs="Times New Roman"/>
          <w:color w:val="auto"/>
        </w:rPr>
        <w:t>对</w:t>
      </w:r>
      <w:r>
        <w:rPr>
          <w:rFonts w:cs="Times New Roman"/>
          <w:color w:val="auto"/>
        </w:rPr>
        <w:t>本</w:t>
      </w:r>
      <w:r>
        <w:rPr>
          <w:rFonts w:cs="Times New Roman" w:hint="eastAsia"/>
          <w:color w:val="auto"/>
        </w:rPr>
        <w:t>工程</w:t>
      </w:r>
      <w:r>
        <w:rPr>
          <w:rFonts w:cs="Times New Roman"/>
          <w:color w:val="auto"/>
        </w:rPr>
        <w:t>评价区域</w:t>
      </w:r>
      <w:r>
        <w:rPr>
          <w:rFonts w:cs="Times New Roman"/>
          <w:color w:val="auto"/>
        </w:rPr>
        <w:t>大气</w:t>
      </w:r>
      <w:r>
        <w:rPr>
          <w:rFonts w:hint="eastAsia"/>
          <w:color w:val="auto"/>
        </w:rPr>
        <w:t>环境</w:t>
      </w:r>
      <w:r>
        <w:rPr>
          <w:rFonts w:cs="Times New Roman"/>
          <w:color w:val="auto"/>
        </w:rPr>
        <w:t>、</w:t>
      </w:r>
      <w:r>
        <w:rPr>
          <w:rFonts w:cs="Times New Roman"/>
          <w:color w:val="auto"/>
        </w:rPr>
        <w:t>土壤</w:t>
      </w:r>
      <w:r>
        <w:rPr>
          <w:rFonts w:hint="eastAsia"/>
          <w:color w:val="auto"/>
        </w:rPr>
        <w:t>环境</w:t>
      </w:r>
      <w:r>
        <w:rPr>
          <w:rFonts w:cs="Times New Roman"/>
          <w:color w:val="auto"/>
        </w:rPr>
        <w:t>、</w:t>
      </w:r>
      <w:r>
        <w:rPr>
          <w:rFonts w:cs="Times New Roman" w:hint="eastAsia"/>
          <w:color w:val="auto"/>
        </w:rPr>
        <w:t>地下水环境、</w:t>
      </w:r>
      <w:r>
        <w:rPr>
          <w:rFonts w:cs="Times New Roman"/>
          <w:color w:val="auto"/>
        </w:rPr>
        <w:t>声环境质量现状进行了监测</w:t>
      </w:r>
      <w:r>
        <w:rPr>
          <w:rFonts w:cs="Times New Roman" w:hint="eastAsia"/>
          <w:color w:val="auto"/>
        </w:rPr>
        <w:t>。根据监测结果，结合项目组所收集到的相关文件、资料，利用软件预测等手段，对工程施工和运营过程中各环境要素所产生的环境影响进行分析、预测和评价，并提出污染防治、生态保护及风险防控措施，论证环保设施的可行性等。</w:t>
      </w:r>
      <w:r>
        <w:rPr>
          <w:rFonts w:cs="Times New Roman"/>
          <w:color w:val="auto"/>
          <w:kern w:val="24"/>
        </w:rPr>
        <w:t>在上述工作基础上</w:t>
      </w:r>
      <w:r>
        <w:rPr>
          <w:rFonts w:cs="Times New Roman"/>
          <w:color w:val="auto"/>
        </w:rPr>
        <w:t>，天合公司编制完成了《</w:t>
      </w:r>
      <w:r>
        <w:rPr>
          <w:rFonts w:cs="Times New Roman" w:hint="eastAsia"/>
          <w:color w:val="auto"/>
        </w:rPr>
        <w:t>新北区块试采工程</w:t>
      </w:r>
      <w:r>
        <w:rPr>
          <w:rFonts w:cs="Times New Roman"/>
          <w:color w:val="auto"/>
        </w:rPr>
        <w:t>环境影响报告书》（以下简称</w:t>
      </w:r>
      <w:r>
        <w:rPr>
          <w:rFonts w:cs="Times New Roman" w:hint="eastAsia"/>
          <w:color w:val="auto"/>
        </w:rPr>
        <w:t>“</w:t>
      </w:r>
      <w:r>
        <w:rPr>
          <w:rFonts w:cs="Times New Roman"/>
          <w:color w:val="auto"/>
        </w:rPr>
        <w:t>报告书</w:t>
      </w:r>
      <w:r>
        <w:rPr>
          <w:rFonts w:cs="Times New Roman" w:hint="eastAsia"/>
          <w:color w:val="auto"/>
        </w:rPr>
        <w:t>”</w:t>
      </w:r>
      <w:r>
        <w:rPr>
          <w:rFonts w:cs="Times New Roman"/>
          <w:color w:val="auto"/>
        </w:rPr>
        <w:t>）。环境影响评价的工作程序见图</w:t>
      </w:r>
      <w:r>
        <w:rPr>
          <w:rFonts w:cs="Times New Roman"/>
          <w:color w:val="auto"/>
        </w:rPr>
        <w:t>1.2-1</w:t>
      </w:r>
      <w:r>
        <w:rPr>
          <w:rFonts w:cs="Times New Roman"/>
          <w:color w:val="auto"/>
        </w:rPr>
        <w:t>。</w:t>
      </w:r>
    </w:p>
    <w:p w:rsidR="00C645C9" w:rsidRDefault="00F955D9">
      <w:pPr>
        <w:pStyle w:val="13"/>
        <w:widowControl w:val="0"/>
        <w:adjustRightInd w:val="0"/>
        <w:snapToGrid w:val="0"/>
        <w:spacing w:line="360" w:lineRule="auto"/>
        <w:ind w:firstLine="480"/>
        <w:rPr>
          <w:rFonts w:cs="Times New Roman"/>
          <w:kern w:val="24"/>
        </w:rPr>
      </w:pPr>
      <w:r>
        <w:rPr>
          <w:rFonts w:cs="Times New Roman"/>
          <w:kern w:val="24"/>
        </w:rPr>
        <w:t>环评报告编制期间，</w:t>
      </w:r>
      <w:bookmarkStart w:id="35" w:name="OLE_LINK17"/>
      <w:r>
        <w:rPr>
          <w:rFonts w:cs="Times New Roman"/>
          <w:kern w:val="24"/>
        </w:rPr>
        <w:t>建设单位</w:t>
      </w:r>
      <w:bookmarkEnd w:id="35"/>
      <w:r>
        <w:rPr>
          <w:rFonts w:cs="Times New Roman"/>
          <w:kern w:val="24"/>
        </w:rPr>
        <w:t>于</w:t>
      </w:r>
      <w:r>
        <w:rPr>
          <w:rFonts w:cs="Times New Roman"/>
          <w:kern w:val="24"/>
        </w:rPr>
        <w:t>202</w:t>
      </w:r>
      <w:r>
        <w:rPr>
          <w:rFonts w:cs="Times New Roman" w:hint="eastAsia"/>
          <w:kern w:val="24"/>
        </w:rPr>
        <w:t>5</w:t>
      </w:r>
      <w:r>
        <w:rPr>
          <w:rFonts w:cs="Times New Roman"/>
          <w:kern w:val="24"/>
        </w:rPr>
        <w:t>年</w:t>
      </w:r>
      <w:r>
        <w:rPr>
          <w:rFonts w:cs="Times New Roman" w:hint="eastAsia"/>
          <w:kern w:val="24"/>
        </w:rPr>
        <w:t>4</w:t>
      </w:r>
      <w:r>
        <w:rPr>
          <w:rFonts w:cs="Times New Roman"/>
          <w:kern w:val="24"/>
        </w:rPr>
        <w:t>月</w:t>
      </w:r>
      <w:r>
        <w:rPr>
          <w:rFonts w:cs="Times New Roman" w:hint="eastAsia"/>
          <w:kern w:val="24"/>
        </w:rPr>
        <w:t>2</w:t>
      </w:r>
      <w:r>
        <w:rPr>
          <w:rFonts w:cs="Times New Roman"/>
          <w:kern w:val="24"/>
        </w:rPr>
        <w:t>日在</w:t>
      </w:r>
      <w:bookmarkStart w:id="36" w:name="OLE_LINK18"/>
      <w:r>
        <w:rPr>
          <w:rFonts w:cs="Times New Roman"/>
          <w:kern w:val="24"/>
        </w:rPr>
        <w:t>新疆维吾尔自治区生态环境保护产业协会网站</w:t>
      </w:r>
      <w:bookmarkEnd w:id="36"/>
      <w:r>
        <w:rPr>
          <w:rFonts w:cs="Times New Roman"/>
          <w:kern w:val="24"/>
        </w:rPr>
        <w:t>进行第一次网络信息公示，并开展项目区域环境质量现状监测工作。天合公司完成环境影响报告书征求意见稿</w:t>
      </w:r>
      <w:r>
        <w:rPr>
          <w:rFonts w:cs="Times New Roman" w:hint="eastAsia"/>
          <w:kern w:val="24"/>
        </w:rPr>
        <w:t>后</w:t>
      </w:r>
      <w:r>
        <w:rPr>
          <w:rFonts w:cs="Times New Roman"/>
          <w:kern w:val="24"/>
        </w:rPr>
        <w:t>，建设单位按照</w:t>
      </w:r>
      <w:bookmarkStart w:id="37" w:name="OLE_LINK21"/>
      <w:r>
        <w:rPr>
          <w:rFonts w:cs="Times New Roman"/>
          <w:kern w:val="24"/>
        </w:rPr>
        <w:t>《环境影响评价公众参与办法》（部令第</w:t>
      </w:r>
      <w:r>
        <w:rPr>
          <w:rFonts w:cs="Times New Roman"/>
          <w:kern w:val="24"/>
        </w:rPr>
        <w:t>4</w:t>
      </w:r>
      <w:r>
        <w:rPr>
          <w:rFonts w:cs="Times New Roman"/>
          <w:kern w:val="24"/>
        </w:rPr>
        <w:t>号）</w:t>
      </w:r>
      <w:bookmarkEnd w:id="37"/>
      <w:r>
        <w:rPr>
          <w:rFonts w:cs="Times New Roman"/>
          <w:kern w:val="24"/>
        </w:rPr>
        <w:t>要求，于</w:t>
      </w:r>
      <w:r>
        <w:rPr>
          <w:rFonts w:cs="Times New Roman"/>
          <w:kern w:val="24"/>
        </w:rPr>
        <w:t>202</w:t>
      </w:r>
      <w:r>
        <w:rPr>
          <w:rFonts w:cs="Times New Roman" w:hint="eastAsia"/>
          <w:kern w:val="24"/>
        </w:rPr>
        <w:t>5</w:t>
      </w:r>
      <w:r>
        <w:rPr>
          <w:rFonts w:cs="Times New Roman"/>
          <w:kern w:val="24"/>
        </w:rPr>
        <w:t>年</w:t>
      </w:r>
      <w:r>
        <w:rPr>
          <w:rFonts w:cs="Times New Roman" w:hint="eastAsia"/>
          <w:kern w:val="24"/>
        </w:rPr>
        <w:t>5</w:t>
      </w:r>
      <w:r>
        <w:rPr>
          <w:rFonts w:cs="Times New Roman"/>
          <w:kern w:val="24"/>
        </w:rPr>
        <w:t>月</w:t>
      </w:r>
      <w:r>
        <w:rPr>
          <w:rFonts w:cs="Times New Roman" w:hint="eastAsia"/>
          <w:kern w:val="24"/>
        </w:rPr>
        <w:t>8</w:t>
      </w:r>
      <w:r>
        <w:rPr>
          <w:rFonts w:cs="Times New Roman"/>
          <w:kern w:val="24"/>
        </w:rPr>
        <w:t>日</w:t>
      </w:r>
      <w:r>
        <w:rPr>
          <w:rFonts w:cs="Times New Roman"/>
          <w:kern w:val="24"/>
        </w:rPr>
        <w:t>在</w:t>
      </w:r>
      <w:bookmarkStart w:id="38" w:name="OLE_LINK19"/>
      <w:r>
        <w:rPr>
          <w:rFonts w:cs="Times New Roman"/>
          <w:kern w:val="24"/>
        </w:rPr>
        <w:t>新疆维吾尔自治区生态环境保护产业协会网站</w:t>
      </w:r>
      <w:bookmarkEnd w:id="38"/>
      <w:r>
        <w:rPr>
          <w:rFonts w:cs="Times New Roman"/>
          <w:kern w:val="24"/>
        </w:rPr>
        <w:t>进行第二次公示，同时在</w:t>
      </w:r>
      <w:r>
        <w:rPr>
          <w:rFonts w:cs="Times New Roman" w:hint="eastAsia"/>
          <w:kern w:val="24"/>
        </w:rPr>
        <w:t>工程</w:t>
      </w:r>
      <w:r>
        <w:rPr>
          <w:rFonts w:cs="Times New Roman"/>
          <w:kern w:val="24"/>
        </w:rPr>
        <w:t>所在地公示栏张贴了环评信息第二次公示材料。建设单位于</w:t>
      </w:r>
      <w:r>
        <w:rPr>
          <w:rFonts w:cs="Times New Roman"/>
          <w:kern w:val="24"/>
        </w:rPr>
        <w:t>202</w:t>
      </w:r>
      <w:r>
        <w:rPr>
          <w:rFonts w:cs="Times New Roman" w:hint="eastAsia"/>
          <w:kern w:val="24"/>
        </w:rPr>
        <w:t>5</w:t>
      </w:r>
      <w:r>
        <w:rPr>
          <w:rFonts w:cs="Times New Roman"/>
          <w:kern w:val="24"/>
        </w:rPr>
        <w:t>年</w:t>
      </w:r>
      <w:r>
        <w:rPr>
          <w:rFonts w:cs="Times New Roman" w:hint="eastAsia"/>
          <w:kern w:val="24"/>
        </w:rPr>
        <w:t>5</w:t>
      </w:r>
      <w:r>
        <w:rPr>
          <w:rFonts w:cs="Times New Roman"/>
          <w:kern w:val="24"/>
        </w:rPr>
        <w:t>月</w:t>
      </w:r>
      <w:r>
        <w:rPr>
          <w:rFonts w:cs="Times New Roman" w:hint="eastAsia"/>
          <w:kern w:val="24"/>
        </w:rPr>
        <w:t>12</w:t>
      </w:r>
      <w:r>
        <w:rPr>
          <w:rFonts w:cs="Times New Roman"/>
          <w:kern w:val="24"/>
        </w:rPr>
        <w:t>日及</w:t>
      </w:r>
      <w:r>
        <w:rPr>
          <w:rFonts w:cs="Times New Roman"/>
          <w:kern w:val="24"/>
        </w:rPr>
        <w:t>202</w:t>
      </w:r>
      <w:r>
        <w:rPr>
          <w:rFonts w:cs="Times New Roman" w:hint="eastAsia"/>
          <w:kern w:val="24"/>
        </w:rPr>
        <w:t>5</w:t>
      </w:r>
      <w:r>
        <w:rPr>
          <w:rFonts w:cs="Times New Roman"/>
          <w:kern w:val="24"/>
        </w:rPr>
        <w:t>年</w:t>
      </w:r>
      <w:r>
        <w:rPr>
          <w:rFonts w:cs="Times New Roman" w:hint="eastAsia"/>
          <w:kern w:val="24"/>
        </w:rPr>
        <w:t>5</w:t>
      </w:r>
      <w:r>
        <w:rPr>
          <w:rFonts w:cs="Times New Roman"/>
          <w:kern w:val="24"/>
        </w:rPr>
        <w:t>月</w:t>
      </w:r>
      <w:r>
        <w:rPr>
          <w:rFonts w:cs="Times New Roman" w:hint="eastAsia"/>
          <w:kern w:val="24"/>
        </w:rPr>
        <w:t>19</w:t>
      </w:r>
      <w:r>
        <w:rPr>
          <w:rFonts w:cs="Times New Roman"/>
          <w:kern w:val="24"/>
        </w:rPr>
        <w:t>日</w:t>
      </w:r>
      <w:r>
        <w:rPr>
          <w:rFonts w:cs="Times New Roman" w:hint="eastAsia"/>
          <w:kern w:val="24"/>
        </w:rPr>
        <w:t>，</w:t>
      </w:r>
      <w:r>
        <w:rPr>
          <w:rFonts w:cs="Times New Roman"/>
          <w:kern w:val="24"/>
        </w:rPr>
        <w:t>在</w:t>
      </w:r>
      <w:r>
        <w:rPr>
          <w:rFonts w:cs="Times New Roman" w:hint="eastAsia"/>
          <w:kern w:val="24"/>
        </w:rPr>
        <w:t>《</w:t>
      </w:r>
      <w:r>
        <w:rPr>
          <w:rFonts w:cs="Times New Roman"/>
          <w:kern w:val="24"/>
        </w:rPr>
        <w:t>阿克苏日</w:t>
      </w:r>
      <w:r>
        <w:rPr>
          <w:rFonts w:cs="Times New Roman"/>
          <w:kern w:val="24"/>
        </w:rPr>
        <w:t>报</w:t>
      </w:r>
      <w:r>
        <w:rPr>
          <w:rFonts w:cs="Times New Roman" w:hint="eastAsia"/>
          <w:kern w:val="24"/>
        </w:rPr>
        <w:t>》</w:t>
      </w:r>
      <w:r>
        <w:rPr>
          <w:rFonts w:cs="Times New Roman"/>
          <w:kern w:val="24"/>
        </w:rPr>
        <w:t>对</w:t>
      </w:r>
      <w:r>
        <w:rPr>
          <w:rFonts w:cs="Times New Roman" w:hint="eastAsia"/>
          <w:kern w:val="24"/>
        </w:rPr>
        <w:t>本工程</w:t>
      </w:r>
      <w:r>
        <w:rPr>
          <w:rFonts w:cs="Times New Roman"/>
          <w:kern w:val="24"/>
        </w:rPr>
        <w:t>的环境影响评价信息进行两次</w:t>
      </w:r>
      <w:r>
        <w:rPr>
          <w:rFonts w:hint="eastAsia"/>
        </w:rPr>
        <w:t>报纸公示</w:t>
      </w:r>
      <w:r>
        <w:rPr>
          <w:rFonts w:cs="Times New Roman"/>
          <w:kern w:val="24"/>
        </w:rPr>
        <w:t>。建设单</w:t>
      </w:r>
      <w:r>
        <w:rPr>
          <w:rFonts w:cs="Times New Roman"/>
          <w:kern w:val="24"/>
        </w:rPr>
        <w:lastRenderedPageBreak/>
        <w:t>位于</w:t>
      </w:r>
      <w:r>
        <w:rPr>
          <w:rFonts w:cs="Times New Roman"/>
          <w:kern w:val="24"/>
        </w:rPr>
        <w:t>202</w:t>
      </w:r>
      <w:r>
        <w:rPr>
          <w:rFonts w:cs="Times New Roman" w:hint="eastAsia"/>
          <w:kern w:val="24"/>
        </w:rPr>
        <w:t>5</w:t>
      </w:r>
      <w:r>
        <w:rPr>
          <w:rFonts w:cs="Times New Roman"/>
          <w:kern w:val="24"/>
        </w:rPr>
        <w:t>年</w:t>
      </w:r>
      <w:r>
        <w:rPr>
          <w:rFonts w:cs="Times New Roman" w:hint="eastAsia"/>
          <w:kern w:val="24"/>
        </w:rPr>
        <w:t>5</w:t>
      </w:r>
      <w:r>
        <w:rPr>
          <w:rFonts w:cs="Times New Roman"/>
          <w:kern w:val="24"/>
        </w:rPr>
        <w:t>月</w:t>
      </w:r>
      <w:r>
        <w:rPr>
          <w:rFonts w:cs="Times New Roman" w:hint="eastAsia"/>
          <w:kern w:val="24"/>
        </w:rPr>
        <w:t>**</w:t>
      </w:r>
      <w:r>
        <w:rPr>
          <w:rFonts w:cs="Times New Roman"/>
          <w:kern w:val="24"/>
        </w:rPr>
        <w:t>日在新疆维吾尔自治区生态环境保护产业协会网站进行环境影响评价报批前公示，公开拟报批的环境影响报告书全文和公众参与说明。载体选择符合《环境影响评价公众参与办法》（部令第</w:t>
      </w:r>
      <w:r>
        <w:rPr>
          <w:rFonts w:cs="Times New Roman"/>
          <w:kern w:val="24"/>
        </w:rPr>
        <w:t>4</w:t>
      </w:r>
      <w:r>
        <w:rPr>
          <w:rFonts w:cs="Times New Roman"/>
          <w:kern w:val="24"/>
        </w:rPr>
        <w:t>号）要求。根据建设单位提供</w:t>
      </w:r>
      <w:r>
        <w:rPr>
          <w:rFonts w:cs="Times New Roman" w:hint="eastAsia"/>
          <w:kern w:val="24"/>
        </w:rPr>
        <w:t>的</w:t>
      </w:r>
      <w:r>
        <w:rPr>
          <w:rFonts w:hint="eastAsia"/>
        </w:rPr>
        <w:t>《</w:t>
      </w:r>
      <w:bookmarkStart w:id="39" w:name="OLE_LINK483"/>
      <w:r>
        <w:rPr>
          <w:rFonts w:cs="Times New Roman" w:hint="eastAsia"/>
        </w:rPr>
        <w:t>新北区块试采工程</w:t>
      </w:r>
      <w:r>
        <w:rPr>
          <w:rFonts w:hint="eastAsia"/>
        </w:rPr>
        <w:t>公众参与说</w:t>
      </w:r>
      <w:bookmarkEnd w:id="39"/>
      <w:r>
        <w:rPr>
          <w:rFonts w:hint="eastAsia"/>
        </w:rPr>
        <w:t>明》，公示期间未收到反馈意见</w:t>
      </w:r>
      <w:r>
        <w:rPr>
          <w:rFonts w:cs="Times New Roman"/>
          <w:kern w:val="24"/>
        </w:rPr>
        <w:t>。</w:t>
      </w:r>
    </w:p>
    <w:p w:rsidR="00C645C9" w:rsidRDefault="00F955D9">
      <w:pPr>
        <w:pStyle w:val="13"/>
        <w:widowControl w:val="0"/>
        <w:adjustRightInd w:val="0"/>
        <w:snapToGrid w:val="0"/>
        <w:spacing w:line="360" w:lineRule="auto"/>
        <w:ind w:firstLine="480"/>
        <w:rPr>
          <w:rFonts w:cs="Times New Roman"/>
          <w:kern w:val="24"/>
        </w:rPr>
      </w:pPr>
      <w:r>
        <w:rPr>
          <w:rFonts w:cs="Times New Roman"/>
          <w:kern w:val="24"/>
        </w:rPr>
        <w:t>报告书经生态环境主管部门批准后，可以作为</w:t>
      </w:r>
      <w:r>
        <w:rPr>
          <w:rFonts w:cs="Times New Roman"/>
          <w:kern w:val="24"/>
        </w:rPr>
        <w:t>本</w:t>
      </w:r>
      <w:r>
        <w:rPr>
          <w:rFonts w:cs="Times New Roman" w:hint="eastAsia"/>
          <w:kern w:val="24"/>
        </w:rPr>
        <w:t>工程</w:t>
      </w:r>
      <w:r>
        <w:rPr>
          <w:rFonts w:cs="Times New Roman"/>
          <w:kern w:val="24"/>
        </w:rPr>
        <w:t>施工期、运营期</w:t>
      </w:r>
      <w:r>
        <w:rPr>
          <w:rFonts w:cs="Times New Roman"/>
          <w:kern w:val="24"/>
        </w:rPr>
        <w:t>、退役期</w:t>
      </w:r>
      <w:r>
        <w:rPr>
          <w:rFonts w:cs="Times New Roman"/>
          <w:kern w:val="24"/>
        </w:rPr>
        <w:t>的环境保护管理依据。</w:t>
      </w:r>
    </w:p>
    <w:p w:rsidR="00C645C9" w:rsidRDefault="00C645C9">
      <w:pPr>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2368"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34" name="矩形 34"/>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ind w:firstLineChars="150" w:firstLine="315"/>
                              <w:rPr>
                                <w:szCs w:val="21"/>
                              </w:rPr>
                            </w:pPr>
                            <w:r>
                              <w:rPr>
                                <w:rFonts w:hint="eastAsia"/>
                                <w:szCs w:val="21"/>
                              </w:rPr>
                              <w:t>收集分析工程技术文件</w:t>
                            </w:r>
                          </w:p>
                          <w:p w:rsidR="00C645C9" w:rsidRDefault="00F955D9">
                            <w:pPr>
                              <w:pStyle w:val="14"/>
                              <w:ind w:firstLineChars="150" w:firstLine="315"/>
                              <w:rPr>
                                <w:szCs w:val="21"/>
                              </w:rPr>
                            </w:pPr>
                            <w:r>
                              <w:rPr>
                                <w:rFonts w:hint="eastAsia"/>
                                <w:szCs w:val="21"/>
                              </w:rPr>
                              <w:t>以及相关基础资料</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8.35pt;margin-top:5.65pt;height:43.6pt;width:231.25pt;z-index:251662336;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oLeX2AAAAAkBAAAPAAAAAAAAAAEAIAAAACIA&#10;AABkcnMvZG93bnJldi54bWxQSwECFAAUAAAACACHTuJAVOZnIgkCAAA5BAAADgAAAAAAAAABACAA&#10;AAAnAQAAZHJzL2Uyb0RvYy54bWxQSwUGAAAAAAYABgBZAQAAogUAAAAA&#10;">
                <v:fill on="t" focussize="0,0"/>
                <v:stroke color="#000000" joinstyle="miter"/>
                <v:imagedata o:title=""/>
                <o:lock v:ext="edit" aspectratio="f"/>
                <v:textbox>
                  <w:txbxContent>
                    <w:p>
                      <w:pPr>
                        <w:pStyle w:val="68"/>
                        <w:ind w:firstLine="315" w:firstLineChars="150"/>
                        <w:jc w:val="center"/>
                        <w:rPr>
                          <w:rFonts w:hint="eastAsia"/>
                          <w:szCs w:val="21"/>
                          <w:lang w:val="en-US" w:eastAsia="zh-CN"/>
                        </w:rPr>
                      </w:pPr>
                      <w:r>
                        <w:rPr>
                          <w:rFonts w:hint="eastAsia"/>
                          <w:szCs w:val="21"/>
                          <w:lang w:val="en-US" w:eastAsia="zh-CN"/>
                        </w:rPr>
                        <w:t>收集分析工程技术文件</w:t>
                      </w:r>
                    </w:p>
                    <w:p>
                      <w:pPr>
                        <w:pStyle w:val="68"/>
                        <w:ind w:firstLine="315" w:firstLineChars="150"/>
                        <w:jc w:val="center"/>
                        <w:rPr>
                          <w:rFonts w:hint="default" w:eastAsia="宋体"/>
                          <w:szCs w:val="21"/>
                          <w:lang w:val="en-US" w:eastAsia="zh-CN"/>
                        </w:rPr>
                      </w:pPr>
                      <w:r>
                        <w:rPr>
                          <w:rFonts w:hint="eastAsia"/>
                          <w:szCs w:val="21"/>
                          <w:lang w:val="en-US" w:eastAsia="zh-CN"/>
                        </w:rPr>
                        <w:t>以及相关基础资料</w:t>
                      </w:r>
                    </w:p>
                  </w:txbxContent>
                </v:textbox>
              </v:rect>
            </w:pict>
          </mc:Fallback>
        </mc:AlternateContent>
      </w:r>
      <w:r>
        <w:rPr>
          <w:rFonts w:cs="Times New Roman"/>
          <w:noProof/>
        </w:rPr>
        <mc:AlternateContent>
          <mc:Choice Requires="wps">
            <w:drawing>
              <wp:anchor distT="0" distB="0" distL="114300" distR="114300" simplePos="0" relativeHeight="251658752" behindDoc="0" locked="0" layoutInCell="1" allowOverlap="1">
                <wp:simplePos x="0" y="0"/>
                <wp:positionH relativeFrom="column">
                  <wp:posOffset>50800</wp:posOffset>
                </wp:positionH>
                <wp:positionV relativeFrom="paragraph">
                  <wp:posOffset>-127635</wp:posOffset>
                </wp:positionV>
                <wp:extent cx="5181600" cy="6765290"/>
                <wp:effectExtent l="4445" t="4445" r="14605" b="12065"/>
                <wp:wrapNone/>
                <wp:docPr id="39" name="矩形 39"/>
                <wp:cNvGraphicFramePr/>
                <a:graphic xmlns:a="http://schemas.openxmlformats.org/drawingml/2006/main">
                  <a:graphicData uri="http://schemas.microsoft.com/office/word/2010/wordprocessingShape">
                    <wps:wsp>
                      <wps:cNvSpPr/>
                      <wps:spPr>
                        <a:xfrm>
                          <a:off x="0" y="0"/>
                          <a:ext cx="5181600" cy="676529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pt;margin-top:-10.05pt;height:532.7pt;width:408pt;z-index:251678720;mso-width-relative:page;mso-height-relative:page;" filled="f" stroked="t" coordsize="21600,21600" o:gfxdata="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C3uyzXAAAACgEAAA8AAAAAAAAAAQAgAAAAIgAAAGRycy9kb3ducmV2Lnht&#10;bFBLAQIUABQAAAAIAIdO4kDhqgYu+gEAAPcDAAAOAAAAAAAAAAEAIAAAACYBAABkcnMvZTJvRG9j&#10;LnhtbFBLBQYAAAAABgAGAFkBAACSBQAAAAA=&#10;">
                <v:fill on="f" focussize="0,0"/>
                <v:stroke color="#000000" joinstyle="miter" dashstyle="dash"/>
                <v:imagedata o:title=""/>
                <o:lock v:ext="edit" aspectratio="f"/>
              </v:rect>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3392" behindDoc="0" locked="0" layoutInCell="1" allowOverlap="1">
                <wp:simplePos x="0" y="0"/>
                <wp:positionH relativeFrom="column">
                  <wp:posOffset>2580640</wp:posOffset>
                </wp:positionH>
                <wp:positionV relativeFrom="paragraph">
                  <wp:posOffset>123825</wp:posOffset>
                </wp:positionV>
                <wp:extent cx="6350" cy="424180"/>
                <wp:effectExtent l="36830" t="0" r="33020" b="13970"/>
                <wp:wrapNone/>
                <wp:docPr id="40" name="直接箭头连接符 40"/>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2pt;margin-top:9.75pt;height:33.4pt;width:0.5pt;z-index:251663360;mso-width-relative:page;mso-height-relative:page;" filled="f" stroked="t" coordsize="21600,21600" o:gfxdata="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8xRT2AAAAAkBAAAPAAAA&#10;AAAAAAEAIAAAACIAAABkcnMvZG93bnJldi54bWxQSwECFAAUAAAACACHTuJA0u7BpBUCAAAMBAAA&#10;DgAAAAAAAAABACAAAAAnAQAAZHJzL2Uyb0RvYy54bWxQSwUGAAAAAAYABgBZAQAArgUAAAAA&#10;">
                <v:fill on="f" focussize="0,0"/>
                <v:stroke color="#000000" joinstyle="round" endarrow="block"/>
                <v:imagedata o:title=""/>
                <o:lock v:ext="edit" aspectratio="f"/>
              </v:shape>
            </w:pict>
          </mc:Fallback>
        </mc:AlternateContent>
      </w:r>
      <w:r>
        <w:rPr>
          <w:rFonts w:cs="Times New Roman"/>
          <w:noProof/>
        </w:rPr>
        <mc:AlternateContent>
          <mc:Choice Requires="wps">
            <w:drawing>
              <wp:anchor distT="0" distB="0" distL="114300" distR="114300" simplePos="0" relativeHeight="251655680"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45" name="矩形 45"/>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rsidR="00C645C9" w:rsidRDefault="00F955D9">
                            <w:pPr>
                              <w:pStyle w:val="14"/>
                              <w:ind w:firstLine="480"/>
                            </w:pPr>
                            <w:r>
                              <w:rPr>
                                <w:rFonts w:hint="eastAsia"/>
                              </w:rPr>
                              <w:t>第</w:t>
                            </w:r>
                            <w:r>
                              <w:rPr>
                                <w:rFonts w:hint="eastAsia"/>
                              </w:rPr>
                              <w:t>第</w:t>
                            </w:r>
                            <w:r>
                              <w:rPr>
                                <w:rFonts w:hint="eastAsia"/>
                              </w:rPr>
                              <w:t>一阶段</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7.9pt;margin-top:12.35pt;height:88.5pt;width:21pt;z-index:251675648;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DXpPaYsgEAAFoDAAAOAAAAAAAAAAEAIAAAACYBAABkcnMvZTJvRG9jLnhtbFBLBQYAAAAABgAG&#10;AFkBAABKBQAAAAA=&#10;">
                <v:fill on="f" focussize="0,0"/>
                <v:stroke on="f"/>
                <v:imagedata o:title=""/>
                <o:lock v:ext="edit" aspectratio="f"/>
                <v:textbox>
                  <w:txbxContent>
                    <w:p>
                      <w:pPr>
                        <w:pStyle w:val="68"/>
                        <w:ind w:firstLine="480"/>
                      </w:pPr>
                      <w:r>
                        <w:rPr>
                          <w:rFonts w:hint="eastAsia"/>
                        </w:rPr>
                        <w:t>第</w:t>
                      </w:r>
                      <w:r>
                        <w:rPr>
                          <w:rFonts w:hint="eastAsia"/>
                          <w:lang w:val="en-US" w:eastAsia="zh-CN"/>
                        </w:rPr>
                        <w:t>第</w:t>
                      </w:r>
                      <w:r>
                        <w:rPr>
                          <w:rFonts w:hint="eastAsia"/>
                        </w:rPr>
                        <w:t>一阶段</w:t>
                      </w:r>
                    </w:p>
                  </w:txbxContent>
                </v:textbox>
              </v:rect>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1344" behindDoc="0" locked="0" layoutInCell="1" allowOverlap="1">
                <wp:simplePos x="0" y="0"/>
                <wp:positionH relativeFrom="column">
                  <wp:posOffset>1142365</wp:posOffset>
                </wp:positionH>
                <wp:positionV relativeFrom="paragraph">
                  <wp:posOffset>35560</wp:posOffset>
                </wp:positionV>
                <wp:extent cx="2838450" cy="687705"/>
                <wp:effectExtent l="4445" t="4445" r="14605" b="12700"/>
                <wp:wrapNone/>
                <wp:docPr id="46" name="矩形 46"/>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ind w:firstLine="480"/>
                              <w:rPr>
                                <w:rFonts w:ascii="Times New Roman" w:hAnsi="Times New Roman" w:cs="Times New Roman"/>
                                <w:szCs w:val="21"/>
                              </w:rPr>
                            </w:pPr>
                            <w:r>
                              <w:rPr>
                                <w:rFonts w:ascii="Times New Roman" w:hAnsi="Times New Roman" w:cs="Times New Roman" w:hint="eastAsia"/>
                                <w:szCs w:val="21"/>
                              </w:rPr>
                              <w:t>进行工程分析，识别环境影响</w:t>
                            </w:r>
                          </w:p>
                          <w:p w:rsidR="00C645C9" w:rsidRDefault="00F955D9">
                            <w:pPr>
                              <w:pStyle w:val="14"/>
                              <w:ind w:firstLine="480"/>
                              <w:rPr>
                                <w:rFonts w:ascii="Times New Roman" w:hAnsi="Times New Roman" w:cs="Times New Roman"/>
                                <w:szCs w:val="21"/>
                              </w:rPr>
                            </w:pPr>
                            <w:r>
                              <w:rPr>
                                <w:rFonts w:ascii="Times New Roman" w:hAnsi="Times New Roman" w:cs="Times New Roman" w:hint="eastAsia"/>
                                <w:szCs w:val="21"/>
                              </w:rPr>
                              <w:t>并筛选评价因子，明确环境影响</w:t>
                            </w:r>
                          </w:p>
                          <w:p w:rsidR="00C645C9" w:rsidRDefault="00F955D9">
                            <w:pPr>
                              <w:pStyle w:val="14"/>
                              <w:ind w:firstLine="480"/>
                              <w:rPr>
                                <w:rFonts w:ascii="Times New Roman" w:hAnsi="Times New Roman" w:cs="Times New Roman"/>
                                <w:szCs w:val="21"/>
                              </w:rPr>
                            </w:pPr>
                            <w:r>
                              <w:rPr>
                                <w:rFonts w:ascii="Times New Roman" w:hAnsi="Times New Roman" w:cs="Times New Roman" w:hint="eastAsia"/>
                                <w:szCs w:val="21"/>
                              </w:rPr>
                              <w:t>评价工作重点和环境保护目标</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9.95pt;margin-top:2.8pt;height:54.15pt;width:223.5pt;z-index:251661312;mso-width-relative:page;mso-height-relative:page;" fillcolor="#FFFFFF" filled="t" stroked="t" coordsize="21600,21600" o:gfxdata="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tQyXWAAAACQEAAA8AAAAAAAAAAQAgAAAAIgAAAGRy&#10;cy9kb3ducmV2LnhtbFBLAQIUABQAAAAIAIdO4kAiSdnOBwIAADkEAAAOAAAAAAAAAAEAIAAAACUB&#10;AABkcnMvZTJvRG9jLnhtbFBLBQYAAAAABgAGAFkBAACeBQAAAAA=&#10;">
                <v:fill on="t" focussize="0,0"/>
                <v:stroke color="#000000" joinstyle="miter"/>
                <v:imagedata o:title=""/>
                <o:lock v:ext="edit" aspectratio="f"/>
                <v:textbox>
                  <w:txbxContent>
                    <w:p>
                      <w:pPr>
                        <w:pStyle w:val="68"/>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进行工程分析，识别环境影响</w:t>
                      </w:r>
                    </w:p>
                    <w:p>
                      <w:pPr>
                        <w:pStyle w:val="68"/>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并筛选评价因子，明确环境影响</w:t>
                      </w:r>
                    </w:p>
                    <w:p>
                      <w:pPr>
                        <w:pStyle w:val="68"/>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评价工作重点和环境保护目标</w:t>
                      </w:r>
                    </w:p>
                  </w:txbxContent>
                </v:textbox>
              </v:rect>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4416" behindDoc="0" locked="0" layoutInCell="1" allowOverlap="1">
                <wp:simplePos x="0" y="0"/>
                <wp:positionH relativeFrom="column">
                  <wp:posOffset>2581275</wp:posOffset>
                </wp:positionH>
                <wp:positionV relativeFrom="paragraph">
                  <wp:posOffset>224155</wp:posOffset>
                </wp:positionV>
                <wp:extent cx="4445" cy="352425"/>
                <wp:effectExtent l="36830" t="0" r="34925" b="9525"/>
                <wp:wrapNone/>
                <wp:docPr id="47" name="直接箭头连接符 47"/>
                <wp:cNvGraphicFramePr/>
                <a:graphic xmlns:a="http://schemas.openxmlformats.org/drawingml/2006/main">
                  <a:graphicData uri="http://schemas.microsoft.com/office/word/2010/wordprocessingShape">
                    <wps:wsp>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3.25pt;margin-top:17.65pt;height:27.75pt;width:0.35pt;z-index:251664384;mso-width-relative:page;mso-height-relative:page;" filled="f" stroked="t" coordsize="21600,21600" o:gfxdata="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4j7P2QAAAAkBAAAPAAAAAAAAAAEAIAAAACIAAABkcnMvZG93bnJldi54bWxQSwECFAAUAAAACACH&#10;TuJAUCAXbCMCAAA0BAAADgAAAAAAAAABACAAAAAoAQAAZHJzL2Uyb0RvYy54bWxQSwUGAAAAAAYA&#10;BgBZAQAAvQUAAAAA&#10;">
                <v:fill on="f" focussize="0,0"/>
                <v:stroke color="#000000" joinstyle="round" endarrow="block"/>
                <v:imagedata o:title=""/>
                <o:lock v:ext="edit" aspectratio="f"/>
              </v:shape>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5440" behindDoc="0" locked="0" layoutInCell="1" allowOverlap="1">
                <wp:simplePos x="0" y="0"/>
                <wp:positionH relativeFrom="column">
                  <wp:posOffset>1467485</wp:posOffset>
                </wp:positionH>
                <wp:positionV relativeFrom="paragraph">
                  <wp:posOffset>68580</wp:posOffset>
                </wp:positionV>
                <wp:extent cx="2226945" cy="504825"/>
                <wp:effectExtent l="5080" t="5080" r="15875" b="4445"/>
                <wp:wrapNone/>
                <wp:docPr id="48" name="矩形 48"/>
                <wp:cNvGraphicFramePr/>
                <a:graphic xmlns:a="http://schemas.openxmlformats.org/drawingml/2006/main">
                  <a:graphicData uri="http://schemas.microsoft.com/office/word/2010/wordprocessingShape">
                    <wps:wsp>
                      <wps:cNvSpPr/>
                      <wps:spPr>
                        <a:xfrm>
                          <a:off x="0" y="0"/>
                          <a:ext cx="222694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ind w:firstLine="480"/>
                              <w:rPr>
                                <w:rFonts w:ascii="Times New Roman" w:hAnsi="Times New Roman" w:cs="Times New Roman"/>
                                <w:szCs w:val="21"/>
                              </w:rPr>
                            </w:pPr>
                            <w:r>
                              <w:rPr>
                                <w:rFonts w:ascii="Times New Roman" w:hAnsi="Times New Roman" w:cs="Times New Roman" w:hint="eastAsia"/>
                                <w:szCs w:val="21"/>
                              </w:rPr>
                              <w:t>确定评价工作等级、</w:t>
                            </w:r>
                          </w:p>
                          <w:p w:rsidR="00C645C9" w:rsidRDefault="00F955D9">
                            <w:pPr>
                              <w:pStyle w:val="14"/>
                              <w:ind w:firstLine="480"/>
                              <w:rPr>
                                <w:rFonts w:ascii="Times New Roman" w:hAnsi="Times New Roman" w:cs="Times New Roman"/>
                                <w:szCs w:val="21"/>
                              </w:rPr>
                            </w:pPr>
                            <w:r>
                              <w:rPr>
                                <w:rFonts w:ascii="Times New Roman" w:hAnsi="Times New Roman" w:cs="Times New Roman" w:hint="eastAsia"/>
                                <w:szCs w:val="21"/>
                              </w:rPr>
                              <w:t>评价范围和评价标准</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15.55pt;margin-top:5.4pt;height:39.75pt;width:175.35pt;z-index:251665408;mso-width-relative:page;mso-height-relative:page;" fillcolor="#FFFFFF" filled="t" stroked="t" coordsize="21600,21600" o:gfxdata="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SbOHXAAAACQEAAA8AAAAAAAAAAQAgAAAAIgAAAGRy&#10;cy9kb3ducmV2LnhtbFBLAQIUABQAAAAIAIdO4kBmxIh3BgIAADkEAAAOAAAAAAAAAAEAIAAAACYB&#10;AABkcnMvZTJvRG9jLnhtbFBLBQYAAAAABgAGAFkBAACeBQAAAAA=&#10;">
                <v:fill on="t" focussize="0,0"/>
                <v:stroke color="#000000" joinstyle="miter"/>
                <v:imagedata o:title=""/>
                <o:lock v:ext="edit" aspectratio="f"/>
                <v:textbox>
                  <w:txbxContent>
                    <w:p>
                      <w:pPr>
                        <w:pStyle w:val="68"/>
                        <w:ind w:firstLine="48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确定评价工作等级、</w:t>
                      </w:r>
                    </w:p>
                    <w:p>
                      <w:pPr>
                        <w:pStyle w:val="68"/>
                        <w:ind w:firstLine="48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评价范围和评价标准</w:t>
                      </w:r>
                    </w:p>
                  </w:txbxContent>
                </v:textbox>
              </v:rect>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6464"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49" name="直接箭头连接符 49"/>
                <wp:cNvGraphicFramePr/>
                <a:graphic xmlns:a="http://schemas.openxmlformats.org/drawingml/2006/main">
                  <a:graphicData uri="http://schemas.microsoft.com/office/word/2010/wordprocessingShape">
                    <wps:wsp>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2.7pt;margin-top:5pt;height:39.1pt;width:0.65pt;z-index:251666432;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CS4dgAAAAJAQAADwAA&#10;AAAAAAABACAAAAAiAAAAZHJzL2Rvd25yZXYueG1sUEsBAhQAFAAAAAgAh07iQMxM2kQWAgAADAQA&#10;AA4AAAAAAAAAAQAgAAAAJwEAAGRycy9lMm9Eb2MueG1sUEsFBgAAAAAGAAYAWQEAAK8FAAAAAA==&#10;">
                <v:fill on="f" focussize="0,0"/>
                <v:stroke color="#000000" joinstyle="round" endarrow="block"/>
                <v:imagedata o:title=""/>
                <o:lock v:ext="edit" aspectratio="f"/>
              </v:shape>
            </w:pict>
          </mc:Fallback>
        </mc:AlternateContent>
      </w: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53632"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51" name="直接箭头连接符 51"/>
                <wp:cNvGraphicFramePr/>
                <a:graphic xmlns:a="http://schemas.openxmlformats.org/drawingml/2006/main">
                  <a:graphicData uri="http://schemas.microsoft.com/office/word/2010/wordprocessingShape">
                    <wps:wsp>
                      <wps:cNvCnPr/>
                      <wps:spPr>
                        <a:xfrm flipV="1">
                          <a:off x="0" y="0"/>
                          <a:ext cx="5124450" cy="2349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7.95pt;margin-top:0.1pt;height:1.85pt;width:403.5pt;z-index:251673600;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4o0G0wAAAAUBAAAPAAAAAAAAAAEAIAAAACIAAABkcnMv&#10;ZG93bnJldi54bWxQSwECFAAUAAAACACHTuJAlLk6ywgCAAD7AwAADgAAAAAAAAABACAAAAAiAQAA&#10;ZHJzL2Uyb0RvYy54bWxQSwUGAAAAAAYABgBZAQAAnAUAAAAA&#10;">
                <v:fill on="f" focussize="0,0"/>
                <v:stroke color="#000000" joinstyle="round" dashstyle="dash"/>
                <v:imagedata o:title=""/>
                <o:lock v:ext="edit" aspectratio="f"/>
              </v:shape>
            </w:pict>
          </mc:Fallback>
        </mc:AlternateContent>
      </w: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59776"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43" name="矩形 43"/>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rPr>
                                <w:rFonts w:ascii="Times New Roman" w:hAnsi="Times New Roman" w:cs="Times New Roman"/>
                                <w:szCs w:val="21"/>
                              </w:rPr>
                            </w:pPr>
                            <w:r>
                              <w:rPr>
                                <w:rFonts w:ascii="Times New Roman" w:hAnsi="Times New Roman" w:cs="Times New Roman" w:hint="eastAsia"/>
                                <w:szCs w:val="21"/>
                              </w:rPr>
                              <w:t>现状监测并进行调查与评价</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04pt;margin-top:4.25pt;height:24.55pt;width:194.25pt;z-index:251679744;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ImdK1gAAAAgBAAAPAAAAAAAAAAEAIAAAACIAAABk&#10;cnMvZG93bnJldi54bWxQSwECFAAUAAAACACHTuJAHh9y6AgCAAA5BAAADgAAAAAAAAABACAAAAAl&#10;AQAAZHJzL2Uyb0RvYy54bWxQSwUGAAAAAAYABgBZAQAAnwUAAAAA&#10;">
                <v:fill on="t" focussize="0,0"/>
                <v:stroke color="#000000" joinstyle="miter"/>
                <v:imagedata o:title=""/>
                <o:lock v:ext="edit" aspectratio="f"/>
                <v:textbox>
                  <w:txbxContent>
                    <w:p>
                      <w:pPr>
                        <w:pStyle w:val="68"/>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现状监测并进行调查与评价</w:t>
                      </w:r>
                    </w:p>
                  </w:txbxContent>
                </v:textbox>
              </v:rect>
            </w:pict>
          </mc:Fallback>
        </mc:AlternateContent>
      </w:r>
      <w:r>
        <w:rPr>
          <w:rFonts w:cs="Times New Roman"/>
          <w:noProof/>
        </w:rPr>
        <mc:AlternateContent>
          <mc:Choice Requires="wps">
            <w:drawing>
              <wp:anchor distT="0" distB="0" distL="114300" distR="114300" simplePos="0" relativeHeight="251656704"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59" name="矩形 59"/>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rsidR="00C645C9" w:rsidRDefault="00F955D9">
                            <w:pPr>
                              <w:pStyle w:val="14"/>
                              <w:ind w:firstLine="480"/>
                            </w:pPr>
                            <w:r>
                              <w:rPr>
                                <w:rFonts w:hint="eastAsia"/>
                              </w:rPr>
                              <w:t>第</w:t>
                            </w:r>
                            <w:r>
                              <w:rPr>
                                <w:rFonts w:hint="eastAsia"/>
                              </w:rPr>
                              <w:t>第</w:t>
                            </w:r>
                            <w:r>
                              <w:rPr>
                                <w:rFonts w:hint="eastAsia"/>
                              </w:rPr>
                              <w:t>二阶段</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85pt;margin-top:13.55pt;height:86.2pt;width:21pt;z-index:251676672;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b5IgKLIBAABaAwAADgAAAAAAAAABACAAAAAnAQAAZHJzL2Uyb0RvYy54bWxQSwUGAAAAAAYA&#10;BgBZAQAASwUAAAAA&#10;">
                <v:fill on="f" focussize="0,0"/>
                <v:stroke on="f"/>
                <v:imagedata o:title=""/>
                <o:lock v:ext="edit" aspectratio="f"/>
                <v:textbox>
                  <w:txbxContent>
                    <w:p>
                      <w:pPr>
                        <w:pStyle w:val="68"/>
                        <w:ind w:firstLine="480"/>
                      </w:pPr>
                      <w:r>
                        <w:rPr>
                          <w:rFonts w:hint="eastAsia"/>
                        </w:rPr>
                        <w:t>第</w:t>
                      </w:r>
                      <w:r>
                        <w:rPr>
                          <w:rFonts w:hint="eastAsia"/>
                          <w:lang w:val="en-US" w:eastAsia="zh-CN"/>
                        </w:rPr>
                        <w:t>第</w:t>
                      </w:r>
                      <w:r>
                        <w:rPr>
                          <w:rFonts w:hint="eastAsia"/>
                        </w:rPr>
                        <w:t>二阶段</w:t>
                      </w:r>
                    </w:p>
                  </w:txbxContent>
                </v:textbox>
              </v:rect>
            </w:pict>
          </mc:Fallback>
        </mc:AlternateContent>
      </w: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7488"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61" name="直接箭头连接符 61"/>
                <wp:cNvGraphicFramePr/>
                <a:graphic xmlns:a="http://schemas.openxmlformats.org/drawingml/2006/main">
                  <a:graphicData uri="http://schemas.microsoft.com/office/word/2010/wordprocessingShape">
                    <wps:wsp>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1.45pt;margin-top:7.85pt;height:42.2pt;width:0.6pt;z-index:251667456;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B649NgAAAAKAQAADwAA&#10;AAAAAAABACAAAAAiAAAAZHJzL2Rvd25yZXYueG1sUEsBAhQAFAAAAAgAh07iQAD0g/cWAgAADAQA&#10;AA4AAAAAAAAAAQAgAAAAJwEAAGRycy9lMm9Eb2MueG1sUEsFBgAAAAAGAAYAWQEAAK8FAAAAAA==&#10;">
                <v:fill on="f" focussize="0,0"/>
                <v:stroke color="#000000" joinstyle="round" endarrow="block"/>
                <v:imagedata o:title=""/>
                <o:lock v:ext="edit" aspectratio="f"/>
              </v:shape>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8512"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63" name="矩形 63"/>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rPr>
                                <w:rFonts w:ascii="Times New Roman" w:hAnsi="Times New Roman" w:cs="Times New Roman"/>
                                <w:szCs w:val="21"/>
                              </w:rPr>
                            </w:pPr>
                            <w:r>
                              <w:rPr>
                                <w:rFonts w:ascii="Times New Roman" w:hAnsi="Times New Roman" w:cs="Times New Roman" w:hint="eastAsia"/>
                                <w:szCs w:val="21"/>
                              </w:rPr>
                              <w:t>各环境要素和专题环境影响预测与评价</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04.45pt;margin-top:10.7pt;height:30.65pt;width:194.25pt;z-index:251668480;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AOUjunBwIAADkEAAAOAAAAZHJzL2Uyb0RvYy54bWytU82O&#10;0zAQviPxDpbvNG2Xlm3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q6vKHEMI0d//nl&#10;24/vXwluoDudCyUGPbh7P64CwiS1r71OXxRB+uzo6ewo9JFw3Jy/Xi5XbxaUcDy7uV3NF4tEWvz5&#10;2/kQ34PVJIGKeuxYNpIdP4Q4hP4OScmCVVLspFJ54Zv9W+XJkWF3d/kZ2Z+EKUO6iq4W81QHw5Gt&#10;cVQQaoeyg2lyvid/hEviaX7+RZwK27LQDgVkhhTGSi0j+IxaYOKdESSeHDpr8EbRVIwGQYkCvIAJ&#10;5cjIpLomEr1TJiWBPN6jS6lNQ2MSiv2+R9IE91acsMMH52XTosGzLCSd4ETlTozTn0b2co348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bpqo1wAAAAkBAAAPAAAAAAAAAAEAIAAAACIAAABk&#10;cnMvZG93bnJldi54bWxQSwECFAAUAAAACACHTuJADlI7pwcCAAA5BAAADgAAAAAAAAABACAAAAAm&#10;AQAAZHJzL2Uyb0RvYy54bWxQSwUGAAAAAAYABgBZAQAAnwUAAAAA&#10;">
                <v:fill on="t" focussize="0,0"/>
                <v:stroke color="#000000" joinstyle="miter"/>
                <v:imagedata o:title=""/>
                <o:lock v:ext="edit" aspectratio="f"/>
                <v:textbox>
                  <w:txbxContent>
                    <w:p>
                      <w:pPr>
                        <w:pStyle w:val="68"/>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各环境要素和专题环境影响预测与评价</w:t>
                      </w:r>
                    </w:p>
                  </w:txbxContent>
                </v:textbox>
              </v:rect>
            </w:pict>
          </mc:Fallback>
        </mc:AlternateContent>
      </w: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49536"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64" name="直接箭头连接符 64"/>
                <wp:cNvGraphicFramePr/>
                <a:graphic xmlns:a="http://schemas.openxmlformats.org/drawingml/2006/main">
                  <a:graphicData uri="http://schemas.microsoft.com/office/word/2010/wordprocessingShape">
                    <wps:wsp>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1.55pt;margin-top:1.35pt;height:46.45pt;width:0.05pt;z-index:251669504;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v3gRtcAAAAIAQAADwAAAAAAAAABACAAAAAiAAAAZHJzL2Rvd25yZXYueG1sUEsB&#10;AhQAFAAAAAgAh07iQEk+ev8vAgAATQQAAA4AAAAAAAAAAQAgAAAAJgEAAGRycy9lMm9Eb2MueG1s&#10;UEsFBgAAAAAGAAYAWQEAAMcFAAAAAA==&#10;">
                <v:fill on="f" focussize="0,0"/>
                <v:stroke color="#000000" joinstyle="round" endarrow="block"/>
                <v:imagedata o:title=""/>
                <o:lock v:ext="edit" aspectratio="f"/>
              </v:shape>
            </w:pict>
          </mc:Fallback>
        </mc:AlternateContent>
      </w:r>
    </w:p>
    <w:p w:rsidR="00C645C9" w:rsidRDefault="00F955D9">
      <w:pPr>
        <w:spacing w:line="400" w:lineRule="atLeast"/>
        <w:ind w:firstLine="480"/>
        <w:rPr>
          <w:rFonts w:cs="Times New Roman"/>
          <w:sz w:val="15"/>
          <w:szCs w:val="15"/>
        </w:rPr>
      </w:pPr>
      <w:r>
        <w:rPr>
          <w:rFonts w:cs="Times New Roman"/>
          <w:noProof/>
        </w:rPr>
        <mc:AlternateContent>
          <mc:Choice Requires="wps">
            <w:drawing>
              <wp:anchor distT="0" distB="0" distL="114300" distR="114300" simplePos="0" relativeHeight="251654656"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66" name="直接箭头连接符 66"/>
                <wp:cNvGraphicFramePr/>
                <a:graphic xmlns:a="http://schemas.openxmlformats.org/drawingml/2006/main">
                  <a:graphicData uri="http://schemas.microsoft.com/office/word/2010/wordprocessingShape">
                    <wps:wsp>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5.2pt;margin-top:8.65pt;height:0.2pt;width:409.95pt;z-index:251674624;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ZrYubVAAAACAEAAA8AAAAAAAAAAQAgAAAA&#10;IgAAAGRycy9kb3ducmV2LnhtbFBLAQIUABQAAAAIAIdO4kBNd5iGDgIAAAgEAAAOAAAAAAAAAAEA&#10;IAAAACQBAABkcnMvZTJvRG9jLnhtbFBLBQYAAAAABgAGAFkBAACkBQAAAAA=&#10;">
                <v:fill on="f" focussize="0,0"/>
                <v:stroke color="#000000" joinstyle="round" dashstyle="dash"/>
                <v:imagedata o:title=""/>
                <o:lock v:ext="edit" aspectratio="f"/>
              </v:shape>
            </w:pict>
          </mc:Fallback>
        </mc:AlternateContent>
      </w: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50560"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68" name="矩形 68"/>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ind w:firstLineChars="200" w:firstLine="420"/>
                              <w:jc w:val="both"/>
                              <w:rPr>
                                <w:rFonts w:ascii="Times New Roman" w:hAnsi="Times New Roman" w:cs="Times New Roman"/>
                                <w:szCs w:val="21"/>
                              </w:rPr>
                            </w:pPr>
                            <w:r>
                              <w:rPr>
                                <w:rFonts w:ascii="Times New Roman" w:hAnsi="Times New Roman" w:cs="Times New Roman" w:hint="eastAsia"/>
                                <w:szCs w:val="21"/>
                              </w:rPr>
                              <w:t>确定科学合理、可行的工程方案，提出预防或减缓不利影响的对策或措施，制定相应的环境管理要求或环境监测计划</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92.55pt;margin-top:7.8pt;height:57.25pt;width:218pt;z-index:251670528;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XkE9cAAAAKAQAADwAAAAAAAAABACAAAAAiAAAAZHJz&#10;L2Rvd25yZXYueG1sUEsBAhQAFAAAAAgAh07iQHaMBngFAgAAOQQAAA4AAAAAAAAAAQAgAAAAJgEA&#10;AGRycy9lMm9Eb2MueG1sUEsFBgAAAAAGAAYAWQEAAJ0FAAAAAA==&#10;">
                <v:fill on="t" focussize="0,0"/>
                <v:stroke color="#000000" joinstyle="miter"/>
                <v:imagedata o:title=""/>
                <o:lock v:ext="edit" aspectratio="f"/>
                <v:textbox>
                  <w:txbxContent>
                    <w:p>
                      <w:pPr>
                        <w:pStyle w:val="68"/>
                        <w:ind w:firstLine="420" w:firstLineChars="200"/>
                        <w:jc w:val="both"/>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确定科学合理、可行的工程方案，提出预防或减缓不利影响的对策或措施，制定相应的环境管理要求或环境监测计划</w:t>
                      </w:r>
                    </w:p>
                  </w:txbxContent>
                </v:textbox>
              </v:rect>
            </w:pict>
          </mc:Fallback>
        </mc:AlternateContent>
      </w:r>
      <w:r>
        <w:rPr>
          <w:rFonts w:cs="Times New Roman"/>
          <w:noProof/>
        </w:rPr>
        <mc:AlternateContent>
          <mc:Choice Requires="wps">
            <w:drawing>
              <wp:anchor distT="0" distB="0" distL="114300" distR="114300" simplePos="0" relativeHeight="251657728"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70" name="矩形 70"/>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rsidR="00C645C9" w:rsidRDefault="00F955D9">
                            <w:pPr>
                              <w:pStyle w:val="14"/>
                              <w:ind w:firstLine="480"/>
                            </w:pPr>
                            <w:r>
                              <w:rPr>
                                <w:rFonts w:hint="eastAsia"/>
                              </w:rPr>
                              <w:t>第</w:t>
                            </w:r>
                            <w:r>
                              <w:rPr>
                                <w:rFonts w:hint="eastAsia"/>
                              </w:rPr>
                              <w:t>第</w:t>
                            </w:r>
                            <w:r>
                              <w:rPr>
                                <w:rFonts w:hint="eastAsia"/>
                              </w:rPr>
                              <w:t>三阶段</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7.3pt;margin-top:4.7pt;height:99.25pt;width:21pt;z-index:251677696;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8BXX&#10;1wAAAAcBAAAPAAAAAAAAAAEAIAAAACIAAABkcnMvZG93bnJldi54bWxQSwECFAAUAAAACACHTuJA&#10;jiwfqbABAABaAwAADgAAAAAAAAABACAAAAAmAQAAZHJzL2Uyb0RvYy54bWxQSwUGAAAAAAYABgBZ&#10;AQAASAUAAAAA&#10;">
                <v:fill on="f" focussize="0,0"/>
                <v:stroke on="f"/>
                <v:imagedata o:title=""/>
                <o:lock v:ext="edit" aspectratio="f"/>
                <v:textbox>
                  <w:txbxContent>
                    <w:p>
                      <w:pPr>
                        <w:pStyle w:val="68"/>
                        <w:ind w:firstLine="480"/>
                      </w:pPr>
                      <w:r>
                        <w:rPr>
                          <w:rFonts w:hint="eastAsia"/>
                        </w:rPr>
                        <w:t>第</w:t>
                      </w:r>
                      <w:r>
                        <w:rPr>
                          <w:rFonts w:hint="eastAsia"/>
                          <w:lang w:val="en-US" w:eastAsia="zh-CN"/>
                        </w:rPr>
                        <w:t>第</w:t>
                      </w:r>
                      <w:r>
                        <w:rPr>
                          <w:rFonts w:hint="eastAsia"/>
                        </w:rPr>
                        <w:t>三阶段</w:t>
                      </w:r>
                    </w:p>
                  </w:txbxContent>
                </v:textbox>
              </v:rect>
            </w:pict>
          </mc:Fallback>
        </mc:AlternateContent>
      </w:r>
    </w:p>
    <w:p w:rsidR="00C645C9" w:rsidRDefault="00C645C9">
      <w:pPr>
        <w:spacing w:line="400" w:lineRule="atLeast"/>
        <w:ind w:firstLine="480"/>
        <w:rPr>
          <w:rFonts w:cs="Times New Roman"/>
        </w:rPr>
      </w:pPr>
    </w:p>
    <w:p w:rsidR="00C645C9" w:rsidRDefault="00C645C9">
      <w:pPr>
        <w:spacing w:line="400" w:lineRule="atLeast"/>
        <w:ind w:firstLine="480"/>
        <w:rPr>
          <w:rFonts w:cs="Times New Roman"/>
        </w:rPr>
      </w:pP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51584"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71" name="直接箭头连接符 71"/>
                <wp:cNvGraphicFramePr/>
                <a:graphic xmlns:a="http://schemas.openxmlformats.org/drawingml/2006/main">
                  <a:graphicData uri="http://schemas.microsoft.com/office/word/2010/wordprocessingShape">
                    <wps:wsp>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0.5pt;margin-top:4.7pt;height:18.15pt;width:0.05pt;z-index:251671552;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DYrTYAAAACAEAAA8AAAAAAAAAAQAgAAAA&#10;IgAAAGRycy9kb3ducmV2LnhtbFBLAQIUABQAAAAIAIdO4kCqLWOECwIAAAEEAAAOAAAAAAAAAAEA&#10;IAAAACcBAABkcnMvZTJvRG9jLnhtbFBLBQYAAAAABgAGAFkBAACkBQAAAAA=&#10;">
                <v:fill on="f" focussize="0,0"/>
                <v:stroke color="#000000" joinstyle="round" endarrow="block"/>
                <v:imagedata o:title=""/>
                <o:lock v:ext="edit" aspectratio="f"/>
              </v:shape>
            </w:pict>
          </mc:Fallback>
        </mc:AlternateContent>
      </w:r>
    </w:p>
    <w:p w:rsidR="00C645C9" w:rsidRDefault="00F955D9">
      <w:pPr>
        <w:spacing w:line="400" w:lineRule="atLeast"/>
        <w:ind w:firstLine="480"/>
        <w:rPr>
          <w:rFonts w:cs="Times New Roman"/>
        </w:rPr>
      </w:pPr>
      <w:r>
        <w:rPr>
          <w:rFonts w:cs="Times New Roman"/>
          <w:noProof/>
        </w:rPr>
        <mc:AlternateContent>
          <mc:Choice Requires="wps">
            <w:drawing>
              <wp:anchor distT="0" distB="0" distL="114300" distR="114300" simplePos="0" relativeHeight="251652608"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72" name="矩形 72"/>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C645C9" w:rsidRDefault="00F955D9">
                            <w:pPr>
                              <w:pStyle w:val="14"/>
                              <w:rPr>
                                <w:szCs w:val="21"/>
                              </w:rPr>
                            </w:pPr>
                            <w:r>
                              <w:rPr>
                                <w:rFonts w:hint="eastAsia"/>
                                <w:szCs w:val="21"/>
                              </w:rPr>
                              <w:t>从生态环境影响的角度给出</w:t>
                            </w:r>
                          </w:p>
                          <w:p w:rsidR="00C645C9" w:rsidRDefault="00F955D9">
                            <w:pPr>
                              <w:pStyle w:val="14"/>
                              <w:rPr>
                                <w:szCs w:val="21"/>
                              </w:rPr>
                            </w:pPr>
                            <w:r>
                              <w:rPr>
                                <w:rFonts w:hint="eastAsia"/>
                                <w:szCs w:val="21"/>
                              </w:rPr>
                              <w:t>工程建设项目是否可行的结论</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92.35pt;margin-top:3.65pt;height:41.55pt;width:217.65pt;z-index:251672576;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yTdJsQUCAAA5BAAADgAAAAAAAAABACAAAAAlAQAA&#10;ZHJzL2Uyb0RvYy54bWxQSwUGAAAAAAYABgBZAQAAnAUAAAAA&#10;">
                <v:fill on="t" focussize="0,0"/>
                <v:stroke color="#000000" joinstyle="miter"/>
                <v:imagedata o:title=""/>
                <o:lock v:ext="edit" aspectratio="f"/>
                <v:textbox>
                  <w:txbxContent>
                    <w:p>
                      <w:pPr>
                        <w:pStyle w:val="68"/>
                        <w:jc w:val="center"/>
                        <w:rPr>
                          <w:rFonts w:hint="eastAsia"/>
                          <w:szCs w:val="21"/>
                          <w:lang w:val="en-US" w:eastAsia="zh-CN"/>
                        </w:rPr>
                      </w:pPr>
                      <w:r>
                        <w:rPr>
                          <w:rFonts w:hint="eastAsia"/>
                          <w:szCs w:val="21"/>
                          <w:lang w:val="en-US" w:eastAsia="zh-CN"/>
                        </w:rPr>
                        <w:t>从生态环境影响的角度给出</w:t>
                      </w:r>
                    </w:p>
                    <w:p>
                      <w:pPr>
                        <w:pStyle w:val="68"/>
                        <w:jc w:val="center"/>
                        <w:rPr>
                          <w:rFonts w:hint="default" w:eastAsia="宋体"/>
                          <w:szCs w:val="21"/>
                          <w:lang w:val="en-US" w:eastAsia="zh-CN"/>
                        </w:rPr>
                      </w:pPr>
                      <w:r>
                        <w:rPr>
                          <w:rFonts w:hint="eastAsia"/>
                          <w:szCs w:val="21"/>
                          <w:lang w:val="en-US" w:eastAsia="zh-CN"/>
                        </w:rPr>
                        <w:t>工程建设项目是否可行的结论</w:t>
                      </w:r>
                    </w:p>
                  </w:txbxContent>
                </v:textbox>
              </v:rect>
            </w:pict>
          </mc:Fallback>
        </mc:AlternateContent>
      </w:r>
    </w:p>
    <w:p w:rsidR="00C645C9" w:rsidRDefault="00C645C9">
      <w:pPr>
        <w:spacing w:line="400" w:lineRule="atLeast"/>
        <w:ind w:firstLine="480"/>
        <w:rPr>
          <w:rFonts w:cs="Times New Roman"/>
        </w:rPr>
      </w:pPr>
    </w:p>
    <w:p w:rsidR="00C645C9" w:rsidRDefault="00C645C9">
      <w:pPr>
        <w:ind w:firstLine="480"/>
        <w:rPr>
          <w:rFonts w:cs="Times New Roman"/>
        </w:rPr>
      </w:pPr>
    </w:p>
    <w:p w:rsidR="00C645C9" w:rsidRDefault="00C645C9">
      <w:pPr>
        <w:spacing w:before="47" w:line="185" w:lineRule="auto"/>
        <w:jc w:val="center"/>
        <w:rPr>
          <w:rFonts w:eastAsia="黑体" w:cs="Times New Roman"/>
          <w:bCs/>
          <w:sz w:val="21"/>
          <w:szCs w:val="21"/>
        </w:rPr>
      </w:pPr>
    </w:p>
    <w:p w:rsidR="00C645C9" w:rsidRDefault="00F955D9">
      <w:pPr>
        <w:spacing w:before="47" w:line="185" w:lineRule="auto"/>
        <w:jc w:val="center"/>
        <w:rPr>
          <w:rFonts w:eastAsia="Times New Roman" w:cs="Times New Roman"/>
        </w:rPr>
      </w:pPr>
      <w:r>
        <w:rPr>
          <w:rFonts w:eastAsia="黑体" w:cs="Times New Roman"/>
          <w:bCs/>
          <w:sz w:val="21"/>
          <w:szCs w:val="21"/>
        </w:rPr>
        <w:t>图</w:t>
      </w:r>
      <w:r>
        <w:rPr>
          <w:rFonts w:eastAsia="黑体" w:cs="Times New Roman"/>
          <w:bCs/>
          <w:sz w:val="21"/>
          <w:szCs w:val="21"/>
        </w:rPr>
        <w:t>1.2-1</w:t>
      </w:r>
      <w:r>
        <w:rPr>
          <w:rFonts w:cs="Times New Roman"/>
          <w:bCs/>
          <w:sz w:val="21"/>
          <w:szCs w:val="21"/>
        </w:rPr>
        <w:t xml:space="preserve">   </w:t>
      </w:r>
      <w:r>
        <w:rPr>
          <w:rFonts w:eastAsia="黑体" w:cs="Times New Roman"/>
          <w:bCs/>
          <w:sz w:val="21"/>
          <w:szCs w:val="21"/>
        </w:rPr>
        <w:t>环境影响评价工作程序图</w:t>
      </w:r>
    </w:p>
    <w:p w:rsidR="00C645C9" w:rsidRDefault="00F955D9">
      <w:pPr>
        <w:pStyle w:val="2"/>
        <w:widowControl w:val="0"/>
        <w:adjustRightInd w:val="0"/>
        <w:snapToGrid w:val="0"/>
        <w:spacing w:line="360" w:lineRule="auto"/>
        <w:rPr>
          <w:rFonts w:ascii="Times New Roman" w:hAnsi="Times New Roman" w:cs="Times New Roman"/>
          <w:color w:val="auto"/>
          <w:lang w:eastAsia="zh-CN"/>
        </w:rPr>
      </w:pPr>
      <w:bookmarkStart w:id="40" w:name="_Toc75438872"/>
      <w:bookmarkStart w:id="41" w:name="_Toc201"/>
      <w:bookmarkStart w:id="42" w:name="_Toc25479"/>
      <w:r>
        <w:rPr>
          <w:rFonts w:ascii="Times New Roman" w:hAnsi="Times New Roman" w:cs="Times New Roman"/>
          <w:color w:val="auto"/>
          <w:lang w:eastAsia="zh-CN"/>
        </w:rPr>
        <w:lastRenderedPageBreak/>
        <w:t>1.3</w:t>
      </w:r>
      <w:bookmarkEnd w:id="40"/>
      <w:bookmarkEnd w:id="41"/>
      <w:r>
        <w:rPr>
          <w:rFonts w:ascii="Times New Roman" w:hAnsi="Times New Roman" w:cs="Times New Roman"/>
          <w:color w:val="auto"/>
          <w:lang w:eastAsia="zh-CN"/>
        </w:rPr>
        <w:t>分析判定相关情况</w:t>
      </w:r>
      <w:bookmarkEnd w:id="42"/>
    </w:p>
    <w:p w:rsidR="00C645C9" w:rsidRDefault="00F955D9">
      <w:pPr>
        <w:widowControl w:val="0"/>
        <w:autoSpaceDE w:val="0"/>
        <w:autoSpaceDN w:val="0"/>
        <w:adjustRightInd w:val="0"/>
        <w:snapToGrid w:val="0"/>
        <w:spacing w:line="360" w:lineRule="auto"/>
        <w:ind w:firstLineChars="200" w:firstLine="480"/>
        <w:rPr>
          <w:rFonts w:cs="Times New Roman"/>
          <w:bCs/>
          <w:lang w:val="zh-CN"/>
        </w:rPr>
      </w:pPr>
      <w:r>
        <w:rPr>
          <w:rFonts w:cs="Times New Roman"/>
          <w:bCs/>
        </w:rPr>
        <w:t>（</w:t>
      </w:r>
      <w:r>
        <w:rPr>
          <w:rFonts w:cs="Times New Roman"/>
          <w:bCs/>
        </w:rPr>
        <w:t>1</w:t>
      </w:r>
      <w:r>
        <w:rPr>
          <w:rFonts w:cs="Times New Roman"/>
          <w:bCs/>
        </w:rPr>
        <w:t>）</w:t>
      </w:r>
      <w:r>
        <w:rPr>
          <w:rFonts w:cs="Times New Roman"/>
          <w:bCs/>
        </w:rPr>
        <w:t>产业政策符合性判定结论</w:t>
      </w:r>
    </w:p>
    <w:p w:rsidR="00C645C9" w:rsidRDefault="00F955D9">
      <w:pPr>
        <w:pStyle w:val="13"/>
        <w:widowControl w:val="0"/>
        <w:adjustRightInd w:val="0"/>
        <w:snapToGrid w:val="0"/>
        <w:spacing w:line="360" w:lineRule="auto"/>
        <w:ind w:firstLine="480"/>
        <w:rPr>
          <w:rFonts w:cs="Times New Roman"/>
          <w:lang w:val="zh-CN"/>
        </w:rPr>
      </w:pPr>
      <w:r>
        <w:rPr>
          <w:rFonts w:cs="Times New Roman"/>
          <w:lang w:val="zh-CN"/>
        </w:rPr>
        <w:t>根据《</w:t>
      </w:r>
      <w:bookmarkStart w:id="43" w:name="OLE_LINK22"/>
      <w:r>
        <w:rPr>
          <w:rFonts w:cs="Times New Roman"/>
          <w:lang w:val="zh-CN"/>
        </w:rPr>
        <w:t>产业结构调整指导目录</w:t>
      </w:r>
      <w:bookmarkEnd w:id="43"/>
      <w:r>
        <w:rPr>
          <w:rFonts w:cs="Times New Roman"/>
          <w:lang w:val="zh-CN"/>
        </w:rPr>
        <w:t>（</w:t>
      </w:r>
      <w:r>
        <w:rPr>
          <w:rFonts w:cs="Times New Roman"/>
          <w:lang w:val="zh-CN"/>
        </w:rPr>
        <w:t>20</w:t>
      </w:r>
      <w:r>
        <w:rPr>
          <w:rFonts w:cs="Times New Roman"/>
        </w:rPr>
        <w:t>24</w:t>
      </w:r>
      <w:r>
        <w:rPr>
          <w:rFonts w:cs="Times New Roman"/>
          <w:lang w:val="zh-CN"/>
        </w:rPr>
        <w:t>年本）》，</w:t>
      </w:r>
      <w:r>
        <w:rPr>
          <w:rFonts w:cs="Times New Roman"/>
        </w:rPr>
        <w:t>本</w:t>
      </w:r>
      <w:r>
        <w:rPr>
          <w:rFonts w:cs="Times New Roman" w:hint="eastAsia"/>
        </w:rPr>
        <w:t>工程</w:t>
      </w:r>
      <w:r>
        <w:rPr>
          <w:rFonts w:cs="Times New Roman"/>
        </w:rPr>
        <w:t>属于</w:t>
      </w:r>
      <w:r>
        <w:rPr>
          <w:rFonts w:cs="Times New Roman" w:hint="eastAsia"/>
          <w:lang w:val="zh-CN"/>
        </w:rPr>
        <w:t>“</w:t>
      </w:r>
      <w:r>
        <w:rPr>
          <w:rFonts w:cs="Times New Roman"/>
        </w:rPr>
        <w:t>第一类</w:t>
      </w:r>
      <w:r>
        <w:rPr>
          <w:rFonts w:cs="Times New Roman"/>
        </w:rPr>
        <w:t xml:space="preserve"> </w:t>
      </w:r>
      <w:r>
        <w:rPr>
          <w:rFonts w:cs="Times New Roman"/>
        </w:rPr>
        <w:t>鼓励类</w:t>
      </w:r>
      <w:r>
        <w:rPr>
          <w:rFonts w:cs="Times New Roman" w:hint="eastAsia"/>
          <w:lang w:val="zh-CN"/>
        </w:rPr>
        <w:t>”</w:t>
      </w:r>
      <w:r>
        <w:rPr>
          <w:rFonts w:cs="Times New Roman"/>
        </w:rPr>
        <w:t>中</w:t>
      </w:r>
      <w:r>
        <w:rPr>
          <w:rFonts w:cs="Times New Roman" w:hint="eastAsia"/>
        </w:rPr>
        <w:t>的“</w:t>
      </w:r>
      <w:r>
        <w:rPr>
          <w:rFonts w:cs="Times New Roman"/>
        </w:rPr>
        <w:t>七、石油天然气</w:t>
      </w:r>
      <w:r>
        <w:rPr>
          <w:rFonts w:cs="Times New Roman" w:hint="eastAsia"/>
        </w:rPr>
        <w:t>”</w:t>
      </w:r>
      <w:r>
        <w:rPr>
          <w:rFonts w:hint="eastAsia"/>
        </w:rPr>
        <w:t>中的</w:t>
      </w:r>
      <w:r>
        <w:rPr>
          <w:rFonts w:cs="Times New Roman" w:hint="eastAsia"/>
        </w:rPr>
        <w:t>“</w:t>
      </w:r>
      <w:r>
        <w:rPr>
          <w:rFonts w:cs="Times New Roman"/>
        </w:rPr>
        <w:t>1.</w:t>
      </w:r>
      <w:r>
        <w:rPr>
          <w:rFonts w:cs="Times New Roman"/>
        </w:rPr>
        <w:t>石油天然气开采</w:t>
      </w:r>
      <w:r>
        <w:rPr>
          <w:rFonts w:cs="Times New Roman" w:hint="eastAsia"/>
        </w:rPr>
        <w:t>：</w:t>
      </w:r>
      <w:r>
        <w:rPr>
          <w:rFonts w:cs="Times New Roman"/>
          <w:lang w:val="zh-CN"/>
        </w:rPr>
        <w:t>常规石油、天然气勘探与开采</w:t>
      </w:r>
      <w:r>
        <w:rPr>
          <w:rFonts w:cs="Times New Roman" w:hint="eastAsia"/>
        </w:rPr>
        <w:t>”</w:t>
      </w:r>
      <w:r>
        <w:rPr>
          <w:rFonts w:cs="Times New Roman"/>
        </w:rPr>
        <w:t>，</w:t>
      </w:r>
      <w:r>
        <w:rPr>
          <w:rFonts w:cs="Times New Roman"/>
          <w:lang w:val="zh-CN"/>
        </w:rPr>
        <w:t>本</w:t>
      </w:r>
      <w:r>
        <w:rPr>
          <w:rFonts w:cs="Times New Roman" w:hint="eastAsia"/>
        </w:rPr>
        <w:t>工程</w:t>
      </w:r>
      <w:r>
        <w:rPr>
          <w:rFonts w:cs="Times New Roman"/>
          <w:lang w:val="zh-CN"/>
        </w:rPr>
        <w:t>的建设符合国家</w:t>
      </w:r>
      <w:r>
        <w:rPr>
          <w:rFonts w:ascii="宋体" w:hAnsi="宋体" w:hint="eastAsia"/>
          <w:lang w:val="zh-CN"/>
        </w:rPr>
        <w:t>当前</w:t>
      </w:r>
      <w:r>
        <w:rPr>
          <w:rFonts w:cs="Times New Roman"/>
          <w:lang w:val="zh-CN"/>
        </w:rPr>
        <w:t>产业政策</w:t>
      </w:r>
      <w:r>
        <w:rPr>
          <w:rFonts w:hint="eastAsia"/>
          <w:lang w:val="zh-CN"/>
        </w:rPr>
        <w:t>要求</w:t>
      </w:r>
      <w:r>
        <w:rPr>
          <w:rFonts w:cs="Times New Roman"/>
          <w:lang w:val="zh-CN"/>
        </w:rPr>
        <w:t>。</w:t>
      </w:r>
    </w:p>
    <w:p w:rsidR="00C645C9" w:rsidRDefault="00F955D9">
      <w:pPr>
        <w:widowControl w:val="0"/>
        <w:autoSpaceDE w:val="0"/>
        <w:autoSpaceDN w:val="0"/>
        <w:adjustRightInd w:val="0"/>
        <w:snapToGrid w:val="0"/>
        <w:spacing w:line="360" w:lineRule="auto"/>
        <w:ind w:firstLineChars="200" w:firstLine="480"/>
        <w:rPr>
          <w:rFonts w:cs="Times New Roman"/>
          <w:bCs/>
          <w:lang w:val="zh-CN"/>
        </w:rPr>
      </w:pPr>
      <w:r>
        <w:rPr>
          <w:rFonts w:cs="Times New Roman"/>
          <w:bCs/>
          <w:lang w:val="zh-CN"/>
        </w:rPr>
        <w:t>（</w:t>
      </w:r>
      <w:r>
        <w:rPr>
          <w:rFonts w:cs="Times New Roman"/>
          <w:bCs/>
        </w:rPr>
        <w:t>2</w:t>
      </w:r>
      <w:r>
        <w:rPr>
          <w:rFonts w:cs="Times New Roman"/>
          <w:bCs/>
          <w:lang w:val="zh-CN"/>
        </w:rPr>
        <w:t>）</w:t>
      </w:r>
      <w:r>
        <w:rPr>
          <w:rFonts w:cs="Times New Roman"/>
          <w:bCs/>
        </w:rPr>
        <w:t>政策、法规符合性分析</w:t>
      </w:r>
    </w:p>
    <w:p w:rsidR="00C645C9" w:rsidRDefault="00F955D9">
      <w:pPr>
        <w:pStyle w:val="13"/>
        <w:widowControl w:val="0"/>
        <w:adjustRightInd w:val="0"/>
        <w:snapToGrid w:val="0"/>
        <w:spacing w:line="360" w:lineRule="auto"/>
        <w:ind w:firstLine="480"/>
        <w:rPr>
          <w:rFonts w:cs="Times New Roman"/>
          <w:lang w:val="zh-CN"/>
        </w:rPr>
      </w:pPr>
      <w:r>
        <w:rPr>
          <w:rFonts w:cs="Times New Roman"/>
          <w:lang w:val="zh-CN"/>
        </w:rPr>
        <w:t>本</w:t>
      </w:r>
      <w:r>
        <w:rPr>
          <w:rFonts w:cs="Times New Roman" w:hint="eastAsia"/>
        </w:rPr>
        <w:t>工程</w:t>
      </w:r>
      <w:r>
        <w:rPr>
          <w:rFonts w:cs="Times New Roman"/>
          <w:lang w:val="zh-CN"/>
        </w:rPr>
        <w:t>属于</w:t>
      </w:r>
      <w:r>
        <w:rPr>
          <w:rFonts w:cs="Times New Roman"/>
          <w:bCs/>
        </w:rPr>
        <w:t>石油和天然气开采项目</w:t>
      </w:r>
      <w:r>
        <w:rPr>
          <w:rFonts w:cs="Times New Roman"/>
          <w:lang w:val="zh-CN"/>
        </w:rPr>
        <w:t>，工程占地范围内不涉及依法划定的国家公园、自然保护区、世界自然遗产、自然公园、生态保护红线等</w:t>
      </w:r>
      <w:r>
        <w:rPr>
          <w:rFonts w:cs="Times New Roman"/>
        </w:rPr>
        <w:t>重要</w:t>
      </w:r>
      <w:r>
        <w:rPr>
          <w:rFonts w:cs="Times New Roman"/>
          <w:lang w:val="zh-CN"/>
        </w:rPr>
        <w:t>生态</w:t>
      </w:r>
      <w:r>
        <w:rPr>
          <w:rFonts w:cs="Times New Roman"/>
        </w:rPr>
        <w:t>敏感</w:t>
      </w:r>
      <w:r>
        <w:rPr>
          <w:rFonts w:cs="Times New Roman"/>
          <w:lang w:val="zh-CN"/>
        </w:rPr>
        <w:t>区。符合《石油天然气开采业污染防治技术政策》《新疆维吾尔自治区大气污染防治条例》《关于进一步加强石油天然气行业环境影响评价管理的通知》（环办环评函〔</w:t>
      </w:r>
      <w:r>
        <w:rPr>
          <w:rFonts w:cs="Times New Roman"/>
          <w:lang w:val="zh-CN"/>
        </w:rPr>
        <w:t>2019</w:t>
      </w:r>
      <w:r>
        <w:rPr>
          <w:rFonts w:cs="Times New Roman"/>
          <w:lang w:val="zh-CN"/>
        </w:rPr>
        <w:t>〕</w:t>
      </w:r>
      <w:r>
        <w:rPr>
          <w:rFonts w:cs="Times New Roman"/>
          <w:lang w:val="zh-CN"/>
        </w:rPr>
        <w:t>910</w:t>
      </w:r>
      <w:r>
        <w:rPr>
          <w:rFonts w:cs="Times New Roman"/>
          <w:lang w:val="zh-CN"/>
        </w:rPr>
        <w:t>号）等相关政策、法律法规相关要求。</w:t>
      </w:r>
    </w:p>
    <w:p w:rsidR="00C645C9" w:rsidRDefault="00F955D9" w:rsidP="005718BB">
      <w:pPr>
        <w:pStyle w:val="13"/>
        <w:widowControl w:val="0"/>
        <w:adjustRightInd w:val="0"/>
        <w:snapToGrid w:val="0"/>
        <w:spacing w:line="360" w:lineRule="auto"/>
        <w:ind w:firstLine="480"/>
        <w:rPr>
          <w:rFonts w:cs="Times New Roman"/>
        </w:rPr>
      </w:pPr>
      <w:r>
        <w:rPr>
          <w:rFonts w:cs="Times New Roman"/>
          <w:lang w:val="zh-CN"/>
        </w:rPr>
        <w:t>（</w:t>
      </w:r>
      <w:r>
        <w:rPr>
          <w:rFonts w:cs="Times New Roman"/>
          <w:lang w:val="zh-CN"/>
        </w:rPr>
        <w:t>3</w:t>
      </w:r>
      <w:r>
        <w:rPr>
          <w:rFonts w:cs="Times New Roman"/>
          <w:lang w:val="zh-CN"/>
        </w:rPr>
        <w:t>）</w:t>
      </w:r>
      <w:r>
        <w:rPr>
          <w:rFonts w:cs="Times New Roman"/>
        </w:rPr>
        <w:t>规划符合性判定结论</w:t>
      </w:r>
    </w:p>
    <w:p w:rsidR="00C645C9" w:rsidRDefault="00F955D9">
      <w:pPr>
        <w:pStyle w:val="13"/>
        <w:widowControl w:val="0"/>
        <w:adjustRightInd w:val="0"/>
        <w:snapToGrid w:val="0"/>
        <w:spacing w:line="360" w:lineRule="auto"/>
        <w:ind w:firstLine="480"/>
        <w:rPr>
          <w:rFonts w:cs="Times New Roman"/>
          <w:lang w:val="zh-CN"/>
        </w:rPr>
      </w:pPr>
      <w:bookmarkStart w:id="44" w:name="OLE_LINK24"/>
      <w:r>
        <w:rPr>
          <w:rFonts w:cs="Times New Roman"/>
          <w:lang w:val="zh-CN"/>
        </w:rPr>
        <w:t>本</w:t>
      </w:r>
      <w:r>
        <w:rPr>
          <w:rFonts w:cs="Times New Roman" w:hint="eastAsia"/>
        </w:rPr>
        <w:t>工程</w:t>
      </w:r>
      <w:bookmarkEnd w:id="44"/>
      <w:r>
        <w:rPr>
          <w:rFonts w:cs="Times New Roman"/>
          <w:lang w:val="zh-CN"/>
        </w:rPr>
        <w:t>属于西北油田分公司开发项目，符合《新疆维吾尔自治区国民经济和社会发展第十四个五年规划和</w:t>
      </w:r>
      <w:r>
        <w:rPr>
          <w:rFonts w:cs="Times New Roman"/>
          <w:lang w:val="zh-CN"/>
        </w:rPr>
        <w:t>2035</w:t>
      </w:r>
      <w:r>
        <w:rPr>
          <w:rFonts w:cs="Times New Roman"/>
          <w:lang w:val="zh-CN"/>
        </w:rPr>
        <w:t>年远景目标纲要》《新疆生态环境保护</w:t>
      </w:r>
      <w:r>
        <w:rPr>
          <w:rFonts w:cs="Times New Roman" w:hint="eastAsia"/>
          <w:lang w:val="zh-CN"/>
        </w:rPr>
        <w:t>“</w:t>
      </w:r>
      <w:r>
        <w:rPr>
          <w:rFonts w:cs="Times New Roman"/>
          <w:lang w:val="zh-CN"/>
        </w:rPr>
        <w:t>十四五</w:t>
      </w:r>
      <w:r>
        <w:rPr>
          <w:rFonts w:cs="Times New Roman" w:hint="eastAsia"/>
          <w:lang w:val="zh-CN"/>
        </w:rPr>
        <w:t>”</w:t>
      </w:r>
      <w:r>
        <w:rPr>
          <w:rFonts w:cs="Times New Roman"/>
          <w:lang w:val="zh-CN"/>
        </w:rPr>
        <w:t>规划》《阿克苏地区生态环境保护</w:t>
      </w:r>
      <w:r>
        <w:rPr>
          <w:rFonts w:cs="Times New Roman" w:hint="eastAsia"/>
          <w:lang w:val="zh-CN"/>
        </w:rPr>
        <w:t>“</w:t>
      </w:r>
      <w:r>
        <w:rPr>
          <w:rFonts w:cs="Times New Roman"/>
          <w:lang w:val="zh-CN"/>
        </w:rPr>
        <w:t>十四五</w:t>
      </w:r>
      <w:r>
        <w:rPr>
          <w:rFonts w:cs="Times New Roman" w:hint="eastAsia"/>
          <w:lang w:val="zh-CN"/>
        </w:rPr>
        <w:t>”</w:t>
      </w:r>
      <w:r>
        <w:rPr>
          <w:rFonts w:cs="Times New Roman"/>
          <w:lang w:val="zh-CN"/>
        </w:rPr>
        <w:t>规划》</w:t>
      </w:r>
      <w:r>
        <w:rPr>
          <w:rFonts w:cs="Times New Roman"/>
          <w:lang w:bidi="ar"/>
        </w:rPr>
        <w:t>《</w:t>
      </w:r>
      <w:r>
        <w:rPr>
          <w:rFonts w:cs="Times New Roman"/>
          <w:lang w:bidi="ar"/>
        </w:rPr>
        <w:t>中国石油化工股份有限公司西北油田分公司</w:t>
      </w:r>
      <w:r>
        <w:rPr>
          <w:rFonts w:cs="Times New Roman" w:hint="eastAsia"/>
          <w:lang w:bidi="ar"/>
        </w:rPr>
        <w:t>“</w:t>
      </w:r>
      <w:r>
        <w:rPr>
          <w:rFonts w:cs="Times New Roman"/>
          <w:lang w:bidi="ar"/>
        </w:rPr>
        <w:t>十四五</w:t>
      </w:r>
      <w:r>
        <w:rPr>
          <w:rFonts w:cs="Times New Roman" w:hint="eastAsia"/>
          <w:lang w:bidi="ar"/>
        </w:rPr>
        <w:t>”</w:t>
      </w:r>
      <w:r>
        <w:rPr>
          <w:rFonts w:cs="Times New Roman"/>
          <w:lang w:bidi="ar"/>
        </w:rPr>
        <w:t>规划</w:t>
      </w:r>
      <w:r>
        <w:rPr>
          <w:rFonts w:cs="Times New Roman"/>
          <w:lang w:bidi="ar"/>
        </w:rPr>
        <w:t>》</w:t>
      </w:r>
      <w:r>
        <w:rPr>
          <w:rFonts w:cs="Times New Roman"/>
          <w:lang w:val="zh-CN"/>
        </w:rPr>
        <w:t>的相关要求。</w:t>
      </w:r>
    </w:p>
    <w:p w:rsidR="00C645C9" w:rsidRDefault="00F955D9">
      <w:pPr>
        <w:pStyle w:val="13"/>
        <w:widowControl w:val="0"/>
        <w:adjustRightInd w:val="0"/>
        <w:snapToGrid w:val="0"/>
        <w:spacing w:line="360" w:lineRule="auto"/>
        <w:ind w:firstLine="480"/>
        <w:rPr>
          <w:rFonts w:cs="Times New Roman"/>
          <w:lang w:val="zh-CN"/>
        </w:rPr>
      </w:pPr>
      <w:r>
        <w:rPr>
          <w:rFonts w:cs="Times New Roman"/>
          <w:lang w:val="zh-CN"/>
        </w:rPr>
        <w:t>（</w:t>
      </w:r>
      <w:r>
        <w:rPr>
          <w:rFonts w:cs="Times New Roman"/>
          <w:lang w:val="zh-CN"/>
        </w:rPr>
        <w:t>4</w:t>
      </w:r>
      <w:r>
        <w:rPr>
          <w:rFonts w:cs="Times New Roman"/>
          <w:lang w:val="zh-CN"/>
        </w:rPr>
        <w:t>）选址合理性分析判定结论</w:t>
      </w:r>
    </w:p>
    <w:p w:rsidR="00C645C9" w:rsidRDefault="00F955D9">
      <w:pPr>
        <w:pStyle w:val="aff"/>
        <w:widowControl w:val="0"/>
        <w:adjustRightInd w:val="0"/>
        <w:snapToGrid w:val="0"/>
        <w:rPr>
          <w:rFonts w:cs="Times New Roman"/>
          <w:color w:val="auto"/>
        </w:rPr>
      </w:pPr>
      <w:r>
        <w:rPr>
          <w:rFonts w:cs="Times New Roman"/>
          <w:color w:val="auto"/>
          <w:lang w:val="zh-CN"/>
        </w:rPr>
        <w:t>本</w:t>
      </w:r>
      <w:r>
        <w:rPr>
          <w:rFonts w:cs="Times New Roman" w:hint="eastAsia"/>
          <w:color w:val="auto"/>
        </w:rPr>
        <w:t>工程</w:t>
      </w:r>
      <w:r>
        <w:rPr>
          <w:rFonts w:cs="Times New Roman"/>
          <w:color w:val="auto"/>
        </w:rPr>
        <w:t>选址符合生态环境分区管控要求，不涉及法律法规明令禁止建设的区域，不在生态保护红线范围内，远离居民集中区、医院、学校等环境敏感区。</w:t>
      </w:r>
      <w:r>
        <w:rPr>
          <w:rFonts w:cs="Times New Roman" w:hint="eastAsia"/>
          <w:color w:val="auto"/>
        </w:rPr>
        <w:t>本工程</w:t>
      </w:r>
      <w:r>
        <w:rPr>
          <w:rFonts w:cs="Times New Roman"/>
          <w:color w:val="auto"/>
        </w:rPr>
        <w:t>建成后所在区域的环境功能不会降低，对环境的影响属可接受的范围，选址、选线基本合理</w:t>
      </w:r>
      <w:r>
        <w:rPr>
          <w:rFonts w:cs="Times New Roman"/>
          <w:color w:val="auto"/>
        </w:rPr>
        <w:t>。</w:t>
      </w:r>
    </w:p>
    <w:p w:rsidR="00C645C9" w:rsidRDefault="00F955D9">
      <w:pPr>
        <w:pStyle w:val="aff"/>
        <w:widowControl w:val="0"/>
        <w:adjustRightInd w:val="0"/>
        <w:snapToGrid w:val="0"/>
        <w:rPr>
          <w:rFonts w:cs="Times New Roman"/>
          <w:color w:val="auto"/>
        </w:rPr>
      </w:pPr>
      <w:r>
        <w:rPr>
          <w:rFonts w:cs="Times New Roman"/>
          <w:color w:val="auto"/>
        </w:rPr>
        <w:t>本</w:t>
      </w:r>
      <w:r>
        <w:rPr>
          <w:rFonts w:cs="Times New Roman" w:hint="eastAsia"/>
          <w:color w:val="auto"/>
        </w:rPr>
        <w:t>工程</w:t>
      </w:r>
      <w:r>
        <w:rPr>
          <w:rFonts w:cs="Times New Roman"/>
          <w:color w:val="auto"/>
        </w:rPr>
        <w:t>土地利用类型</w:t>
      </w:r>
      <w:r>
        <w:rPr>
          <w:rFonts w:cs="Times New Roman"/>
          <w:color w:val="auto"/>
        </w:rPr>
        <w:t>主要</w:t>
      </w:r>
      <w:r>
        <w:rPr>
          <w:rFonts w:cs="Times New Roman"/>
          <w:color w:val="auto"/>
        </w:rPr>
        <w:t>为</w:t>
      </w:r>
      <w:r>
        <w:rPr>
          <w:rFonts w:cs="Times New Roman" w:hint="eastAsia"/>
          <w:color w:val="auto"/>
        </w:rPr>
        <w:t>果园、水浇地、农村道路和采矿用地</w:t>
      </w:r>
      <w:r>
        <w:rPr>
          <w:rFonts w:cs="Times New Roman"/>
          <w:color w:val="auto"/>
        </w:rPr>
        <w:t>，</w:t>
      </w:r>
      <w:bookmarkStart w:id="45" w:name="OLE_LINK1400"/>
      <w:bookmarkStart w:id="46" w:name="OLE_LINK26"/>
      <w:r>
        <w:rPr>
          <w:rFonts w:cs="Times New Roman" w:hint="eastAsia"/>
          <w:color w:val="auto"/>
        </w:rPr>
        <w:t>不占用永久基本农田</w:t>
      </w:r>
      <w:bookmarkEnd w:id="45"/>
      <w:r>
        <w:rPr>
          <w:rFonts w:cs="Times New Roman" w:hint="eastAsia"/>
          <w:color w:val="auto"/>
        </w:rPr>
        <w:t>，评价范围</w:t>
      </w:r>
      <w:r>
        <w:rPr>
          <w:rFonts w:cs="Times New Roman"/>
          <w:color w:val="auto"/>
        </w:rPr>
        <w:t>涉及</w:t>
      </w:r>
      <w:bookmarkEnd w:id="46"/>
      <w:r>
        <w:rPr>
          <w:rFonts w:cs="Times New Roman" w:hint="eastAsia"/>
          <w:color w:val="auto"/>
        </w:rPr>
        <w:t>永久</w:t>
      </w:r>
      <w:r>
        <w:rPr>
          <w:rFonts w:cs="Times New Roman"/>
          <w:color w:val="auto"/>
        </w:rPr>
        <w:t>基本农田。项目区周边</w:t>
      </w:r>
      <w:r>
        <w:rPr>
          <w:rFonts w:cs="Times New Roman"/>
          <w:color w:val="auto"/>
        </w:rPr>
        <w:t>5km</w:t>
      </w:r>
      <w:r>
        <w:rPr>
          <w:rFonts w:cs="Times New Roman"/>
          <w:color w:val="auto"/>
        </w:rPr>
        <w:t>范围内无地表水分布。</w:t>
      </w:r>
      <w:r>
        <w:rPr>
          <w:rFonts w:cs="Times New Roman"/>
          <w:color w:val="auto"/>
        </w:rPr>
        <w:t>本</w:t>
      </w:r>
      <w:r>
        <w:rPr>
          <w:rFonts w:cs="Times New Roman" w:hint="eastAsia"/>
          <w:color w:val="auto"/>
        </w:rPr>
        <w:t>工程</w:t>
      </w:r>
      <w:r>
        <w:rPr>
          <w:rFonts w:cs="Times New Roman"/>
          <w:color w:val="auto"/>
        </w:rPr>
        <w:t>属无法避让的石油、天然气勘查，在取得用地手续的情况下，</w:t>
      </w:r>
      <w:r>
        <w:rPr>
          <w:rFonts w:cs="Times New Roman" w:hint="eastAsia"/>
          <w:color w:val="auto"/>
        </w:rPr>
        <w:t>本工程</w:t>
      </w:r>
      <w:r>
        <w:rPr>
          <w:rFonts w:cs="Times New Roman"/>
          <w:color w:val="auto"/>
        </w:rPr>
        <w:t>是可行的</w:t>
      </w:r>
      <w:r>
        <w:rPr>
          <w:rFonts w:cs="Times New Roman" w:hint="eastAsia"/>
          <w:color w:val="auto"/>
        </w:rPr>
        <w:t>。</w:t>
      </w:r>
      <w:r>
        <w:rPr>
          <w:rFonts w:cs="Times New Roman"/>
          <w:color w:val="auto"/>
        </w:rPr>
        <w:t>本</w:t>
      </w:r>
      <w:r>
        <w:rPr>
          <w:rFonts w:cs="Times New Roman" w:hint="eastAsia"/>
          <w:color w:val="auto"/>
        </w:rPr>
        <w:t>工程</w:t>
      </w:r>
      <w:r>
        <w:rPr>
          <w:rFonts w:cs="Times New Roman"/>
          <w:color w:val="auto"/>
        </w:rPr>
        <w:t>运营期废气主要为</w:t>
      </w:r>
      <w:r>
        <w:rPr>
          <w:color w:val="auto"/>
        </w:rPr>
        <w:t>加热炉产生的有组织废气</w:t>
      </w:r>
      <w:r>
        <w:rPr>
          <w:rFonts w:hint="eastAsia"/>
          <w:color w:val="auto"/>
        </w:rPr>
        <w:t>和油气处理</w:t>
      </w:r>
      <w:r>
        <w:rPr>
          <w:rFonts w:hint="eastAsia"/>
          <w:color w:val="auto"/>
        </w:rPr>
        <w:t>过程中</w:t>
      </w:r>
      <w:r>
        <w:rPr>
          <w:rFonts w:hint="eastAsia"/>
          <w:color w:val="auto"/>
        </w:rPr>
        <w:t>产生的</w:t>
      </w:r>
      <w:r>
        <w:rPr>
          <w:rFonts w:hint="eastAsia"/>
          <w:color w:val="auto"/>
        </w:rPr>
        <w:t>无组织废气排放</w:t>
      </w:r>
      <w:r>
        <w:rPr>
          <w:rFonts w:cs="Times New Roman"/>
          <w:color w:val="auto"/>
        </w:rPr>
        <w:t>，产生的废气为持续的长期影响，但废气污染物均可以得到较好扩散，对大气污染物浓度贡献值小，且项目区地域空旷，项目实施后不会对周围环境产生明显影响；废水</w:t>
      </w:r>
      <w:r>
        <w:rPr>
          <w:rFonts w:cs="Times New Roman"/>
          <w:color w:val="auto"/>
        </w:rPr>
        <w:t>不外排</w:t>
      </w:r>
      <w:r>
        <w:rPr>
          <w:rFonts w:cs="Times New Roman"/>
          <w:color w:val="auto"/>
        </w:rPr>
        <w:t>，固体废物能够实现妥善处置，综上所述，</w:t>
      </w:r>
      <w:r>
        <w:rPr>
          <w:rFonts w:cs="Times New Roman"/>
          <w:color w:val="auto"/>
        </w:rPr>
        <w:t>本</w:t>
      </w:r>
      <w:r>
        <w:rPr>
          <w:rFonts w:cs="Times New Roman" w:hint="eastAsia"/>
          <w:color w:val="auto"/>
        </w:rPr>
        <w:t>工程</w:t>
      </w:r>
      <w:r>
        <w:rPr>
          <w:rFonts w:cs="Times New Roman"/>
          <w:color w:val="auto"/>
        </w:rPr>
        <w:t>建成后所在区域的环境功能不会发生改变，对环境的影响属可接受的</w:t>
      </w:r>
      <w:r>
        <w:rPr>
          <w:rFonts w:cs="Times New Roman"/>
          <w:color w:val="auto"/>
        </w:rPr>
        <w:lastRenderedPageBreak/>
        <w:t>范围，</w:t>
      </w:r>
      <w:r>
        <w:rPr>
          <w:rFonts w:cs="Times New Roman" w:hint="eastAsia"/>
          <w:color w:val="auto"/>
        </w:rPr>
        <w:t>本工程</w:t>
      </w:r>
      <w:r>
        <w:rPr>
          <w:rFonts w:cs="Times New Roman"/>
          <w:color w:val="auto"/>
        </w:rPr>
        <w:t>的选址从环保角度认为可行。</w:t>
      </w:r>
    </w:p>
    <w:p w:rsidR="00C645C9" w:rsidRDefault="00F955D9" w:rsidP="005718BB">
      <w:pPr>
        <w:pStyle w:val="13"/>
        <w:widowControl w:val="0"/>
        <w:adjustRightInd w:val="0"/>
        <w:snapToGrid w:val="0"/>
        <w:spacing w:line="360" w:lineRule="auto"/>
        <w:ind w:firstLine="480"/>
        <w:rPr>
          <w:rFonts w:cs="Times New Roman"/>
          <w:bCs/>
          <w:lang w:val="zh-CN"/>
        </w:rPr>
      </w:pPr>
      <w:r>
        <w:rPr>
          <w:rFonts w:cs="Times New Roman"/>
          <w:bCs/>
        </w:rPr>
        <w:t>（</w:t>
      </w:r>
      <w:r>
        <w:rPr>
          <w:rFonts w:cs="Times New Roman"/>
          <w:bCs/>
        </w:rPr>
        <w:t>5</w:t>
      </w:r>
      <w:r>
        <w:rPr>
          <w:rFonts w:cs="Times New Roman"/>
          <w:bCs/>
        </w:rPr>
        <w:t>）</w:t>
      </w:r>
      <w:bookmarkStart w:id="47" w:name="OLE_LINK27"/>
      <w:r>
        <w:rPr>
          <w:rFonts w:cs="Times New Roman"/>
          <w:bCs/>
        </w:rPr>
        <w:t>生态环境分区管控</w:t>
      </w:r>
      <w:bookmarkEnd w:id="47"/>
      <w:r>
        <w:rPr>
          <w:rFonts w:cs="Times New Roman"/>
          <w:bCs/>
        </w:rPr>
        <w:t>符合性判定</w:t>
      </w:r>
    </w:p>
    <w:p w:rsidR="00C645C9" w:rsidRDefault="00F955D9" w:rsidP="005718BB">
      <w:pPr>
        <w:pStyle w:val="aff1"/>
        <w:widowControl w:val="0"/>
        <w:topLinePunct/>
        <w:autoSpaceDE w:val="0"/>
        <w:snapToGrid w:val="0"/>
        <w:ind w:firstLine="512"/>
        <w:rPr>
          <w:rFonts w:cs="Times New Roman"/>
          <w:spacing w:val="8"/>
          <w:kern w:val="24"/>
        </w:rPr>
      </w:pPr>
      <w:r>
        <w:rPr>
          <w:rFonts w:cs="Times New Roman"/>
          <w:spacing w:val="8"/>
          <w:kern w:val="24"/>
        </w:rPr>
        <w:t>根据《关于印发〈新疆维吾尔自治区生态环境分区管控动态更新成果〉的通知》（新环环评发〔</w:t>
      </w:r>
      <w:r>
        <w:rPr>
          <w:rFonts w:cs="Times New Roman"/>
          <w:spacing w:val="8"/>
          <w:kern w:val="24"/>
        </w:rPr>
        <w:t>2024</w:t>
      </w:r>
      <w:r>
        <w:rPr>
          <w:rFonts w:cs="Times New Roman"/>
          <w:spacing w:val="8"/>
          <w:kern w:val="24"/>
        </w:rPr>
        <w:t>〕</w:t>
      </w:r>
      <w:r>
        <w:rPr>
          <w:rFonts w:cs="Times New Roman"/>
          <w:spacing w:val="8"/>
          <w:kern w:val="24"/>
        </w:rPr>
        <w:t>157</w:t>
      </w:r>
      <w:r>
        <w:rPr>
          <w:rFonts w:cs="Times New Roman"/>
          <w:spacing w:val="8"/>
          <w:kern w:val="24"/>
        </w:rPr>
        <w:t>号）《关于印发</w:t>
      </w:r>
      <w:r>
        <w:rPr>
          <w:rFonts w:cs="Times New Roman" w:hint="eastAsia"/>
          <w:spacing w:val="8"/>
          <w:kern w:val="24"/>
        </w:rPr>
        <w:t>〈</w:t>
      </w:r>
      <w:r>
        <w:rPr>
          <w:rFonts w:cs="Times New Roman"/>
          <w:spacing w:val="8"/>
          <w:kern w:val="24"/>
        </w:rPr>
        <w:t>阿克苏地区生态环境分区管控方案（</w:t>
      </w:r>
      <w:r>
        <w:rPr>
          <w:rFonts w:cs="Times New Roman"/>
          <w:spacing w:val="8"/>
          <w:kern w:val="24"/>
        </w:rPr>
        <w:t>2023</w:t>
      </w:r>
      <w:r>
        <w:rPr>
          <w:rFonts w:cs="Times New Roman"/>
          <w:spacing w:val="8"/>
          <w:kern w:val="24"/>
        </w:rPr>
        <w:t>版）</w:t>
      </w:r>
      <w:r>
        <w:rPr>
          <w:rFonts w:cs="Times New Roman" w:hint="eastAsia"/>
          <w:spacing w:val="8"/>
          <w:kern w:val="24"/>
        </w:rPr>
        <w:t>〉</w:t>
      </w:r>
      <w:r>
        <w:rPr>
          <w:rFonts w:cs="Times New Roman"/>
          <w:spacing w:val="8"/>
          <w:kern w:val="24"/>
        </w:rPr>
        <w:t>的通知》（阿地环字〔</w:t>
      </w:r>
      <w:r>
        <w:rPr>
          <w:rFonts w:cs="Times New Roman"/>
          <w:spacing w:val="8"/>
          <w:kern w:val="24"/>
        </w:rPr>
        <w:t>2024</w:t>
      </w:r>
      <w:r>
        <w:rPr>
          <w:rFonts w:cs="Times New Roman"/>
          <w:spacing w:val="8"/>
          <w:kern w:val="24"/>
        </w:rPr>
        <w:t>〕</w:t>
      </w:r>
      <w:r>
        <w:rPr>
          <w:rFonts w:cs="Times New Roman"/>
          <w:spacing w:val="8"/>
          <w:kern w:val="24"/>
        </w:rPr>
        <w:t>32</w:t>
      </w:r>
      <w:r>
        <w:rPr>
          <w:rFonts w:cs="Times New Roman"/>
          <w:spacing w:val="8"/>
          <w:kern w:val="24"/>
        </w:rPr>
        <w:t>号）</w:t>
      </w:r>
      <w:r>
        <w:rPr>
          <w:rFonts w:cs="Times New Roman" w:hint="eastAsia"/>
          <w:spacing w:val="8"/>
          <w:kern w:val="24"/>
        </w:rPr>
        <w:t>，</w:t>
      </w:r>
      <w:r>
        <w:rPr>
          <w:rFonts w:cs="Times New Roman"/>
          <w:spacing w:val="8"/>
          <w:kern w:val="24"/>
        </w:rPr>
        <w:t>本</w:t>
      </w:r>
      <w:r>
        <w:rPr>
          <w:rFonts w:cs="Times New Roman" w:hint="eastAsia"/>
          <w:spacing w:val="8"/>
          <w:kern w:val="24"/>
        </w:rPr>
        <w:t>工程</w:t>
      </w:r>
      <w:r>
        <w:rPr>
          <w:rFonts w:cs="Times New Roman"/>
          <w:spacing w:val="8"/>
          <w:kern w:val="24"/>
        </w:rPr>
        <w:t>位于</w:t>
      </w:r>
      <w:r>
        <w:rPr>
          <w:rFonts w:cs="Times New Roman" w:hint="eastAsia"/>
          <w:spacing w:val="8"/>
          <w:kern w:val="24"/>
        </w:rPr>
        <w:t>新和县</w:t>
      </w:r>
      <w:bookmarkStart w:id="48" w:name="OLE_LINK31"/>
      <w:r>
        <w:rPr>
          <w:rFonts w:cs="Times New Roman"/>
          <w:spacing w:val="8"/>
          <w:kern w:val="24"/>
        </w:rPr>
        <w:t>一般管控单元</w:t>
      </w:r>
      <w:bookmarkEnd w:id="48"/>
      <w:r>
        <w:rPr>
          <w:rFonts w:cs="Times New Roman"/>
          <w:spacing w:val="8"/>
          <w:kern w:val="24"/>
        </w:rPr>
        <w:t>（环境管控单元编码：</w:t>
      </w:r>
      <w:r>
        <w:rPr>
          <w:rFonts w:cs="Times New Roman"/>
          <w:spacing w:val="8"/>
          <w:kern w:val="24"/>
        </w:rPr>
        <w:t>ZH65292530001</w:t>
      </w:r>
      <w:r>
        <w:rPr>
          <w:rFonts w:cs="Times New Roman"/>
          <w:spacing w:val="8"/>
          <w:kern w:val="24"/>
        </w:rPr>
        <w:t>），不涉及生态保护红线</w:t>
      </w:r>
      <w:r>
        <w:rPr>
          <w:rFonts w:cs="Times New Roman" w:hint="eastAsia"/>
          <w:spacing w:val="8"/>
          <w:kern w:val="24"/>
        </w:rPr>
        <w:t>，</w:t>
      </w:r>
      <w:bookmarkStart w:id="49" w:name="OLE_LINK1551"/>
      <w:r>
        <w:rPr>
          <w:rFonts w:cs="Times New Roman" w:hint="eastAsia"/>
          <w:spacing w:val="8"/>
          <w:kern w:val="24"/>
        </w:rPr>
        <w:t>距离天山水源涵养与生物多样性维护生态保护红线区</w:t>
      </w:r>
      <w:r>
        <w:rPr>
          <w:rFonts w:cs="Times New Roman" w:hint="eastAsia"/>
          <w:spacing w:val="8"/>
          <w:kern w:val="24"/>
        </w:rPr>
        <w:t>36.7km</w:t>
      </w:r>
      <w:bookmarkEnd w:id="49"/>
      <w:r>
        <w:rPr>
          <w:rFonts w:cs="Times New Roman"/>
          <w:spacing w:val="8"/>
          <w:kern w:val="24"/>
        </w:rPr>
        <w:t>。</w:t>
      </w:r>
      <w:r>
        <w:rPr>
          <w:rFonts w:cs="Times New Roman" w:hint="eastAsia"/>
          <w:spacing w:val="8"/>
          <w:kern w:val="24"/>
        </w:rPr>
        <w:t>本工程不涉及生态保护红线变化区域。本工程所在区域土壤、噪声环境质量可以达到功能区要求，环境空气质量属于非达标区，超标主要是由于当地气候条件干燥、自然扬尘较多</w:t>
      </w:r>
      <w:r>
        <w:rPr>
          <w:rFonts w:cs="Times New Roman"/>
          <w:spacing w:val="8"/>
          <w:kern w:val="24"/>
        </w:rPr>
        <w:t>。</w:t>
      </w:r>
      <w:r>
        <w:rPr>
          <w:rFonts w:cs="Times New Roman"/>
          <w:spacing w:val="8"/>
          <w:kern w:val="24"/>
        </w:rPr>
        <w:t>本</w:t>
      </w:r>
      <w:r>
        <w:rPr>
          <w:rFonts w:cs="Times New Roman" w:hint="eastAsia"/>
          <w:spacing w:val="8"/>
          <w:kern w:val="24"/>
        </w:rPr>
        <w:t>工程</w:t>
      </w:r>
      <w:r>
        <w:rPr>
          <w:rFonts w:cs="Times New Roman"/>
          <w:spacing w:val="8"/>
          <w:kern w:val="24"/>
        </w:rPr>
        <w:t>建设满足区域生态环境准入清单要求和一般管控单元的空间布局约束、污染物排放管控、环境风险防控和资源利用效率</w:t>
      </w:r>
      <w:r>
        <w:rPr>
          <w:rFonts w:cs="Times New Roman"/>
          <w:spacing w:val="8"/>
          <w:kern w:val="24"/>
        </w:rPr>
        <w:t>的要求，符合生态环境分区管控。</w:t>
      </w:r>
    </w:p>
    <w:p w:rsidR="00C645C9" w:rsidRDefault="00F955D9" w:rsidP="005718BB">
      <w:pPr>
        <w:pStyle w:val="aff1"/>
        <w:widowControl w:val="0"/>
        <w:topLinePunct/>
        <w:autoSpaceDE w:val="0"/>
        <w:snapToGrid w:val="0"/>
        <w:ind w:firstLine="512"/>
        <w:rPr>
          <w:rFonts w:cs="Times New Roman"/>
          <w:spacing w:val="8"/>
          <w:kern w:val="24"/>
        </w:rPr>
      </w:pPr>
      <w:r>
        <w:rPr>
          <w:rFonts w:cs="Times New Roman"/>
          <w:spacing w:val="8"/>
          <w:kern w:val="24"/>
        </w:rPr>
        <w:t>根据《</w:t>
      </w:r>
      <w:bookmarkStart w:id="50" w:name="OLE_LINK29"/>
      <w:r>
        <w:rPr>
          <w:rFonts w:cs="Times New Roman"/>
          <w:spacing w:val="8"/>
          <w:kern w:val="24"/>
        </w:rPr>
        <w:t>关于印发新疆维吾尔自治区</w:t>
      </w:r>
      <w:r>
        <w:rPr>
          <w:rFonts w:cs="Times New Roman"/>
          <w:spacing w:val="8"/>
          <w:kern w:val="24"/>
        </w:rPr>
        <w:t>28</w:t>
      </w:r>
      <w:r>
        <w:rPr>
          <w:rFonts w:cs="Times New Roman"/>
          <w:spacing w:val="8"/>
          <w:kern w:val="24"/>
        </w:rPr>
        <w:t>个国家重点生态功能区县（市）产业准入负面清单（试行）的通知</w:t>
      </w:r>
      <w:bookmarkEnd w:id="50"/>
      <w:r>
        <w:rPr>
          <w:rFonts w:cs="Times New Roman"/>
          <w:spacing w:val="8"/>
          <w:kern w:val="24"/>
        </w:rPr>
        <w:t>》（新发改规划</w:t>
      </w:r>
      <w:bookmarkStart w:id="51" w:name="OLE_LINK28"/>
      <w:r>
        <w:rPr>
          <w:rFonts w:cs="Times New Roman"/>
          <w:spacing w:val="8"/>
          <w:kern w:val="24"/>
        </w:rPr>
        <w:t>〔</w:t>
      </w:r>
      <w:r>
        <w:rPr>
          <w:rFonts w:cs="Times New Roman"/>
          <w:spacing w:val="8"/>
          <w:kern w:val="24"/>
        </w:rPr>
        <w:t>2017</w:t>
      </w:r>
      <w:r>
        <w:rPr>
          <w:rFonts w:cs="Times New Roman"/>
          <w:spacing w:val="8"/>
          <w:kern w:val="24"/>
        </w:rPr>
        <w:t>〕</w:t>
      </w:r>
      <w:bookmarkEnd w:id="51"/>
      <w:r>
        <w:rPr>
          <w:rFonts w:cs="Times New Roman"/>
          <w:spacing w:val="8"/>
          <w:kern w:val="24"/>
        </w:rPr>
        <w:t>89</w:t>
      </w:r>
      <w:r>
        <w:rPr>
          <w:rFonts w:cs="Times New Roman"/>
          <w:spacing w:val="8"/>
          <w:kern w:val="24"/>
        </w:rPr>
        <w:t>号）《</w:t>
      </w:r>
      <w:bookmarkStart w:id="52" w:name="OLE_LINK30"/>
      <w:r>
        <w:rPr>
          <w:rFonts w:cs="Times New Roman"/>
          <w:spacing w:val="8"/>
          <w:kern w:val="24"/>
        </w:rPr>
        <w:t>关于印发新疆维吾尔自治区</w:t>
      </w:r>
      <w:r>
        <w:rPr>
          <w:rFonts w:cs="Times New Roman"/>
          <w:spacing w:val="8"/>
          <w:kern w:val="24"/>
        </w:rPr>
        <w:t>17</w:t>
      </w:r>
      <w:r>
        <w:rPr>
          <w:rFonts w:cs="Times New Roman"/>
          <w:spacing w:val="8"/>
          <w:kern w:val="24"/>
        </w:rPr>
        <w:t>个新增纳入国家重点生态功能区县（市）产业准入负面清单（试行）的通知</w:t>
      </w:r>
      <w:bookmarkEnd w:id="52"/>
      <w:r>
        <w:rPr>
          <w:rFonts w:cs="Times New Roman"/>
          <w:spacing w:val="8"/>
          <w:kern w:val="24"/>
        </w:rPr>
        <w:t>》（新发改规划〔</w:t>
      </w:r>
      <w:r>
        <w:rPr>
          <w:rFonts w:cs="Times New Roman"/>
          <w:spacing w:val="8"/>
          <w:kern w:val="24"/>
        </w:rPr>
        <w:t>2017</w:t>
      </w:r>
      <w:r>
        <w:rPr>
          <w:rFonts w:cs="Times New Roman"/>
          <w:spacing w:val="8"/>
          <w:kern w:val="24"/>
        </w:rPr>
        <w:t>〕</w:t>
      </w:r>
      <w:r>
        <w:rPr>
          <w:rFonts w:cs="Times New Roman"/>
          <w:spacing w:val="8"/>
          <w:kern w:val="24"/>
        </w:rPr>
        <w:t>1796</w:t>
      </w:r>
      <w:r>
        <w:rPr>
          <w:rFonts w:cs="Times New Roman"/>
          <w:spacing w:val="8"/>
          <w:kern w:val="24"/>
        </w:rPr>
        <w:t>号）文规定，本</w:t>
      </w:r>
      <w:r>
        <w:rPr>
          <w:rFonts w:cs="Times New Roman" w:hint="eastAsia"/>
          <w:spacing w:val="8"/>
          <w:kern w:val="24"/>
        </w:rPr>
        <w:t>工程</w:t>
      </w:r>
      <w:r>
        <w:rPr>
          <w:rFonts w:cs="Times New Roman"/>
          <w:spacing w:val="8"/>
          <w:kern w:val="24"/>
        </w:rPr>
        <w:t>不在国家重点生态功能区县（市）产业准入负面清单之列，符合生态环境分区管控要求。</w:t>
      </w:r>
    </w:p>
    <w:p w:rsidR="00C645C9" w:rsidRDefault="00F955D9">
      <w:pPr>
        <w:pStyle w:val="a5"/>
        <w:widowControl w:val="0"/>
        <w:snapToGrid w:val="0"/>
        <w:ind w:firstLineChars="200" w:firstLine="480"/>
        <w:rPr>
          <w:rFonts w:ascii="Times New Roman" w:hAnsi="Times New Roman" w:cs="Times New Roman"/>
          <w:lang w:val="zh-CN"/>
        </w:rPr>
      </w:pPr>
      <w:r>
        <w:rPr>
          <w:rFonts w:ascii="Times New Roman" w:hAnsi="Times New Roman" w:cs="Times New Roman"/>
          <w:lang w:val="zh-CN"/>
        </w:rPr>
        <w:t>本</w:t>
      </w:r>
      <w:r>
        <w:rPr>
          <w:rFonts w:ascii="Times New Roman" w:hAnsi="Times New Roman" w:cs="Times New Roman" w:hint="eastAsia"/>
        </w:rPr>
        <w:t>工程</w:t>
      </w:r>
      <w:r>
        <w:rPr>
          <w:rFonts w:ascii="Times New Roman" w:hAnsi="Times New Roman" w:cs="Times New Roman"/>
          <w:lang w:val="zh-CN"/>
        </w:rPr>
        <w:t>符合国家和新疆相关法律法规及产业政策，不涉及生态</w:t>
      </w:r>
      <w:r>
        <w:rPr>
          <w:rFonts w:ascii="Times New Roman" w:hAnsi="Times New Roman" w:cs="Times New Roman"/>
        </w:rPr>
        <w:t>保护</w:t>
      </w:r>
      <w:r>
        <w:rPr>
          <w:rFonts w:ascii="Times New Roman" w:hAnsi="Times New Roman" w:cs="Times New Roman"/>
          <w:lang w:val="zh-CN"/>
        </w:rPr>
        <w:t>红线，符合新疆经济发展规划、环保规划及矿产资源开发相关规划，无重大环境制约因素。</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53" w:name="_Toc491102337"/>
      <w:bookmarkStart w:id="54" w:name="_Toc494278968"/>
      <w:bookmarkStart w:id="55" w:name="_Toc36583798"/>
      <w:bookmarkStart w:id="56" w:name="_Toc507411699"/>
      <w:bookmarkStart w:id="57" w:name="_Toc75438873"/>
      <w:bookmarkStart w:id="58" w:name="_Toc32542"/>
      <w:bookmarkStart w:id="59" w:name="_Toc15865"/>
      <w:bookmarkStart w:id="60" w:name="_Toc491102336"/>
      <w:bookmarkStart w:id="61" w:name="_Toc507411698"/>
      <w:bookmarkStart w:id="62" w:name="_Toc494278967"/>
      <w:r>
        <w:rPr>
          <w:rFonts w:ascii="Times New Roman" w:hAnsi="Times New Roman" w:cs="Times New Roman"/>
          <w:color w:val="auto"/>
          <w:lang w:eastAsia="zh-CN"/>
        </w:rPr>
        <w:t>1.4</w:t>
      </w:r>
      <w:bookmarkEnd w:id="53"/>
      <w:bookmarkEnd w:id="54"/>
      <w:bookmarkEnd w:id="55"/>
      <w:bookmarkEnd w:id="56"/>
      <w:bookmarkEnd w:id="57"/>
      <w:bookmarkEnd w:id="58"/>
      <w:r>
        <w:rPr>
          <w:rFonts w:ascii="Times New Roman" w:hAnsi="Times New Roman" w:cs="Times New Roman"/>
          <w:color w:val="auto"/>
          <w:lang w:eastAsia="zh-CN"/>
        </w:rPr>
        <w:t>关注的主要环境问题及环境影响</w:t>
      </w:r>
      <w:bookmarkEnd w:id="59"/>
    </w:p>
    <w:p w:rsidR="00C645C9" w:rsidRDefault="00F955D9">
      <w:pPr>
        <w:pStyle w:val="13"/>
        <w:widowControl w:val="0"/>
        <w:adjustRightInd w:val="0"/>
        <w:snapToGrid w:val="0"/>
        <w:spacing w:line="360" w:lineRule="auto"/>
        <w:ind w:firstLine="480"/>
        <w:rPr>
          <w:rFonts w:cs="Times New Roman"/>
        </w:rPr>
      </w:pPr>
      <w:r>
        <w:rPr>
          <w:rFonts w:cs="Times New Roman"/>
        </w:rPr>
        <w:t>本</w:t>
      </w:r>
      <w:r>
        <w:rPr>
          <w:rFonts w:cs="Times New Roman" w:hint="eastAsia"/>
        </w:rPr>
        <w:t>工程</w:t>
      </w:r>
      <w:r>
        <w:rPr>
          <w:rFonts w:cs="Times New Roman"/>
        </w:rPr>
        <w:t>为石油和天然气开采项目，环境影响主要来源于</w:t>
      </w:r>
      <w:r>
        <w:rPr>
          <w:rFonts w:cs="Times New Roman"/>
        </w:rPr>
        <w:t>施工期的</w:t>
      </w:r>
      <w:r>
        <w:rPr>
          <w:rFonts w:cs="Times New Roman"/>
        </w:rPr>
        <w:t>井场建设</w:t>
      </w:r>
      <w:r>
        <w:rPr>
          <w:rFonts w:cs="Times New Roman" w:hint="eastAsia"/>
        </w:rPr>
        <w:t>，</w:t>
      </w:r>
      <w:r>
        <w:rPr>
          <w:rFonts w:cs="Times New Roman"/>
        </w:rPr>
        <w:t>运营期的</w:t>
      </w:r>
      <w:r>
        <w:rPr>
          <w:rFonts w:cs="Times New Roman"/>
        </w:rPr>
        <w:t>采</w:t>
      </w:r>
      <w:r>
        <w:rPr>
          <w:rFonts w:cs="Times New Roman" w:hint="eastAsia"/>
        </w:rPr>
        <w:t>气、凝析油装车拉运</w:t>
      </w:r>
      <w:r>
        <w:rPr>
          <w:rFonts w:cs="Times New Roman"/>
        </w:rPr>
        <w:t>等各工艺过程</w:t>
      </w:r>
      <w:r>
        <w:rPr>
          <w:rFonts w:cs="Times New Roman"/>
        </w:rPr>
        <w:t>。</w:t>
      </w:r>
      <w:r>
        <w:rPr>
          <w:rFonts w:cs="Times New Roman"/>
        </w:rPr>
        <w:t>环境影响包括施工期和运营期污染物排放造成的环境污染和占地及施工造成的生态影响。根据现状调查，</w:t>
      </w:r>
      <w:r>
        <w:rPr>
          <w:rFonts w:cs="Times New Roman"/>
        </w:rPr>
        <w:t>本</w:t>
      </w:r>
      <w:r>
        <w:rPr>
          <w:rFonts w:cs="Times New Roman" w:hint="eastAsia"/>
        </w:rPr>
        <w:t>工程</w:t>
      </w:r>
      <w:r>
        <w:rPr>
          <w:rFonts w:cs="Times New Roman"/>
        </w:rPr>
        <w:t>不</w:t>
      </w:r>
      <w:r>
        <w:rPr>
          <w:rFonts w:cs="Times New Roman"/>
        </w:rPr>
        <w:t>涉及</w:t>
      </w:r>
      <w:r>
        <w:rPr>
          <w:rFonts w:cs="Times New Roman"/>
        </w:rPr>
        <w:t>自然保护区、风景名胜区、水源保护区等敏感区，主要环境敏感保护目标为塔里木河流域</w:t>
      </w:r>
      <w:r>
        <w:rPr>
          <w:rFonts w:cs="Times New Roman"/>
        </w:rPr>
        <w:t>水土流失</w:t>
      </w:r>
      <w:r>
        <w:rPr>
          <w:rFonts w:cs="Times New Roman"/>
        </w:rPr>
        <w:t>重点治理区</w:t>
      </w:r>
      <w:r>
        <w:rPr>
          <w:rFonts w:cs="Times New Roman" w:hint="eastAsia"/>
        </w:rPr>
        <w:t>、</w:t>
      </w:r>
      <w:r>
        <w:rPr>
          <w:rFonts w:cs="Times New Roman" w:hint="eastAsia"/>
        </w:rPr>
        <w:t>永久基本农田</w:t>
      </w:r>
      <w:r>
        <w:rPr>
          <w:rFonts w:cs="Times New Roman"/>
        </w:rPr>
        <w:t>。重点关注施工过程的各项污染物产生以及可能发生的风险对区域环境产生的影响</w:t>
      </w:r>
      <w:r>
        <w:rPr>
          <w:rFonts w:cs="Times New Roman" w:hint="eastAsia"/>
        </w:rPr>
        <w:t>、</w:t>
      </w:r>
      <w:r>
        <w:rPr>
          <w:rFonts w:cs="Times New Roman"/>
        </w:rPr>
        <w:t>施工过程中产生的生态环境问题以及生态恢复措施；施工过程中产生的扬尘、焊接废气</w:t>
      </w:r>
      <w:r>
        <w:rPr>
          <w:rFonts w:cs="Times New Roman" w:hint="eastAsia"/>
        </w:rPr>
        <w:t>、</w:t>
      </w:r>
      <w:r>
        <w:rPr>
          <w:rFonts w:cs="Times New Roman"/>
        </w:rPr>
        <w:t>施工机械废气及运输车辆尾气、生活污水、试压废水</w:t>
      </w:r>
      <w:r>
        <w:rPr>
          <w:rFonts w:cs="Times New Roman" w:hint="eastAsia"/>
        </w:rPr>
        <w:t>、</w:t>
      </w:r>
      <w:r>
        <w:rPr>
          <w:rFonts w:cs="Times New Roman"/>
        </w:rPr>
        <w:t>生活垃圾、施工废料等；</w:t>
      </w:r>
      <w:r>
        <w:rPr>
          <w:rFonts w:cs="Times New Roman"/>
        </w:rPr>
        <w:t>运营期</w:t>
      </w:r>
      <w:r>
        <w:rPr>
          <w:rFonts w:cs="Times New Roman"/>
        </w:rPr>
        <w:t>井场加</w:t>
      </w:r>
      <w:r>
        <w:rPr>
          <w:rFonts w:cs="Times New Roman"/>
        </w:rPr>
        <w:lastRenderedPageBreak/>
        <w:t>热炉</w:t>
      </w:r>
      <w:r>
        <w:rPr>
          <w:rFonts w:cs="Times New Roman" w:hint="eastAsia"/>
        </w:rPr>
        <w:t>天然</w:t>
      </w:r>
      <w:r>
        <w:rPr>
          <w:rFonts w:cs="Times New Roman"/>
        </w:rPr>
        <w:t>气燃烧烟气及</w:t>
      </w:r>
      <w:r>
        <w:rPr>
          <w:rFonts w:cs="Times New Roman" w:hint="eastAsia"/>
        </w:rPr>
        <w:t>拉运</w:t>
      </w:r>
      <w:r>
        <w:rPr>
          <w:rFonts w:cs="Times New Roman"/>
        </w:rPr>
        <w:t>过程无组织排放烃类、硫化氢污染物</w:t>
      </w:r>
      <w:r>
        <w:rPr>
          <w:rFonts w:cs="Times New Roman"/>
        </w:rPr>
        <w:t>、生产废水</w:t>
      </w:r>
      <w:r>
        <w:rPr>
          <w:rFonts w:cs="Times New Roman" w:hint="eastAsia"/>
        </w:rPr>
        <w:t>、</w:t>
      </w:r>
      <w:r>
        <w:rPr>
          <w:rFonts w:cs="Times New Roman"/>
        </w:rPr>
        <w:t>井下作业废水、落地油、废防渗材料、清罐底泥</w:t>
      </w:r>
      <w:r>
        <w:rPr>
          <w:rFonts w:cs="Times New Roman" w:hint="eastAsia"/>
        </w:rPr>
        <w:t>、</w:t>
      </w:r>
      <w:r>
        <w:rPr>
          <w:rFonts w:cs="Times New Roman"/>
        </w:rPr>
        <w:t>废润滑油等对环境产生的影响。</w:t>
      </w:r>
    </w:p>
    <w:p w:rsidR="00C645C9" w:rsidRDefault="00F955D9">
      <w:pPr>
        <w:pStyle w:val="2"/>
        <w:widowControl w:val="0"/>
        <w:adjustRightInd w:val="0"/>
        <w:snapToGrid w:val="0"/>
        <w:spacing w:line="360" w:lineRule="auto"/>
        <w:rPr>
          <w:rFonts w:ascii="Times New Roman" w:hAnsi="Times New Roman" w:cs="Times New Roman"/>
          <w:color w:val="auto"/>
          <w:lang w:eastAsia="zh-CN"/>
        </w:rPr>
      </w:pPr>
      <w:bookmarkStart w:id="63" w:name="_Toc75438874"/>
      <w:bookmarkStart w:id="64" w:name="_Toc491102338"/>
      <w:bookmarkStart w:id="65" w:name="_Toc36583799"/>
      <w:bookmarkStart w:id="66" w:name="_Toc494278969"/>
      <w:bookmarkStart w:id="67" w:name="_Toc536"/>
      <w:bookmarkStart w:id="68" w:name="_Toc507411700"/>
      <w:bookmarkStart w:id="69" w:name="_Toc12643"/>
      <w:bookmarkEnd w:id="60"/>
      <w:bookmarkEnd w:id="61"/>
      <w:bookmarkEnd w:id="62"/>
      <w:r>
        <w:rPr>
          <w:rFonts w:ascii="Times New Roman" w:hAnsi="Times New Roman" w:cs="Times New Roman"/>
          <w:color w:val="auto"/>
          <w:lang w:eastAsia="zh-CN"/>
        </w:rPr>
        <w:t>1.5</w:t>
      </w:r>
      <w:bookmarkEnd w:id="63"/>
      <w:bookmarkEnd w:id="64"/>
      <w:bookmarkEnd w:id="65"/>
      <w:bookmarkEnd w:id="66"/>
      <w:bookmarkEnd w:id="67"/>
      <w:bookmarkEnd w:id="68"/>
      <w:r>
        <w:rPr>
          <w:rFonts w:ascii="Times New Roman" w:hAnsi="Times New Roman" w:cs="Times New Roman"/>
          <w:color w:val="auto"/>
          <w:lang w:eastAsia="zh-CN"/>
        </w:rPr>
        <w:t>环境影响评价的主要结论</w:t>
      </w:r>
      <w:bookmarkEnd w:id="69"/>
    </w:p>
    <w:p w:rsidR="00C645C9" w:rsidRDefault="00F955D9">
      <w:pPr>
        <w:pStyle w:val="13"/>
        <w:widowControl w:val="0"/>
        <w:adjustRightInd w:val="0"/>
        <w:snapToGrid w:val="0"/>
        <w:spacing w:line="360" w:lineRule="auto"/>
        <w:ind w:firstLine="480"/>
        <w:rPr>
          <w:rFonts w:cs="Times New Roman"/>
        </w:rPr>
      </w:pPr>
      <w:bookmarkStart w:id="70" w:name="_Toc297590765"/>
      <w:bookmarkStart w:id="71" w:name="_Toc280954895"/>
      <w:bookmarkStart w:id="72" w:name="_Toc280954972"/>
      <w:bookmarkStart w:id="73" w:name="_Toc361761815"/>
      <w:bookmarkStart w:id="74" w:name="_Toc297590918"/>
      <w:bookmarkStart w:id="75" w:name="_Toc353966723"/>
      <w:bookmarkStart w:id="76" w:name="_Toc374724170"/>
      <w:bookmarkStart w:id="77" w:name="_Toc42981092"/>
      <w:bookmarkStart w:id="78" w:name="_Toc508291872"/>
      <w:r>
        <w:rPr>
          <w:rFonts w:cs="Times New Roman"/>
        </w:rPr>
        <w:t>本</w:t>
      </w:r>
      <w:r>
        <w:rPr>
          <w:rFonts w:cs="Times New Roman" w:hint="eastAsia"/>
        </w:rPr>
        <w:t>工程</w:t>
      </w:r>
      <w:r>
        <w:rPr>
          <w:rFonts w:cs="Times New Roman"/>
        </w:rPr>
        <w:t>属于</w:t>
      </w:r>
      <w:r>
        <w:rPr>
          <w:rFonts w:cs="Times New Roman"/>
          <w:lang w:val="zh-CN"/>
        </w:rPr>
        <w:t>《产业结构调整指导目录（</w:t>
      </w:r>
      <w:r>
        <w:rPr>
          <w:rFonts w:cs="Times New Roman"/>
          <w:lang w:val="zh-CN"/>
        </w:rPr>
        <w:t>20</w:t>
      </w:r>
      <w:r>
        <w:rPr>
          <w:rFonts w:cs="Times New Roman"/>
        </w:rPr>
        <w:t>24</w:t>
      </w:r>
      <w:r>
        <w:rPr>
          <w:rFonts w:cs="Times New Roman"/>
          <w:lang w:val="zh-CN"/>
        </w:rPr>
        <w:t>年本）》，</w:t>
      </w:r>
      <w:r>
        <w:rPr>
          <w:rFonts w:cs="Times New Roman"/>
        </w:rPr>
        <w:t>本</w:t>
      </w:r>
      <w:r>
        <w:rPr>
          <w:rFonts w:cs="Times New Roman" w:hint="eastAsia"/>
        </w:rPr>
        <w:t>工程</w:t>
      </w:r>
      <w:r>
        <w:rPr>
          <w:rFonts w:cs="Times New Roman"/>
        </w:rPr>
        <w:t>属于</w:t>
      </w:r>
      <w:r>
        <w:rPr>
          <w:rFonts w:cs="Times New Roman" w:hint="eastAsia"/>
          <w:lang w:val="zh-CN"/>
        </w:rPr>
        <w:t>“</w:t>
      </w:r>
      <w:r>
        <w:rPr>
          <w:rFonts w:cs="Times New Roman"/>
        </w:rPr>
        <w:t>第一类</w:t>
      </w:r>
      <w:r>
        <w:rPr>
          <w:rFonts w:cs="Times New Roman"/>
        </w:rPr>
        <w:t xml:space="preserve"> </w:t>
      </w:r>
      <w:r>
        <w:rPr>
          <w:rFonts w:cs="Times New Roman"/>
        </w:rPr>
        <w:t>鼓励类</w:t>
      </w:r>
      <w:r>
        <w:rPr>
          <w:rFonts w:cs="Times New Roman" w:hint="eastAsia"/>
          <w:lang w:val="zh-CN"/>
        </w:rPr>
        <w:t>”</w:t>
      </w:r>
      <w:r>
        <w:rPr>
          <w:rFonts w:cs="Times New Roman"/>
        </w:rPr>
        <w:t>中</w:t>
      </w:r>
      <w:r>
        <w:rPr>
          <w:rFonts w:cs="Times New Roman" w:hint="eastAsia"/>
        </w:rPr>
        <w:t>的“</w:t>
      </w:r>
      <w:r>
        <w:rPr>
          <w:rFonts w:cs="Times New Roman"/>
        </w:rPr>
        <w:t>七、石油天然气</w:t>
      </w:r>
      <w:r>
        <w:rPr>
          <w:rFonts w:cs="Times New Roman" w:hint="eastAsia"/>
        </w:rPr>
        <w:t>”</w:t>
      </w:r>
      <w:r>
        <w:rPr>
          <w:rFonts w:hint="eastAsia"/>
        </w:rPr>
        <w:t>中的</w:t>
      </w:r>
      <w:r>
        <w:rPr>
          <w:rFonts w:cs="Times New Roman" w:hint="eastAsia"/>
        </w:rPr>
        <w:t>“</w:t>
      </w:r>
      <w:r>
        <w:rPr>
          <w:rFonts w:cs="Times New Roman"/>
        </w:rPr>
        <w:t>1.</w:t>
      </w:r>
      <w:r>
        <w:rPr>
          <w:rFonts w:cs="Times New Roman"/>
        </w:rPr>
        <w:t>石油天然气开采</w:t>
      </w:r>
      <w:r>
        <w:rPr>
          <w:rFonts w:cs="Times New Roman" w:hint="eastAsia"/>
        </w:rPr>
        <w:t>：</w:t>
      </w:r>
      <w:r>
        <w:rPr>
          <w:rFonts w:cs="Times New Roman"/>
          <w:lang w:val="zh-CN"/>
        </w:rPr>
        <w:t>常规石油、天然气勘探与开采</w:t>
      </w:r>
      <w:r>
        <w:rPr>
          <w:rFonts w:cs="Times New Roman" w:hint="eastAsia"/>
        </w:rPr>
        <w:t>”</w:t>
      </w:r>
      <w:r>
        <w:rPr>
          <w:rFonts w:cs="Times New Roman"/>
          <w:lang w:val="zh-CN"/>
        </w:rPr>
        <w:t>属</w:t>
      </w:r>
      <w:r>
        <w:rPr>
          <w:rFonts w:cs="Times New Roman" w:hint="eastAsia"/>
        </w:rPr>
        <w:t>于</w:t>
      </w:r>
      <w:r>
        <w:rPr>
          <w:rFonts w:cs="Times New Roman"/>
          <w:lang w:val="zh-CN"/>
        </w:rPr>
        <w:t>鼓励类项目</w:t>
      </w:r>
      <w:r>
        <w:rPr>
          <w:rFonts w:cs="Times New Roman"/>
        </w:rPr>
        <w:t>，项目建设符合国家产业政策；符合</w:t>
      </w:r>
      <w:r>
        <w:rPr>
          <w:rFonts w:cs="Times New Roman"/>
          <w:kern w:val="24"/>
        </w:rPr>
        <w:t>《</w:t>
      </w:r>
      <w:r>
        <w:rPr>
          <w:rFonts w:cs="Times New Roman"/>
          <w:kern w:val="24"/>
        </w:rPr>
        <w:t>石油天然气开采业污染防治技术政策</w:t>
      </w:r>
      <w:r>
        <w:rPr>
          <w:rFonts w:cs="Times New Roman"/>
          <w:kern w:val="24"/>
        </w:rPr>
        <w:t>》《</w:t>
      </w:r>
      <w:r>
        <w:rPr>
          <w:rFonts w:cs="Times New Roman"/>
          <w:kern w:val="24"/>
        </w:rPr>
        <w:t>新疆维吾尔自治区大气污染防治条例</w:t>
      </w:r>
      <w:r>
        <w:rPr>
          <w:rFonts w:cs="Times New Roman"/>
          <w:kern w:val="24"/>
        </w:rPr>
        <w:t>》《</w:t>
      </w:r>
      <w:r>
        <w:rPr>
          <w:rFonts w:cs="Times New Roman"/>
          <w:kern w:val="24"/>
        </w:rPr>
        <w:t>关于进一步加强石油天然气行业环境影响评价管理的通知</w:t>
      </w:r>
      <w:r>
        <w:rPr>
          <w:rFonts w:cs="Times New Roman"/>
          <w:kern w:val="24"/>
        </w:rPr>
        <w:t>》（</w:t>
      </w:r>
      <w:r>
        <w:rPr>
          <w:rFonts w:cs="Times New Roman"/>
          <w:kern w:val="24"/>
        </w:rPr>
        <w:t>环办环评函〔</w:t>
      </w:r>
      <w:r>
        <w:rPr>
          <w:rFonts w:cs="Times New Roman"/>
          <w:kern w:val="24"/>
        </w:rPr>
        <w:t>2019</w:t>
      </w:r>
      <w:r>
        <w:rPr>
          <w:rFonts w:cs="Times New Roman"/>
          <w:kern w:val="24"/>
        </w:rPr>
        <w:t>〕</w:t>
      </w:r>
      <w:r>
        <w:rPr>
          <w:rFonts w:cs="Times New Roman"/>
          <w:kern w:val="24"/>
        </w:rPr>
        <w:t>910</w:t>
      </w:r>
      <w:r>
        <w:rPr>
          <w:rFonts w:cs="Times New Roman"/>
          <w:kern w:val="24"/>
        </w:rPr>
        <w:t>号</w:t>
      </w:r>
      <w:r>
        <w:rPr>
          <w:rFonts w:cs="Times New Roman"/>
          <w:kern w:val="24"/>
        </w:rPr>
        <w:t>）</w:t>
      </w:r>
      <w:r>
        <w:rPr>
          <w:rFonts w:cs="Times New Roman"/>
        </w:rPr>
        <w:t>等法规和政策要求；符合</w:t>
      </w:r>
      <w:r>
        <w:rPr>
          <w:rFonts w:cs="Times New Roman"/>
        </w:rPr>
        <w:t>《</w:t>
      </w:r>
      <w:r>
        <w:rPr>
          <w:rFonts w:cs="Times New Roman"/>
        </w:rPr>
        <w:t>新疆维吾尔自治区主体功能区规划</w:t>
      </w:r>
      <w:r>
        <w:rPr>
          <w:rFonts w:cs="Times New Roman"/>
        </w:rPr>
        <w:t>》《</w:t>
      </w:r>
      <w:bookmarkStart w:id="79" w:name="OLE_LINK1166"/>
      <w:r>
        <w:rPr>
          <w:rFonts w:cs="Times New Roman"/>
        </w:rPr>
        <w:t>新疆生态功能区划</w:t>
      </w:r>
      <w:bookmarkEnd w:id="79"/>
      <w:r>
        <w:rPr>
          <w:rFonts w:cs="Times New Roman"/>
        </w:rPr>
        <w:t>》《</w:t>
      </w:r>
      <w:r>
        <w:rPr>
          <w:rFonts w:cs="Times New Roman"/>
        </w:rPr>
        <w:t>新疆生态环境保护</w:t>
      </w:r>
      <w:r>
        <w:rPr>
          <w:rFonts w:cs="Times New Roman" w:hint="eastAsia"/>
        </w:rPr>
        <w:t>“</w:t>
      </w:r>
      <w:r>
        <w:rPr>
          <w:rFonts w:cs="Times New Roman"/>
        </w:rPr>
        <w:t>十四五</w:t>
      </w:r>
      <w:r>
        <w:rPr>
          <w:rFonts w:cs="Times New Roman" w:hint="eastAsia"/>
        </w:rPr>
        <w:t>”</w:t>
      </w:r>
      <w:r>
        <w:rPr>
          <w:rFonts w:cs="Times New Roman"/>
        </w:rPr>
        <w:t>规划</w:t>
      </w:r>
      <w:r>
        <w:rPr>
          <w:rFonts w:cs="Times New Roman"/>
        </w:rPr>
        <w:t>》</w:t>
      </w:r>
      <w:r>
        <w:rPr>
          <w:rFonts w:cs="Times New Roman"/>
        </w:rPr>
        <w:t>等要求；</w:t>
      </w:r>
      <w:r>
        <w:rPr>
          <w:rFonts w:cs="Times New Roman" w:hint="eastAsia"/>
        </w:rPr>
        <w:t>本工程</w:t>
      </w:r>
      <w:r>
        <w:rPr>
          <w:rFonts w:cs="Times New Roman"/>
        </w:rPr>
        <w:t>不涉及国家公园、自然保护区、风景名胜区等环境敏感区域</w:t>
      </w:r>
      <w:r>
        <w:rPr>
          <w:rFonts w:cs="Times New Roman" w:hint="eastAsia"/>
        </w:rPr>
        <w:t>；</w:t>
      </w:r>
      <w:bookmarkStart w:id="80" w:name="OLE_LINK1227"/>
      <w:r>
        <w:rPr>
          <w:rFonts w:cs="Times New Roman" w:hint="eastAsia"/>
        </w:rPr>
        <w:t>本工程不占用永久基本农田</w:t>
      </w:r>
      <w:r>
        <w:rPr>
          <w:rFonts w:cs="Times New Roman"/>
        </w:rPr>
        <w:t>，</w:t>
      </w:r>
      <w:r>
        <w:rPr>
          <w:rFonts w:cs="Times New Roman" w:hint="eastAsia"/>
        </w:rPr>
        <w:t>评价范围涉及永久</w:t>
      </w:r>
      <w:r>
        <w:rPr>
          <w:rFonts w:cs="Times New Roman"/>
        </w:rPr>
        <w:t>基本农田</w:t>
      </w:r>
      <w:bookmarkEnd w:id="80"/>
      <w:r>
        <w:rPr>
          <w:rFonts w:cs="Times New Roman" w:hint="eastAsia"/>
        </w:rPr>
        <w:t>，</w:t>
      </w:r>
      <w:r>
        <w:rPr>
          <w:rFonts w:cs="Times New Roman"/>
        </w:rPr>
        <w:t>需要办理相关用地手续后方可开工建设；</w:t>
      </w:r>
      <w:r>
        <w:rPr>
          <w:rFonts w:cs="Times New Roman" w:hint="eastAsia"/>
        </w:rPr>
        <w:t>本工程</w:t>
      </w:r>
      <w:r>
        <w:rPr>
          <w:rFonts w:cs="Times New Roman"/>
        </w:rPr>
        <w:t>符合生态环境分区管控要求；建设单位按照《环境影响</w:t>
      </w:r>
      <w:r>
        <w:rPr>
          <w:rFonts w:cs="Times New Roman"/>
        </w:rPr>
        <w:t>评价公众参与办法》，在</w:t>
      </w:r>
      <w:r>
        <w:rPr>
          <w:rFonts w:cs="Times New Roman"/>
        </w:rPr>
        <w:t>本</w:t>
      </w:r>
      <w:r>
        <w:rPr>
          <w:rFonts w:cs="Times New Roman" w:hint="eastAsia"/>
        </w:rPr>
        <w:t>工程</w:t>
      </w:r>
      <w:r>
        <w:rPr>
          <w:rFonts w:cs="Times New Roman"/>
        </w:rPr>
        <w:t>环评过程中开展了公众参与调查，至信息公告的截止日期没有收到相关反馈信息。</w:t>
      </w:r>
    </w:p>
    <w:p w:rsidR="00C645C9" w:rsidRDefault="00F955D9">
      <w:pPr>
        <w:pStyle w:val="13"/>
        <w:widowControl w:val="0"/>
        <w:adjustRightInd w:val="0"/>
        <w:snapToGrid w:val="0"/>
        <w:spacing w:line="360" w:lineRule="auto"/>
        <w:ind w:firstLine="480"/>
        <w:rPr>
          <w:rFonts w:cs="Times New Roman"/>
        </w:rPr>
      </w:pPr>
      <w:r>
        <w:rPr>
          <w:rStyle w:val="Char"/>
          <w:rFonts w:ascii="Times New Roman" w:hAnsi="Times New Roman" w:cs="Times New Roman"/>
          <w:bCs/>
        </w:rPr>
        <w:t>本</w:t>
      </w:r>
      <w:r>
        <w:rPr>
          <w:rStyle w:val="Char"/>
          <w:rFonts w:cs="Times New Roman" w:hint="eastAsia"/>
          <w:bCs/>
        </w:rPr>
        <w:t>工程</w:t>
      </w:r>
      <w:r>
        <w:rPr>
          <w:rStyle w:val="Char"/>
          <w:rFonts w:ascii="Times New Roman" w:hAnsi="Times New Roman" w:cs="Times New Roman"/>
          <w:bCs/>
        </w:rPr>
        <w:t>符合国家产业政策和新疆经济发展规划，符合</w:t>
      </w:r>
      <w:r>
        <w:rPr>
          <w:rStyle w:val="Char"/>
          <w:rFonts w:cs="Times New Roman" w:hint="eastAsia"/>
          <w:bCs/>
        </w:rPr>
        <w:t>新疆维吾尔自治区</w:t>
      </w:r>
      <w:r>
        <w:rPr>
          <w:rStyle w:val="Char"/>
          <w:rFonts w:ascii="Times New Roman" w:hAnsi="Times New Roman" w:cs="Times New Roman"/>
          <w:bCs/>
        </w:rPr>
        <w:t>及阿克苏地区生态环境分区管控要求，公众认同性较好。只要在</w:t>
      </w:r>
      <w:r>
        <w:rPr>
          <w:rStyle w:val="Char"/>
          <w:rFonts w:cs="Times New Roman" w:hint="eastAsia"/>
          <w:bCs/>
        </w:rPr>
        <w:t>施工</w:t>
      </w:r>
      <w:r>
        <w:rPr>
          <w:rStyle w:val="Char"/>
          <w:rFonts w:ascii="Times New Roman" w:hAnsi="Times New Roman" w:cs="Times New Roman"/>
          <w:bCs/>
        </w:rPr>
        <w:t>和运营过程中认真落实各项污染防治措施、生态修复措施、风险防范措施及应急措施，各项污染物均能够做到达标排放，其生态破坏可降至最低，环境风险可以接受，从环境保护角度看，</w:t>
      </w:r>
      <w:r>
        <w:rPr>
          <w:rStyle w:val="Char"/>
          <w:rFonts w:ascii="Times New Roman" w:hAnsi="Times New Roman" w:cs="Times New Roman"/>
          <w:bCs/>
        </w:rPr>
        <w:t>本</w:t>
      </w:r>
      <w:r>
        <w:rPr>
          <w:rStyle w:val="Char"/>
          <w:rFonts w:cs="Times New Roman" w:hint="eastAsia"/>
          <w:bCs/>
        </w:rPr>
        <w:t>工程</w:t>
      </w:r>
      <w:r>
        <w:rPr>
          <w:rStyle w:val="Char"/>
          <w:rFonts w:ascii="Times New Roman" w:hAnsi="Times New Roman" w:cs="Times New Roman"/>
          <w:bCs/>
        </w:rPr>
        <w:t>选址合理，建设是可行的。</w:t>
      </w:r>
    </w:p>
    <w:p w:rsidR="00C645C9" w:rsidRDefault="00F955D9">
      <w:pPr>
        <w:pStyle w:val="1"/>
        <w:widowControl w:val="0"/>
        <w:adjustRightInd w:val="0"/>
        <w:snapToGrid w:val="0"/>
        <w:spacing w:before="0" w:after="0" w:line="360" w:lineRule="auto"/>
        <w:rPr>
          <w:rStyle w:val="1Char"/>
          <w:rFonts w:ascii="Times New Roman" w:hAnsi="Times New Roman" w:cs="Times New Roman"/>
          <w:b/>
          <w:color w:val="auto"/>
          <w:lang w:eastAsia="zh-CN"/>
        </w:rPr>
      </w:pPr>
      <w:r>
        <w:rPr>
          <w:rFonts w:ascii="Times New Roman" w:hAnsi="Times New Roman" w:cs="Times New Roman"/>
          <w:color w:val="auto"/>
          <w:lang w:eastAsia="zh-CN"/>
        </w:rPr>
        <w:br w:type="page"/>
      </w:r>
      <w:bookmarkStart w:id="81" w:name="_Toc75438875"/>
      <w:bookmarkStart w:id="82" w:name="_Toc24912"/>
      <w:bookmarkStart w:id="83" w:name="_Toc5678"/>
      <w:r>
        <w:rPr>
          <w:rStyle w:val="1Char"/>
          <w:rFonts w:ascii="Times New Roman" w:hAnsi="Times New Roman" w:cs="Times New Roman"/>
          <w:b/>
          <w:color w:val="auto"/>
          <w:sz w:val="36"/>
          <w:szCs w:val="36"/>
          <w:lang w:eastAsia="zh-CN"/>
        </w:rPr>
        <w:lastRenderedPageBreak/>
        <w:t>2</w:t>
      </w:r>
      <w:bookmarkEnd w:id="70"/>
      <w:bookmarkEnd w:id="71"/>
      <w:bookmarkEnd w:id="72"/>
      <w:bookmarkEnd w:id="73"/>
      <w:bookmarkEnd w:id="74"/>
      <w:bookmarkEnd w:id="75"/>
      <w:bookmarkEnd w:id="76"/>
      <w:r>
        <w:rPr>
          <w:rStyle w:val="1Char"/>
          <w:rFonts w:ascii="Times New Roman" w:hAnsi="Times New Roman" w:cs="Times New Roman"/>
          <w:b/>
          <w:color w:val="auto"/>
          <w:sz w:val="36"/>
          <w:szCs w:val="36"/>
          <w:lang w:eastAsia="zh-CN"/>
        </w:rPr>
        <w:t>总则</w:t>
      </w:r>
      <w:bookmarkEnd w:id="77"/>
      <w:bookmarkEnd w:id="78"/>
      <w:bookmarkEnd w:id="81"/>
      <w:bookmarkEnd w:id="82"/>
      <w:bookmarkEnd w:id="83"/>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84" w:name="_Toc76"/>
      <w:bookmarkStart w:id="85" w:name="_Toc36583802"/>
      <w:bookmarkStart w:id="86" w:name="_Toc75438877"/>
      <w:bookmarkStart w:id="87" w:name="_Toc507411703"/>
      <w:bookmarkStart w:id="88" w:name="_Toc15290"/>
      <w:bookmarkStart w:id="89" w:name="_Toc32270"/>
      <w:bookmarkStart w:id="90" w:name="_Toc390851518"/>
      <w:bookmarkStart w:id="91" w:name="_Toc36583801"/>
      <w:bookmarkStart w:id="92" w:name="_Toc500856896"/>
      <w:bookmarkStart w:id="93" w:name="_Toc507411702"/>
      <w:bookmarkStart w:id="94" w:name="_Toc75438876"/>
      <w:bookmarkStart w:id="95" w:name="_Toc491102341"/>
      <w:bookmarkStart w:id="96" w:name="_Toc494278972"/>
      <w:bookmarkStart w:id="97" w:name="_Toc479866261"/>
      <w:r>
        <w:rPr>
          <w:rFonts w:ascii="Times New Roman" w:hAnsi="Times New Roman" w:cs="Times New Roman"/>
          <w:color w:val="auto"/>
          <w:lang w:eastAsia="zh-CN"/>
        </w:rPr>
        <w:t>2.</w:t>
      </w:r>
      <w:r>
        <w:rPr>
          <w:rFonts w:ascii="Times New Roman" w:hAnsi="Times New Roman" w:cs="Times New Roman" w:hint="eastAsia"/>
          <w:color w:val="auto"/>
          <w:lang w:eastAsia="zh-CN"/>
        </w:rPr>
        <w:t>1</w:t>
      </w:r>
      <w:r>
        <w:rPr>
          <w:rFonts w:ascii="Times New Roman" w:hAnsi="Times New Roman" w:cs="Times New Roman"/>
          <w:color w:val="auto"/>
          <w:lang w:eastAsia="zh-CN"/>
        </w:rPr>
        <w:t>编制依据</w:t>
      </w:r>
      <w:bookmarkEnd w:id="84"/>
      <w:bookmarkEnd w:id="85"/>
      <w:bookmarkEnd w:id="86"/>
      <w:bookmarkEnd w:id="87"/>
      <w:bookmarkEnd w:id="88"/>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98" w:name="_Toc465181728"/>
      <w:bookmarkStart w:id="99" w:name="_Toc329026110"/>
      <w:bookmarkStart w:id="100" w:name="_Toc24005"/>
      <w:bookmarkStart w:id="101" w:name="_Toc332317908"/>
      <w:bookmarkStart w:id="102" w:name="_Toc122"/>
      <w:bookmarkStart w:id="103" w:name="_Toc330418978"/>
      <w:bookmarkStart w:id="104" w:name="_Toc312148934"/>
      <w:bookmarkStart w:id="105" w:name="_Toc330418763"/>
      <w:bookmarkStart w:id="106" w:name="_Toc313911250"/>
      <w:bookmarkStart w:id="107" w:name="_Toc2342"/>
      <w:bookmarkStart w:id="108" w:name="OLE_LINK172"/>
      <w:r>
        <w:rPr>
          <w:rFonts w:ascii="Times New Roman" w:hAnsi="Times New Roman" w:cs="Times New Roman"/>
          <w:color w:val="auto"/>
          <w:lang w:eastAsia="zh-CN"/>
        </w:rPr>
        <w:t>2.</w:t>
      </w:r>
      <w:r>
        <w:rPr>
          <w:rFonts w:ascii="Times New Roman" w:hAnsi="Times New Roman" w:cs="Times New Roman" w:hint="eastAsia"/>
          <w:color w:val="auto"/>
          <w:lang w:eastAsia="zh-CN"/>
        </w:rPr>
        <w:t>1</w:t>
      </w:r>
      <w:r>
        <w:rPr>
          <w:rFonts w:ascii="Times New Roman" w:hAnsi="Times New Roman" w:cs="Times New Roman"/>
          <w:color w:val="auto"/>
          <w:lang w:eastAsia="zh-CN"/>
        </w:rPr>
        <w:t>.1</w:t>
      </w:r>
      <w:bookmarkStart w:id="109" w:name="OLE_LINK473"/>
      <w:bookmarkEnd w:id="98"/>
      <w:bookmarkEnd w:id="99"/>
      <w:bookmarkEnd w:id="100"/>
      <w:bookmarkEnd w:id="101"/>
      <w:bookmarkEnd w:id="102"/>
      <w:bookmarkEnd w:id="103"/>
      <w:bookmarkEnd w:id="104"/>
      <w:bookmarkEnd w:id="105"/>
      <w:bookmarkEnd w:id="106"/>
      <w:bookmarkEnd w:id="107"/>
      <w:r>
        <w:rPr>
          <w:rFonts w:ascii="Times New Roman" w:hAnsi="Times New Roman" w:cs="Times New Roman"/>
          <w:color w:val="auto"/>
          <w:lang w:eastAsia="zh-CN"/>
        </w:rPr>
        <w:t>环境保护法律</w:t>
      </w:r>
      <w:bookmarkEnd w:id="109"/>
    </w:p>
    <w:p w:rsidR="00C645C9" w:rsidRDefault="00F955D9">
      <w:pPr>
        <w:widowControl w:val="0"/>
        <w:adjustRightInd w:val="0"/>
        <w:snapToGrid w:val="0"/>
        <w:spacing w:line="360" w:lineRule="auto"/>
        <w:ind w:firstLineChars="200" w:firstLine="480"/>
        <w:rPr>
          <w:rFonts w:cs="Times New Roman"/>
        </w:rPr>
      </w:pPr>
      <w:r>
        <w:rPr>
          <w:rFonts w:cs="Times New Roman"/>
        </w:rPr>
        <w:t>国家和地方环境保护法律一览表见表</w:t>
      </w:r>
      <w:r>
        <w:rPr>
          <w:rFonts w:cs="Times New Roman"/>
        </w:rPr>
        <w:t>2.</w:t>
      </w:r>
      <w:r>
        <w:rPr>
          <w:rFonts w:cs="Times New Roman" w:hint="eastAsia"/>
        </w:rPr>
        <w:t>1</w:t>
      </w:r>
      <w:r>
        <w:rPr>
          <w:rFonts w:cs="Times New Roman"/>
        </w:rPr>
        <w:t>-1</w:t>
      </w:r>
      <w:r>
        <w:rPr>
          <w:rFonts w:cs="Times New Roman"/>
        </w:rPr>
        <w:t>。</w:t>
      </w:r>
    </w:p>
    <w:p w:rsidR="00C645C9" w:rsidRDefault="00F955D9">
      <w:pPr>
        <w:widowControl w:val="0"/>
        <w:jc w:val="center"/>
        <w:rPr>
          <w:rFonts w:eastAsia="黑体" w:cs="Times New Roman"/>
          <w:bCs/>
          <w:sz w:val="21"/>
          <w:szCs w:val="21"/>
        </w:rPr>
      </w:pPr>
      <w:bookmarkStart w:id="110" w:name="OLE_LINK174"/>
      <w:bookmarkEnd w:id="108"/>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1</w:t>
      </w:r>
      <w:r>
        <w:rPr>
          <w:rFonts w:eastAsia="黑体" w:cs="Times New Roman"/>
          <w:bCs/>
          <w:sz w:val="21"/>
          <w:szCs w:val="21"/>
        </w:rPr>
        <w:t>-1</w:t>
      </w:r>
      <w:r>
        <w:rPr>
          <w:rFonts w:eastAsia="黑体" w:cs="Times New Roman"/>
          <w:bCs/>
          <w:sz w:val="21"/>
          <w:szCs w:val="21"/>
        </w:rPr>
        <w:t xml:space="preserve">   </w:t>
      </w:r>
      <w:r>
        <w:rPr>
          <w:rFonts w:eastAsia="黑体" w:cs="Times New Roman"/>
          <w:bCs/>
          <w:sz w:val="21"/>
          <w:szCs w:val="21"/>
        </w:rPr>
        <w:t>国家和地方法律法规一览表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4473"/>
        <w:gridCol w:w="2496"/>
        <w:gridCol w:w="1064"/>
      </w:tblGrid>
      <w:tr w:rsidR="00C645C9">
        <w:trPr>
          <w:trHeight w:val="535"/>
          <w:tblHeader/>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序号</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依据名称</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会议、主席令、文号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实施时间</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中华人民共和国环境保护法（</w:t>
            </w:r>
            <w:r>
              <w:rPr>
                <w:rFonts w:eastAsiaTheme="minorEastAsia" w:cs="Times New Roman"/>
                <w:sz w:val="21"/>
                <w:szCs w:val="21"/>
              </w:rPr>
              <w:t>2014</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12</w:t>
            </w:r>
            <w:r>
              <w:rPr>
                <w:rFonts w:eastAsiaTheme="minorEastAsia" w:cs="Times New Roman"/>
                <w:sz w:val="21"/>
                <w:szCs w:val="21"/>
              </w:rPr>
              <w:t>届人大第</w:t>
            </w:r>
            <w:r>
              <w:rPr>
                <w:rFonts w:eastAsiaTheme="minorEastAsia" w:cs="Times New Roman"/>
                <w:sz w:val="21"/>
                <w:szCs w:val="21"/>
              </w:rPr>
              <w:t>8</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2015-01-01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中华人民共和国环境影响评价法（</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7</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2018-12-29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中华人民共和国大气污染防治法（</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6</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2018-10-26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中华人民共和国水污染防治法（</w:t>
            </w:r>
            <w:r>
              <w:rPr>
                <w:rFonts w:eastAsiaTheme="minorEastAsia" w:cs="Times New Roman"/>
                <w:sz w:val="21"/>
                <w:szCs w:val="21"/>
              </w:rPr>
              <w:t>2017</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12</w:t>
            </w:r>
            <w:r>
              <w:rPr>
                <w:rFonts w:eastAsiaTheme="minorEastAsia" w:cs="Times New Roman"/>
                <w:sz w:val="21"/>
                <w:szCs w:val="21"/>
              </w:rPr>
              <w:t>届人大第</w:t>
            </w:r>
            <w:r>
              <w:rPr>
                <w:rFonts w:eastAsiaTheme="minorEastAsia" w:cs="Times New Roman"/>
                <w:sz w:val="21"/>
                <w:szCs w:val="21"/>
              </w:rPr>
              <w:t>28</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2017-06-27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中华人民共和国噪声污染防治法（</w:t>
            </w:r>
            <w:r>
              <w:rPr>
                <w:rFonts w:eastAsiaTheme="minorEastAsia" w:cs="Times New Roman"/>
                <w:sz w:val="21"/>
                <w:szCs w:val="21"/>
              </w:rPr>
              <w:t>2021</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32</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2022-06-05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中华人民共和国固体废物污染环境防治法（</w:t>
            </w:r>
            <w:r>
              <w:rPr>
                <w:rFonts w:eastAsiaTheme="minorEastAsia" w:cs="Times New Roman"/>
                <w:sz w:val="21"/>
                <w:szCs w:val="21"/>
              </w:rPr>
              <w:t>2020</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17</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2020-09-01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中华人民共和国水法（</w:t>
            </w:r>
            <w:r>
              <w:rPr>
                <w:rFonts w:eastAsiaTheme="minorEastAsia" w:cs="Times New Roman"/>
                <w:sz w:val="21"/>
                <w:szCs w:val="21"/>
              </w:rPr>
              <w:t>2016</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12</w:t>
            </w:r>
            <w:r>
              <w:rPr>
                <w:rFonts w:eastAsiaTheme="minorEastAsia" w:cs="Times New Roman"/>
                <w:sz w:val="21"/>
                <w:szCs w:val="21"/>
              </w:rPr>
              <w:t>届人大第</w:t>
            </w:r>
            <w:r>
              <w:rPr>
                <w:rFonts w:eastAsiaTheme="minorEastAsia" w:cs="Times New Roman"/>
                <w:sz w:val="21"/>
                <w:szCs w:val="21"/>
              </w:rPr>
              <w:t>21</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2016-07-02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中华人民共和国水土保持法（</w:t>
            </w:r>
            <w:r>
              <w:rPr>
                <w:rFonts w:eastAsiaTheme="minorEastAsia" w:cs="Times New Roman"/>
                <w:sz w:val="21"/>
                <w:szCs w:val="21"/>
              </w:rPr>
              <w:t>2010</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11</w:t>
            </w:r>
            <w:r>
              <w:rPr>
                <w:rFonts w:eastAsiaTheme="minorEastAsia" w:cs="Times New Roman"/>
                <w:sz w:val="21"/>
                <w:szCs w:val="21"/>
              </w:rPr>
              <w:t>届人大第</w:t>
            </w:r>
            <w:r>
              <w:rPr>
                <w:rFonts w:eastAsiaTheme="minorEastAsia" w:cs="Times New Roman"/>
                <w:sz w:val="21"/>
                <w:szCs w:val="21"/>
              </w:rPr>
              <w:t>18</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2011-03-01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中华人民共和国清洁生产促进法（</w:t>
            </w:r>
            <w:r>
              <w:rPr>
                <w:rFonts w:eastAsiaTheme="minorEastAsia" w:cs="Times New Roman"/>
                <w:sz w:val="21"/>
                <w:szCs w:val="21"/>
              </w:rPr>
              <w:t>2012</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11</w:t>
            </w:r>
            <w:r>
              <w:rPr>
                <w:rFonts w:eastAsiaTheme="minorEastAsia" w:cs="Times New Roman"/>
                <w:sz w:val="21"/>
                <w:szCs w:val="21"/>
              </w:rPr>
              <w:t>届人大第</w:t>
            </w:r>
            <w:r>
              <w:rPr>
                <w:rFonts w:eastAsiaTheme="minorEastAsia" w:cs="Times New Roman"/>
                <w:sz w:val="21"/>
                <w:szCs w:val="21"/>
              </w:rPr>
              <w:t>25</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2012-07-01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中华人民共和国节约能源法（</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6</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2018-10-26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中华人民共和国土地管理法（</w:t>
            </w:r>
            <w:r>
              <w:rPr>
                <w:rFonts w:eastAsiaTheme="minorEastAsia" w:cs="Times New Roman"/>
                <w:sz w:val="21"/>
                <w:szCs w:val="21"/>
              </w:rPr>
              <w:t>2019</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12</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19-08-26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中华人民共和国防洪法（</w:t>
            </w:r>
            <w:r>
              <w:rPr>
                <w:rFonts w:eastAsiaTheme="minorEastAsia" w:cs="Times New Roman"/>
                <w:sz w:val="21"/>
                <w:szCs w:val="21"/>
              </w:rPr>
              <w:t>2016</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12</w:t>
            </w:r>
            <w:r>
              <w:rPr>
                <w:rFonts w:eastAsiaTheme="minorEastAsia" w:cs="Times New Roman"/>
                <w:sz w:val="21"/>
                <w:szCs w:val="21"/>
              </w:rPr>
              <w:t>届人大第</w:t>
            </w:r>
            <w:r>
              <w:rPr>
                <w:rFonts w:eastAsiaTheme="minorEastAsia" w:cs="Times New Roman"/>
                <w:sz w:val="21"/>
                <w:szCs w:val="21"/>
              </w:rPr>
              <w:t>21</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2016-07-02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中华人民共和国草原法（</w:t>
            </w:r>
            <w:r>
              <w:rPr>
                <w:rFonts w:eastAsiaTheme="minorEastAsia" w:cs="Times New Roman"/>
                <w:sz w:val="21"/>
                <w:szCs w:val="21"/>
              </w:rPr>
              <w:t>2021</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28</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2021-04-29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中华人民共和国野生动物保护法（</w:t>
            </w:r>
            <w:r>
              <w:rPr>
                <w:rFonts w:eastAsiaTheme="minorEastAsia" w:cs="Times New Roman"/>
                <w:sz w:val="21"/>
                <w:szCs w:val="21"/>
              </w:rPr>
              <w:t>2022</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38</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2023-05-01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中华人民共和国石油天然气管道保护法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11</w:t>
            </w:r>
            <w:r>
              <w:rPr>
                <w:rFonts w:eastAsiaTheme="minorEastAsia" w:cs="Times New Roman"/>
                <w:sz w:val="21"/>
                <w:szCs w:val="21"/>
              </w:rPr>
              <w:t>届人大</w:t>
            </w:r>
            <w:r>
              <w:rPr>
                <w:rFonts w:eastAsiaTheme="minorEastAsia" w:cs="Times New Roman"/>
                <w:sz w:val="21"/>
                <w:szCs w:val="21"/>
              </w:rPr>
              <w:t>15</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2010-10-01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中华人民共和国突发事件应对法（</w:t>
            </w:r>
            <w:r>
              <w:rPr>
                <w:rFonts w:eastAsiaTheme="minorEastAsia" w:cs="Times New Roman"/>
                <w:sz w:val="21"/>
                <w:szCs w:val="21"/>
              </w:rPr>
              <w:t>2024</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w:t>
            </w:r>
            <w:r>
              <w:rPr>
                <w:rFonts w:eastAsiaTheme="minorEastAsia" w:cs="Times New Roman"/>
                <w:sz w:val="21"/>
                <w:szCs w:val="21"/>
              </w:rPr>
              <w:t>4</w:t>
            </w:r>
            <w:r>
              <w:rPr>
                <w:rFonts w:eastAsiaTheme="minorEastAsia" w:cs="Times New Roman"/>
                <w:sz w:val="21"/>
                <w:szCs w:val="21"/>
              </w:rPr>
              <w:t>届人大第</w:t>
            </w:r>
            <w:r>
              <w:rPr>
                <w:rFonts w:eastAsiaTheme="minorEastAsia" w:cs="Times New Roman"/>
                <w:sz w:val="21"/>
                <w:szCs w:val="21"/>
              </w:rPr>
              <w:t>10</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24-11-01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中华人民共和国防沙治沙法（</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6</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2018-10-26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中华人民共和国土壤污染防治法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5</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中华人民共和国安全生产法（</w:t>
            </w:r>
            <w:r>
              <w:rPr>
                <w:rFonts w:eastAsiaTheme="minorEastAsia" w:cs="Times New Roman"/>
                <w:sz w:val="21"/>
                <w:szCs w:val="21"/>
              </w:rPr>
              <w:t>2021</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29</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2021-09-01</w:t>
            </w:r>
          </w:p>
        </w:tc>
      </w:tr>
      <w:bookmarkEnd w:id="110"/>
    </w:tbl>
    <w:p w:rsidR="00C645C9" w:rsidRDefault="00C645C9">
      <w:pPr>
        <w:widowControl w:val="0"/>
        <w:jc w:val="center"/>
        <w:rPr>
          <w:rFonts w:eastAsia="黑体" w:cs="Times New Roman"/>
          <w:bCs/>
          <w:sz w:val="21"/>
          <w:szCs w:val="21"/>
        </w:rPr>
      </w:pPr>
    </w:p>
    <w:p w:rsidR="00C645C9" w:rsidRDefault="00F955D9">
      <w:pPr>
        <w:pStyle w:val="3"/>
        <w:widowControl w:val="0"/>
        <w:adjustRightInd w:val="0"/>
        <w:snapToGrid w:val="0"/>
        <w:spacing w:before="0" w:after="0" w:line="360" w:lineRule="auto"/>
        <w:rPr>
          <w:rFonts w:ascii="Times New Roman" w:hAnsi="Times New Roman" w:cs="Times New Roman"/>
          <w:color w:val="auto"/>
        </w:rPr>
      </w:pPr>
      <w:bookmarkStart w:id="111" w:name="_Toc13800"/>
      <w:bookmarkStart w:id="112" w:name="_Toc4442"/>
      <w:bookmarkStart w:id="113" w:name="_Toc22540"/>
      <w:r>
        <w:rPr>
          <w:rFonts w:ascii="Times New Roman" w:hAnsi="Times New Roman" w:cs="Times New Roman"/>
          <w:color w:val="auto"/>
        </w:rPr>
        <w:lastRenderedPageBreak/>
        <w:t>2.</w:t>
      </w:r>
      <w:r>
        <w:rPr>
          <w:rFonts w:ascii="Times New Roman" w:hAnsi="Times New Roman" w:cs="Times New Roman" w:hint="eastAsia"/>
          <w:color w:val="auto"/>
          <w:lang w:eastAsia="zh-CN"/>
        </w:rPr>
        <w:t>1</w:t>
      </w:r>
      <w:r>
        <w:rPr>
          <w:rFonts w:ascii="Times New Roman" w:hAnsi="Times New Roman" w:cs="Times New Roman"/>
          <w:color w:val="auto"/>
        </w:rPr>
        <w:t>.</w:t>
      </w:r>
      <w:r>
        <w:rPr>
          <w:rFonts w:ascii="Times New Roman" w:hAnsi="Times New Roman" w:cs="Times New Roman" w:hint="eastAsia"/>
          <w:color w:val="auto"/>
          <w:lang w:eastAsia="zh-CN"/>
        </w:rPr>
        <w:t>2</w:t>
      </w:r>
      <w:r>
        <w:rPr>
          <w:rFonts w:ascii="Times New Roman" w:hAnsi="Times New Roman" w:cs="Times New Roman"/>
          <w:color w:val="auto"/>
        </w:rPr>
        <w:t>环境保护</w:t>
      </w:r>
      <w:bookmarkStart w:id="114" w:name="OLE_LINK173"/>
      <w:r>
        <w:rPr>
          <w:rFonts w:ascii="Times New Roman" w:hAnsi="Times New Roman" w:cs="Times New Roman"/>
          <w:color w:val="auto"/>
        </w:rPr>
        <w:t>法规、规章</w:t>
      </w:r>
      <w:bookmarkEnd w:id="114"/>
    </w:p>
    <w:p w:rsidR="00C645C9" w:rsidRDefault="00F955D9">
      <w:pPr>
        <w:widowControl w:val="0"/>
        <w:adjustRightInd w:val="0"/>
        <w:snapToGrid w:val="0"/>
        <w:spacing w:line="360" w:lineRule="auto"/>
        <w:ind w:firstLineChars="200" w:firstLine="480"/>
        <w:rPr>
          <w:rFonts w:cs="Times New Roman"/>
        </w:rPr>
      </w:pPr>
      <w:r>
        <w:rPr>
          <w:rFonts w:cs="Times New Roman"/>
        </w:rPr>
        <w:t>国家和</w:t>
      </w:r>
      <w:r>
        <w:rPr>
          <w:rFonts w:cs="Times New Roman" w:hint="eastAsia"/>
        </w:rPr>
        <w:t>地方性法规</w:t>
      </w:r>
      <w:r>
        <w:rPr>
          <w:rFonts w:cs="Times New Roman"/>
        </w:rPr>
        <w:t>、规章一览表见表</w:t>
      </w:r>
      <w:r>
        <w:rPr>
          <w:rFonts w:cs="Times New Roman"/>
        </w:rPr>
        <w:t>2.</w:t>
      </w:r>
      <w:r>
        <w:rPr>
          <w:rFonts w:cs="Times New Roman" w:hint="eastAsia"/>
        </w:rPr>
        <w:t>1</w:t>
      </w:r>
      <w:r>
        <w:rPr>
          <w:rFonts w:cs="Times New Roman"/>
        </w:rPr>
        <w:t>-</w:t>
      </w:r>
      <w:r>
        <w:rPr>
          <w:rFonts w:cs="Times New Roman" w:hint="eastAsia"/>
        </w:rPr>
        <w:t>2</w:t>
      </w:r>
      <w:r>
        <w:rPr>
          <w:rFonts w:cs="Times New Roman"/>
        </w:rPr>
        <w:t>。</w:t>
      </w:r>
    </w:p>
    <w:p w:rsidR="00C645C9" w:rsidRDefault="00F955D9">
      <w:pPr>
        <w:widowControl w:val="0"/>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1</w:t>
      </w:r>
      <w:r>
        <w:rPr>
          <w:rFonts w:eastAsia="黑体" w:cs="Times New Roman"/>
          <w:bCs/>
          <w:sz w:val="21"/>
          <w:szCs w:val="21"/>
        </w:rPr>
        <w:t>-</w:t>
      </w:r>
      <w:r>
        <w:rPr>
          <w:rFonts w:eastAsia="黑体" w:cs="Times New Roman" w:hint="eastAsia"/>
          <w:bCs/>
          <w:sz w:val="21"/>
          <w:szCs w:val="21"/>
        </w:rPr>
        <w:t>2</w:t>
      </w:r>
      <w:r>
        <w:rPr>
          <w:rFonts w:eastAsia="黑体" w:cs="Times New Roman"/>
          <w:bCs/>
          <w:sz w:val="21"/>
          <w:szCs w:val="21"/>
        </w:rPr>
        <w:t xml:space="preserve">   </w:t>
      </w:r>
      <w:r>
        <w:rPr>
          <w:rFonts w:eastAsia="黑体" w:cs="Times New Roman"/>
          <w:bCs/>
          <w:sz w:val="21"/>
          <w:szCs w:val="21"/>
        </w:rPr>
        <w:t>国家和地方法律法规一览表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4473"/>
        <w:gridCol w:w="2496"/>
        <w:gridCol w:w="1064"/>
      </w:tblGrid>
      <w:tr w:rsidR="00C645C9">
        <w:trPr>
          <w:trHeight w:val="535"/>
          <w:tblHeader/>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序号</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依据名称</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会议、主席令、文号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实施时间</w:t>
            </w:r>
          </w:p>
        </w:tc>
      </w:tr>
      <w:tr w:rsidR="00C645C9">
        <w:trPr>
          <w:trHeight w:val="456"/>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t>一</w:t>
            </w:r>
          </w:p>
        </w:tc>
        <w:tc>
          <w:tcPr>
            <w:tcW w:w="8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行政法规与国务院发布的规范性文件</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建设项目环境保护管理条例（</w:t>
            </w:r>
            <w:r>
              <w:rPr>
                <w:rFonts w:eastAsiaTheme="minorEastAsia" w:cs="Times New Roman"/>
                <w:sz w:val="21"/>
                <w:szCs w:val="21"/>
              </w:rPr>
              <w:t>2017</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682</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2017-10-01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中华人民共和国野生植物保护条例（</w:t>
            </w:r>
            <w:r>
              <w:rPr>
                <w:rFonts w:eastAsiaTheme="minorEastAsia" w:cs="Times New Roman"/>
                <w:sz w:val="21"/>
                <w:szCs w:val="21"/>
              </w:rPr>
              <w:t>2017</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687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2017-10-07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中华人民共和国陆生野生动物保护实施条例（</w:t>
            </w:r>
            <w:r>
              <w:rPr>
                <w:rFonts w:eastAsiaTheme="minorEastAsia" w:cs="Times New Roman"/>
                <w:sz w:val="21"/>
                <w:szCs w:val="21"/>
              </w:rPr>
              <w:t>2016</w:t>
            </w:r>
            <w:r>
              <w:rPr>
                <w:rFonts w:eastAsiaTheme="minorEastAsia" w:cs="Times New Roman"/>
                <w:sz w:val="21"/>
                <w:szCs w:val="21"/>
              </w:rPr>
              <w:t>年修</w:t>
            </w:r>
            <w:r>
              <w:rPr>
                <w:rFonts w:eastAsiaTheme="minorEastAsia" w:cs="Times New Roman"/>
                <w:sz w:val="21"/>
                <w:szCs w:val="21"/>
              </w:rPr>
              <w:t>订</w:t>
            </w:r>
            <w:r>
              <w:rPr>
                <w:rFonts w:eastAsiaTheme="minorEastAsia" w:cs="Times New Roman"/>
                <w:sz w:val="21"/>
                <w:szCs w:val="21"/>
              </w:rPr>
              <w:t>）</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666</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2016-02</w:t>
            </w:r>
            <w:r>
              <w:rPr>
                <w:rFonts w:eastAsiaTheme="minorEastAsia" w:cs="Times New Roman"/>
                <w:sz w:val="21"/>
                <w:szCs w:val="21"/>
              </w:rPr>
              <w:t>-</w:t>
            </w:r>
            <w:r>
              <w:rPr>
                <w:rFonts w:eastAsiaTheme="minorEastAsia" w:cs="Times New Roman"/>
                <w:sz w:val="21"/>
                <w:szCs w:val="21"/>
              </w:rPr>
              <w:t>06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hyperlink r:id="rId10" w:history="1">
              <w:r>
                <w:rPr>
                  <w:rFonts w:eastAsiaTheme="minorEastAsia" w:cs="Times New Roman"/>
                  <w:sz w:val="21"/>
                  <w:szCs w:val="21"/>
                </w:rPr>
                <w:t>危险化学品安全管理条例</w:t>
              </w:r>
            </w:hyperlink>
            <w:r>
              <w:rPr>
                <w:rFonts w:eastAsiaTheme="minorEastAsia" w:cs="Times New Roman"/>
                <w:sz w:val="21"/>
                <w:szCs w:val="21"/>
              </w:rPr>
              <w:t>（</w:t>
            </w:r>
            <w:r>
              <w:rPr>
                <w:rFonts w:eastAsiaTheme="minorEastAsia" w:cs="Times New Roman"/>
                <w:sz w:val="21"/>
                <w:szCs w:val="21"/>
              </w:rPr>
              <w:t>2013</w:t>
            </w:r>
            <w:r>
              <w:rPr>
                <w:rFonts w:eastAsiaTheme="minorEastAsia" w:cs="Times New Roman"/>
                <w:sz w:val="21"/>
                <w:szCs w:val="21"/>
              </w:rPr>
              <w:t>年修</w:t>
            </w:r>
            <w:r>
              <w:rPr>
                <w:rFonts w:eastAsiaTheme="minorEastAsia" w:cs="Times New Roman"/>
                <w:sz w:val="21"/>
                <w:szCs w:val="21"/>
              </w:rPr>
              <w:t>订</w:t>
            </w:r>
            <w:r>
              <w:rPr>
                <w:rFonts w:eastAsiaTheme="minorEastAsia" w:cs="Times New Roman"/>
                <w:sz w:val="21"/>
                <w:szCs w:val="21"/>
              </w:rPr>
              <w:t>）</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645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2013-12-07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中华人民共和国土地管理法实施条例（</w:t>
            </w:r>
            <w:r>
              <w:rPr>
                <w:rFonts w:eastAsiaTheme="minorEastAsia" w:cs="Times New Roman"/>
                <w:sz w:val="21"/>
                <w:szCs w:val="21"/>
              </w:rPr>
              <w:t>2021</w:t>
            </w:r>
            <w:r>
              <w:rPr>
                <w:rFonts w:eastAsiaTheme="minorEastAsia" w:cs="Times New Roman"/>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743</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2021-09-01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国务院关于加强环境保护重点工作的意见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国发〔</w:t>
            </w:r>
            <w:r>
              <w:rPr>
                <w:rFonts w:eastAsiaTheme="minorEastAsia" w:cs="Times New Roman"/>
                <w:sz w:val="21"/>
                <w:szCs w:val="21"/>
              </w:rPr>
              <w:t>2011</w:t>
            </w:r>
            <w:r>
              <w:rPr>
                <w:rFonts w:eastAsiaTheme="minorEastAsia" w:cs="Times New Roman"/>
                <w:sz w:val="21"/>
                <w:szCs w:val="21"/>
              </w:rPr>
              <w:t>〕</w:t>
            </w:r>
            <w:r>
              <w:rPr>
                <w:rFonts w:eastAsiaTheme="minorEastAsia" w:cs="Times New Roman"/>
                <w:sz w:val="21"/>
                <w:szCs w:val="21"/>
              </w:rPr>
              <w:t>35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2011-10-17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国务院关于印发水污染防治行动计划的通知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国发〔</w:t>
            </w:r>
            <w:r>
              <w:rPr>
                <w:rFonts w:eastAsiaTheme="minorEastAsia" w:cs="Times New Roman"/>
                <w:sz w:val="21"/>
                <w:szCs w:val="21"/>
              </w:rPr>
              <w:t>2015</w:t>
            </w:r>
            <w:r>
              <w:rPr>
                <w:rFonts w:eastAsiaTheme="minorEastAsia" w:cs="Times New Roman"/>
                <w:sz w:val="21"/>
                <w:szCs w:val="21"/>
              </w:rPr>
              <w:t>〕</w:t>
            </w:r>
            <w:r>
              <w:rPr>
                <w:rFonts w:eastAsiaTheme="minorEastAsia" w:cs="Times New Roman"/>
                <w:sz w:val="21"/>
                <w:szCs w:val="21"/>
              </w:rPr>
              <w:t>17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2015-04-02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国务院关于印发土壤污染防治行动计划的通知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国发〔</w:t>
            </w:r>
            <w:r>
              <w:rPr>
                <w:rFonts w:eastAsiaTheme="minorEastAsia" w:cs="Times New Roman"/>
                <w:sz w:val="21"/>
                <w:szCs w:val="21"/>
              </w:rPr>
              <w:t>2016</w:t>
            </w:r>
            <w:r>
              <w:rPr>
                <w:rFonts w:eastAsiaTheme="minorEastAsia" w:cs="Times New Roman"/>
                <w:sz w:val="21"/>
                <w:szCs w:val="21"/>
              </w:rPr>
              <w:t>〕</w:t>
            </w:r>
            <w:r>
              <w:rPr>
                <w:rFonts w:eastAsiaTheme="minorEastAsia" w:cs="Times New Roman"/>
                <w:sz w:val="21"/>
                <w:szCs w:val="21"/>
              </w:rPr>
              <w:t>31</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2016-05-28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中共中央</w:t>
            </w:r>
            <w:r>
              <w:rPr>
                <w:rFonts w:eastAsiaTheme="minorEastAsia" w:cs="Times New Roman" w:hint="eastAsia"/>
                <w:sz w:val="21"/>
                <w:szCs w:val="21"/>
              </w:rPr>
              <w:t xml:space="preserve"> </w:t>
            </w:r>
            <w:r>
              <w:rPr>
                <w:rFonts w:eastAsiaTheme="minorEastAsia" w:cs="Times New Roman"/>
                <w:sz w:val="21"/>
                <w:szCs w:val="21"/>
              </w:rPr>
              <w:t>国务院关于全面加强生态环境保护坚决打好污染防治攻坚战的意见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中发〔</w:t>
            </w:r>
            <w:r>
              <w:rPr>
                <w:rFonts w:eastAsiaTheme="minorEastAsia" w:cs="Times New Roman"/>
                <w:sz w:val="21"/>
                <w:szCs w:val="21"/>
              </w:rPr>
              <w:t>2018</w:t>
            </w:r>
            <w:r>
              <w:rPr>
                <w:rFonts w:eastAsiaTheme="minorEastAsia" w:cs="Times New Roman"/>
                <w:sz w:val="21"/>
                <w:szCs w:val="21"/>
              </w:rPr>
              <w:t>〕</w:t>
            </w:r>
            <w:r>
              <w:rPr>
                <w:rFonts w:eastAsiaTheme="minorEastAsia" w:cs="Times New Roman"/>
                <w:sz w:val="21"/>
                <w:szCs w:val="21"/>
              </w:rPr>
              <w:t>17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2018-06-16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关于印发《生态保护红线划定指南</w:t>
            </w:r>
            <w:r>
              <w:rPr>
                <w:rFonts w:eastAsiaTheme="minorEastAsia" w:cs="Times New Roman"/>
                <w:sz w:val="21"/>
                <w:szCs w:val="21"/>
              </w:rPr>
              <w:t>》</w:t>
            </w:r>
            <w:r>
              <w:rPr>
                <w:rFonts w:eastAsiaTheme="minorEastAsia" w:cs="Times New Roman"/>
                <w:sz w:val="21"/>
                <w:szCs w:val="21"/>
              </w:rPr>
              <w:t>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环办生态〔</w:t>
            </w:r>
            <w:r>
              <w:rPr>
                <w:rFonts w:eastAsiaTheme="minorEastAsia" w:cs="Times New Roman"/>
                <w:sz w:val="21"/>
                <w:szCs w:val="21"/>
              </w:rPr>
              <w:t>2017</w:t>
            </w:r>
            <w:r>
              <w:rPr>
                <w:rFonts w:eastAsiaTheme="minorEastAsia" w:cs="Times New Roman"/>
                <w:sz w:val="21"/>
                <w:szCs w:val="21"/>
              </w:rPr>
              <w:t>〕</w:t>
            </w:r>
            <w:r>
              <w:rPr>
                <w:rFonts w:eastAsiaTheme="minorEastAsia" w:cs="Times New Roman"/>
                <w:sz w:val="21"/>
                <w:szCs w:val="21"/>
              </w:rPr>
              <w:t>48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2017-05-27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hint="eastAsia"/>
                <w:sz w:val="21"/>
                <w:szCs w:val="21"/>
              </w:rPr>
              <w:t>国家林业和草原局</w:t>
            </w:r>
            <w:r>
              <w:rPr>
                <w:rFonts w:eastAsiaTheme="minorEastAsia" w:cs="Times New Roman" w:hint="eastAsia"/>
                <w:sz w:val="21"/>
                <w:szCs w:val="21"/>
              </w:rPr>
              <w:t xml:space="preserve"> </w:t>
            </w:r>
            <w:r>
              <w:rPr>
                <w:rFonts w:eastAsiaTheme="minorEastAsia" w:cs="Times New Roman"/>
                <w:sz w:val="21"/>
                <w:szCs w:val="21"/>
              </w:rPr>
              <w:t>财政部关于印发《国家级公益林区划界定办法》和《国家级公益林管理办法》的通知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林资发〔</w:t>
            </w:r>
            <w:r>
              <w:rPr>
                <w:rFonts w:eastAsiaTheme="minorEastAsia" w:cs="Times New Roman"/>
                <w:sz w:val="21"/>
                <w:szCs w:val="21"/>
              </w:rPr>
              <w:t>2017</w:t>
            </w:r>
            <w:r>
              <w:rPr>
                <w:rFonts w:eastAsiaTheme="minorEastAsia" w:cs="Times New Roman"/>
                <w:sz w:val="21"/>
                <w:szCs w:val="21"/>
              </w:rPr>
              <w:t>〕</w:t>
            </w:r>
            <w:r>
              <w:rPr>
                <w:rFonts w:eastAsiaTheme="minorEastAsia" w:cs="Times New Roman"/>
                <w:sz w:val="21"/>
                <w:szCs w:val="21"/>
              </w:rPr>
              <w:t>34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2017-04-28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地下水管理条例</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748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2021-1</w:t>
            </w:r>
            <w:r>
              <w:rPr>
                <w:rFonts w:eastAsiaTheme="minorEastAsia" w:cs="Times New Roman"/>
                <w:sz w:val="21"/>
                <w:szCs w:val="21"/>
              </w:rPr>
              <w:t>2</w:t>
            </w:r>
            <w:r>
              <w:rPr>
                <w:rFonts w:eastAsiaTheme="minorEastAsia" w:cs="Times New Roman"/>
                <w:sz w:val="21"/>
                <w:szCs w:val="21"/>
              </w:rPr>
              <w:t>-</w:t>
            </w:r>
            <w:r>
              <w:rPr>
                <w:rFonts w:eastAsiaTheme="minorEastAsia" w:cs="Times New Roman"/>
                <w:sz w:val="21"/>
                <w:szCs w:val="21"/>
              </w:rPr>
              <w:t>0</w:t>
            </w:r>
            <w:r>
              <w:rPr>
                <w:rFonts w:eastAsiaTheme="minorEastAsia" w:cs="Times New Roman"/>
                <w:sz w:val="21"/>
                <w:szCs w:val="21"/>
              </w:rPr>
              <w:t>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排污许可管理条例</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736</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2021-03-01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土地复垦条例</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w:t>
            </w:r>
            <w:r>
              <w:rPr>
                <w:rFonts w:eastAsiaTheme="minorEastAsia" w:cs="Times New Roman"/>
                <w:sz w:val="21"/>
                <w:szCs w:val="21"/>
              </w:rPr>
              <w:t>592</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2011-03-05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r>
              <w:rPr>
                <w:rFonts w:eastAsiaTheme="minorEastAsia" w:cs="Times New Roman"/>
                <w:sz w:val="21"/>
                <w:szCs w:val="21"/>
              </w:rPr>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中华人民共和国森林法实施条例</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国务院令第</w:t>
            </w:r>
            <w:r>
              <w:rPr>
                <w:rFonts w:eastAsiaTheme="minorEastAsia" w:cs="Times New Roman"/>
                <w:sz w:val="21"/>
                <w:szCs w:val="21"/>
              </w:rPr>
              <w:t>698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2018-03-19</w:t>
            </w:r>
          </w:p>
        </w:tc>
      </w:tr>
      <w:tr w:rsidR="00C645C9">
        <w:trPr>
          <w:trHeight w:val="520"/>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t>二</w:t>
            </w:r>
          </w:p>
        </w:tc>
        <w:tc>
          <w:tcPr>
            <w:tcW w:w="8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部门规章与部门发布的规范性文件</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建设项目环境影响评价分类管理名录（</w:t>
            </w:r>
            <w:r>
              <w:rPr>
                <w:rFonts w:eastAsiaTheme="minorEastAsia" w:cs="Times New Roman"/>
                <w:sz w:val="21"/>
                <w:szCs w:val="21"/>
              </w:rPr>
              <w:t>2021</w:t>
            </w:r>
            <w:r>
              <w:rPr>
                <w:rFonts w:eastAsiaTheme="minorEastAsia" w:cs="Times New Roman"/>
                <w:sz w:val="21"/>
                <w:szCs w:val="21"/>
              </w:rPr>
              <w:t>年版）</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生态环境部令第</w:t>
            </w:r>
            <w:r>
              <w:rPr>
                <w:rFonts w:eastAsiaTheme="minorEastAsia" w:cs="Times New Roman"/>
                <w:sz w:val="21"/>
                <w:szCs w:val="21"/>
              </w:rPr>
              <w:t>16</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环境影响评价公众参与办法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生态环境部令第</w:t>
            </w:r>
            <w:r>
              <w:rPr>
                <w:rFonts w:eastAsiaTheme="minorEastAsia" w:cs="Times New Roman"/>
                <w:sz w:val="21"/>
                <w:szCs w:val="21"/>
              </w:rPr>
              <w:t>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关于印发《企业事业单位突发环境事件应急预案备案管理办法（试行）》的通知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2015</w:t>
            </w:r>
            <w:r>
              <w:rPr>
                <w:rFonts w:eastAsiaTheme="minorEastAsia" w:cs="Times New Roman"/>
                <w:sz w:val="21"/>
                <w:szCs w:val="21"/>
              </w:rPr>
              <w:t>〕</w:t>
            </w:r>
            <w:r>
              <w:rPr>
                <w:rFonts w:eastAsiaTheme="minorEastAsia" w:cs="Times New Roman"/>
                <w:sz w:val="21"/>
                <w:szCs w:val="21"/>
              </w:rPr>
              <w:t>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2015-01-08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国家危险废物名录（</w:t>
            </w:r>
            <w:r>
              <w:rPr>
                <w:rFonts w:eastAsiaTheme="minorEastAsia" w:cs="Times New Roman"/>
                <w:sz w:val="21"/>
                <w:szCs w:val="21"/>
              </w:rPr>
              <w:t>202</w:t>
            </w:r>
            <w:r>
              <w:rPr>
                <w:rFonts w:eastAsiaTheme="minorEastAsia" w:cs="Times New Roman"/>
                <w:sz w:val="21"/>
                <w:szCs w:val="21"/>
              </w:rPr>
              <w:t>5</w:t>
            </w:r>
            <w:r>
              <w:rPr>
                <w:rFonts w:eastAsiaTheme="minorEastAsia" w:cs="Times New Roman"/>
                <w:sz w:val="21"/>
                <w:szCs w:val="21"/>
              </w:rPr>
              <w:t>年</w:t>
            </w:r>
            <w:r>
              <w:rPr>
                <w:rFonts w:eastAsiaTheme="minorEastAsia" w:cs="Times New Roman"/>
                <w:sz w:val="21"/>
                <w:szCs w:val="21"/>
              </w:rPr>
              <w:t>版）</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生态环境部、国家发展和改革委员会、公安部、交通运输部、国家卫生健康委员会</w:t>
            </w:r>
            <w:r>
              <w:rPr>
                <w:rFonts w:eastAsiaTheme="minorEastAsia" w:cs="Times New Roman"/>
                <w:sz w:val="21"/>
                <w:szCs w:val="21"/>
              </w:rPr>
              <w:lastRenderedPageBreak/>
              <w:t>令第</w:t>
            </w:r>
            <w:r>
              <w:rPr>
                <w:rFonts w:eastAsiaTheme="minorEastAsia" w:cs="Times New Roman"/>
                <w:sz w:val="21"/>
                <w:szCs w:val="21"/>
              </w:rPr>
              <w:t>36</w:t>
            </w:r>
            <w:r>
              <w:rPr>
                <w:rFonts w:eastAsiaTheme="minorEastAsia" w:cs="Times New Roman"/>
                <w:sz w:val="21"/>
                <w:szCs w:val="21"/>
              </w:rPr>
              <w:t>号公布</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lastRenderedPageBreak/>
              <w:t>202</w:t>
            </w:r>
            <w:r>
              <w:rPr>
                <w:rFonts w:eastAsiaTheme="minorEastAsia" w:cs="Times New Roman"/>
                <w:sz w:val="21"/>
                <w:szCs w:val="21"/>
              </w:rPr>
              <w:t>5</w:t>
            </w:r>
            <w:r>
              <w:rPr>
                <w:rFonts w:eastAsiaTheme="minorEastAsia" w:cs="Times New Roman"/>
                <w:sz w:val="21"/>
                <w:szCs w:val="21"/>
              </w:rPr>
              <w:t>-01-01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lastRenderedPageBreak/>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产业结构调整指导目录（</w:t>
            </w:r>
            <w:r>
              <w:rPr>
                <w:rFonts w:eastAsiaTheme="minorEastAsia" w:cs="Times New Roman"/>
                <w:sz w:val="21"/>
                <w:szCs w:val="21"/>
              </w:rPr>
              <w:t>2024</w:t>
            </w:r>
            <w:r>
              <w:rPr>
                <w:rFonts w:eastAsiaTheme="minorEastAsia" w:cs="Times New Roman"/>
                <w:sz w:val="21"/>
                <w:szCs w:val="21"/>
              </w:rPr>
              <w:t>年本）</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国家发展和改革委员会令第</w:t>
            </w:r>
            <w:r>
              <w:rPr>
                <w:rFonts w:eastAsiaTheme="minorEastAsia" w:cs="Times New Roman"/>
                <w:sz w:val="21"/>
                <w:szCs w:val="21"/>
              </w:rPr>
              <w:t>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w:t>
            </w:r>
            <w:r>
              <w:rPr>
                <w:rFonts w:eastAsiaTheme="minorEastAsia" w:cs="Times New Roman"/>
                <w:sz w:val="21"/>
                <w:szCs w:val="21"/>
              </w:rPr>
              <w:t>4-02-01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危险废物污染防治技术政策</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2001</w:t>
            </w:r>
            <w:r>
              <w:rPr>
                <w:rFonts w:eastAsiaTheme="minorEastAsia" w:cs="Times New Roman"/>
                <w:sz w:val="21"/>
                <w:szCs w:val="21"/>
              </w:rPr>
              <w:t>〕</w:t>
            </w:r>
            <w:r>
              <w:rPr>
                <w:rFonts w:eastAsiaTheme="minorEastAsia" w:cs="Times New Roman"/>
                <w:sz w:val="21"/>
                <w:szCs w:val="21"/>
              </w:rPr>
              <w:t>199</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2001-12-17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关于进一步加强环境影响评价管理防范环境风险的通知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2012</w:t>
            </w:r>
            <w:r>
              <w:rPr>
                <w:rFonts w:eastAsiaTheme="minorEastAsia" w:cs="Times New Roman"/>
                <w:sz w:val="21"/>
                <w:szCs w:val="21"/>
              </w:rPr>
              <w:t>〕</w:t>
            </w:r>
            <w:r>
              <w:rPr>
                <w:rFonts w:eastAsiaTheme="minorEastAsia" w:cs="Times New Roman"/>
                <w:sz w:val="21"/>
                <w:szCs w:val="21"/>
              </w:rPr>
              <w:t>77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2012-07-03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关于加强西部地区环境影响评价工作的通知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2011</w:t>
            </w:r>
            <w:r>
              <w:rPr>
                <w:rFonts w:eastAsiaTheme="minorEastAsia" w:cs="Times New Roman"/>
                <w:sz w:val="21"/>
                <w:szCs w:val="21"/>
              </w:rPr>
              <w:t>〕</w:t>
            </w:r>
            <w:r>
              <w:rPr>
                <w:rFonts w:eastAsiaTheme="minorEastAsia" w:cs="Times New Roman"/>
                <w:sz w:val="21"/>
                <w:szCs w:val="21"/>
              </w:rPr>
              <w:t>150</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2011-12-29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关于切实加强风险防范严格环境影响评价管理的通知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2012</w:t>
            </w:r>
            <w:r>
              <w:rPr>
                <w:rFonts w:eastAsiaTheme="minorEastAsia" w:cs="Times New Roman"/>
                <w:sz w:val="21"/>
                <w:szCs w:val="21"/>
              </w:rPr>
              <w:t>〕</w:t>
            </w:r>
            <w:r>
              <w:rPr>
                <w:rFonts w:eastAsiaTheme="minorEastAsia" w:cs="Times New Roman"/>
                <w:sz w:val="21"/>
                <w:szCs w:val="21"/>
              </w:rPr>
              <w:t>98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2012-08-07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关于加强国家重点生态功能区环境保护和管理的意见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环发〔</w:t>
            </w:r>
            <w:r>
              <w:rPr>
                <w:rFonts w:eastAsiaTheme="minorEastAsia" w:cs="Times New Roman"/>
                <w:sz w:val="21"/>
                <w:szCs w:val="21"/>
              </w:rPr>
              <w:t>2013</w:t>
            </w:r>
            <w:r>
              <w:rPr>
                <w:rFonts w:eastAsiaTheme="minorEastAsia" w:cs="Times New Roman"/>
                <w:sz w:val="21"/>
                <w:szCs w:val="21"/>
              </w:rPr>
              <w:t>〕</w:t>
            </w:r>
            <w:r>
              <w:rPr>
                <w:rFonts w:eastAsiaTheme="minorEastAsia" w:cs="Times New Roman"/>
                <w:sz w:val="21"/>
                <w:szCs w:val="21"/>
              </w:rPr>
              <w:t>16</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2013-01-22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关于印发《建设项目环境影响评价政府信息公开指南（试行）》的通知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环办〔</w:t>
            </w:r>
            <w:r>
              <w:rPr>
                <w:rFonts w:eastAsiaTheme="minorEastAsia" w:cs="Times New Roman"/>
                <w:sz w:val="21"/>
                <w:szCs w:val="21"/>
              </w:rPr>
              <w:t>2013</w:t>
            </w:r>
            <w:r>
              <w:rPr>
                <w:rFonts w:eastAsiaTheme="minorEastAsia" w:cs="Times New Roman"/>
                <w:sz w:val="21"/>
                <w:szCs w:val="21"/>
              </w:rPr>
              <w:t>〕</w:t>
            </w:r>
            <w:r>
              <w:rPr>
                <w:rFonts w:eastAsiaTheme="minorEastAsia" w:cs="Times New Roman"/>
                <w:sz w:val="21"/>
                <w:szCs w:val="21"/>
              </w:rPr>
              <w:t>103</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14-01-01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关于强化建设项目环境影响评价事中事后监管的实施意见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环环评〔</w:t>
            </w:r>
            <w:r>
              <w:rPr>
                <w:rFonts w:eastAsiaTheme="minorEastAsia" w:cs="Times New Roman"/>
                <w:sz w:val="21"/>
                <w:szCs w:val="21"/>
              </w:rPr>
              <w:t>2018</w:t>
            </w:r>
            <w:r>
              <w:rPr>
                <w:rFonts w:eastAsiaTheme="minorEastAsia" w:cs="Times New Roman"/>
                <w:sz w:val="21"/>
                <w:szCs w:val="21"/>
              </w:rPr>
              <w:t>〕</w:t>
            </w:r>
            <w:r>
              <w:rPr>
                <w:rFonts w:eastAsiaTheme="minorEastAsia" w:cs="Times New Roman"/>
                <w:sz w:val="21"/>
                <w:szCs w:val="21"/>
              </w:rPr>
              <w:t>11</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2018-01-25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关于印发地下水污染防治实施方案的通知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环土壤〔</w:t>
            </w:r>
            <w:r>
              <w:rPr>
                <w:rFonts w:eastAsiaTheme="minorEastAsia" w:cs="Times New Roman"/>
                <w:sz w:val="21"/>
                <w:szCs w:val="21"/>
              </w:rPr>
              <w:t>2019</w:t>
            </w:r>
            <w:r>
              <w:rPr>
                <w:rFonts w:eastAsiaTheme="minorEastAsia" w:cs="Times New Roman"/>
                <w:sz w:val="21"/>
                <w:szCs w:val="21"/>
              </w:rPr>
              <w:t>〕</w:t>
            </w:r>
            <w:r>
              <w:rPr>
                <w:rFonts w:eastAsiaTheme="minorEastAsia" w:cs="Times New Roman"/>
                <w:sz w:val="21"/>
                <w:szCs w:val="21"/>
              </w:rPr>
              <w:t>25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2019-03-28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关于加快解决当前挥发性有机物治理突出问题的通知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环大气〔</w:t>
            </w:r>
            <w:r>
              <w:rPr>
                <w:rFonts w:eastAsiaTheme="minorEastAsia" w:cs="Times New Roman"/>
                <w:sz w:val="21"/>
                <w:szCs w:val="21"/>
              </w:rPr>
              <w:t>2021</w:t>
            </w:r>
            <w:r>
              <w:rPr>
                <w:rFonts w:eastAsiaTheme="minorEastAsia" w:cs="Times New Roman"/>
                <w:sz w:val="21"/>
                <w:szCs w:val="21"/>
              </w:rPr>
              <w:t>〕</w:t>
            </w:r>
            <w:r>
              <w:rPr>
                <w:rFonts w:eastAsiaTheme="minorEastAsia" w:cs="Times New Roman"/>
                <w:sz w:val="21"/>
                <w:szCs w:val="21"/>
              </w:rPr>
              <w:t>65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2021-08-04</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关于进一步加强石油天然气行业环境影响评价管理的通知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环办环评函〔</w:t>
            </w:r>
            <w:r>
              <w:rPr>
                <w:rFonts w:eastAsiaTheme="minorEastAsia" w:cs="Times New Roman"/>
                <w:sz w:val="21"/>
                <w:szCs w:val="21"/>
                <w:lang w:val="en"/>
              </w:rPr>
              <w:t>2019</w:t>
            </w:r>
            <w:r>
              <w:rPr>
                <w:rFonts w:eastAsiaTheme="minorEastAsia" w:cs="Times New Roman"/>
                <w:sz w:val="21"/>
                <w:szCs w:val="21"/>
                <w:lang w:val="en"/>
              </w:rPr>
              <w:t>〕</w:t>
            </w:r>
            <w:r>
              <w:rPr>
                <w:rFonts w:eastAsiaTheme="minorEastAsia" w:cs="Times New Roman"/>
                <w:sz w:val="21"/>
                <w:szCs w:val="21"/>
                <w:lang w:val="en"/>
              </w:rPr>
              <w:t>910</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2019-12-13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lang w:val="en"/>
              </w:rPr>
            </w:pPr>
            <w:r>
              <w:rPr>
                <w:rFonts w:eastAsiaTheme="minorEastAsia" w:cs="Times New Roman"/>
                <w:sz w:val="21"/>
                <w:szCs w:val="21"/>
                <w:lang w:val="en"/>
              </w:rPr>
              <w:t>关于印发</w:t>
            </w:r>
            <w:r>
              <w:rPr>
                <w:rFonts w:eastAsiaTheme="minorEastAsia" w:cs="Times New Roman"/>
                <w:sz w:val="21"/>
                <w:szCs w:val="21"/>
              </w:rPr>
              <w:t>《</w:t>
            </w:r>
            <w:r>
              <w:rPr>
                <w:rFonts w:eastAsiaTheme="minorEastAsia" w:cs="Times New Roman"/>
                <w:sz w:val="21"/>
                <w:szCs w:val="21"/>
                <w:lang w:val="en"/>
              </w:rPr>
              <w:t>生态保护红线划定指南</w:t>
            </w:r>
            <w:r>
              <w:rPr>
                <w:rFonts w:eastAsiaTheme="minorEastAsia" w:cs="Times New Roman"/>
                <w:sz w:val="21"/>
                <w:szCs w:val="21"/>
                <w:lang w:val="en"/>
              </w:rPr>
              <w:t>》</w:t>
            </w:r>
            <w:r>
              <w:rPr>
                <w:rFonts w:eastAsiaTheme="minorEastAsia" w:cs="Times New Roman"/>
                <w:sz w:val="21"/>
                <w:szCs w:val="21"/>
                <w:lang w:val="en"/>
              </w:rPr>
              <w:t>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lang w:val="en"/>
              </w:rPr>
            </w:pPr>
            <w:r>
              <w:rPr>
                <w:rFonts w:eastAsiaTheme="minorEastAsia" w:cs="Times New Roman"/>
                <w:sz w:val="21"/>
                <w:szCs w:val="21"/>
                <w:lang w:val="en"/>
              </w:rPr>
              <w:t>环办生态〔</w:t>
            </w:r>
            <w:r>
              <w:rPr>
                <w:rFonts w:eastAsiaTheme="minorEastAsia" w:cs="Times New Roman"/>
                <w:sz w:val="21"/>
                <w:szCs w:val="21"/>
                <w:lang w:val="en"/>
              </w:rPr>
              <w:t>2017</w:t>
            </w:r>
            <w:r>
              <w:rPr>
                <w:rFonts w:eastAsiaTheme="minorEastAsia" w:cs="Times New Roman"/>
                <w:sz w:val="21"/>
                <w:szCs w:val="21"/>
                <w:lang w:val="en"/>
              </w:rPr>
              <w:t>〕</w:t>
            </w:r>
            <w:r>
              <w:rPr>
                <w:rFonts w:eastAsiaTheme="minorEastAsia" w:cs="Times New Roman"/>
                <w:sz w:val="21"/>
                <w:szCs w:val="21"/>
                <w:lang w:val="en"/>
              </w:rPr>
              <w:t>48</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lang w:val="en"/>
              </w:rPr>
            </w:pPr>
            <w:r>
              <w:rPr>
                <w:rFonts w:eastAsiaTheme="minorEastAsia" w:cs="Times New Roman"/>
                <w:sz w:val="21"/>
                <w:szCs w:val="21"/>
                <w:lang w:val="en"/>
              </w:rPr>
              <w:t>2017-05-27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危险废物环境管理指南</w:t>
            </w:r>
            <w:r>
              <w:rPr>
                <w:rFonts w:eastAsiaTheme="minorEastAsia" w:cs="Times New Roman"/>
                <w:sz w:val="21"/>
                <w:szCs w:val="21"/>
              </w:rPr>
              <w:t xml:space="preserve">  </w:t>
            </w:r>
            <w:r>
              <w:rPr>
                <w:rFonts w:eastAsiaTheme="minorEastAsia" w:cs="Times New Roman"/>
                <w:sz w:val="21"/>
                <w:szCs w:val="21"/>
              </w:rPr>
              <w:t>陆上石油天然气开采</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lang w:val="en"/>
              </w:rPr>
            </w:pPr>
            <w:r>
              <w:rPr>
                <w:rFonts w:eastAsiaTheme="minorEastAsia" w:cs="Times New Roman"/>
                <w:sz w:val="21"/>
                <w:szCs w:val="21"/>
              </w:rPr>
              <w:t>生态环境部公告</w:t>
            </w:r>
            <w:r>
              <w:rPr>
                <w:rFonts w:eastAsiaTheme="minorEastAsia" w:cs="Times New Roman"/>
                <w:sz w:val="21"/>
                <w:szCs w:val="21"/>
              </w:rPr>
              <w:t>2021</w:t>
            </w:r>
            <w:r>
              <w:rPr>
                <w:rFonts w:eastAsiaTheme="minorEastAsia" w:cs="Times New Roman"/>
                <w:sz w:val="21"/>
                <w:szCs w:val="21"/>
              </w:rPr>
              <w:t>年第</w:t>
            </w:r>
            <w:r>
              <w:rPr>
                <w:rFonts w:eastAsiaTheme="minorEastAsia" w:cs="Times New Roman"/>
                <w:sz w:val="21"/>
                <w:szCs w:val="21"/>
              </w:rPr>
              <w:t>74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2021-12-22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w:t>
            </w:r>
            <w:hyperlink r:id="rId11" w:tgtFrame="https://www.weichicaiwu.com/law/_blank" w:tooltip="环办〔2015〕104号《环境保护部办公厅关于印发〈石化行业VOCs污染源排查工作指南〉及〈石化企业泄漏检测与修复工作指南〉的通知》" w:history="1">
              <w:r>
                <w:rPr>
                  <w:rFonts w:eastAsiaTheme="minorEastAsia" w:cs="Times New Roman"/>
                  <w:sz w:val="21"/>
                  <w:szCs w:val="21"/>
                </w:rPr>
                <w:t>石化行业</w:t>
              </w:r>
              <w:r>
                <w:rPr>
                  <w:rFonts w:eastAsiaTheme="minorEastAsia" w:cs="Times New Roman"/>
                  <w:sz w:val="21"/>
                  <w:szCs w:val="21"/>
                </w:rPr>
                <w:t>VOCs</w:t>
              </w:r>
              <w:r>
                <w:rPr>
                  <w:rFonts w:eastAsiaTheme="minorEastAsia" w:cs="Times New Roman"/>
                  <w:sz w:val="21"/>
                  <w:szCs w:val="21"/>
                </w:rPr>
                <w:t>污染源排查工作指南</w:t>
              </w:r>
            </w:hyperlink>
            <w:r>
              <w:rPr>
                <w:rFonts w:eastAsiaTheme="minorEastAsia" w:cs="Times New Roman"/>
                <w:sz w:val="21"/>
                <w:szCs w:val="21"/>
              </w:rPr>
              <w:t>》</w:t>
            </w:r>
            <w:r>
              <w:rPr>
                <w:rFonts w:eastAsiaTheme="minorEastAsia" w:cs="Times New Roman"/>
                <w:sz w:val="21"/>
                <w:szCs w:val="21"/>
              </w:rPr>
              <w:t>及《</w:t>
            </w:r>
            <w:hyperlink r:id="rId12" w:tgtFrame="https://www.weichicaiwu.com/law/_blank" w:tooltip="环办〔2015〕104号《环境保护部办公厅关于印发〈石化行业VOCs污染源排查工作指南〉及〈石化企业泄漏检测与修复工作指南〉的通知》" w:history="1">
              <w:r>
                <w:rPr>
                  <w:rFonts w:eastAsiaTheme="minorEastAsia" w:cs="Times New Roman"/>
                  <w:sz w:val="21"/>
                  <w:szCs w:val="21"/>
                </w:rPr>
                <w:t>石化企业泄漏检测与修复工作指南</w:t>
              </w:r>
            </w:hyperlink>
            <w:r>
              <w:rPr>
                <w:rFonts w:eastAsiaTheme="minorEastAsia" w:cs="Times New Roman"/>
                <w:sz w:val="21"/>
                <w:szCs w:val="21"/>
              </w:rPr>
              <w:t>》</w:t>
            </w:r>
            <w:r>
              <w:rPr>
                <w:rFonts w:eastAsiaTheme="minorEastAsia" w:cs="Times New Roman"/>
                <w:sz w:val="21"/>
                <w:szCs w:val="21"/>
              </w:rPr>
              <w:t>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环办〔</w:t>
            </w:r>
            <w:r>
              <w:rPr>
                <w:rFonts w:eastAsiaTheme="minorEastAsia" w:cs="Times New Roman"/>
                <w:sz w:val="21"/>
                <w:szCs w:val="21"/>
              </w:rPr>
              <w:t>2015</w:t>
            </w:r>
            <w:r>
              <w:rPr>
                <w:rFonts w:eastAsiaTheme="minorEastAsia" w:cs="Times New Roman"/>
                <w:sz w:val="21"/>
                <w:szCs w:val="21"/>
              </w:rPr>
              <w:t>〕</w:t>
            </w:r>
            <w:r>
              <w:rPr>
                <w:rFonts w:eastAsiaTheme="minorEastAsia" w:cs="Times New Roman"/>
                <w:sz w:val="21"/>
                <w:szCs w:val="21"/>
              </w:rPr>
              <w:t>104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2015</w:t>
            </w:r>
            <w:r>
              <w:rPr>
                <w:rFonts w:eastAsiaTheme="minorEastAsia" w:cs="Times New Roman"/>
                <w:sz w:val="21"/>
                <w:szCs w:val="21"/>
              </w:rPr>
              <w:t>-</w:t>
            </w:r>
            <w:r>
              <w:rPr>
                <w:rFonts w:eastAsiaTheme="minorEastAsia" w:cs="Times New Roman"/>
                <w:sz w:val="21"/>
                <w:szCs w:val="21"/>
              </w:rPr>
              <w:t>11</w:t>
            </w:r>
            <w:r>
              <w:rPr>
                <w:rFonts w:eastAsiaTheme="minorEastAsia" w:cs="Times New Roman"/>
                <w:sz w:val="21"/>
                <w:szCs w:val="21"/>
              </w:rPr>
              <w:t>-</w:t>
            </w:r>
            <w:r>
              <w:rPr>
                <w:rFonts w:eastAsiaTheme="minorEastAsia" w:cs="Times New Roman"/>
                <w:sz w:val="21"/>
                <w:szCs w:val="21"/>
              </w:rPr>
              <w:t>17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国家重点保护野生植物名录</w:t>
            </w:r>
            <w:r>
              <w:rPr>
                <w:rFonts w:eastAsiaTheme="minorEastAsia" w:cs="Times New Roman"/>
                <w:sz w:val="21"/>
                <w:szCs w:val="21"/>
              </w:rPr>
              <w:t>（</w:t>
            </w:r>
            <w:r>
              <w:rPr>
                <w:rFonts w:eastAsiaTheme="minorEastAsia" w:cs="Times New Roman"/>
                <w:sz w:val="21"/>
                <w:szCs w:val="21"/>
              </w:rPr>
              <w:t>2021</w:t>
            </w:r>
            <w:r>
              <w:rPr>
                <w:rFonts w:eastAsiaTheme="minorEastAsia" w:cs="Times New Roman"/>
                <w:sz w:val="21"/>
                <w:szCs w:val="21"/>
              </w:rPr>
              <w:t>年</w:t>
            </w:r>
            <w:r>
              <w:rPr>
                <w:rFonts w:eastAsiaTheme="minorEastAsia" w:cs="Times New Roman"/>
                <w:sz w:val="21"/>
                <w:szCs w:val="21"/>
              </w:rPr>
              <w:t>）</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国家林业和草原局</w:t>
            </w:r>
            <w:r>
              <w:rPr>
                <w:rFonts w:eastAsiaTheme="minorEastAsia" w:cs="Times New Roman"/>
                <w:sz w:val="21"/>
                <w:szCs w:val="21"/>
                <w:lang w:val="en"/>
              </w:rPr>
              <w:t xml:space="preserve"> </w:t>
            </w:r>
            <w:r>
              <w:rPr>
                <w:rFonts w:eastAsiaTheme="minorEastAsia" w:cs="Times New Roman"/>
                <w:sz w:val="21"/>
                <w:szCs w:val="21"/>
                <w:lang w:val="en"/>
              </w:rPr>
              <w:t>农业农村部公告（</w:t>
            </w:r>
            <w:r>
              <w:rPr>
                <w:rFonts w:eastAsiaTheme="minorEastAsia" w:cs="Times New Roman"/>
                <w:sz w:val="21"/>
                <w:szCs w:val="21"/>
                <w:lang w:val="en"/>
              </w:rPr>
              <w:t>2021</w:t>
            </w:r>
            <w:r>
              <w:rPr>
                <w:rFonts w:eastAsiaTheme="minorEastAsia" w:cs="Times New Roman"/>
                <w:sz w:val="21"/>
                <w:szCs w:val="21"/>
                <w:lang w:val="en"/>
              </w:rPr>
              <w:t>年第</w:t>
            </w:r>
            <w:r>
              <w:rPr>
                <w:rFonts w:eastAsiaTheme="minorEastAsia" w:cs="Times New Roman"/>
                <w:sz w:val="21"/>
                <w:szCs w:val="21"/>
                <w:lang w:val="en"/>
              </w:rPr>
              <w:t>15</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2021</w:t>
            </w:r>
            <w:r>
              <w:rPr>
                <w:rFonts w:eastAsiaTheme="minorEastAsia" w:cs="Times New Roman"/>
                <w:sz w:val="21"/>
                <w:szCs w:val="21"/>
              </w:rPr>
              <w:t>-0</w:t>
            </w:r>
            <w:r>
              <w:rPr>
                <w:rFonts w:eastAsiaTheme="minorEastAsia" w:cs="Times New Roman"/>
                <w:sz w:val="21"/>
                <w:szCs w:val="21"/>
                <w:lang w:val="en"/>
              </w:rPr>
              <w:t>9</w:t>
            </w:r>
            <w:r>
              <w:rPr>
                <w:rFonts w:eastAsiaTheme="minorEastAsia" w:cs="Times New Roman"/>
                <w:sz w:val="21"/>
                <w:szCs w:val="21"/>
              </w:rPr>
              <w:t>-0</w:t>
            </w:r>
            <w:r>
              <w:rPr>
                <w:rFonts w:eastAsiaTheme="minorEastAsia" w:cs="Times New Roman"/>
                <w:sz w:val="21"/>
                <w:szCs w:val="21"/>
                <w:lang w:val="en"/>
              </w:rPr>
              <w:t>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国家重点保护野生动物名录</w:t>
            </w:r>
            <w:r>
              <w:rPr>
                <w:rFonts w:eastAsiaTheme="minorEastAsia" w:cs="Times New Roman"/>
                <w:sz w:val="21"/>
                <w:szCs w:val="21"/>
                <w:lang w:val="en"/>
              </w:rPr>
              <w:t>（</w:t>
            </w:r>
            <w:r>
              <w:rPr>
                <w:rFonts w:eastAsiaTheme="minorEastAsia" w:cs="Times New Roman"/>
                <w:sz w:val="21"/>
                <w:szCs w:val="21"/>
                <w:lang w:val="en"/>
              </w:rPr>
              <w:t>2021</w:t>
            </w:r>
            <w:r>
              <w:rPr>
                <w:rFonts w:eastAsiaTheme="minorEastAsia" w:cs="Times New Roman"/>
                <w:sz w:val="21"/>
                <w:szCs w:val="21"/>
                <w:lang w:val="en"/>
              </w:rPr>
              <w:t>年）</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国家林业和草原局</w:t>
            </w:r>
            <w:r>
              <w:rPr>
                <w:rFonts w:eastAsiaTheme="minorEastAsia" w:cs="Times New Roman"/>
                <w:sz w:val="21"/>
                <w:szCs w:val="21"/>
              </w:rPr>
              <w:t xml:space="preserve"> </w:t>
            </w:r>
            <w:r>
              <w:rPr>
                <w:rFonts w:eastAsiaTheme="minorEastAsia" w:cs="Times New Roman"/>
                <w:sz w:val="21"/>
                <w:szCs w:val="21"/>
              </w:rPr>
              <w:t>农业农村部公告（</w:t>
            </w:r>
            <w:r>
              <w:rPr>
                <w:rFonts w:eastAsiaTheme="minorEastAsia" w:cs="Times New Roman"/>
                <w:sz w:val="21"/>
                <w:szCs w:val="21"/>
              </w:rPr>
              <w:t>2021</w:t>
            </w:r>
            <w:r>
              <w:rPr>
                <w:rFonts w:eastAsiaTheme="minorEastAsia" w:cs="Times New Roman"/>
                <w:sz w:val="21"/>
                <w:szCs w:val="21"/>
              </w:rPr>
              <w:t>年第</w:t>
            </w:r>
            <w:r>
              <w:rPr>
                <w:rFonts w:eastAsiaTheme="minorEastAsia" w:cs="Times New Roman"/>
                <w:sz w:val="21"/>
                <w:szCs w:val="21"/>
              </w:rPr>
              <w:t>3</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2021-02-05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危险废物转移管理办法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both"/>
              <w:rPr>
                <w:rFonts w:eastAsiaTheme="minorEastAsia" w:cs="Times New Roman"/>
                <w:sz w:val="21"/>
                <w:szCs w:val="21"/>
              </w:rPr>
            </w:pPr>
            <w:r>
              <w:rPr>
                <w:rFonts w:eastAsiaTheme="minorEastAsia" w:cs="Times New Roman"/>
                <w:sz w:val="21"/>
                <w:szCs w:val="21"/>
              </w:rPr>
              <w:t>生态环境部</w:t>
            </w:r>
            <w:r>
              <w:rPr>
                <w:rFonts w:eastAsiaTheme="minorEastAsia" w:cs="Times New Roman"/>
                <w:sz w:val="21"/>
                <w:szCs w:val="21"/>
              </w:rPr>
              <w:t xml:space="preserve"> </w:t>
            </w:r>
            <w:r>
              <w:rPr>
                <w:rFonts w:eastAsiaTheme="minorEastAsia" w:cs="Times New Roman"/>
                <w:sz w:val="21"/>
                <w:szCs w:val="21"/>
              </w:rPr>
              <w:t>公安部</w:t>
            </w:r>
            <w:r>
              <w:rPr>
                <w:rFonts w:eastAsiaTheme="minorEastAsia" w:cs="Times New Roman"/>
                <w:sz w:val="21"/>
                <w:szCs w:val="21"/>
              </w:rPr>
              <w:t xml:space="preserve"> </w:t>
            </w:r>
            <w:r>
              <w:rPr>
                <w:rFonts w:eastAsiaTheme="minorEastAsia" w:cs="Times New Roman"/>
                <w:sz w:val="21"/>
                <w:szCs w:val="21"/>
              </w:rPr>
              <w:t>交通运输部令</w:t>
            </w:r>
            <w:r>
              <w:rPr>
                <w:rFonts w:eastAsiaTheme="minorEastAsia" w:cs="Times New Roman"/>
                <w:sz w:val="21"/>
                <w:szCs w:val="21"/>
              </w:rPr>
              <w:t>23</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危险废物排除管理清单（</w:t>
            </w:r>
            <w:r>
              <w:rPr>
                <w:rFonts w:eastAsiaTheme="minorEastAsia" w:cs="Times New Roman"/>
                <w:sz w:val="21"/>
                <w:szCs w:val="21"/>
                <w:lang w:val="en"/>
              </w:rPr>
              <w:t>2021</w:t>
            </w:r>
            <w:r>
              <w:rPr>
                <w:rFonts w:eastAsiaTheme="minorEastAsia" w:cs="Times New Roman"/>
                <w:sz w:val="21"/>
                <w:szCs w:val="21"/>
                <w:lang w:val="en"/>
              </w:rPr>
              <w:t>年版）</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生态环境部</w:t>
            </w:r>
            <w:r>
              <w:rPr>
                <w:rFonts w:eastAsiaTheme="minorEastAsia" w:cs="Times New Roman"/>
                <w:sz w:val="21"/>
                <w:szCs w:val="21"/>
              </w:rPr>
              <w:t>公告</w:t>
            </w:r>
            <w:r>
              <w:rPr>
                <w:rFonts w:eastAsiaTheme="minorEastAsia" w:cs="Times New Roman"/>
                <w:sz w:val="21"/>
                <w:szCs w:val="21"/>
                <w:lang w:val="en"/>
              </w:rPr>
              <w:t>（</w:t>
            </w:r>
            <w:r>
              <w:rPr>
                <w:rFonts w:eastAsiaTheme="minorEastAsia" w:cs="Times New Roman"/>
                <w:sz w:val="21"/>
                <w:szCs w:val="21"/>
                <w:lang w:val="en"/>
              </w:rPr>
              <w:t>2021</w:t>
            </w:r>
            <w:r>
              <w:rPr>
                <w:rFonts w:eastAsiaTheme="minorEastAsia" w:cs="Times New Roman"/>
                <w:sz w:val="21"/>
                <w:szCs w:val="21"/>
              </w:rPr>
              <w:t>年</w:t>
            </w:r>
            <w:r>
              <w:rPr>
                <w:rFonts w:eastAsiaTheme="minorEastAsia" w:cs="Times New Roman"/>
                <w:sz w:val="21"/>
                <w:szCs w:val="21"/>
              </w:rPr>
              <w:t>第</w:t>
            </w:r>
            <w:r>
              <w:rPr>
                <w:rFonts w:eastAsiaTheme="minorEastAsia" w:cs="Times New Roman"/>
                <w:sz w:val="21"/>
                <w:szCs w:val="21"/>
                <w:lang w:val="en"/>
              </w:rPr>
              <w:t>66</w:t>
            </w:r>
            <w:r>
              <w:rPr>
                <w:rFonts w:eastAsiaTheme="minorEastAsia" w:cs="Times New Roman"/>
                <w:sz w:val="21"/>
                <w:szCs w:val="21"/>
                <w:lang w:val="en"/>
              </w:rPr>
              <w:t>号</w:t>
            </w:r>
            <w:r>
              <w:rPr>
                <w:rFonts w:eastAsiaTheme="minorEastAsia" w:cs="Times New Roman"/>
                <w:sz w:val="21"/>
                <w:szCs w:val="21"/>
                <w:lang w:val="en"/>
              </w:rPr>
              <w:t>）</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2021-12-03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关于发布</w:t>
            </w:r>
            <w:r>
              <w:rPr>
                <w:rFonts w:eastAsiaTheme="minorEastAsia" w:cs="Times New Roman"/>
                <w:sz w:val="21"/>
                <w:szCs w:val="21"/>
              </w:rPr>
              <w:t>《</w:t>
            </w:r>
            <w:r>
              <w:rPr>
                <w:rFonts w:eastAsiaTheme="minorEastAsia" w:cs="Times New Roman"/>
                <w:sz w:val="21"/>
                <w:szCs w:val="21"/>
                <w:lang w:val="en"/>
              </w:rPr>
              <w:t>一般工业固体废物管理台账制定指南（试行）》的公告</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生态环境部公告</w:t>
            </w:r>
            <w:r>
              <w:rPr>
                <w:rFonts w:eastAsiaTheme="minorEastAsia" w:cs="Times New Roman"/>
                <w:sz w:val="21"/>
                <w:szCs w:val="21"/>
                <w:lang w:val="en"/>
              </w:rPr>
              <w:t>2021</w:t>
            </w:r>
            <w:r>
              <w:rPr>
                <w:rFonts w:eastAsiaTheme="minorEastAsia" w:cs="Times New Roman"/>
                <w:sz w:val="21"/>
                <w:szCs w:val="21"/>
                <w:lang w:val="en"/>
              </w:rPr>
              <w:t>年</w:t>
            </w:r>
            <w:r>
              <w:rPr>
                <w:rFonts w:eastAsiaTheme="minorEastAsia" w:cs="Times New Roman"/>
                <w:sz w:val="21"/>
                <w:szCs w:val="21"/>
                <w:lang w:val="en"/>
              </w:rPr>
              <w:t xml:space="preserve"> </w:t>
            </w:r>
            <w:r>
              <w:rPr>
                <w:rFonts w:eastAsiaTheme="minorEastAsia" w:cs="Times New Roman"/>
                <w:sz w:val="21"/>
                <w:szCs w:val="21"/>
                <w:lang w:val="en"/>
              </w:rPr>
              <w:t>第</w:t>
            </w:r>
            <w:r>
              <w:rPr>
                <w:rFonts w:eastAsiaTheme="minorEastAsia" w:cs="Times New Roman"/>
                <w:sz w:val="21"/>
                <w:szCs w:val="21"/>
                <w:lang w:val="en"/>
              </w:rPr>
              <w:t>82</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2021</w:t>
            </w:r>
            <w:r>
              <w:rPr>
                <w:rFonts w:eastAsiaTheme="minorEastAsia" w:cs="Times New Roman"/>
                <w:sz w:val="21"/>
                <w:szCs w:val="21"/>
              </w:rPr>
              <w:t>-</w:t>
            </w:r>
            <w:r>
              <w:rPr>
                <w:rFonts w:eastAsiaTheme="minorEastAsia" w:cs="Times New Roman"/>
                <w:sz w:val="21"/>
                <w:szCs w:val="21"/>
                <w:lang w:val="en"/>
              </w:rPr>
              <w:t>12</w:t>
            </w:r>
            <w:r>
              <w:rPr>
                <w:rFonts w:eastAsiaTheme="minorEastAsia" w:cs="Times New Roman"/>
                <w:sz w:val="21"/>
                <w:szCs w:val="21"/>
              </w:rPr>
              <w:t>-</w:t>
            </w:r>
            <w:r>
              <w:rPr>
                <w:rFonts w:eastAsiaTheme="minorEastAsia" w:cs="Times New Roman"/>
                <w:sz w:val="21"/>
                <w:szCs w:val="21"/>
                <w:lang w:val="en"/>
              </w:rPr>
              <w:t>30</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自然资源部关于规范临时用地管理的通知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自然资规〔</w:t>
            </w:r>
            <w:r>
              <w:rPr>
                <w:rFonts w:eastAsiaTheme="minorEastAsia" w:cs="Times New Roman"/>
                <w:sz w:val="21"/>
                <w:szCs w:val="21"/>
                <w:lang w:val="en"/>
              </w:rPr>
              <w:t>2021</w:t>
            </w:r>
            <w:r>
              <w:rPr>
                <w:rFonts w:eastAsiaTheme="minorEastAsia" w:cs="Times New Roman"/>
                <w:sz w:val="21"/>
                <w:szCs w:val="21"/>
                <w:lang w:val="en"/>
              </w:rPr>
              <w:t>〕</w:t>
            </w:r>
            <w:r>
              <w:rPr>
                <w:rFonts w:eastAsiaTheme="minorEastAsia" w:cs="Times New Roman"/>
                <w:sz w:val="21"/>
                <w:szCs w:val="21"/>
                <w:lang w:val="en"/>
              </w:rPr>
              <w:t>2</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2021-11-04</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关于发布《排放源统计调查产排污核算方法和系数手册》的公告</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生态环境部公告</w:t>
            </w:r>
            <w:r>
              <w:rPr>
                <w:rFonts w:eastAsiaTheme="minorEastAsia" w:cs="Times New Roman"/>
                <w:sz w:val="21"/>
                <w:szCs w:val="21"/>
                <w:lang w:val="en"/>
              </w:rPr>
              <w:t>2021</w:t>
            </w:r>
            <w:r>
              <w:rPr>
                <w:rFonts w:eastAsiaTheme="minorEastAsia" w:cs="Times New Roman"/>
                <w:sz w:val="21"/>
                <w:szCs w:val="21"/>
                <w:lang w:val="en"/>
              </w:rPr>
              <w:t>年</w:t>
            </w:r>
            <w:r>
              <w:rPr>
                <w:rFonts w:eastAsiaTheme="minorEastAsia" w:cs="Times New Roman"/>
                <w:sz w:val="21"/>
                <w:szCs w:val="21"/>
                <w:lang w:val="en"/>
              </w:rPr>
              <w:t xml:space="preserve"> </w:t>
            </w:r>
            <w:r>
              <w:rPr>
                <w:rFonts w:eastAsiaTheme="minorEastAsia" w:cs="Times New Roman"/>
                <w:sz w:val="21"/>
                <w:szCs w:val="21"/>
                <w:lang w:val="en"/>
              </w:rPr>
              <w:t>第</w:t>
            </w:r>
            <w:r>
              <w:rPr>
                <w:rFonts w:eastAsiaTheme="minorEastAsia" w:cs="Times New Roman"/>
                <w:sz w:val="21"/>
                <w:szCs w:val="21"/>
                <w:lang w:val="en"/>
              </w:rPr>
              <w:t>24</w:t>
            </w:r>
            <w:r>
              <w:rPr>
                <w:rFonts w:eastAsiaTheme="minorEastAsia" w:cs="Times New Roman"/>
                <w:sz w:val="21"/>
                <w:szCs w:val="21"/>
                <w:lang w:val="e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en"/>
              </w:rPr>
              <w:t>2021-06-11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zh-CN"/>
              </w:rPr>
              <w:t>企业环境信息依法披露管理办法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zh-CN"/>
              </w:rPr>
              <w:t>生态环境部令第</w:t>
            </w:r>
            <w:r>
              <w:rPr>
                <w:rFonts w:eastAsiaTheme="minorEastAsia" w:cs="Times New Roman"/>
                <w:sz w:val="21"/>
                <w:szCs w:val="21"/>
                <w:lang w:val="zh-CN"/>
              </w:rPr>
              <w:t>24</w:t>
            </w:r>
            <w:r>
              <w:rPr>
                <w:rFonts w:eastAsiaTheme="minorEastAsia" w:cs="Times New Roman"/>
                <w:sz w:val="21"/>
                <w:szCs w:val="21"/>
                <w:lang w:val="zh-CN"/>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lang w:val="zh-CN"/>
              </w:rPr>
              <w:t>2022</w:t>
            </w:r>
            <w:r>
              <w:rPr>
                <w:rFonts w:eastAsiaTheme="minorEastAsia" w:cs="Times New Roman"/>
                <w:sz w:val="21"/>
                <w:szCs w:val="21"/>
              </w:rPr>
              <w:t>-0</w:t>
            </w:r>
            <w:r>
              <w:rPr>
                <w:rFonts w:eastAsiaTheme="minorEastAsia" w:cs="Times New Roman"/>
                <w:sz w:val="21"/>
                <w:szCs w:val="21"/>
                <w:lang w:val="zh-CN"/>
              </w:rPr>
              <w:t>2</w:t>
            </w:r>
            <w:r>
              <w:rPr>
                <w:rFonts w:eastAsiaTheme="minorEastAsia" w:cs="Times New Roman"/>
                <w:sz w:val="21"/>
                <w:szCs w:val="21"/>
              </w:rPr>
              <w:t>-0</w:t>
            </w:r>
            <w:r>
              <w:rPr>
                <w:rFonts w:eastAsiaTheme="minorEastAsia" w:cs="Times New Roman"/>
                <w:sz w:val="21"/>
                <w:szCs w:val="21"/>
                <w:lang w:val="zh-CN"/>
              </w:rPr>
              <w:t>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关于以改善环境质量为核心加强环境影响评价管理的通知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环环评〔</w:t>
            </w:r>
            <w:r>
              <w:rPr>
                <w:rFonts w:eastAsiaTheme="minorEastAsia" w:cs="Times New Roman"/>
                <w:sz w:val="21"/>
                <w:szCs w:val="21"/>
              </w:rPr>
              <w:t>2016</w:t>
            </w:r>
            <w:r>
              <w:rPr>
                <w:rFonts w:eastAsiaTheme="minorEastAsia" w:cs="Times New Roman"/>
                <w:sz w:val="21"/>
                <w:szCs w:val="21"/>
              </w:rPr>
              <w:t>〕</w:t>
            </w:r>
            <w:r>
              <w:rPr>
                <w:rFonts w:eastAsiaTheme="minorEastAsia" w:cs="Times New Roman"/>
                <w:sz w:val="21"/>
                <w:szCs w:val="21"/>
              </w:rPr>
              <w:t>150</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2016-10-27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lastRenderedPageBreak/>
              <w:t>28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cs="Times New Roman"/>
                <w:kern w:val="2"/>
                <w:sz w:val="21"/>
                <w:szCs w:val="21"/>
              </w:rPr>
              <w:t>关于</w:t>
            </w:r>
            <w:r>
              <w:rPr>
                <w:rFonts w:cs="Times New Roman" w:hint="eastAsia"/>
                <w:kern w:val="2"/>
                <w:sz w:val="21"/>
                <w:szCs w:val="21"/>
              </w:rPr>
              <w:t>印发</w:t>
            </w:r>
            <w:r>
              <w:rPr>
                <w:rFonts w:cs="Times New Roman"/>
                <w:kern w:val="2"/>
                <w:sz w:val="21"/>
                <w:szCs w:val="21"/>
              </w:rPr>
              <w:t>《</w:t>
            </w:r>
            <w:r>
              <w:rPr>
                <w:rFonts w:cs="Times New Roman"/>
                <w:kern w:val="2"/>
                <w:sz w:val="21"/>
                <w:szCs w:val="21"/>
              </w:rPr>
              <w:t>建设项目主要污染物排放总量指标审核及管理暂行办法</w:t>
            </w:r>
            <w:r>
              <w:rPr>
                <w:rFonts w:cs="Times New Roman"/>
                <w:kern w:val="2"/>
                <w:sz w:val="21"/>
                <w:szCs w:val="21"/>
              </w:rPr>
              <w:t>》</w:t>
            </w:r>
            <w:r>
              <w:rPr>
                <w:rFonts w:cs="Times New Roman"/>
                <w:kern w:val="2"/>
                <w:sz w:val="21"/>
                <w:szCs w:val="21"/>
              </w:rPr>
              <w:t>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bookmarkStart w:id="115" w:name="OLE_LINK1248"/>
            <w:r>
              <w:rPr>
                <w:rFonts w:cs="Times New Roman"/>
                <w:kern w:val="2"/>
                <w:sz w:val="21"/>
                <w:szCs w:val="21"/>
              </w:rPr>
              <w:t>环发〔</w:t>
            </w:r>
            <w:r>
              <w:rPr>
                <w:rFonts w:cs="Times New Roman"/>
                <w:kern w:val="2"/>
                <w:sz w:val="21"/>
                <w:szCs w:val="21"/>
              </w:rPr>
              <w:t>2014</w:t>
            </w:r>
            <w:r>
              <w:rPr>
                <w:rFonts w:cs="Times New Roman"/>
                <w:kern w:val="2"/>
                <w:sz w:val="21"/>
                <w:szCs w:val="21"/>
              </w:rPr>
              <w:t>〕</w:t>
            </w:r>
            <w:r>
              <w:rPr>
                <w:rFonts w:cs="Times New Roman"/>
                <w:kern w:val="2"/>
                <w:sz w:val="21"/>
                <w:szCs w:val="21"/>
              </w:rPr>
              <w:t>197</w:t>
            </w:r>
            <w:r>
              <w:rPr>
                <w:rFonts w:cs="Times New Roman"/>
                <w:kern w:val="2"/>
                <w:sz w:val="21"/>
                <w:szCs w:val="21"/>
              </w:rPr>
              <w:t>号</w:t>
            </w:r>
            <w:bookmarkEnd w:id="115"/>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hint="eastAsia"/>
                <w:sz w:val="21"/>
                <w:szCs w:val="21"/>
              </w:rPr>
              <w:t>2014-12-31</w:t>
            </w:r>
          </w:p>
        </w:tc>
      </w:tr>
      <w:tr w:rsidR="00C645C9">
        <w:trPr>
          <w:trHeight w:val="555"/>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t>三</w:t>
            </w:r>
          </w:p>
        </w:tc>
        <w:tc>
          <w:tcPr>
            <w:tcW w:w="8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地</w:t>
            </w:r>
            <w:r>
              <w:rPr>
                <w:rFonts w:eastAsiaTheme="minorEastAsia" w:cs="Times New Roman" w:hint="eastAsia"/>
                <w:sz w:val="21"/>
                <w:szCs w:val="21"/>
              </w:rPr>
              <w:t>方性</w:t>
            </w:r>
            <w:r>
              <w:rPr>
                <w:rFonts w:eastAsiaTheme="minorEastAsia" w:cs="Times New Roman"/>
                <w:sz w:val="21"/>
                <w:szCs w:val="21"/>
              </w:rPr>
              <w:t>法规及通知</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新疆维吾尔自治区环境保护条例（</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6</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2018-09-21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w:t>
            </w:r>
            <w:r>
              <w:rPr>
                <w:rFonts w:eastAsiaTheme="minorEastAsia" w:cs="Times New Roman"/>
                <w:sz w:val="21"/>
                <w:szCs w:val="21"/>
              </w:rPr>
              <w:t>级</w:t>
            </w:r>
            <w:r>
              <w:rPr>
                <w:rFonts w:eastAsiaTheme="minorEastAsia" w:cs="Times New Roman"/>
                <w:sz w:val="21"/>
                <w:szCs w:val="21"/>
              </w:rPr>
              <w:t>水土流失重点预防区和重点治理区复核划分成果的通知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新水水保〔</w:t>
            </w:r>
            <w:r>
              <w:rPr>
                <w:rFonts w:eastAsiaTheme="minorEastAsia" w:cs="Times New Roman"/>
                <w:sz w:val="21"/>
                <w:szCs w:val="21"/>
              </w:rPr>
              <w:t>2019</w:t>
            </w:r>
            <w:r>
              <w:rPr>
                <w:rFonts w:eastAsiaTheme="minorEastAsia" w:cs="Times New Roman"/>
                <w:sz w:val="21"/>
                <w:szCs w:val="21"/>
              </w:rPr>
              <w:t>〕</w:t>
            </w:r>
            <w:r>
              <w:rPr>
                <w:rFonts w:eastAsiaTheme="minorEastAsia" w:cs="Times New Roman"/>
                <w:sz w:val="21"/>
                <w:szCs w:val="21"/>
              </w:rPr>
              <w:t>4</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2019-01-21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新疆维吾尔自治区野生植物保护条例（</w:t>
            </w:r>
            <w:r>
              <w:rPr>
                <w:rFonts w:eastAsiaTheme="minorEastAsia" w:cs="Times New Roman"/>
                <w:sz w:val="21"/>
                <w:szCs w:val="21"/>
              </w:rPr>
              <w:t>2018</w:t>
            </w:r>
            <w:r>
              <w:rPr>
                <w:rFonts w:eastAsiaTheme="minorEastAsia" w:cs="Times New Roman"/>
                <w:sz w:val="21"/>
                <w:szCs w:val="21"/>
              </w:rPr>
              <w:t>年修正）</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6</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2018-09-21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新疆维吾尔自治区重点保护野生动物名录（修订）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2022</w:t>
            </w:r>
            <w:r>
              <w:rPr>
                <w:rFonts w:eastAsiaTheme="minorEastAsia" w:cs="Times New Roman"/>
                <w:sz w:val="21"/>
                <w:szCs w:val="21"/>
              </w:rPr>
              <w:t>〕</w:t>
            </w:r>
            <w:r>
              <w:rPr>
                <w:rFonts w:eastAsiaTheme="minorEastAsia" w:cs="Times New Roman"/>
                <w:sz w:val="21"/>
                <w:szCs w:val="21"/>
              </w:rPr>
              <w:t>75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2022-09-18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w:t>
            </w:r>
            <w:r>
              <w:rPr>
                <w:rFonts w:eastAsiaTheme="minorEastAsia" w:cs="Times New Roman"/>
                <w:sz w:val="21"/>
                <w:szCs w:val="21"/>
              </w:rPr>
              <w:t>《</w:t>
            </w:r>
            <w:r>
              <w:rPr>
                <w:rFonts w:eastAsiaTheme="minorEastAsia" w:cs="Times New Roman"/>
                <w:sz w:val="21"/>
                <w:szCs w:val="21"/>
              </w:rPr>
              <w:t>新疆国家重点保护野生动物名录</w:t>
            </w:r>
            <w:r>
              <w:rPr>
                <w:rFonts w:eastAsiaTheme="minorEastAsia" w:cs="Times New Roman"/>
                <w:sz w:val="21"/>
                <w:szCs w:val="21"/>
              </w:rPr>
              <w:t>》</w:t>
            </w:r>
            <w:r>
              <w:rPr>
                <w:rFonts w:eastAsiaTheme="minorEastAsia" w:cs="Times New Roman"/>
                <w:sz w:val="21"/>
                <w:szCs w:val="21"/>
              </w:rPr>
              <w:t>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自治区林业和草原局与农业农村厅</w:t>
            </w:r>
            <w:r>
              <w:rPr>
                <w:rFonts w:eastAsiaTheme="minorEastAsia" w:cs="Times New Roman"/>
                <w:sz w:val="21"/>
                <w:szCs w:val="21"/>
              </w:rPr>
              <w:t>2021</w:t>
            </w:r>
            <w:r>
              <w:rPr>
                <w:rFonts w:eastAsiaTheme="minorEastAsia" w:cs="Times New Roman"/>
                <w:sz w:val="21"/>
                <w:szCs w:val="21"/>
              </w:rPr>
              <w:t>年修订</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2021-07-28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关于印发新疆维吾尔自治区水污染防治工作方案的通知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2016</w:t>
            </w:r>
            <w:r>
              <w:rPr>
                <w:rFonts w:eastAsiaTheme="minorEastAsia" w:cs="Times New Roman"/>
                <w:sz w:val="21"/>
                <w:szCs w:val="21"/>
              </w:rPr>
              <w:t>〕</w:t>
            </w:r>
            <w:r>
              <w:rPr>
                <w:rFonts w:eastAsiaTheme="minorEastAsia" w:cs="Times New Roman"/>
                <w:sz w:val="21"/>
                <w:szCs w:val="21"/>
              </w:rPr>
              <w:t>21</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16-01-29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新疆生态功能区划</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新政函〔</w:t>
            </w:r>
            <w:r>
              <w:rPr>
                <w:rFonts w:eastAsiaTheme="minorEastAsia" w:cs="Times New Roman"/>
                <w:sz w:val="21"/>
                <w:szCs w:val="21"/>
              </w:rPr>
              <w:t>2005</w:t>
            </w:r>
            <w:r>
              <w:rPr>
                <w:rFonts w:eastAsiaTheme="minorEastAsia" w:cs="Times New Roman"/>
                <w:sz w:val="21"/>
                <w:szCs w:val="21"/>
              </w:rPr>
              <w:t>〕</w:t>
            </w:r>
            <w:r>
              <w:rPr>
                <w:rFonts w:eastAsiaTheme="minorEastAsia" w:cs="Times New Roman"/>
                <w:sz w:val="21"/>
                <w:szCs w:val="21"/>
              </w:rPr>
              <w:t>96</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2005-07-14</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新疆维吾尔自治区危险废物污染环境防治办法</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11</w:t>
            </w:r>
            <w:r>
              <w:rPr>
                <w:rFonts w:eastAsiaTheme="minorEastAsia" w:cs="Times New Roman"/>
                <w:sz w:val="21"/>
                <w:szCs w:val="21"/>
              </w:rPr>
              <w:t>届人大第</w:t>
            </w:r>
            <w:r>
              <w:rPr>
                <w:rFonts w:eastAsiaTheme="minorEastAsia" w:cs="Times New Roman"/>
                <w:sz w:val="21"/>
                <w:szCs w:val="21"/>
              </w:rPr>
              <w:t>9</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2010-05-01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关于进一步加强我区危险废物和医疗废物监督管理工作的意见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新政办发〔</w:t>
            </w:r>
            <w:r>
              <w:rPr>
                <w:rFonts w:eastAsiaTheme="minorEastAsia" w:cs="Times New Roman"/>
                <w:sz w:val="21"/>
                <w:szCs w:val="21"/>
              </w:rPr>
              <w:t>2014</w:t>
            </w:r>
            <w:r>
              <w:rPr>
                <w:rFonts w:eastAsiaTheme="minorEastAsia" w:cs="Times New Roman"/>
                <w:sz w:val="21"/>
                <w:szCs w:val="21"/>
              </w:rPr>
              <w:t>〕</w:t>
            </w:r>
            <w:r>
              <w:rPr>
                <w:rFonts w:eastAsiaTheme="minorEastAsia" w:cs="Times New Roman"/>
                <w:sz w:val="21"/>
                <w:szCs w:val="21"/>
              </w:rPr>
              <w:t>38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w:t>
            </w:r>
            <w:r>
              <w:rPr>
                <w:rFonts w:eastAsiaTheme="minorEastAsia" w:cs="Times New Roman"/>
                <w:sz w:val="21"/>
                <w:szCs w:val="21"/>
              </w:rPr>
              <w:t>4-03-31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关于印发新疆维吾尔自治区大气污染防治行动计划实施方案的通知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2014</w:t>
            </w:r>
            <w:r>
              <w:rPr>
                <w:rFonts w:eastAsiaTheme="minorEastAsia" w:cs="Times New Roman"/>
                <w:sz w:val="21"/>
                <w:szCs w:val="21"/>
              </w:rPr>
              <w:t>〕</w:t>
            </w:r>
            <w:r>
              <w:rPr>
                <w:rFonts w:eastAsiaTheme="minorEastAsia" w:cs="Times New Roman"/>
                <w:sz w:val="21"/>
                <w:szCs w:val="21"/>
              </w:rPr>
              <w:t>35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2014-04-17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关于印发新疆维吾尔自治区水污染防治工作方案的通知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2016</w:t>
            </w:r>
            <w:r>
              <w:rPr>
                <w:rFonts w:eastAsiaTheme="minorEastAsia" w:cs="Times New Roman"/>
                <w:sz w:val="21"/>
                <w:szCs w:val="21"/>
              </w:rPr>
              <w:t>〕</w:t>
            </w:r>
            <w:r>
              <w:rPr>
                <w:rFonts w:eastAsiaTheme="minorEastAsia" w:cs="Times New Roman"/>
                <w:sz w:val="21"/>
                <w:szCs w:val="21"/>
              </w:rPr>
              <w:t>21</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2016-01-29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关于印发新疆维吾尔自治区土壤污染防治工作方案的通知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2017</w:t>
            </w:r>
            <w:r>
              <w:rPr>
                <w:rFonts w:eastAsiaTheme="minorEastAsia" w:cs="Times New Roman"/>
                <w:sz w:val="21"/>
                <w:szCs w:val="21"/>
              </w:rPr>
              <w:t>〕</w:t>
            </w:r>
            <w:r>
              <w:rPr>
                <w:rFonts w:eastAsiaTheme="minorEastAsia" w:cs="Times New Roman"/>
                <w:sz w:val="21"/>
                <w:szCs w:val="21"/>
              </w:rPr>
              <w:t>25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2017-03-01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关于印发《新疆维吾尔自治区重点行业生态环境准入条件（</w:t>
            </w:r>
            <w:r>
              <w:rPr>
                <w:rFonts w:eastAsiaTheme="minorEastAsia" w:cs="Times New Roman"/>
                <w:sz w:val="21"/>
                <w:szCs w:val="21"/>
              </w:rPr>
              <w:t>2024</w:t>
            </w:r>
            <w:r>
              <w:rPr>
                <w:rFonts w:eastAsiaTheme="minorEastAsia" w:cs="Times New Roman"/>
                <w:sz w:val="21"/>
                <w:szCs w:val="21"/>
              </w:rPr>
              <w:t>年）》的通知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新环环评发〔</w:t>
            </w:r>
            <w:r>
              <w:rPr>
                <w:rFonts w:eastAsiaTheme="minorEastAsia" w:cs="Times New Roman"/>
                <w:sz w:val="21"/>
                <w:szCs w:val="21"/>
              </w:rPr>
              <w:t>2024</w:t>
            </w:r>
            <w:r>
              <w:rPr>
                <w:rFonts w:eastAsiaTheme="minorEastAsia" w:cs="Times New Roman"/>
                <w:sz w:val="21"/>
                <w:szCs w:val="21"/>
              </w:rPr>
              <w:t>〕</w:t>
            </w:r>
            <w:r>
              <w:rPr>
                <w:rFonts w:eastAsiaTheme="minorEastAsia" w:cs="Times New Roman"/>
                <w:sz w:val="21"/>
                <w:szCs w:val="21"/>
              </w:rPr>
              <w:t>93</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24-06-13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新疆维吾尔自治区大气污染防治条例</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7</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转发《关于强化建设项目环境影响评价事中事后监管的实施意见》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新环办发〔</w:t>
            </w:r>
            <w:r>
              <w:rPr>
                <w:rFonts w:eastAsiaTheme="minorEastAsia" w:cs="Times New Roman"/>
                <w:sz w:val="21"/>
                <w:szCs w:val="21"/>
              </w:rPr>
              <w:t>2018</w:t>
            </w:r>
            <w:r>
              <w:rPr>
                <w:rFonts w:eastAsiaTheme="minorEastAsia" w:cs="Times New Roman"/>
                <w:sz w:val="21"/>
                <w:szCs w:val="21"/>
              </w:rPr>
              <w:t>〕</w:t>
            </w:r>
            <w:r>
              <w:rPr>
                <w:rFonts w:eastAsiaTheme="minorEastAsia" w:cs="Times New Roman"/>
                <w:sz w:val="21"/>
                <w:szCs w:val="21"/>
              </w:rPr>
              <w:t>80</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2018-03-27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关于进一步加强石油天然气行业环境影响评价管理的通知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环办环评函〔</w:t>
            </w:r>
            <w:r>
              <w:rPr>
                <w:rFonts w:eastAsiaTheme="minorEastAsia" w:cs="Times New Roman"/>
                <w:sz w:val="21"/>
                <w:szCs w:val="21"/>
              </w:rPr>
              <w:t>2019</w:t>
            </w:r>
            <w:r>
              <w:rPr>
                <w:rFonts w:eastAsiaTheme="minorEastAsia" w:cs="Times New Roman"/>
                <w:sz w:val="21"/>
                <w:szCs w:val="21"/>
              </w:rPr>
              <w:t>〕</w:t>
            </w:r>
            <w:r>
              <w:rPr>
                <w:rFonts w:eastAsiaTheme="minorEastAsia" w:cs="Times New Roman"/>
                <w:sz w:val="21"/>
                <w:szCs w:val="21"/>
              </w:rPr>
              <w:t>910</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w:t>
            </w:r>
            <w:r>
              <w:rPr>
                <w:rFonts w:eastAsiaTheme="minorEastAsia" w:cs="Times New Roman"/>
                <w:sz w:val="21"/>
                <w:szCs w:val="21"/>
              </w:rPr>
              <w:t>9-12-13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关于加强建设项目环境影响后评价管理的通知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新环环评发〔</w:t>
            </w:r>
            <w:r>
              <w:rPr>
                <w:rFonts w:eastAsiaTheme="minorEastAsia" w:cs="Times New Roman"/>
                <w:sz w:val="21"/>
                <w:szCs w:val="21"/>
              </w:rPr>
              <w:t>2020</w:t>
            </w:r>
            <w:r>
              <w:rPr>
                <w:rFonts w:eastAsiaTheme="minorEastAsia" w:cs="Times New Roman"/>
                <w:sz w:val="21"/>
                <w:szCs w:val="21"/>
              </w:rPr>
              <w:t>〕</w:t>
            </w:r>
            <w:r>
              <w:rPr>
                <w:rFonts w:eastAsiaTheme="minorEastAsia" w:cs="Times New Roman"/>
                <w:sz w:val="21"/>
                <w:szCs w:val="21"/>
              </w:rPr>
              <w:t>162</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2020-09-</w:t>
            </w:r>
            <w:r>
              <w:rPr>
                <w:rFonts w:eastAsiaTheme="minorEastAsia" w:cs="Times New Roman"/>
                <w:sz w:val="21"/>
                <w:szCs w:val="21"/>
              </w:rPr>
              <w:t>1</w:t>
            </w:r>
            <w:r>
              <w:rPr>
                <w:rFonts w:eastAsiaTheme="minorEastAsia" w:cs="Times New Roman"/>
                <w:sz w:val="21"/>
                <w:szCs w:val="21"/>
              </w:rPr>
              <w:t>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w:t>
            </w:r>
            <w:r>
              <w:rPr>
                <w:rFonts w:eastAsiaTheme="minorEastAsia" w:cs="Times New Roman"/>
                <w:sz w:val="21"/>
                <w:szCs w:val="21"/>
              </w:rPr>
              <w:t>“</w:t>
            </w:r>
            <w:r>
              <w:rPr>
                <w:rFonts w:eastAsiaTheme="minorEastAsia" w:cs="Times New Roman"/>
                <w:sz w:val="21"/>
                <w:szCs w:val="21"/>
              </w:rPr>
              <w:t>三线一单</w:t>
            </w:r>
            <w:r>
              <w:rPr>
                <w:rFonts w:eastAsiaTheme="minorEastAsia" w:cs="Times New Roman"/>
                <w:sz w:val="21"/>
                <w:szCs w:val="21"/>
              </w:rPr>
              <w:t>”</w:t>
            </w:r>
            <w:r>
              <w:rPr>
                <w:rFonts w:eastAsiaTheme="minorEastAsia" w:cs="Times New Roman"/>
                <w:sz w:val="21"/>
                <w:szCs w:val="21"/>
              </w:rPr>
              <w:t>生态环境分区管控方案》的通知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2021</w:t>
            </w:r>
            <w:r>
              <w:rPr>
                <w:rFonts w:eastAsiaTheme="minorEastAsia" w:cs="Times New Roman"/>
                <w:sz w:val="21"/>
                <w:szCs w:val="21"/>
              </w:rPr>
              <w:t>〕</w:t>
            </w:r>
            <w:r>
              <w:rPr>
                <w:rFonts w:eastAsiaTheme="minorEastAsia" w:cs="Times New Roman"/>
                <w:sz w:val="21"/>
                <w:szCs w:val="21"/>
              </w:rPr>
              <w:t>18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2021-02-22</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关于印发《新疆维吾尔自治区七大片区</w:t>
            </w:r>
            <w:r>
              <w:rPr>
                <w:rFonts w:eastAsiaTheme="minorEastAsia" w:cs="Times New Roman"/>
                <w:sz w:val="21"/>
                <w:szCs w:val="21"/>
              </w:rPr>
              <w:t>“</w:t>
            </w:r>
            <w:r>
              <w:rPr>
                <w:rFonts w:eastAsiaTheme="minorEastAsia" w:cs="Times New Roman"/>
                <w:sz w:val="21"/>
                <w:szCs w:val="21"/>
              </w:rPr>
              <w:t>三线一单</w:t>
            </w:r>
            <w:r>
              <w:rPr>
                <w:rFonts w:eastAsiaTheme="minorEastAsia" w:cs="Times New Roman"/>
                <w:sz w:val="21"/>
                <w:szCs w:val="21"/>
              </w:rPr>
              <w:t>”</w:t>
            </w:r>
            <w:r>
              <w:rPr>
                <w:rFonts w:eastAsiaTheme="minorEastAsia" w:cs="Times New Roman"/>
                <w:sz w:val="21"/>
                <w:szCs w:val="21"/>
              </w:rPr>
              <w:t>生态环境分区管控要求》（</w:t>
            </w:r>
            <w:r>
              <w:rPr>
                <w:rFonts w:eastAsiaTheme="minorEastAsia" w:cs="Times New Roman"/>
                <w:sz w:val="21"/>
                <w:szCs w:val="21"/>
              </w:rPr>
              <w:t>2021</w:t>
            </w:r>
            <w:r>
              <w:rPr>
                <w:rFonts w:eastAsiaTheme="minorEastAsia" w:cs="Times New Roman"/>
                <w:sz w:val="21"/>
                <w:szCs w:val="21"/>
              </w:rPr>
              <w:t>年版）的通知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新环环评发〔</w:t>
            </w:r>
            <w:r>
              <w:rPr>
                <w:rFonts w:eastAsiaTheme="minorEastAsia" w:cs="Times New Roman"/>
                <w:sz w:val="21"/>
                <w:szCs w:val="21"/>
              </w:rPr>
              <w:t>2021</w:t>
            </w:r>
            <w:r>
              <w:rPr>
                <w:rFonts w:eastAsiaTheme="minorEastAsia" w:cs="Times New Roman"/>
                <w:sz w:val="21"/>
                <w:szCs w:val="21"/>
              </w:rPr>
              <w:t>〕</w:t>
            </w:r>
            <w:r>
              <w:rPr>
                <w:rFonts w:eastAsiaTheme="minorEastAsia" w:cs="Times New Roman"/>
                <w:sz w:val="21"/>
                <w:szCs w:val="21"/>
              </w:rPr>
              <w:t>162</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2021-07-26</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关于印发《阿克苏地区生态环境分区管控方案（动态更新）》的通知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w:t>
            </w:r>
            <w:r>
              <w:rPr>
                <w:rFonts w:eastAsiaTheme="minorEastAsia" w:cs="Times New Roman"/>
                <w:sz w:val="21"/>
                <w:szCs w:val="21"/>
              </w:rPr>
              <w:t>4-10-28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关于进一步加强石油天然气行业环境影响评价管理的通知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环办环评函〔</w:t>
            </w:r>
            <w:r>
              <w:rPr>
                <w:rFonts w:eastAsiaTheme="minorEastAsia" w:cs="Times New Roman"/>
                <w:sz w:val="21"/>
                <w:szCs w:val="21"/>
              </w:rPr>
              <w:t>2019</w:t>
            </w:r>
            <w:r>
              <w:rPr>
                <w:rFonts w:eastAsiaTheme="minorEastAsia" w:cs="Times New Roman"/>
                <w:sz w:val="21"/>
                <w:szCs w:val="21"/>
              </w:rPr>
              <w:t>〕</w:t>
            </w:r>
            <w:r>
              <w:rPr>
                <w:rFonts w:eastAsiaTheme="minorEastAsia" w:cs="Times New Roman"/>
                <w:sz w:val="21"/>
                <w:szCs w:val="21"/>
              </w:rPr>
              <w:t>910</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w:t>
            </w:r>
            <w:r>
              <w:rPr>
                <w:rFonts w:eastAsiaTheme="minorEastAsia" w:cs="Times New Roman"/>
                <w:sz w:val="21"/>
                <w:szCs w:val="21"/>
              </w:rPr>
              <w:t>19-12-13</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22</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关于加强沙区建设项目环境影响评价工作的通知</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新环环评发〔</w:t>
            </w:r>
            <w:r>
              <w:rPr>
                <w:rFonts w:eastAsiaTheme="minorEastAsia" w:cs="Times New Roman"/>
                <w:sz w:val="21"/>
                <w:szCs w:val="21"/>
              </w:rPr>
              <w:t>2020</w:t>
            </w:r>
            <w:r>
              <w:rPr>
                <w:rFonts w:eastAsiaTheme="minorEastAsia" w:cs="Times New Roman"/>
                <w:sz w:val="21"/>
                <w:szCs w:val="21"/>
              </w:rPr>
              <w:t>〕</w:t>
            </w:r>
            <w:r>
              <w:rPr>
                <w:rFonts w:eastAsiaTheme="minorEastAsia" w:cs="Times New Roman"/>
                <w:sz w:val="21"/>
                <w:szCs w:val="21"/>
              </w:rPr>
              <w:t>138</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2020-09-04</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lastRenderedPageBreak/>
              <w:t>23</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新疆生态环境保护</w:t>
            </w:r>
            <w:r>
              <w:rPr>
                <w:rFonts w:eastAsiaTheme="minorEastAsia" w:cs="Times New Roman"/>
                <w:sz w:val="21"/>
                <w:szCs w:val="21"/>
              </w:rPr>
              <w:t>“</w:t>
            </w:r>
            <w:r>
              <w:rPr>
                <w:rFonts w:eastAsiaTheme="minorEastAsia" w:cs="Times New Roman"/>
                <w:sz w:val="21"/>
                <w:szCs w:val="21"/>
              </w:rPr>
              <w:t>十四五</w:t>
            </w:r>
            <w:r>
              <w:rPr>
                <w:rFonts w:eastAsiaTheme="minorEastAsia" w:cs="Times New Roman"/>
                <w:sz w:val="21"/>
                <w:szCs w:val="21"/>
              </w:rPr>
              <w:t>”</w:t>
            </w:r>
            <w:r>
              <w:rPr>
                <w:rFonts w:eastAsiaTheme="minorEastAsia" w:cs="Times New Roman"/>
                <w:sz w:val="21"/>
                <w:szCs w:val="21"/>
              </w:rPr>
              <w:t>规划</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2021-12-24</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24</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自治区强化危险废物监管和利用处置能力改革工作方案</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新政办发〔</w:t>
            </w:r>
            <w:r>
              <w:rPr>
                <w:rFonts w:eastAsiaTheme="minorEastAsia" w:cs="Times New Roman"/>
                <w:sz w:val="21"/>
                <w:szCs w:val="21"/>
              </w:rPr>
              <w:t>2021</w:t>
            </w:r>
            <w:r>
              <w:rPr>
                <w:rFonts w:eastAsiaTheme="minorEastAsia" w:cs="Times New Roman"/>
                <w:sz w:val="21"/>
                <w:szCs w:val="21"/>
              </w:rPr>
              <w:t>〕</w:t>
            </w:r>
            <w:r>
              <w:rPr>
                <w:rFonts w:eastAsiaTheme="minorEastAsia" w:cs="Times New Roman"/>
                <w:sz w:val="21"/>
                <w:szCs w:val="21"/>
              </w:rPr>
              <w:t>95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w:t>
            </w:r>
            <w:r>
              <w:rPr>
                <w:rFonts w:eastAsiaTheme="minorEastAsia" w:cs="Times New Roman"/>
                <w:sz w:val="21"/>
                <w:szCs w:val="21"/>
              </w:rPr>
              <w:t>-</w:t>
            </w:r>
            <w:r>
              <w:rPr>
                <w:rFonts w:eastAsiaTheme="minorEastAsia" w:cs="Times New Roman"/>
                <w:sz w:val="21"/>
                <w:szCs w:val="21"/>
              </w:rPr>
              <w:t>10</w:t>
            </w:r>
            <w:r>
              <w:rPr>
                <w:rFonts w:eastAsiaTheme="minorEastAsia" w:cs="Times New Roman"/>
                <w:sz w:val="21"/>
                <w:szCs w:val="21"/>
              </w:rPr>
              <w:t>-</w:t>
            </w:r>
            <w:r>
              <w:rPr>
                <w:rFonts w:eastAsiaTheme="minorEastAsia" w:cs="Times New Roman"/>
                <w:sz w:val="21"/>
                <w:szCs w:val="21"/>
              </w:rPr>
              <w:t>29</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25</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新疆维吾尔自治区重点保护野生动物名录（修订）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新政发〔</w:t>
            </w:r>
            <w:r>
              <w:rPr>
                <w:rFonts w:eastAsiaTheme="minorEastAsia" w:cs="Times New Roman"/>
                <w:sz w:val="21"/>
                <w:szCs w:val="21"/>
              </w:rPr>
              <w:t>2022</w:t>
            </w:r>
            <w:r>
              <w:rPr>
                <w:rFonts w:eastAsiaTheme="minorEastAsia" w:cs="Times New Roman"/>
                <w:sz w:val="21"/>
                <w:szCs w:val="21"/>
              </w:rPr>
              <w:t>〕</w:t>
            </w:r>
            <w:r>
              <w:rPr>
                <w:rFonts w:eastAsiaTheme="minorEastAsia" w:cs="Times New Roman"/>
                <w:sz w:val="21"/>
                <w:szCs w:val="21"/>
              </w:rPr>
              <w:t>75</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2022-09-18</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26</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新疆维吾尔自治区国民经济和社会发展第十四个五年规划和</w:t>
            </w:r>
            <w:r>
              <w:rPr>
                <w:rFonts w:eastAsiaTheme="minorEastAsia" w:cs="Times New Roman"/>
                <w:sz w:val="21"/>
                <w:szCs w:val="21"/>
              </w:rPr>
              <w:t>2035</w:t>
            </w:r>
            <w:r>
              <w:rPr>
                <w:rFonts w:eastAsiaTheme="minorEastAsia" w:cs="Times New Roman"/>
                <w:sz w:val="21"/>
                <w:szCs w:val="21"/>
              </w:rPr>
              <w:t>年远景目标纲要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4</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2021-02-05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27</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新疆维吾尔自治区实施《中华人民共和国水土保持法》办法（</w:t>
            </w:r>
            <w:r>
              <w:rPr>
                <w:rFonts w:eastAsiaTheme="minorEastAsia" w:cs="Times New Roman"/>
                <w:sz w:val="21"/>
                <w:szCs w:val="21"/>
              </w:rPr>
              <w:t>2013</w:t>
            </w:r>
            <w:r>
              <w:rPr>
                <w:rFonts w:eastAsiaTheme="minorEastAsia" w:cs="Times New Roman"/>
                <w:sz w:val="21"/>
                <w:szCs w:val="21"/>
              </w:rPr>
              <w:t>年修正本）</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12</w:t>
            </w:r>
            <w:r>
              <w:rPr>
                <w:rFonts w:eastAsiaTheme="minorEastAsia" w:cs="Times New Roman"/>
                <w:sz w:val="21"/>
                <w:szCs w:val="21"/>
              </w:rPr>
              <w:t>届人大第</w:t>
            </w:r>
            <w:r>
              <w:rPr>
                <w:rFonts w:eastAsiaTheme="minorEastAsia" w:cs="Times New Roman"/>
                <w:sz w:val="21"/>
                <w:szCs w:val="21"/>
              </w:rPr>
              <w:t>3</w:t>
            </w:r>
            <w:r>
              <w:rPr>
                <w:rFonts w:eastAsiaTheme="minorEastAsia"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2013-</w:t>
            </w:r>
            <w:r>
              <w:rPr>
                <w:rFonts w:eastAsiaTheme="minorEastAsia" w:cs="Times New Roman"/>
                <w:sz w:val="21"/>
                <w:szCs w:val="21"/>
              </w:rPr>
              <w:t>10-01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28</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关于《中国石油化工股份有限公司西北油田分公司</w:t>
            </w:r>
            <w:r>
              <w:rPr>
                <w:rFonts w:eastAsiaTheme="minorEastAsia" w:cs="Times New Roman"/>
                <w:sz w:val="21"/>
                <w:szCs w:val="21"/>
              </w:rPr>
              <w:t>“</w:t>
            </w:r>
            <w:r>
              <w:rPr>
                <w:rFonts w:eastAsiaTheme="minorEastAsia" w:cs="Times New Roman"/>
                <w:sz w:val="21"/>
                <w:szCs w:val="21"/>
              </w:rPr>
              <w:t>十四五</w:t>
            </w:r>
            <w:r>
              <w:rPr>
                <w:rFonts w:eastAsiaTheme="minorEastAsia" w:cs="Times New Roman"/>
                <w:sz w:val="21"/>
                <w:szCs w:val="21"/>
              </w:rPr>
              <w:t>”</w:t>
            </w:r>
            <w:r>
              <w:rPr>
                <w:rFonts w:eastAsiaTheme="minorEastAsia" w:cs="Times New Roman"/>
                <w:sz w:val="21"/>
                <w:szCs w:val="21"/>
              </w:rPr>
              <w:t>规划环境影响报告书》的审查意见</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新环审〔</w:t>
            </w:r>
            <w:r>
              <w:rPr>
                <w:rFonts w:eastAsiaTheme="minorEastAsia" w:cs="Times New Roman"/>
                <w:sz w:val="21"/>
                <w:szCs w:val="21"/>
              </w:rPr>
              <w:t>2022</w:t>
            </w:r>
            <w:r>
              <w:rPr>
                <w:rFonts w:eastAsiaTheme="minorEastAsia" w:cs="Times New Roman"/>
                <w:sz w:val="21"/>
                <w:szCs w:val="21"/>
              </w:rPr>
              <w:t>〕</w:t>
            </w:r>
            <w:r>
              <w:rPr>
                <w:rFonts w:eastAsiaTheme="minorEastAsia" w:cs="Times New Roman"/>
                <w:sz w:val="21"/>
                <w:szCs w:val="21"/>
              </w:rPr>
              <w:t>147</w:t>
            </w:r>
            <w:r>
              <w:rPr>
                <w:rFonts w:eastAsiaTheme="minorEastAsia" w:cs="Times New Roman"/>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2022-07-25</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t>29</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eastAsiaTheme="minorEastAsia" w:cs="Times New Roman"/>
                <w:sz w:val="21"/>
                <w:szCs w:val="21"/>
              </w:rPr>
            </w:pPr>
            <w:r>
              <w:rPr>
                <w:rFonts w:cs="Times New Roman"/>
                <w:sz w:val="21"/>
                <w:szCs w:val="21"/>
              </w:rPr>
              <w:t>新疆维吾尔自治区实施</w:t>
            </w:r>
            <w:r>
              <w:rPr>
                <w:rFonts w:cs="Times New Roman" w:hint="eastAsia"/>
                <w:sz w:val="21"/>
                <w:szCs w:val="21"/>
              </w:rPr>
              <w:t>〈</w:t>
            </w:r>
            <w:r>
              <w:rPr>
                <w:rFonts w:cs="Times New Roman"/>
                <w:sz w:val="21"/>
                <w:szCs w:val="21"/>
              </w:rPr>
              <w:t>中华人民共和国防沙治沙法</w:t>
            </w:r>
            <w:r>
              <w:rPr>
                <w:rFonts w:cs="Times New Roman" w:hint="eastAsia"/>
                <w:sz w:val="21"/>
                <w:szCs w:val="21"/>
              </w:rPr>
              <w:t>〉</w:t>
            </w:r>
            <w:r>
              <w:rPr>
                <w:rFonts w:cs="Times New Roman"/>
                <w:sz w:val="21"/>
                <w:szCs w:val="21"/>
              </w:rPr>
              <w:t>办法</w:t>
            </w:r>
            <w:r>
              <w:rPr>
                <w:rFonts w:cs="Times New Roman" w:hint="eastAsia"/>
                <w:sz w:val="21"/>
                <w:szCs w:val="21"/>
              </w:rPr>
              <w:t>（</w:t>
            </w:r>
            <w:r>
              <w:rPr>
                <w:rFonts w:cs="Times New Roman" w:hint="eastAsia"/>
                <w:sz w:val="21"/>
                <w:szCs w:val="21"/>
              </w:rPr>
              <w:t>2024</w:t>
            </w:r>
            <w:r>
              <w:rPr>
                <w:rFonts w:cs="Times New Roman" w:hint="eastAsia"/>
                <w:sz w:val="21"/>
                <w:szCs w:val="21"/>
              </w:rPr>
              <w:t>年修订）</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eastAsiaTheme="minorEastAsia" w:cs="Times New Roman"/>
                <w:sz w:val="21"/>
                <w:szCs w:val="21"/>
              </w:rPr>
            </w:pPr>
            <w:r>
              <w:rPr>
                <w:rFonts w:cs="Times New Roman"/>
                <w:sz w:val="21"/>
                <w:szCs w:val="21"/>
              </w:rPr>
              <w:t>自治区</w:t>
            </w:r>
            <w:r>
              <w:rPr>
                <w:rFonts w:cs="Times New Roman"/>
                <w:sz w:val="21"/>
                <w:szCs w:val="21"/>
              </w:rPr>
              <w:t>14</w:t>
            </w:r>
            <w:r>
              <w:rPr>
                <w:rFonts w:cs="Times New Roman"/>
                <w:sz w:val="21"/>
                <w:szCs w:val="21"/>
              </w:rPr>
              <w:t>届人大</w:t>
            </w:r>
            <w:r>
              <w:rPr>
                <w:rFonts w:cs="Times New Roman"/>
                <w:sz w:val="21"/>
                <w:szCs w:val="21"/>
              </w:rPr>
              <w:t>16</w:t>
            </w:r>
            <w:r>
              <w:rPr>
                <w:rFonts w:cs="Times New Roman"/>
                <w:sz w:val="21"/>
                <w:szCs w:val="21"/>
              </w:rPr>
              <w:t>次会议</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eastAsiaTheme="minorEastAsia" w:cs="Times New Roman"/>
                <w:sz w:val="21"/>
                <w:szCs w:val="21"/>
              </w:rPr>
            </w:pPr>
            <w:r>
              <w:rPr>
                <w:rFonts w:cs="Times New Roman"/>
                <w:sz w:val="21"/>
                <w:szCs w:val="21"/>
              </w:rPr>
              <w:t>2025-01-01</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hint="eastAsia"/>
                <w:sz w:val="21"/>
                <w:szCs w:val="21"/>
              </w:rPr>
              <w:t>30</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cs="Times New Roman"/>
                <w:sz w:val="21"/>
                <w:szCs w:val="21"/>
              </w:rPr>
            </w:pPr>
            <w:r>
              <w:rPr>
                <w:rFonts w:cs="Times New Roman" w:hint="eastAsia"/>
                <w:sz w:val="21"/>
                <w:szCs w:val="21"/>
              </w:rPr>
              <w:t>新疆维吾尔自治区自然资源厅、生态环境厅、林业和草原局关于加强自治区生态保护红线管理的通知（试行）</w:t>
            </w:r>
            <w:r>
              <w:rPr>
                <w:rFonts w:cs="Times New Roman" w:hint="eastAsia"/>
                <w:sz w:val="21"/>
                <w:szCs w:val="21"/>
              </w:rPr>
              <w:t xml:space="preserve"> </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ascii="宋体" w:hAnsi="宋体"/>
                <w:sz w:val="21"/>
                <w:szCs w:val="21"/>
              </w:rPr>
            </w:pPr>
            <w:r>
              <w:rPr>
                <w:rFonts w:cs="Times New Roman" w:hint="eastAsia"/>
                <w:sz w:val="21"/>
                <w:szCs w:val="21"/>
              </w:rPr>
              <w:t>新自然资发</w:t>
            </w:r>
            <w:bookmarkStart w:id="116" w:name="OLE_LINK1241"/>
            <w:r>
              <w:rPr>
                <w:rFonts w:cs="Times New Roman" w:hint="eastAsia"/>
                <w:sz w:val="21"/>
                <w:szCs w:val="21"/>
              </w:rPr>
              <w:t>〔</w:t>
            </w:r>
            <w:r>
              <w:rPr>
                <w:rFonts w:cs="Times New Roman" w:hint="eastAsia"/>
                <w:sz w:val="21"/>
                <w:szCs w:val="21"/>
              </w:rPr>
              <w:t>2024</w:t>
            </w:r>
            <w:r>
              <w:rPr>
                <w:rFonts w:cs="Times New Roman" w:hint="eastAsia"/>
                <w:sz w:val="21"/>
                <w:szCs w:val="21"/>
              </w:rPr>
              <w:t>〕</w:t>
            </w:r>
            <w:r>
              <w:rPr>
                <w:rFonts w:cs="Times New Roman" w:hint="eastAsia"/>
                <w:sz w:val="21"/>
                <w:szCs w:val="21"/>
              </w:rPr>
              <w:t>56</w:t>
            </w:r>
            <w:r>
              <w:rPr>
                <w:rFonts w:cs="Times New Roman" w:hint="eastAsia"/>
                <w:sz w:val="21"/>
                <w:szCs w:val="21"/>
              </w:rPr>
              <w:t>号</w:t>
            </w:r>
            <w:bookmarkEnd w:id="116"/>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ascii="宋体" w:hAnsi="宋体"/>
                <w:sz w:val="21"/>
                <w:szCs w:val="21"/>
              </w:rPr>
            </w:pPr>
            <w:r>
              <w:rPr>
                <w:rFonts w:cs="Times New Roman" w:hint="eastAsia"/>
                <w:sz w:val="21"/>
                <w:szCs w:val="21"/>
              </w:rPr>
              <w:t>2024-04-17</w:t>
            </w:r>
          </w:p>
        </w:tc>
      </w:tr>
      <w:tr w:rsidR="00C645C9">
        <w:trPr>
          <w:trHeight w:val="544"/>
          <w:jc w:val="center"/>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adjustRightInd w:val="0"/>
              <w:snapToGrid w:val="0"/>
              <w:jc w:val="center"/>
              <w:rPr>
                <w:rFonts w:eastAsiaTheme="minorEastAsia" w:cs="Times New Roman"/>
                <w:sz w:val="21"/>
                <w:szCs w:val="21"/>
              </w:rPr>
            </w:pPr>
            <w:bookmarkStart w:id="117" w:name="OLE_LINK1242" w:colFirst="1" w:colLast="3"/>
            <w:r>
              <w:rPr>
                <w:rFonts w:eastAsiaTheme="minorEastAsia" w:cs="Times New Roman" w:hint="eastAsia"/>
                <w:sz w:val="21"/>
                <w:szCs w:val="21"/>
              </w:rPr>
              <w:t>31</w:t>
            </w:r>
          </w:p>
        </w:tc>
        <w:tc>
          <w:tcPr>
            <w:tcW w:w="4473"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jc w:val="both"/>
              <w:rPr>
                <w:rFonts w:cs="Times New Roman"/>
                <w:sz w:val="21"/>
                <w:szCs w:val="21"/>
              </w:rPr>
            </w:pPr>
            <w:r>
              <w:rPr>
                <w:rFonts w:cs="Times New Roman" w:hint="eastAsia"/>
                <w:sz w:val="21"/>
                <w:szCs w:val="21"/>
              </w:rPr>
              <w:t>新疆维吾尔自治区饮用水水源保护区管理规定</w:t>
            </w:r>
            <w:r>
              <w:rPr>
                <w:rFonts w:cs="Times New Roman" w:hint="eastAsia"/>
                <w:sz w:val="21"/>
                <w:szCs w:val="21"/>
              </w:rPr>
              <w:t>（试行）</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cs="Times New Roman"/>
                <w:sz w:val="21"/>
                <w:szCs w:val="21"/>
              </w:rPr>
            </w:pPr>
            <w:r>
              <w:rPr>
                <w:rFonts w:cs="Times New Roman" w:hint="eastAsia"/>
                <w:sz w:val="21"/>
                <w:szCs w:val="21"/>
              </w:rPr>
              <w:t>新政发</w:t>
            </w:r>
            <w:r>
              <w:rPr>
                <w:rFonts w:cs="Times New Roman" w:hint="eastAsia"/>
                <w:sz w:val="21"/>
                <w:szCs w:val="21"/>
              </w:rPr>
              <w:t>〔</w:t>
            </w:r>
            <w:r>
              <w:rPr>
                <w:rFonts w:cs="Times New Roman" w:hint="eastAsia"/>
                <w:sz w:val="21"/>
                <w:szCs w:val="21"/>
              </w:rPr>
              <w:t>2024</w:t>
            </w:r>
            <w:r>
              <w:rPr>
                <w:rFonts w:cs="Times New Roman" w:hint="eastAsia"/>
                <w:sz w:val="21"/>
                <w:szCs w:val="21"/>
              </w:rPr>
              <w:t>〕</w:t>
            </w:r>
            <w:r>
              <w:rPr>
                <w:rFonts w:cs="Times New Roman" w:hint="eastAsia"/>
                <w:sz w:val="21"/>
                <w:szCs w:val="21"/>
              </w:rPr>
              <w:t>36</w:t>
            </w:r>
            <w:r>
              <w:rPr>
                <w:rFonts w:cs="Times New Roman" w:hint="eastAsia"/>
                <w:sz w:val="21"/>
                <w:szCs w:val="21"/>
              </w:rPr>
              <w:t>号</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645C9" w:rsidRDefault="00F955D9">
            <w:pPr>
              <w:widowControl w:val="0"/>
              <w:rPr>
                <w:rFonts w:cs="Times New Roman"/>
                <w:sz w:val="21"/>
                <w:szCs w:val="21"/>
              </w:rPr>
            </w:pPr>
            <w:r>
              <w:rPr>
                <w:rFonts w:cs="Times New Roman" w:hint="eastAsia"/>
                <w:sz w:val="21"/>
                <w:szCs w:val="21"/>
              </w:rPr>
              <w:t>2024-06-30</w:t>
            </w:r>
          </w:p>
        </w:tc>
      </w:tr>
    </w:tbl>
    <w:bookmarkEnd w:id="117"/>
    <w:p w:rsidR="00C645C9" w:rsidRDefault="00F955D9">
      <w:pPr>
        <w:pStyle w:val="3"/>
        <w:widowControl w:val="0"/>
        <w:adjustRightInd w:val="0"/>
        <w:snapToGrid w:val="0"/>
        <w:spacing w:before="0" w:after="0" w:line="360" w:lineRule="auto"/>
        <w:rPr>
          <w:rFonts w:ascii="Times New Roman" w:hAnsi="Times New Roman" w:cs="Times New Roman"/>
          <w:bCs/>
          <w:color w:val="auto"/>
          <w:szCs w:val="28"/>
        </w:rPr>
      </w:pPr>
      <w:r>
        <w:rPr>
          <w:rFonts w:ascii="Times New Roman" w:hAnsi="Times New Roman" w:cs="Times New Roman"/>
          <w:bCs/>
          <w:color w:val="auto"/>
          <w:szCs w:val="28"/>
        </w:rPr>
        <w:t>2.</w:t>
      </w:r>
      <w:r>
        <w:rPr>
          <w:rFonts w:ascii="Times New Roman" w:hAnsi="Times New Roman" w:cs="Times New Roman" w:hint="eastAsia"/>
          <w:bCs/>
          <w:color w:val="auto"/>
          <w:szCs w:val="28"/>
          <w:lang w:eastAsia="zh-CN"/>
        </w:rPr>
        <w:t>1</w:t>
      </w:r>
      <w:r>
        <w:rPr>
          <w:rFonts w:ascii="Times New Roman" w:hAnsi="Times New Roman" w:cs="Times New Roman"/>
          <w:bCs/>
          <w:color w:val="auto"/>
          <w:szCs w:val="28"/>
        </w:rPr>
        <w:t>.</w:t>
      </w:r>
      <w:bookmarkEnd w:id="111"/>
      <w:bookmarkEnd w:id="112"/>
      <w:bookmarkEnd w:id="113"/>
      <w:r>
        <w:rPr>
          <w:rFonts w:ascii="Times New Roman" w:hAnsi="Times New Roman" w:cs="Times New Roman" w:hint="eastAsia"/>
          <w:bCs/>
          <w:color w:val="auto"/>
          <w:szCs w:val="28"/>
          <w:lang w:eastAsia="zh-CN"/>
        </w:rPr>
        <w:t>3</w:t>
      </w:r>
      <w:bookmarkStart w:id="118" w:name="OLE_LINK474"/>
      <w:r>
        <w:rPr>
          <w:rFonts w:ascii="Times New Roman" w:hAnsi="Times New Roman" w:cs="Times New Roman"/>
          <w:bCs/>
          <w:color w:val="auto"/>
          <w:szCs w:val="28"/>
        </w:rPr>
        <w:t>环境保护技术规范</w:t>
      </w:r>
      <w:bookmarkEnd w:id="118"/>
    </w:p>
    <w:p w:rsidR="00C645C9" w:rsidRDefault="00F955D9">
      <w:pPr>
        <w:widowControl w:val="0"/>
        <w:adjustRightInd w:val="0"/>
        <w:snapToGrid w:val="0"/>
        <w:spacing w:line="360" w:lineRule="auto"/>
        <w:ind w:firstLineChars="200" w:firstLine="480"/>
        <w:rPr>
          <w:rFonts w:cs="Times New Roman"/>
        </w:rPr>
      </w:pPr>
      <w:r>
        <w:rPr>
          <w:rFonts w:cs="Times New Roman"/>
        </w:rPr>
        <w:t>环评有关</w:t>
      </w:r>
      <w:r>
        <w:rPr>
          <w:rFonts w:cs="Times New Roman" w:hint="eastAsia"/>
        </w:rPr>
        <w:t>的</w:t>
      </w:r>
      <w:r>
        <w:rPr>
          <w:rFonts w:cs="Times New Roman"/>
        </w:rPr>
        <w:t>环境保护技术规范见表</w:t>
      </w:r>
      <w:r>
        <w:rPr>
          <w:rFonts w:cs="Times New Roman"/>
        </w:rPr>
        <w:t>2.</w:t>
      </w:r>
      <w:r>
        <w:rPr>
          <w:rFonts w:cs="Times New Roman" w:hint="eastAsia"/>
        </w:rPr>
        <w:t>1</w:t>
      </w:r>
      <w:r>
        <w:rPr>
          <w:rFonts w:cs="Times New Roman"/>
        </w:rPr>
        <w:t>-</w:t>
      </w:r>
      <w:r>
        <w:rPr>
          <w:rFonts w:cs="Times New Roman" w:hint="eastAsia"/>
        </w:rPr>
        <w:t>3</w:t>
      </w:r>
      <w:r>
        <w:rPr>
          <w:rFonts w:cs="Times New Roman"/>
        </w:rPr>
        <w:t>。</w:t>
      </w:r>
    </w:p>
    <w:p w:rsidR="00C645C9" w:rsidRDefault="00F955D9">
      <w:pPr>
        <w:widowControl w:val="0"/>
        <w:adjustRightInd w:val="0"/>
        <w:snapToGrid w:val="0"/>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1</w:t>
      </w:r>
      <w:r>
        <w:rPr>
          <w:rFonts w:eastAsia="黑体" w:cs="Times New Roman"/>
          <w:bCs/>
          <w:sz w:val="21"/>
          <w:szCs w:val="21"/>
        </w:rPr>
        <w:t>-</w:t>
      </w:r>
      <w:r>
        <w:rPr>
          <w:rFonts w:eastAsia="黑体" w:cs="Times New Roman" w:hint="eastAsia"/>
          <w:bCs/>
          <w:sz w:val="21"/>
          <w:szCs w:val="21"/>
        </w:rPr>
        <w:t>3</w:t>
      </w:r>
      <w:r>
        <w:rPr>
          <w:rFonts w:eastAsia="黑体" w:cs="Times New Roman"/>
          <w:bCs/>
          <w:sz w:val="21"/>
          <w:szCs w:val="21"/>
        </w:rPr>
        <w:t xml:space="preserve">   </w:t>
      </w:r>
      <w:r>
        <w:rPr>
          <w:rFonts w:eastAsia="黑体" w:cs="Times New Roman"/>
          <w:bCs/>
          <w:sz w:val="21"/>
          <w:szCs w:val="21"/>
        </w:rPr>
        <w:t>环评技术导则规范依据一览表</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4839"/>
        <w:gridCol w:w="1952"/>
        <w:gridCol w:w="1263"/>
      </w:tblGrid>
      <w:tr w:rsidR="00C645C9">
        <w:trPr>
          <w:trHeight w:val="57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4"/>
                <w:kern w:val="24"/>
                <w:sz w:val="21"/>
                <w:szCs w:val="21"/>
              </w:rPr>
            </w:pPr>
            <w:r>
              <w:rPr>
                <w:rFonts w:cs="Times New Roman" w:hint="eastAsia"/>
                <w:spacing w:val="4"/>
                <w:kern w:val="24"/>
                <w:sz w:val="21"/>
                <w:szCs w:val="21"/>
              </w:rPr>
              <w:t>序号</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4"/>
                <w:kern w:val="24"/>
                <w:sz w:val="21"/>
                <w:szCs w:val="21"/>
              </w:rPr>
            </w:pPr>
            <w:r>
              <w:rPr>
                <w:rFonts w:cs="Times New Roman"/>
                <w:spacing w:val="4"/>
                <w:kern w:val="24"/>
                <w:sz w:val="21"/>
                <w:szCs w:val="21"/>
              </w:rPr>
              <w:t>依据名称</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4"/>
                <w:kern w:val="24"/>
                <w:sz w:val="21"/>
                <w:szCs w:val="21"/>
              </w:rPr>
            </w:pPr>
            <w:r>
              <w:rPr>
                <w:rFonts w:cs="Times New Roman"/>
                <w:spacing w:val="4"/>
                <w:kern w:val="24"/>
                <w:sz w:val="21"/>
                <w:szCs w:val="21"/>
              </w:rPr>
              <w:t>标准号</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4"/>
                <w:kern w:val="24"/>
                <w:sz w:val="21"/>
                <w:szCs w:val="21"/>
              </w:rPr>
            </w:pPr>
            <w:r>
              <w:rPr>
                <w:rFonts w:cs="Times New Roman"/>
                <w:spacing w:val="4"/>
                <w:kern w:val="24"/>
                <w:sz w:val="21"/>
                <w:szCs w:val="21"/>
              </w:rPr>
              <w:t>实施时间</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建设项目环境影响评价技术导则</w:t>
            </w:r>
            <w:r>
              <w:rPr>
                <w:rFonts w:eastAsiaTheme="minorEastAsia" w:cs="Times New Roman"/>
                <w:sz w:val="21"/>
                <w:szCs w:val="21"/>
              </w:rPr>
              <w:t xml:space="preserve"> </w:t>
            </w:r>
            <w:r>
              <w:rPr>
                <w:rFonts w:eastAsiaTheme="minorEastAsia" w:cs="Times New Roman"/>
                <w:sz w:val="21"/>
                <w:szCs w:val="21"/>
              </w:rPr>
              <w:t>总纲</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HJ2.1-2016</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2017-01-01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大气环境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HJ2.2-2018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2018-12-01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地表水环境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HJ2.3-2018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4</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hyperlink r:id="rId13" w:history="1">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声环境</w:t>
              </w:r>
            </w:hyperlink>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HJ2.4-2021</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5</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hyperlink r:id="rId14" w:history="1">
              <w:r>
                <w:rPr>
                  <w:rFonts w:eastAsiaTheme="minorEastAsia" w:cs="Times New Roman"/>
                  <w:sz w:val="21"/>
                  <w:szCs w:val="21"/>
                </w:rPr>
                <w:t>环境影响评价技术导则</w:t>
              </w:r>
              <w:r>
                <w:rPr>
                  <w:rFonts w:eastAsiaTheme="minorEastAsia" w:cs="Times New Roman"/>
                  <w:sz w:val="21"/>
                  <w:szCs w:val="21"/>
                </w:rPr>
                <w:t> </w:t>
              </w:r>
              <w:r>
                <w:rPr>
                  <w:rFonts w:eastAsiaTheme="minorEastAsia" w:cs="Times New Roman"/>
                  <w:sz w:val="21"/>
                  <w:szCs w:val="21"/>
                </w:rPr>
                <w:t>生态影响</w:t>
              </w:r>
            </w:hyperlink>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HJ19-2022</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6</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地下水环境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HJ610-2016</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2016-01-07</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7</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陆地石油天然气开发建设项目</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HJ349-2023</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2024-01-01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8</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建设项目环境风险评价技术导则</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HJ169-2018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9</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环境影响评价技术导则</w:t>
            </w:r>
            <w:r>
              <w:rPr>
                <w:rFonts w:eastAsiaTheme="minorEastAsia" w:cs="Times New Roman"/>
                <w:sz w:val="21"/>
                <w:szCs w:val="21"/>
              </w:rPr>
              <w:t xml:space="preserve"> </w:t>
            </w:r>
            <w:r>
              <w:rPr>
                <w:rFonts w:eastAsiaTheme="minorEastAsia" w:cs="Times New Roman"/>
                <w:sz w:val="21"/>
                <w:szCs w:val="21"/>
              </w:rPr>
              <w:t>土壤影响（试行）</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HJ964-2018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10</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水土保持综合治理</w:t>
            </w:r>
            <w:r>
              <w:rPr>
                <w:rFonts w:eastAsiaTheme="minorEastAsia" w:cs="Times New Roman"/>
                <w:sz w:val="21"/>
                <w:szCs w:val="21"/>
              </w:rPr>
              <w:t xml:space="preserve"> </w:t>
            </w:r>
            <w:r>
              <w:rPr>
                <w:rFonts w:eastAsiaTheme="minorEastAsia" w:cs="Times New Roman"/>
                <w:sz w:val="21"/>
                <w:szCs w:val="21"/>
              </w:rPr>
              <w:t>技术规范</w:t>
            </w:r>
            <w:r>
              <w:rPr>
                <w:rFonts w:eastAsiaTheme="minorEastAsia" w:cs="Times New Roman"/>
                <w:sz w:val="21"/>
                <w:szCs w:val="21"/>
              </w:rPr>
              <w:t xml:space="preserve"> </w:t>
            </w:r>
            <w:r>
              <w:rPr>
                <w:rFonts w:eastAsiaTheme="minorEastAsia" w:cs="Times New Roman"/>
                <w:sz w:val="21"/>
                <w:szCs w:val="21"/>
              </w:rPr>
              <w:t>坡耕地治理技术</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GB/T16453.1-2008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2009-02-01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11</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开发建设项目水土保持技术规范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GB50433-2008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2008-07-01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lastRenderedPageBreak/>
              <w:t>12</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危险化学品重大危险源辨识</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GB18218-2018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13</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bookmarkStart w:id="119" w:name="OLE_LINK1167"/>
            <w:r>
              <w:rPr>
                <w:rFonts w:eastAsiaTheme="minorEastAsia" w:cs="Times New Roman"/>
                <w:sz w:val="21"/>
                <w:szCs w:val="21"/>
              </w:rPr>
              <w:t>石油和天然气开采行业清洁生产评价体系指标（试行）</w:t>
            </w:r>
            <w:bookmarkEnd w:id="119"/>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hint="eastAsia"/>
                <w:sz w:val="21"/>
                <w:szCs w:val="21"/>
              </w:rPr>
              <w:t>国家发展和改革委员会</w:t>
            </w:r>
            <w:r>
              <w:rPr>
                <w:rFonts w:eastAsiaTheme="minorEastAsia" w:cs="Times New Roman"/>
                <w:sz w:val="21"/>
                <w:szCs w:val="21"/>
              </w:rPr>
              <w:t>公告</w:t>
            </w:r>
            <w:r>
              <w:rPr>
                <w:rFonts w:eastAsiaTheme="minorEastAsia" w:cs="Times New Roman"/>
                <w:sz w:val="21"/>
                <w:szCs w:val="21"/>
              </w:rPr>
              <w:t>2009</w:t>
            </w:r>
            <w:r>
              <w:rPr>
                <w:rFonts w:eastAsiaTheme="minorEastAsia" w:cs="Times New Roman"/>
                <w:sz w:val="21"/>
                <w:szCs w:val="21"/>
              </w:rPr>
              <w:t>第</w:t>
            </w:r>
            <w:r>
              <w:rPr>
                <w:rFonts w:eastAsiaTheme="minorEastAsia" w:cs="Times New Roman"/>
                <w:sz w:val="21"/>
                <w:szCs w:val="21"/>
              </w:rPr>
              <w:t>3</w:t>
            </w:r>
            <w:r>
              <w:rPr>
                <w:rFonts w:eastAsiaTheme="minorEastAsia" w:cs="Times New Roman"/>
                <w:sz w:val="21"/>
                <w:szCs w:val="21"/>
              </w:rPr>
              <w:t>号</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2009-02-19</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14</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石油天然气工业健康、安全与环境管理体系</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SY/T6276-2014</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2015-03-01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15</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石油化工企业环境保护设计规范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SH/T3024-2017</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2018-01-01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16</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石油天然气开采业污染防治技术政策</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环境部公告</w:t>
            </w:r>
            <w:r>
              <w:rPr>
                <w:rFonts w:eastAsiaTheme="minorEastAsia" w:cs="Times New Roman"/>
                <w:sz w:val="21"/>
                <w:szCs w:val="21"/>
              </w:rPr>
              <w:t>2012</w:t>
            </w:r>
            <w:r>
              <w:rPr>
                <w:rFonts w:eastAsiaTheme="minorEastAsia" w:cs="Times New Roman"/>
                <w:sz w:val="21"/>
                <w:szCs w:val="21"/>
              </w:rPr>
              <w:t>年第</w:t>
            </w:r>
            <w:r>
              <w:rPr>
                <w:rFonts w:eastAsiaTheme="minorEastAsia" w:cs="Times New Roman"/>
                <w:sz w:val="21"/>
                <w:szCs w:val="21"/>
              </w:rPr>
              <w:t>18</w:t>
            </w:r>
            <w:r>
              <w:rPr>
                <w:rFonts w:eastAsiaTheme="minorEastAsia" w:cs="Times New Roman"/>
                <w:sz w:val="21"/>
                <w:szCs w:val="21"/>
              </w:rPr>
              <w:t>号</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2012-03-07</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17</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危险废物收集</w:t>
            </w:r>
            <w:r>
              <w:rPr>
                <w:rFonts w:eastAsiaTheme="minorEastAsia" w:cs="Times New Roman"/>
                <w:sz w:val="21"/>
                <w:szCs w:val="21"/>
              </w:rPr>
              <w:t xml:space="preserve"> </w:t>
            </w:r>
            <w:r>
              <w:rPr>
                <w:rFonts w:eastAsiaTheme="minorEastAsia" w:cs="Times New Roman"/>
                <w:sz w:val="21"/>
                <w:szCs w:val="21"/>
              </w:rPr>
              <w:t>贮存</w:t>
            </w:r>
            <w:r>
              <w:rPr>
                <w:rFonts w:eastAsiaTheme="minorEastAsia" w:cs="Times New Roman"/>
                <w:sz w:val="21"/>
                <w:szCs w:val="21"/>
              </w:rPr>
              <w:t xml:space="preserve"> </w:t>
            </w:r>
            <w:r>
              <w:rPr>
                <w:rFonts w:eastAsiaTheme="minorEastAsia" w:cs="Times New Roman"/>
                <w:sz w:val="21"/>
                <w:szCs w:val="21"/>
              </w:rPr>
              <w:t>运输技术规范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 2025-2012</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2013-03-01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18</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突发环境事件应急监测技术规范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HJ589-2021</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19</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危险废物鉴别标准通则</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GB5085.7-2019</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2020-01-01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20</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排污许可证申请与核发技术规范</w:t>
            </w:r>
            <w:r>
              <w:rPr>
                <w:rFonts w:eastAsiaTheme="minorEastAsia" w:cs="Times New Roman"/>
                <w:sz w:val="21"/>
                <w:szCs w:val="21"/>
              </w:rPr>
              <w:t xml:space="preserve"> </w:t>
            </w:r>
            <w:r>
              <w:rPr>
                <w:rFonts w:eastAsiaTheme="minorEastAsia" w:cs="Times New Roman"/>
                <w:sz w:val="21"/>
                <w:szCs w:val="21"/>
              </w:rPr>
              <w:t>总则</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HJ942-2018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2018-02-08</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21</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排污单位自行监测技术指南</w:t>
            </w:r>
            <w:r>
              <w:rPr>
                <w:rFonts w:eastAsiaTheme="minorEastAsia" w:cs="Times New Roman"/>
                <w:sz w:val="21"/>
                <w:szCs w:val="21"/>
              </w:rPr>
              <w:t xml:space="preserve"> </w:t>
            </w:r>
            <w:r>
              <w:rPr>
                <w:rFonts w:eastAsiaTheme="minorEastAsia" w:cs="Times New Roman"/>
                <w:sz w:val="21"/>
                <w:szCs w:val="21"/>
              </w:rPr>
              <w:t>总则</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HJ819-2017</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2017-06-01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22</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地下水环境监测技术规范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 164-2020</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23</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陆上石油天然气开采业绿色矿山建设规范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DZ/T0317-2018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2018-10-01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24</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危险废物贮存污染控制标准</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 18597-2023</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2023-07-01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26</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排污单位自行监测技术指南</w:t>
            </w:r>
            <w:r>
              <w:rPr>
                <w:rFonts w:eastAsiaTheme="minorEastAsia" w:cs="Times New Roman"/>
                <w:sz w:val="21"/>
                <w:szCs w:val="21"/>
              </w:rPr>
              <w:t xml:space="preserve"> </w:t>
            </w:r>
            <w:r>
              <w:rPr>
                <w:rFonts w:eastAsiaTheme="minorEastAsia" w:cs="Times New Roman"/>
                <w:sz w:val="21"/>
                <w:szCs w:val="21"/>
              </w:rPr>
              <w:t>陆上石油天然气开采工业</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 1248-2022</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27</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石油天然气工程设计防火规范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GB50183-2004</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2005-03-01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28</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陆上石油天然气开采工业大气污染物排放标准</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GB39728-2020</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2021-01-01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29</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挥发性有机物无组织排放控制标准</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GB37822-2019</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2019-07-01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30</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危险废物管理计划和管理台账制定技术导则</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HJ1259-2022</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2022-10-01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31</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生产建设项目水土流失防治标准</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w:t>
            </w:r>
            <w:r>
              <w:rPr>
                <w:rFonts w:eastAsiaTheme="minorEastAsia" w:cs="Times New Roman"/>
                <w:sz w:val="21"/>
                <w:szCs w:val="21"/>
              </w:rPr>
              <w:t>/T</w:t>
            </w:r>
            <w:r>
              <w:rPr>
                <w:rFonts w:eastAsiaTheme="minorEastAsia" w:cs="Times New Roman"/>
                <w:sz w:val="21"/>
                <w:szCs w:val="21"/>
              </w:rPr>
              <w:t xml:space="preserve"> 50434</w:t>
            </w:r>
            <w:r>
              <w:rPr>
                <w:rFonts w:eastAsiaTheme="minorEastAsia" w:cs="Times New Roman"/>
                <w:sz w:val="21"/>
                <w:szCs w:val="21"/>
              </w:rPr>
              <w:t>-</w:t>
            </w:r>
            <w:r>
              <w:rPr>
                <w:rFonts w:eastAsiaTheme="minorEastAsia" w:cs="Times New Roman"/>
                <w:sz w:val="21"/>
                <w:szCs w:val="21"/>
              </w:rPr>
              <w:t>2018</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2019-04-01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r>
              <w:rPr>
                <w:rFonts w:eastAsiaTheme="minorEastAsia" w:cs="Times New Roman"/>
                <w:sz w:val="21"/>
                <w:szCs w:val="21"/>
              </w:rPr>
              <w:t>32</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一般固体废物分类与代码</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GB/T</w:t>
            </w:r>
            <w:r>
              <w:rPr>
                <w:rFonts w:eastAsiaTheme="minorEastAsia" w:cs="Times New Roman"/>
                <w:sz w:val="21"/>
                <w:szCs w:val="21"/>
              </w:rPr>
              <w:t xml:space="preserve"> </w:t>
            </w:r>
            <w:r>
              <w:rPr>
                <w:rFonts w:eastAsiaTheme="minorEastAsia" w:cs="Times New Roman"/>
                <w:sz w:val="21"/>
                <w:szCs w:val="21"/>
              </w:rPr>
              <w:t>39198</w:t>
            </w:r>
            <w:r>
              <w:rPr>
                <w:rFonts w:eastAsiaTheme="minorEastAsia" w:cs="Times New Roman"/>
                <w:sz w:val="21"/>
                <w:szCs w:val="21"/>
              </w:rPr>
              <w:t>-</w:t>
            </w:r>
            <w:r>
              <w:rPr>
                <w:rFonts w:eastAsiaTheme="minorEastAsia" w:cs="Times New Roman"/>
                <w:sz w:val="21"/>
                <w:szCs w:val="21"/>
              </w:rPr>
              <w:t>2020</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rPr>
                <w:rFonts w:eastAsiaTheme="minorEastAsia" w:cs="Times New Roman"/>
                <w:sz w:val="21"/>
                <w:szCs w:val="21"/>
              </w:rPr>
            </w:pPr>
            <w:r>
              <w:rPr>
                <w:rFonts w:eastAsiaTheme="minorEastAsia" w:cs="Times New Roman"/>
                <w:sz w:val="21"/>
                <w:szCs w:val="21"/>
              </w:rPr>
              <w:t>2021-05-01</w:t>
            </w:r>
          </w:p>
        </w:tc>
      </w:tr>
      <w:tr w:rsidR="00C645C9">
        <w:trPr>
          <w:trHeight w:val="544"/>
          <w:jc w:val="center"/>
        </w:trPr>
        <w:tc>
          <w:tcPr>
            <w:tcW w:w="73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sz w:val="21"/>
                <w:szCs w:val="21"/>
              </w:rPr>
            </w:pPr>
            <w:bookmarkStart w:id="120" w:name="_Toc16851"/>
            <w:bookmarkStart w:id="121" w:name="_Toc24142"/>
            <w:bookmarkStart w:id="122" w:name="_Toc21873"/>
            <w:r>
              <w:rPr>
                <w:rFonts w:eastAsiaTheme="minorEastAsia" w:cs="Times New Roman" w:hint="eastAsia"/>
                <w:sz w:val="21"/>
                <w:szCs w:val="21"/>
              </w:rPr>
              <w:t>33</w:t>
            </w:r>
          </w:p>
        </w:tc>
        <w:tc>
          <w:tcPr>
            <w:tcW w:w="4839"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rPr>
                <w:rFonts w:eastAsiaTheme="minorEastAsia" w:cs="Times New Roman"/>
                <w:sz w:val="21"/>
                <w:szCs w:val="21"/>
              </w:rPr>
            </w:pPr>
            <w:r>
              <w:rPr>
                <w:rFonts w:cs="Times New Roman" w:hint="eastAsia"/>
                <w:sz w:val="21"/>
                <w:szCs w:val="21"/>
              </w:rPr>
              <w:t>石油天然气项目土地复垦与生态修复技术规范</w:t>
            </w:r>
          </w:p>
        </w:tc>
        <w:tc>
          <w:tcPr>
            <w:tcW w:w="1952"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rPr>
                <w:rFonts w:eastAsiaTheme="minorEastAsia" w:cs="Times New Roman"/>
                <w:sz w:val="21"/>
                <w:szCs w:val="21"/>
              </w:rPr>
            </w:pPr>
            <w:r>
              <w:rPr>
                <w:rFonts w:cs="Times New Roman" w:hint="eastAsia"/>
                <w:sz w:val="21"/>
                <w:szCs w:val="21"/>
              </w:rPr>
              <w:t>GBT/ 43936-2024</w:t>
            </w:r>
          </w:p>
        </w:tc>
        <w:tc>
          <w:tcPr>
            <w:tcW w:w="1263"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jc w:val="center"/>
              <w:rPr>
                <w:rFonts w:eastAsiaTheme="minorEastAsia" w:cs="Times New Roman"/>
                <w:sz w:val="21"/>
                <w:szCs w:val="21"/>
              </w:rPr>
            </w:pPr>
            <w:r>
              <w:rPr>
                <w:rFonts w:cs="Times New Roman" w:hint="eastAsia"/>
                <w:sz w:val="21"/>
                <w:szCs w:val="21"/>
              </w:rPr>
              <w:t>2024-08-01</w:t>
            </w:r>
          </w:p>
        </w:tc>
      </w:tr>
    </w:tbl>
    <w:p w:rsidR="00C645C9" w:rsidRDefault="00F955D9">
      <w:pPr>
        <w:pStyle w:val="3"/>
        <w:widowControl w:val="0"/>
        <w:adjustRightInd w:val="0"/>
        <w:snapToGrid w:val="0"/>
        <w:spacing w:before="0" w:after="0" w:line="360" w:lineRule="auto"/>
        <w:rPr>
          <w:rFonts w:ascii="Times New Roman" w:hAnsi="Times New Roman" w:cs="Times New Roman"/>
          <w:bCs/>
          <w:color w:val="auto"/>
          <w:szCs w:val="28"/>
        </w:rPr>
      </w:pPr>
      <w:r>
        <w:rPr>
          <w:rFonts w:ascii="Times New Roman" w:hAnsi="Times New Roman" w:cs="Times New Roman"/>
          <w:bCs/>
          <w:color w:val="auto"/>
          <w:szCs w:val="28"/>
        </w:rPr>
        <w:t>2.</w:t>
      </w:r>
      <w:r>
        <w:rPr>
          <w:rFonts w:ascii="Times New Roman" w:hAnsi="Times New Roman" w:cs="Times New Roman" w:hint="eastAsia"/>
          <w:bCs/>
          <w:color w:val="auto"/>
          <w:szCs w:val="28"/>
          <w:lang w:eastAsia="zh-CN"/>
        </w:rPr>
        <w:t>1</w:t>
      </w:r>
      <w:r>
        <w:rPr>
          <w:rFonts w:ascii="Times New Roman" w:hAnsi="Times New Roman" w:cs="Times New Roman"/>
          <w:bCs/>
          <w:color w:val="auto"/>
          <w:szCs w:val="28"/>
        </w:rPr>
        <w:t>.</w:t>
      </w:r>
      <w:r>
        <w:rPr>
          <w:rFonts w:ascii="Times New Roman" w:hAnsi="Times New Roman" w:cs="Times New Roman" w:hint="eastAsia"/>
          <w:bCs/>
          <w:color w:val="auto"/>
          <w:szCs w:val="28"/>
          <w:lang w:eastAsia="zh-CN"/>
        </w:rPr>
        <w:t>4</w:t>
      </w:r>
      <w:r>
        <w:rPr>
          <w:rFonts w:ascii="Times New Roman" w:hAnsi="Times New Roman" w:cs="Times New Roman"/>
          <w:bCs/>
          <w:color w:val="auto"/>
          <w:szCs w:val="28"/>
        </w:rPr>
        <w:t>相关文件和技术资料</w:t>
      </w:r>
      <w:bookmarkEnd w:id="120"/>
      <w:bookmarkEnd w:id="121"/>
      <w:bookmarkEnd w:id="122"/>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1</w:t>
      </w:r>
      <w:r>
        <w:rPr>
          <w:rFonts w:cs="Times New Roman"/>
        </w:rPr>
        <w:t>）</w:t>
      </w:r>
      <w:r>
        <w:rPr>
          <w:rFonts w:cs="Times New Roman" w:hint="eastAsia"/>
        </w:rPr>
        <w:t>新北区块试采工程</w:t>
      </w:r>
      <w:r>
        <w:rPr>
          <w:rFonts w:cs="Times New Roman"/>
        </w:rPr>
        <w:t>环境影响评价</w:t>
      </w:r>
      <w:r>
        <w:rPr>
          <w:rFonts w:cs="Times New Roman"/>
        </w:rPr>
        <w:t>委托书，中国石油化工股份有限公司西北油田分公司</w:t>
      </w:r>
      <w:r>
        <w:rPr>
          <w:rFonts w:cs="Times New Roman" w:hint="eastAsia"/>
        </w:rPr>
        <w:t>，</w:t>
      </w:r>
      <w:r>
        <w:rPr>
          <w:rFonts w:cs="Times New Roman" w:hint="eastAsia"/>
        </w:rPr>
        <w:t>2025</w:t>
      </w:r>
      <w:r>
        <w:rPr>
          <w:rFonts w:cs="Times New Roman" w:hint="eastAsia"/>
        </w:rPr>
        <w:t>年</w:t>
      </w:r>
      <w:r>
        <w:rPr>
          <w:rFonts w:cs="Times New Roman" w:hint="eastAsia"/>
        </w:rPr>
        <w:t>4</w:t>
      </w:r>
      <w:r>
        <w:rPr>
          <w:rFonts w:cs="Times New Roman" w:hint="eastAsia"/>
        </w:rPr>
        <w:t>月。</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2</w:t>
      </w:r>
      <w:r>
        <w:rPr>
          <w:rFonts w:cs="Times New Roman"/>
        </w:rPr>
        <w:t>）</w:t>
      </w:r>
      <w:r>
        <w:rPr>
          <w:rFonts w:cs="Times New Roman" w:hint="eastAsia"/>
        </w:rPr>
        <w:t>新北区块试采工程</w:t>
      </w:r>
      <w:r>
        <w:rPr>
          <w:rFonts w:cs="Times New Roman" w:hint="eastAsia"/>
          <w:snapToGrid w:val="0"/>
        </w:rPr>
        <w:t>相关资料</w:t>
      </w:r>
      <w:r>
        <w:rPr>
          <w:rFonts w:cs="Times New Roman"/>
          <w:snapToGrid w:val="0"/>
        </w:rPr>
        <w:t>，</w:t>
      </w:r>
      <w:r>
        <w:rPr>
          <w:rFonts w:cs="Times New Roman"/>
        </w:rPr>
        <w:t>中石化石油工程设计有限公司</w:t>
      </w:r>
      <w:r>
        <w:rPr>
          <w:rFonts w:cs="Times New Roman" w:hint="eastAsia"/>
        </w:rPr>
        <w:t>，</w:t>
      </w:r>
      <w:r>
        <w:rPr>
          <w:rFonts w:cs="Times New Roman" w:hint="eastAsia"/>
        </w:rPr>
        <w:t>2025</w:t>
      </w:r>
      <w:r>
        <w:rPr>
          <w:rFonts w:cs="Times New Roman" w:hint="eastAsia"/>
        </w:rPr>
        <w:t>年</w:t>
      </w:r>
      <w:r>
        <w:rPr>
          <w:rFonts w:cs="Times New Roman" w:hint="eastAsia"/>
        </w:rPr>
        <w:lastRenderedPageBreak/>
        <w:t>3</w:t>
      </w:r>
      <w:r>
        <w:rPr>
          <w:rFonts w:cs="Times New Roman" w:hint="eastAsia"/>
        </w:rPr>
        <w:t>月</w:t>
      </w:r>
      <w:r>
        <w:rPr>
          <w:rFonts w:cs="Times New Roman"/>
        </w:rPr>
        <w:t>。</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23" w:name="_Toc5082"/>
      <w:r>
        <w:rPr>
          <w:rFonts w:ascii="Times New Roman" w:hAnsi="Times New Roman" w:cs="Times New Roman"/>
          <w:color w:val="auto"/>
          <w:lang w:eastAsia="zh-CN"/>
        </w:rPr>
        <w:t>2.</w:t>
      </w:r>
      <w:bookmarkEnd w:id="89"/>
      <w:bookmarkEnd w:id="90"/>
      <w:bookmarkEnd w:id="91"/>
      <w:bookmarkEnd w:id="92"/>
      <w:bookmarkEnd w:id="93"/>
      <w:bookmarkEnd w:id="94"/>
      <w:r>
        <w:rPr>
          <w:rFonts w:ascii="Times New Roman" w:hAnsi="Times New Roman" w:cs="Times New Roman" w:hint="eastAsia"/>
          <w:color w:val="auto"/>
          <w:lang w:eastAsia="zh-CN"/>
        </w:rPr>
        <w:t>2</w:t>
      </w:r>
      <w:r>
        <w:rPr>
          <w:rFonts w:ascii="Times New Roman" w:hAnsi="Times New Roman" w:cs="Times New Roman"/>
          <w:color w:val="auto"/>
          <w:lang w:eastAsia="zh-CN"/>
        </w:rPr>
        <w:t>评价目的和评价原则</w:t>
      </w:r>
      <w:bookmarkEnd w:id="123"/>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24" w:name="_Toc18046"/>
      <w:bookmarkStart w:id="125" w:name="_Toc10362"/>
      <w:bookmarkStart w:id="126" w:name="_Toc14698"/>
      <w:bookmarkStart w:id="127" w:name="_Toc500856897"/>
      <w:r>
        <w:rPr>
          <w:rFonts w:ascii="Times New Roman" w:hAnsi="Times New Roman" w:cs="Times New Roman"/>
          <w:color w:val="auto"/>
          <w:lang w:eastAsia="zh-CN"/>
        </w:rPr>
        <w:t>2.</w:t>
      </w:r>
      <w:r>
        <w:rPr>
          <w:rFonts w:ascii="Times New Roman" w:hAnsi="Times New Roman" w:cs="Times New Roman" w:hint="eastAsia"/>
          <w:color w:val="auto"/>
          <w:lang w:eastAsia="zh-CN"/>
        </w:rPr>
        <w:t>2</w:t>
      </w:r>
      <w:r>
        <w:rPr>
          <w:rFonts w:ascii="Times New Roman" w:hAnsi="Times New Roman" w:cs="Times New Roman"/>
          <w:color w:val="auto"/>
          <w:lang w:eastAsia="zh-CN"/>
        </w:rPr>
        <w:t>.1</w:t>
      </w:r>
      <w:r>
        <w:rPr>
          <w:rFonts w:ascii="Times New Roman" w:hAnsi="Times New Roman" w:cs="Times New Roman"/>
          <w:color w:val="auto"/>
          <w:lang w:eastAsia="zh-CN"/>
        </w:rPr>
        <w:t>评价目的</w:t>
      </w:r>
      <w:bookmarkEnd w:id="124"/>
      <w:bookmarkEnd w:id="125"/>
      <w:bookmarkEnd w:id="126"/>
      <w:bookmarkEnd w:id="127"/>
    </w:p>
    <w:p w:rsidR="00C645C9" w:rsidRDefault="00F955D9">
      <w:pPr>
        <w:widowControl w:val="0"/>
        <w:adjustRightInd w:val="0"/>
        <w:snapToGrid w:val="0"/>
        <w:spacing w:line="360" w:lineRule="auto"/>
        <w:ind w:firstLineChars="200" w:firstLine="480"/>
        <w:jc w:val="both"/>
        <w:rPr>
          <w:rFonts w:cs="Times New Roman"/>
        </w:rPr>
      </w:pPr>
      <w:bookmarkStart w:id="128" w:name="_Toc500856898"/>
      <w:r>
        <w:rPr>
          <w:rFonts w:cs="Times New Roman"/>
        </w:rPr>
        <w:t>（</w:t>
      </w:r>
      <w:r>
        <w:rPr>
          <w:rFonts w:cs="Times New Roman"/>
        </w:rPr>
        <w:t>1</w:t>
      </w:r>
      <w:r>
        <w:rPr>
          <w:rFonts w:cs="Times New Roman"/>
        </w:rPr>
        <w:t>）</w:t>
      </w:r>
      <w:r>
        <w:rPr>
          <w:rFonts w:cs="Times New Roman"/>
        </w:rPr>
        <w:t>通过实地调查与现状监测，了解</w:t>
      </w:r>
      <w:bookmarkStart w:id="129" w:name="OLE_LINK32"/>
      <w:r>
        <w:rPr>
          <w:rFonts w:cs="Times New Roman" w:hint="eastAsia"/>
          <w:snapToGrid w:val="0"/>
        </w:rPr>
        <w:t>本工程所在区域</w:t>
      </w:r>
      <w:bookmarkEnd w:id="129"/>
      <w:r>
        <w:rPr>
          <w:rFonts w:cs="Times New Roman"/>
        </w:rPr>
        <w:t>的自然环境、社会环境和经济状况、自然资源及土地利用情况，掌握</w:t>
      </w:r>
      <w:r>
        <w:rPr>
          <w:rFonts w:cs="Times New Roman" w:hint="eastAsia"/>
          <w:snapToGrid w:val="0"/>
        </w:rPr>
        <w:t>本工程所在区域</w:t>
      </w:r>
      <w:r>
        <w:rPr>
          <w:rFonts w:cs="Times New Roman"/>
        </w:rPr>
        <w:t>的环境质量和生态现状。</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2</w:t>
      </w:r>
      <w:r>
        <w:rPr>
          <w:rFonts w:cs="Times New Roman"/>
        </w:rPr>
        <w:t>）</w:t>
      </w:r>
      <w:r>
        <w:rPr>
          <w:rFonts w:cs="Times New Roman"/>
        </w:rPr>
        <w:t>通过工程分析，明确</w:t>
      </w:r>
      <w:r>
        <w:rPr>
          <w:rFonts w:cs="Times New Roman"/>
        </w:rPr>
        <w:t>本</w:t>
      </w:r>
      <w:r>
        <w:rPr>
          <w:rFonts w:cs="Times New Roman" w:hint="eastAsia"/>
        </w:rPr>
        <w:t>工程</w:t>
      </w:r>
      <w:r>
        <w:rPr>
          <w:rFonts w:cs="Times New Roman"/>
        </w:rPr>
        <w:t>各个生产阶段</w:t>
      </w:r>
      <w:r>
        <w:rPr>
          <w:rFonts w:cs="Times New Roman" w:hint="eastAsia"/>
        </w:rPr>
        <w:t>的</w:t>
      </w:r>
      <w:r>
        <w:rPr>
          <w:rFonts w:cs="Times New Roman"/>
        </w:rPr>
        <w:t>主要污染源、污染物种类、排放强度，分析环境污染的影响特征，预测和评价</w:t>
      </w:r>
      <w:r>
        <w:rPr>
          <w:rFonts w:cs="Times New Roman"/>
        </w:rPr>
        <w:t>本</w:t>
      </w:r>
      <w:r>
        <w:rPr>
          <w:rFonts w:cs="Times New Roman" w:hint="eastAsia"/>
        </w:rPr>
        <w:t>工程</w:t>
      </w:r>
      <w:r>
        <w:rPr>
          <w:rFonts w:cs="Times New Roman"/>
        </w:rPr>
        <w:t>施工期、</w:t>
      </w:r>
      <w:r>
        <w:rPr>
          <w:rFonts w:cs="Times New Roman"/>
        </w:rPr>
        <w:t>运营期</w:t>
      </w:r>
      <w:r>
        <w:rPr>
          <w:rFonts w:cs="Times New Roman"/>
        </w:rPr>
        <w:t>及</w:t>
      </w:r>
      <w:r>
        <w:rPr>
          <w:rFonts w:cs="Times New Roman"/>
        </w:rPr>
        <w:t>退役期</w:t>
      </w:r>
      <w:r>
        <w:rPr>
          <w:rFonts w:cs="Times New Roman"/>
        </w:rPr>
        <w:t>对环境的影响程度，并提出应采取的污染防治和生态保护措施。</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3</w:t>
      </w:r>
      <w:r>
        <w:rPr>
          <w:rFonts w:cs="Times New Roman"/>
        </w:rPr>
        <w:t>）</w:t>
      </w:r>
      <w:r>
        <w:t>评述拟采取的环境保护措施的可行性、合理性及清洁生产水平，并针对存在的问题，提出各个生产阶段不同的、有针对性的、切实可行的环保措施和建议。</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4</w:t>
      </w:r>
      <w:r>
        <w:rPr>
          <w:rFonts w:cs="Times New Roman"/>
        </w:rPr>
        <w:t>）</w:t>
      </w:r>
      <w:r>
        <w:t>评价本工程与国家产业政策</w:t>
      </w:r>
      <w:r>
        <w:t>、区域总体发展规划、清洁生产、达标排放和污染物排放总量控制的符合性</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5</w:t>
      </w:r>
      <w:r>
        <w:rPr>
          <w:rFonts w:cs="Times New Roman"/>
        </w:rPr>
        <w:t>）</w:t>
      </w:r>
      <w:r>
        <w:rPr>
          <w:rFonts w:cs="Times New Roman"/>
        </w:rPr>
        <w:t>分析</w:t>
      </w:r>
      <w:r>
        <w:rPr>
          <w:rFonts w:cs="Times New Roman"/>
        </w:rPr>
        <w:t>本</w:t>
      </w:r>
      <w:r>
        <w:rPr>
          <w:rFonts w:cs="Times New Roman" w:hint="eastAsia"/>
        </w:rPr>
        <w:t>工程</w:t>
      </w:r>
      <w:r>
        <w:rPr>
          <w:rFonts w:cs="Times New Roman"/>
        </w:rPr>
        <w:t>可能存在的事故隐患，预测风险事故可能产生的环境影响程度，提出环境风险防范措施。</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通过上述评价，论证</w:t>
      </w:r>
      <w:r>
        <w:rPr>
          <w:rFonts w:cs="Times New Roman" w:hint="eastAsia"/>
        </w:rPr>
        <w:t>本工程</w:t>
      </w:r>
      <w:r>
        <w:rPr>
          <w:rFonts w:cs="Times New Roman"/>
        </w:rPr>
        <w:t>在环境方面的可行性，给出环境影响评价结论，为</w:t>
      </w:r>
      <w:r>
        <w:rPr>
          <w:rFonts w:cs="Times New Roman"/>
        </w:rPr>
        <w:t>本</w:t>
      </w:r>
      <w:r>
        <w:rPr>
          <w:rFonts w:cs="Times New Roman" w:hint="eastAsia"/>
        </w:rPr>
        <w:t>工程</w:t>
      </w:r>
      <w:r>
        <w:rPr>
          <w:rFonts w:cs="Times New Roman"/>
        </w:rPr>
        <w:t>的设计、施工、验收及建成投产后的环境管理提供技术依据，为生态环境主管部门提供决策依据。</w:t>
      </w:r>
    </w:p>
    <w:p w:rsidR="00C645C9" w:rsidRDefault="00F955D9">
      <w:pPr>
        <w:pStyle w:val="3"/>
        <w:widowControl w:val="0"/>
        <w:adjustRightInd w:val="0"/>
        <w:snapToGrid w:val="0"/>
        <w:spacing w:before="0" w:after="0" w:line="360" w:lineRule="auto"/>
        <w:rPr>
          <w:rFonts w:ascii="Times New Roman" w:eastAsia="黑体" w:hAnsi="Times New Roman" w:cs="Times New Roman"/>
          <w:bCs/>
          <w:color w:val="auto"/>
          <w:szCs w:val="28"/>
          <w:lang w:eastAsia="zh-CN"/>
        </w:rPr>
      </w:pPr>
      <w:bookmarkStart w:id="130" w:name="_Toc22461"/>
      <w:bookmarkStart w:id="131" w:name="_Toc27595"/>
      <w:bookmarkStart w:id="132" w:name="_Toc26299"/>
      <w:r>
        <w:rPr>
          <w:rFonts w:ascii="Times New Roman" w:eastAsia="黑体" w:hAnsi="Times New Roman" w:cs="Times New Roman"/>
          <w:bCs/>
          <w:color w:val="auto"/>
          <w:szCs w:val="28"/>
          <w:lang w:eastAsia="zh-CN"/>
        </w:rPr>
        <w:t>2.</w:t>
      </w:r>
      <w:r>
        <w:rPr>
          <w:rFonts w:ascii="Times New Roman" w:eastAsia="黑体" w:hAnsi="Times New Roman" w:cs="Times New Roman" w:hint="eastAsia"/>
          <w:bCs/>
          <w:color w:val="auto"/>
          <w:szCs w:val="28"/>
          <w:lang w:eastAsia="zh-CN"/>
        </w:rPr>
        <w:t>2</w:t>
      </w:r>
      <w:r>
        <w:rPr>
          <w:rFonts w:ascii="Times New Roman" w:eastAsia="黑体" w:hAnsi="Times New Roman" w:cs="Times New Roman"/>
          <w:bCs/>
          <w:color w:val="auto"/>
          <w:szCs w:val="28"/>
          <w:lang w:eastAsia="zh-CN"/>
        </w:rPr>
        <w:t>.2</w:t>
      </w:r>
      <w:r>
        <w:rPr>
          <w:rFonts w:ascii="Times New Roman" w:eastAsia="黑体" w:hAnsi="Times New Roman" w:cs="Times New Roman"/>
          <w:bCs/>
          <w:color w:val="auto"/>
          <w:szCs w:val="28"/>
          <w:lang w:eastAsia="zh-CN"/>
        </w:rPr>
        <w:t>评价原则</w:t>
      </w:r>
      <w:bookmarkEnd w:id="128"/>
      <w:bookmarkEnd w:id="130"/>
      <w:bookmarkEnd w:id="131"/>
      <w:bookmarkEnd w:id="132"/>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1</w:t>
      </w:r>
      <w:r>
        <w:rPr>
          <w:rFonts w:cs="Times New Roman"/>
        </w:rPr>
        <w:t>）</w:t>
      </w:r>
      <w:r>
        <w:rPr>
          <w:rFonts w:cs="Times New Roman"/>
        </w:rPr>
        <w:t>依法评价</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贯彻执行我国环境保护相关法律法规、标准、政策和规划等，优化</w:t>
      </w:r>
      <w:r>
        <w:rPr>
          <w:rFonts w:cs="Times New Roman" w:hint="eastAsia"/>
        </w:rPr>
        <w:t>本工程</w:t>
      </w:r>
      <w:r>
        <w:rPr>
          <w:rFonts w:cs="Times New Roman"/>
        </w:rPr>
        <w:t>建设，服务环境管理。</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2</w:t>
      </w:r>
      <w:r>
        <w:rPr>
          <w:rFonts w:cs="Times New Roman"/>
        </w:rPr>
        <w:t>）</w:t>
      </w:r>
      <w:r>
        <w:rPr>
          <w:rFonts w:cs="Times New Roman"/>
        </w:rPr>
        <w:t>科学评价</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规范环境影响评价方法，科学分析</w:t>
      </w:r>
      <w:r>
        <w:rPr>
          <w:rFonts w:cs="Times New Roman" w:hint="eastAsia"/>
        </w:rPr>
        <w:t>本工程</w:t>
      </w:r>
      <w:r>
        <w:rPr>
          <w:rFonts w:cs="Times New Roman"/>
        </w:rPr>
        <w:t>建设对环境质量的影响。</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3</w:t>
      </w:r>
      <w:r>
        <w:rPr>
          <w:rFonts w:cs="Times New Roman"/>
        </w:rPr>
        <w:t>）</w:t>
      </w:r>
      <w:r>
        <w:rPr>
          <w:rFonts w:cs="Times New Roman"/>
        </w:rPr>
        <w:t>突出重点</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根据建设项目的工程内容及其特点，明确与环境要素间的作用效应关系，根据规划环境影响评价结论和审查意见，充分利用符合时效的数据资料及成果，对建设项目主要环境影响予以重点分析和评价。</w:t>
      </w:r>
    </w:p>
    <w:p w:rsidR="00C645C9" w:rsidRDefault="00F955D9">
      <w:pPr>
        <w:pStyle w:val="25"/>
        <w:adjustRightInd w:val="0"/>
        <w:snapToGrid w:val="0"/>
        <w:spacing w:after="0" w:line="360" w:lineRule="auto"/>
        <w:rPr>
          <w:rFonts w:ascii="Times New Roman" w:hAnsi="Times New Roman"/>
          <w:lang w:eastAsia="zh-CN"/>
        </w:rPr>
      </w:pPr>
      <w:bookmarkStart w:id="133" w:name="_Toc9104"/>
      <w:bookmarkEnd w:id="95"/>
      <w:bookmarkEnd w:id="96"/>
      <w:bookmarkEnd w:id="97"/>
      <w:r>
        <w:rPr>
          <w:rFonts w:ascii="Times New Roman" w:hAnsi="Times New Roman"/>
          <w:lang w:eastAsia="zh-CN"/>
        </w:rPr>
        <w:lastRenderedPageBreak/>
        <w:t>2.3</w:t>
      </w:r>
      <w:r>
        <w:rPr>
          <w:rFonts w:ascii="Times New Roman" w:hAnsi="Times New Roman"/>
          <w:lang w:eastAsia="zh-CN"/>
        </w:rPr>
        <w:t>环境影响因素和评价因子</w:t>
      </w:r>
      <w:bookmarkEnd w:id="133"/>
    </w:p>
    <w:p w:rsidR="00C645C9" w:rsidRDefault="00F955D9">
      <w:pPr>
        <w:pStyle w:val="32"/>
        <w:adjustRightInd w:val="0"/>
        <w:snapToGrid w:val="0"/>
        <w:spacing w:before="0" w:after="0"/>
        <w:rPr>
          <w:color w:val="auto"/>
          <w:lang w:eastAsia="zh-CN"/>
        </w:rPr>
      </w:pPr>
      <w:bookmarkStart w:id="134" w:name="_Toc500856904"/>
      <w:r>
        <w:rPr>
          <w:color w:val="auto"/>
          <w:lang w:eastAsia="zh-CN"/>
        </w:rPr>
        <w:t>2.3.1</w:t>
      </w:r>
      <w:bookmarkEnd w:id="134"/>
      <w:r>
        <w:rPr>
          <w:color w:val="auto"/>
          <w:lang w:eastAsia="zh-CN"/>
        </w:rPr>
        <w:t>环境影响因素识别</w:t>
      </w:r>
    </w:p>
    <w:p w:rsidR="00C645C9" w:rsidRDefault="00F955D9">
      <w:pPr>
        <w:adjustRightInd w:val="0"/>
        <w:snapToGrid w:val="0"/>
        <w:spacing w:line="360" w:lineRule="auto"/>
        <w:ind w:firstLine="480"/>
        <w:rPr>
          <w:rFonts w:cs="Times New Roman"/>
        </w:rPr>
      </w:pPr>
      <w:r>
        <w:rPr>
          <w:rFonts w:cs="Times New Roman"/>
        </w:rPr>
        <w:t>本</w:t>
      </w:r>
      <w:r>
        <w:rPr>
          <w:rFonts w:cs="Times New Roman" w:hint="eastAsia"/>
        </w:rPr>
        <w:t>工程</w:t>
      </w:r>
      <w:r>
        <w:rPr>
          <w:rFonts w:cs="Times New Roman"/>
        </w:rPr>
        <w:t>主要包括地面工程、油气开采</w:t>
      </w:r>
      <w:r>
        <w:rPr>
          <w:rFonts w:cs="Times New Roman" w:hint="eastAsia"/>
        </w:rPr>
        <w:t>、</w:t>
      </w:r>
      <w:r>
        <w:rPr>
          <w:rFonts w:cs="Times New Roman" w:hint="eastAsia"/>
        </w:rPr>
        <w:t>拉运</w:t>
      </w:r>
      <w:r>
        <w:rPr>
          <w:rFonts w:cs="Times New Roman"/>
        </w:rPr>
        <w:t>等内容，对环境的影响主要表现在施工期、运营期和</w:t>
      </w:r>
      <w:r>
        <w:rPr>
          <w:rFonts w:cs="Times New Roman"/>
        </w:rPr>
        <w:t>退役期</w:t>
      </w:r>
      <w:r>
        <w:rPr>
          <w:rFonts w:cs="Times New Roman"/>
        </w:rPr>
        <w:t>。施工期以</w:t>
      </w:r>
      <w:r>
        <w:rPr>
          <w:rFonts w:cs="Times New Roman" w:hint="eastAsia"/>
        </w:rPr>
        <w:t>井场与</w:t>
      </w:r>
      <w:r>
        <w:rPr>
          <w:rFonts w:cs="Times New Roman"/>
        </w:rPr>
        <w:t>公辅工程建设过程中造成的生态影响为主，运营期以油气开采和</w:t>
      </w:r>
      <w:r>
        <w:rPr>
          <w:rFonts w:cs="Times New Roman" w:hint="eastAsia"/>
        </w:rPr>
        <w:t>拉运</w:t>
      </w:r>
      <w:r>
        <w:rPr>
          <w:rFonts w:cs="Times New Roman"/>
        </w:rPr>
        <w:t>过程中产生的污染为主。环境影响因素识别表见表</w:t>
      </w:r>
      <w:r>
        <w:rPr>
          <w:rFonts w:cs="Times New Roman"/>
        </w:rPr>
        <w:t>2.3-1</w:t>
      </w:r>
      <w:r>
        <w:rPr>
          <w:rFonts w:cs="Times New Roman"/>
        </w:rPr>
        <w:t>。</w:t>
      </w:r>
    </w:p>
    <w:p w:rsidR="00C645C9" w:rsidRDefault="00F955D9">
      <w:pPr>
        <w:pStyle w:val="32"/>
        <w:adjustRightInd w:val="0"/>
        <w:snapToGrid w:val="0"/>
        <w:spacing w:before="0" w:after="0"/>
        <w:rPr>
          <w:color w:val="auto"/>
          <w:lang w:eastAsia="zh-CN"/>
        </w:rPr>
      </w:pPr>
      <w:bookmarkStart w:id="135" w:name="_Toc500856905"/>
      <w:r>
        <w:rPr>
          <w:color w:val="auto"/>
          <w:lang w:eastAsia="zh-CN"/>
        </w:rPr>
        <w:t>2.3.2</w:t>
      </w:r>
      <w:bookmarkEnd w:id="135"/>
      <w:r>
        <w:rPr>
          <w:color w:val="auto"/>
          <w:lang w:eastAsia="zh-CN"/>
        </w:rPr>
        <w:t>评价因子</w:t>
      </w:r>
    </w:p>
    <w:p w:rsidR="00C645C9" w:rsidRDefault="00F955D9">
      <w:pPr>
        <w:adjustRightInd w:val="0"/>
        <w:snapToGrid w:val="0"/>
        <w:spacing w:line="360" w:lineRule="auto"/>
        <w:ind w:firstLine="480"/>
        <w:rPr>
          <w:rFonts w:cs="Times New Roman"/>
        </w:rPr>
        <w:sectPr w:rsidR="00C645C9">
          <w:headerReference w:type="default" r:id="rId15"/>
          <w:footerReference w:type="default" r:id="rId16"/>
          <w:pgSz w:w="11905" w:h="16838"/>
          <w:pgMar w:top="1440" w:right="1800" w:bottom="1440" w:left="1800" w:header="935" w:footer="1134" w:gutter="0"/>
          <w:pgNumType w:start="1"/>
          <w:cols w:space="720"/>
          <w:docGrid w:linePitch="312"/>
        </w:sectPr>
      </w:pPr>
      <w:r>
        <w:rPr>
          <w:rFonts w:cs="Times New Roman"/>
        </w:rPr>
        <w:t>根据</w:t>
      </w:r>
      <w:r>
        <w:rPr>
          <w:rFonts w:cs="Times New Roman"/>
        </w:rPr>
        <w:t>本</w:t>
      </w:r>
      <w:r>
        <w:rPr>
          <w:rFonts w:cs="Times New Roman" w:hint="eastAsia"/>
        </w:rPr>
        <w:t>工程</w:t>
      </w:r>
      <w:r>
        <w:rPr>
          <w:rFonts w:cs="Times New Roman"/>
        </w:rPr>
        <w:t>环境影响要素识别、环境影响因子表征和环境影响程度，筛选的评价因子见表</w:t>
      </w:r>
      <w:r>
        <w:rPr>
          <w:rFonts w:cs="Times New Roman"/>
        </w:rPr>
        <w:t>2.3-2</w:t>
      </w:r>
      <w:r>
        <w:rPr>
          <w:rFonts w:cs="Times New Roman"/>
        </w:rPr>
        <w:t>。</w:t>
      </w:r>
    </w:p>
    <w:p w:rsidR="00C645C9" w:rsidRDefault="00F955D9">
      <w:pPr>
        <w:widowControl w:val="0"/>
        <w:jc w:val="center"/>
        <w:rPr>
          <w:rFonts w:eastAsia="黑体" w:cs="Times New Roman"/>
          <w:bCs/>
          <w:sz w:val="21"/>
          <w:szCs w:val="21"/>
        </w:rPr>
      </w:pPr>
      <w:r>
        <w:rPr>
          <w:rFonts w:eastAsia="黑体" w:cs="Times New Roman"/>
          <w:bCs/>
          <w:sz w:val="21"/>
          <w:szCs w:val="21"/>
        </w:rPr>
        <w:lastRenderedPageBreak/>
        <w:t>表</w:t>
      </w:r>
      <w:r>
        <w:rPr>
          <w:rFonts w:eastAsia="黑体" w:cs="Times New Roman"/>
          <w:bCs/>
          <w:sz w:val="21"/>
          <w:szCs w:val="21"/>
        </w:rPr>
        <w:t>2.3-1</w:t>
      </w:r>
      <w:r>
        <w:rPr>
          <w:rFonts w:eastAsia="黑体" w:cs="Times New Roman"/>
          <w:bCs/>
          <w:sz w:val="21"/>
          <w:szCs w:val="21"/>
        </w:rPr>
        <w:t xml:space="preserve">   </w:t>
      </w:r>
      <w:r>
        <w:rPr>
          <w:rFonts w:eastAsia="黑体" w:cs="Times New Roman"/>
          <w:bCs/>
          <w:sz w:val="21"/>
          <w:szCs w:val="21"/>
        </w:rPr>
        <w:t>环境</w:t>
      </w:r>
      <w:r>
        <w:rPr>
          <w:rFonts w:eastAsia="黑体" w:cs="Times New Roman"/>
          <w:bCs/>
          <w:sz w:val="21"/>
          <w:szCs w:val="21"/>
        </w:rPr>
        <w:t>影响因素识别</w:t>
      </w:r>
      <w:r>
        <w:rPr>
          <w:rFonts w:eastAsia="黑体" w:cs="Times New Roman"/>
          <w:bCs/>
          <w:sz w:val="21"/>
          <w:szCs w:val="21"/>
        </w:rPr>
        <w:t>表</w:t>
      </w:r>
    </w:p>
    <w:tbl>
      <w:tblPr>
        <w:tblW w:w="50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99"/>
        <w:gridCol w:w="880"/>
        <w:gridCol w:w="801"/>
        <w:gridCol w:w="953"/>
        <w:gridCol w:w="958"/>
        <w:gridCol w:w="969"/>
        <w:gridCol w:w="988"/>
        <w:gridCol w:w="977"/>
        <w:gridCol w:w="1120"/>
        <w:gridCol w:w="857"/>
        <w:gridCol w:w="1154"/>
        <w:gridCol w:w="1039"/>
        <w:gridCol w:w="1123"/>
        <w:gridCol w:w="1123"/>
      </w:tblGrid>
      <w:tr w:rsidR="00C645C9">
        <w:trPr>
          <w:jc w:val="center"/>
        </w:trPr>
        <w:tc>
          <w:tcPr>
            <w:tcW w:w="391" w:type="pct"/>
            <w:vMerge w:val="restart"/>
            <w:tcBorders>
              <w:top w:val="single" w:sz="4" w:space="0" w:color="auto"/>
              <w:left w:val="single" w:sz="4" w:space="0" w:color="auto"/>
              <w:bottom w:val="single" w:sz="4" w:space="0" w:color="auto"/>
              <w:right w:val="single" w:sz="4" w:space="0" w:color="auto"/>
              <w:tl2br w:val="single" w:sz="4" w:space="0" w:color="000000"/>
            </w:tcBorders>
          </w:tcPr>
          <w:p w:rsidR="00C645C9" w:rsidRDefault="00F955D9">
            <w:pPr>
              <w:pStyle w:val="afa"/>
              <w:shd w:val="clear" w:color="auto" w:fill="auto"/>
              <w:rPr>
                <w:szCs w:val="21"/>
              </w:rPr>
            </w:pPr>
            <w:bookmarkStart w:id="137" w:name="OLE_LINK850"/>
            <w:r>
              <w:rPr>
                <w:rFonts w:hint="eastAsia"/>
                <w:szCs w:val="21"/>
              </w:rPr>
              <w:t xml:space="preserve">   </w:t>
            </w:r>
            <w:r>
              <w:rPr>
                <w:szCs w:val="21"/>
              </w:rPr>
              <w:t>影响</w:t>
            </w:r>
          </w:p>
          <w:p w:rsidR="00C645C9" w:rsidRDefault="00F955D9">
            <w:pPr>
              <w:pStyle w:val="afa"/>
              <w:shd w:val="clear" w:color="auto" w:fill="auto"/>
              <w:rPr>
                <w:szCs w:val="21"/>
              </w:rPr>
            </w:pPr>
            <w:r>
              <w:rPr>
                <w:szCs w:val="21"/>
              </w:rPr>
              <w:t xml:space="preserve">   </w:t>
            </w:r>
            <w:r>
              <w:rPr>
                <w:szCs w:val="21"/>
              </w:rPr>
              <w:t>因素</w:t>
            </w:r>
          </w:p>
          <w:p w:rsidR="00C645C9" w:rsidRDefault="00C645C9">
            <w:pPr>
              <w:pStyle w:val="afa"/>
              <w:shd w:val="clear" w:color="auto" w:fill="auto"/>
              <w:jc w:val="both"/>
              <w:rPr>
                <w:szCs w:val="21"/>
              </w:rPr>
            </w:pPr>
          </w:p>
          <w:p w:rsidR="00C645C9" w:rsidRDefault="00C645C9">
            <w:pPr>
              <w:pStyle w:val="afa"/>
              <w:shd w:val="clear" w:color="auto" w:fill="auto"/>
              <w:jc w:val="both"/>
              <w:rPr>
                <w:szCs w:val="21"/>
              </w:rPr>
            </w:pPr>
          </w:p>
          <w:p w:rsidR="00C645C9" w:rsidRDefault="00C645C9">
            <w:pPr>
              <w:pStyle w:val="afa"/>
              <w:shd w:val="clear" w:color="auto" w:fill="auto"/>
              <w:jc w:val="both"/>
              <w:rPr>
                <w:szCs w:val="21"/>
              </w:rPr>
            </w:pPr>
          </w:p>
          <w:p w:rsidR="00C645C9" w:rsidRDefault="00C645C9">
            <w:pPr>
              <w:pStyle w:val="afa"/>
              <w:shd w:val="clear" w:color="auto" w:fill="auto"/>
              <w:rPr>
                <w:szCs w:val="21"/>
              </w:rPr>
            </w:pPr>
          </w:p>
          <w:p w:rsidR="00C645C9" w:rsidRDefault="00C645C9">
            <w:pPr>
              <w:pStyle w:val="afa"/>
              <w:shd w:val="clear" w:color="auto" w:fill="auto"/>
              <w:jc w:val="both"/>
              <w:rPr>
                <w:szCs w:val="21"/>
              </w:rPr>
            </w:pPr>
          </w:p>
          <w:p w:rsidR="00C645C9" w:rsidRDefault="00C645C9">
            <w:pPr>
              <w:pStyle w:val="afa"/>
              <w:shd w:val="clear" w:color="auto" w:fill="auto"/>
              <w:ind w:firstLineChars="100" w:firstLine="210"/>
              <w:jc w:val="both"/>
              <w:rPr>
                <w:szCs w:val="21"/>
              </w:rPr>
            </w:pPr>
          </w:p>
          <w:p w:rsidR="00C645C9" w:rsidRDefault="00F955D9">
            <w:pPr>
              <w:pStyle w:val="afa"/>
              <w:shd w:val="clear" w:color="auto" w:fill="auto"/>
              <w:ind w:firstLineChars="100" w:firstLine="210"/>
              <w:jc w:val="both"/>
              <w:rPr>
                <w:szCs w:val="21"/>
              </w:rPr>
            </w:pPr>
            <w:r>
              <w:rPr>
                <w:szCs w:val="21"/>
              </w:rPr>
              <w:t>环境</w:t>
            </w:r>
          </w:p>
          <w:p w:rsidR="00C645C9" w:rsidRDefault="00F955D9">
            <w:pPr>
              <w:pStyle w:val="afa"/>
              <w:shd w:val="clear" w:color="auto" w:fill="auto"/>
              <w:ind w:firstLineChars="100" w:firstLine="210"/>
              <w:jc w:val="both"/>
              <w:rPr>
                <w:szCs w:val="21"/>
              </w:rPr>
            </w:pPr>
            <w:r>
              <w:rPr>
                <w:szCs w:val="21"/>
              </w:rPr>
              <w:t>因素</w:t>
            </w:r>
          </w:p>
        </w:tc>
        <w:tc>
          <w:tcPr>
            <w:tcW w:w="1623" w:type="pct"/>
            <w:gridSpan w:val="5"/>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position w:val="-2"/>
                <w:szCs w:val="21"/>
              </w:rPr>
              <w:t>施工期</w:t>
            </w:r>
          </w:p>
        </w:tc>
        <w:tc>
          <w:tcPr>
            <w:tcW w:w="1815" w:type="pct"/>
            <w:gridSpan w:val="5"/>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position w:val="-2"/>
                <w:szCs w:val="21"/>
              </w:rPr>
              <w:t>运营期</w:t>
            </w:r>
          </w:p>
        </w:tc>
        <w:tc>
          <w:tcPr>
            <w:tcW w:w="1170" w:type="pct"/>
            <w:gridSpan w:val="3"/>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position w:val="-2"/>
                <w:szCs w:val="21"/>
              </w:rPr>
            </w:pPr>
            <w:r>
              <w:rPr>
                <w:position w:val="-2"/>
                <w:szCs w:val="21"/>
              </w:rPr>
              <w:t>退役期</w:t>
            </w:r>
          </w:p>
        </w:tc>
      </w:tr>
      <w:tr w:rsidR="00C645C9">
        <w:trPr>
          <w:jc w:val="center"/>
        </w:trPr>
        <w:tc>
          <w:tcPr>
            <w:tcW w:w="391" w:type="pct"/>
            <w:vMerge/>
            <w:tcBorders>
              <w:top w:val="single" w:sz="4" w:space="0" w:color="auto"/>
              <w:left w:val="single" w:sz="4" w:space="0" w:color="auto"/>
              <w:bottom w:val="single" w:sz="4" w:space="0" w:color="auto"/>
              <w:right w:val="single" w:sz="4" w:space="0" w:color="auto"/>
            </w:tcBorders>
          </w:tcPr>
          <w:p w:rsidR="00C645C9" w:rsidRDefault="00C645C9">
            <w:pPr>
              <w:pStyle w:val="afa"/>
              <w:shd w:val="clear" w:color="auto" w:fill="auto"/>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rFonts w:eastAsiaTheme="minorEastAsia"/>
                <w:szCs w:val="21"/>
              </w:rPr>
            </w:pPr>
            <w:r>
              <w:rPr>
                <w:szCs w:val="21"/>
              </w:rPr>
              <w:t>生态影响</w:t>
            </w:r>
          </w:p>
        </w:tc>
        <w:tc>
          <w:tcPr>
            <w:tcW w:w="28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废气</w:t>
            </w:r>
          </w:p>
        </w:tc>
        <w:tc>
          <w:tcPr>
            <w:tcW w:w="3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废水</w:t>
            </w:r>
          </w:p>
        </w:tc>
        <w:tc>
          <w:tcPr>
            <w:tcW w:w="34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固体废物</w:t>
            </w:r>
          </w:p>
        </w:tc>
        <w:tc>
          <w:tcPr>
            <w:tcW w:w="34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噪声</w:t>
            </w:r>
          </w:p>
        </w:tc>
        <w:tc>
          <w:tcPr>
            <w:tcW w:w="3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废气</w:t>
            </w:r>
          </w:p>
        </w:tc>
        <w:tc>
          <w:tcPr>
            <w:tcW w:w="34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废水</w:t>
            </w:r>
          </w:p>
        </w:tc>
        <w:tc>
          <w:tcPr>
            <w:tcW w:w="39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固体废物</w:t>
            </w:r>
          </w:p>
        </w:tc>
        <w:tc>
          <w:tcPr>
            <w:tcW w:w="30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噪声</w:t>
            </w:r>
          </w:p>
        </w:tc>
        <w:tc>
          <w:tcPr>
            <w:tcW w:w="41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环境</w:t>
            </w:r>
            <w:r>
              <w:rPr>
                <w:szCs w:val="21"/>
              </w:rPr>
              <w:t>风险</w:t>
            </w:r>
          </w:p>
        </w:tc>
        <w:tc>
          <w:tcPr>
            <w:tcW w:w="37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废气</w:t>
            </w:r>
          </w:p>
        </w:tc>
        <w:tc>
          <w:tcPr>
            <w:tcW w:w="40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固体废物</w:t>
            </w:r>
          </w:p>
        </w:tc>
        <w:tc>
          <w:tcPr>
            <w:tcW w:w="39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rFonts w:eastAsiaTheme="minorEastAsia"/>
                <w:szCs w:val="21"/>
              </w:rPr>
            </w:pPr>
            <w:r>
              <w:rPr>
                <w:szCs w:val="21"/>
              </w:rPr>
              <w:t>生态影响</w:t>
            </w:r>
          </w:p>
        </w:tc>
      </w:tr>
      <w:tr w:rsidR="00C645C9">
        <w:trPr>
          <w:trHeight w:val="2137"/>
          <w:jc w:val="center"/>
        </w:trPr>
        <w:tc>
          <w:tcPr>
            <w:tcW w:w="391" w:type="pct"/>
            <w:vMerge/>
            <w:tcBorders>
              <w:top w:val="single" w:sz="4" w:space="0" w:color="auto"/>
              <w:left w:val="single" w:sz="4" w:space="0" w:color="auto"/>
              <w:bottom w:val="single" w:sz="4" w:space="0" w:color="auto"/>
              <w:right w:val="single" w:sz="4" w:space="0" w:color="auto"/>
            </w:tcBorders>
          </w:tcPr>
          <w:p w:rsidR="00C645C9" w:rsidRDefault="00C645C9">
            <w:pPr>
              <w:pStyle w:val="afa"/>
              <w:shd w:val="clear" w:color="auto" w:fill="auto"/>
              <w:rPr>
                <w:szCs w:val="21"/>
              </w:rPr>
            </w:pP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rFonts w:hint="eastAsia"/>
                <w:szCs w:val="21"/>
              </w:rPr>
              <w:t>拉运</w:t>
            </w:r>
            <w:r>
              <w:rPr>
                <w:kern w:val="0"/>
                <w:szCs w:val="21"/>
                <w:lang w:bidi="ar"/>
              </w:rPr>
              <w:t>地表扰动、植被破坏等</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hint="eastAsia"/>
                <w:sz w:val="21"/>
                <w:szCs w:val="21"/>
              </w:rPr>
              <w:t>钻井废气、</w:t>
            </w:r>
            <w:r>
              <w:rPr>
                <w:rFonts w:cs="Times New Roman"/>
                <w:sz w:val="21"/>
                <w:szCs w:val="21"/>
              </w:rPr>
              <w:t>施工扬尘</w:t>
            </w:r>
            <w:r>
              <w:rPr>
                <w:rFonts w:cs="Times New Roman" w:hint="eastAsia"/>
                <w:sz w:val="21"/>
                <w:szCs w:val="21"/>
              </w:rPr>
              <w:t>、焊接废气、施工机械废气及运输车辆尾气</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sz w:val="21"/>
                <w:szCs w:val="21"/>
              </w:rPr>
              <w:t>生活污水</w:t>
            </w:r>
            <w:r>
              <w:rPr>
                <w:rFonts w:cs="Times New Roman" w:hint="eastAsia"/>
                <w:sz w:val="21"/>
                <w:szCs w:val="21"/>
              </w:rPr>
              <w:t>、钻井废水、酸化压裂废水、</w:t>
            </w:r>
            <w:r>
              <w:rPr>
                <w:rFonts w:cs="Times New Roman"/>
                <w:sz w:val="21"/>
                <w:szCs w:val="21"/>
              </w:rPr>
              <w:t>试压废水</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szCs w:val="21"/>
              </w:rPr>
              <w:t>钻井泥浆</w:t>
            </w:r>
            <w:r>
              <w:rPr>
                <w:rFonts w:hint="eastAsia"/>
                <w:szCs w:val="21"/>
              </w:rPr>
              <w:t>、钻井岩屑、落地油、废润滑油、</w:t>
            </w:r>
            <w:r>
              <w:rPr>
                <w:szCs w:val="21"/>
              </w:rPr>
              <w:t>生活垃圾、施工废料、</w:t>
            </w:r>
            <w:r>
              <w:rPr>
                <w:rFonts w:hint="eastAsia"/>
                <w:szCs w:val="21"/>
              </w:rPr>
              <w:t>土石方</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sz w:val="21"/>
                <w:szCs w:val="21"/>
                <w:lang w:bidi="ar"/>
              </w:rPr>
              <w:t>土方施工、各类施工机械和运输车辆噪声</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hint="eastAsia"/>
                <w:sz w:val="21"/>
                <w:szCs w:val="21"/>
              </w:rPr>
              <w:t>井</w:t>
            </w:r>
            <w:r>
              <w:rPr>
                <w:rFonts w:cs="Times New Roman"/>
                <w:sz w:val="21"/>
                <w:szCs w:val="21"/>
              </w:rPr>
              <w:t>场、油气处理工程等有组织和无组织废气</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sz w:val="21"/>
                <w:szCs w:val="21"/>
                <w:lang w:bidi="ar"/>
              </w:rPr>
              <w:t>生产废水</w:t>
            </w:r>
            <w:r>
              <w:rPr>
                <w:rFonts w:cs="Times New Roman" w:hint="eastAsia"/>
                <w:sz w:val="21"/>
                <w:szCs w:val="21"/>
                <w:lang w:bidi="ar"/>
              </w:rPr>
              <w:t>、井下作业废水、试油期采出水、生活污水</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adjustRightInd w:val="0"/>
              <w:snapToGrid w:val="0"/>
              <w:jc w:val="both"/>
              <w:rPr>
                <w:rFonts w:cs="Times New Roman"/>
                <w:sz w:val="21"/>
                <w:szCs w:val="21"/>
              </w:rPr>
            </w:pPr>
            <w:r>
              <w:rPr>
                <w:rFonts w:cs="Times New Roman"/>
                <w:sz w:val="21"/>
                <w:szCs w:val="21"/>
              </w:rPr>
              <w:t>落地油</w:t>
            </w:r>
            <w:r>
              <w:rPr>
                <w:rFonts w:cs="Times New Roman" w:hint="eastAsia"/>
                <w:sz w:val="21"/>
                <w:szCs w:val="21"/>
              </w:rPr>
              <w:t>、废防渗材料、清罐底泥、废润滑油</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rFonts w:eastAsiaTheme="minorEastAsia"/>
                <w:szCs w:val="21"/>
              </w:rPr>
            </w:pPr>
            <w:r>
              <w:rPr>
                <w:szCs w:val="21"/>
              </w:rPr>
              <w:t>泵撬等设备运转噪声</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rFonts w:hint="eastAsia"/>
                <w:szCs w:val="21"/>
              </w:rPr>
              <w:t>凝析油</w:t>
            </w:r>
            <w:r>
              <w:rPr>
                <w:szCs w:val="21"/>
              </w:rPr>
              <w:t>、天然气等危险物质泄漏，以及火灾、爆炸等</w:t>
            </w:r>
            <w:r>
              <w:rPr>
                <w:szCs w:val="21"/>
              </w:rPr>
              <w:t>事故</w:t>
            </w:r>
            <w:r>
              <w:rPr>
                <w:szCs w:val="21"/>
              </w:rPr>
              <w:t>引发的伴生</w:t>
            </w:r>
            <w:r>
              <w:rPr>
                <w:szCs w:val="21"/>
              </w:rPr>
              <w:t>/</w:t>
            </w:r>
            <w:r>
              <w:rPr>
                <w:szCs w:val="21"/>
              </w:rPr>
              <w:t>次生污染物</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szCs w:val="21"/>
              </w:rPr>
              <w:t>构筑物拆卸扬尘</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szCs w:val="21"/>
              </w:rPr>
              <w:t>地面设施拆除、井场清理等环节产生的废弃设备、建筑垃圾等</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jc w:val="both"/>
              <w:rPr>
                <w:szCs w:val="21"/>
              </w:rPr>
            </w:pPr>
            <w:r>
              <w:rPr>
                <w:szCs w:val="21"/>
              </w:rPr>
              <w:t>土地复垦</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kern w:val="2"/>
                <w:sz w:val="21"/>
                <w:szCs w:val="21"/>
              </w:rPr>
              <w:t>地表水</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w w:val="85"/>
                <w:szCs w:val="21"/>
              </w:rPr>
            </w:pPr>
            <w:r>
              <w:rPr>
                <w:position w:val="-2"/>
                <w:szCs w:val="21"/>
              </w:rPr>
              <w:t>〇</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地下水</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position w:val="-2"/>
                <w:szCs w:val="21"/>
              </w:rPr>
            </w:pPr>
            <w:r>
              <w:rPr>
                <w:w w:val="85"/>
                <w:szCs w:val="21"/>
              </w:rPr>
              <w:t>+</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大气环境</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position w:val="-2"/>
                <w:szCs w:val="21"/>
              </w:rPr>
            </w:pPr>
            <w:r>
              <w:rPr>
                <w:position w:val="-2"/>
                <w:szCs w:val="21"/>
              </w:rPr>
              <w:t>〇</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声环境</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position w:val="-2"/>
                <w:szCs w:val="21"/>
              </w:rPr>
            </w:pPr>
            <w:r>
              <w:rPr>
                <w:position w:val="-2"/>
                <w:szCs w:val="21"/>
              </w:rPr>
              <w:t>〇</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土壤环境</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w w:val="85"/>
                <w:szCs w:val="21"/>
              </w:rPr>
            </w:pPr>
            <w:r>
              <w:rPr>
                <w:w w:val="85"/>
                <w:szCs w:val="21"/>
              </w:rPr>
              <w:t>+</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陆</w:t>
            </w:r>
            <w:r>
              <w:rPr>
                <w:rFonts w:cs="Times New Roman" w:hint="eastAsia"/>
                <w:sz w:val="21"/>
                <w:szCs w:val="21"/>
              </w:rPr>
              <w:t>生</w:t>
            </w:r>
            <w:r>
              <w:rPr>
                <w:rFonts w:cs="Times New Roman"/>
                <w:sz w:val="21"/>
                <w:szCs w:val="21"/>
              </w:rPr>
              <w:t>动物</w:t>
            </w:r>
          </w:p>
        </w:tc>
        <w:tc>
          <w:tcPr>
            <w:tcW w:w="313"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r>
              <w:rPr>
                <w:w w:val="85"/>
                <w:szCs w:val="21"/>
              </w:rPr>
              <w:t>+</w:t>
            </w:r>
          </w:p>
        </w:tc>
        <w:tc>
          <w:tcPr>
            <w:tcW w:w="28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3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4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4"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52"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48"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position w:val="-2"/>
                <w:szCs w:val="21"/>
              </w:rPr>
              <w:t>〇</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05"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411"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7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400" w:type="pct"/>
            <w:tcBorders>
              <w:top w:val="single" w:sz="4" w:space="0" w:color="auto"/>
              <w:left w:val="single" w:sz="4" w:space="0" w:color="auto"/>
              <w:bottom w:val="single" w:sz="4" w:space="0" w:color="auto"/>
              <w:right w:val="single" w:sz="4" w:space="0" w:color="auto"/>
            </w:tcBorders>
          </w:tcPr>
          <w:p w:rsidR="00C645C9" w:rsidRDefault="00F955D9">
            <w:pPr>
              <w:pStyle w:val="afa"/>
              <w:rPr>
                <w:rFonts w:eastAsiaTheme="minorEastAsia"/>
                <w:szCs w:val="21"/>
              </w:rPr>
            </w:pPr>
            <w:r>
              <w:rPr>
                <w:w w:val="85"/>
                <w:szCs w:val="21"/>
              </w:rPr>
              <w:t>+</w:t>
            </w:r>
          </w:p>
        </w:tc>
        <w:tc>
          <w:tcPr>
            <w:tcW w:w="399" w:type="pct"/>
            <w:tcBorders>
              <w:top w:val="single" w:sz="4" w:space="0" w:color="auto"/>
              <w:left w:val="single" w:sz="4" w:space="0" w:color="auto"/>
              <w:bottom w:val="single" w:sz="4" w:space="0" w:color="auto"/>
              <w:right w:val="single" w:sz="4" w:space="0" w:color="auto"/>
            </w:tcBorders>
          </w:tcPr>
          <w:p w:rsidR="00C645C9" w:rsidRDefault="00F955D9">
            <w:pPr>
              <w:pStyle w:val="afa"/>
              <w:rPr>
                <w:w w:val="85"/>
                <w:szCs w:val="21"/>
              </w:rPr>
            </w:pPr>
            <w:r>
              <w:rPr>
                <w:w w:val="85"/>
                <w:szCs w:val="21"/>
              </w:rPr>
              <w:t>+</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水栖动物</w:t>
            </w:r>
          </w:p>
        </w:tc>
        <w:tc>
          <w:tcPr>
            <w:tcW w:w="313"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285"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39"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341"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44"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52"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48"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399"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05"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411"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70"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400"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99"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r>
      <w:tr w:rsidR="00C645C9">
        <w:trPr>
          <w:jc w:val="center"/>
        </w:trPr>
        <w:tc>
          <w:tcPr>
            <w:tcW w:w="391" w:type="pct"/>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陆生植被</w:t>
            </w:r>
          </w:p>
        </w:tc>
        <w:tc>
          <w:tcPr>
            <w:tcW w:w="313" w:type="pct"/>
          </w:tcPr>
          <w:p w:rsidR="00C645C9" w:rsidRDefault="00F955D9">
            <w:pPr>
              <w:pStyle w:val="afa"/>
              <w:rPr>
                <w:rFonts w:eastAsiaTheme="minorEastAsia"/>
                <w:szCs w:val="21"/>
              </w:rPr>
            </w:pPr>
            <w:r>
              <w:rPr>
                <w:w w:val="85"/>
                <w:szCs w:val="21"/>
              </w:rPr>
              <w:t>+</w:t>
            </w:r>
            <w:r>
              <w:rPr>
                <w:w w:val="85"/>
                <w:szCs w:val="21"/>
              </w:rPr>
              <w:t>+</w:t>
            </w:r>
          </w:p>
        </w:tc>
        <w:tc>
          <w:tcPr>
            <w:tcW w:w="285" w:type="pct"/>
          </w:tcPr>
          <w:p w:rsidR="00C645C9" w:rsidRDefault="00F955D9">
            <w:pPr>
              <w:pStyle w:val="afa"/>
              <w:rPr>
                <w:rFonts w:eastAsiaTheme="minorEastAsia"/>
                <w:szCs w:val="21"/>
              </w:rPr>
            </w:pPr>
            <w:r>
              <w:rPr>
                <w:w w:val="85"/>
                <w:szCs w:val="21"/>
              </w:rPr>
              <w:t>+</w:t>
            </w:r>
          </w:p>
        </w:tc>
        <w:tc>
          <w:tcPr>
            <w:tcW w:w="339" w:type="pct"/>
          </w:tcPr>
          <w:p w:rsidR="00C645C9" w:rsidRDefault="00F955D9">
            <w:pPr>
              <w:pStyle w:val="afa"/>
              <w:rPr>
                <w:rFonts w:eastAsiaTheme="minorEastAsia"/>
                <w:szCs w:val="21"/>
              </w:rPr>
            </w:pPr>
            <w:r>
              <w:rPr>
                <w:w w:val="85"/>
                <w:szCs w:val="21"/>
              </w:rPr>
              <w:t>+</w:t>
            </w:r>
          </w:p>
        </w:tc>
        <w:tc>
          <w:tcPr>
            <w:tcW w:w="341" w:type="pct"/>
          </w:tcPr>
          <w:p w:rsidR="00C645C9" w:rsidRDefault="00F955D9">
            <w:pPr>
              <w:pStyle w:val="afa"/>
              <w:rPr>
                <w:rFonts w:eastAsiaTheme="minorEastAsia"/>
                <w:szCs w:val="21"/>
              </w:rPr>
            </w:pPr>
            <w:r>
              <w:rPr>
                <w:w w:val="85"/>
                <w:szCs w:val="21"/>
              </w:rPr>
              <w:t>+</w:t>
            </w:r>
          </w:p>
        </w:tc>
        <w:tc>
          <w:tcPr>
            <w:tcW w:w="344" w:type="pct"/>
          </w:tcPr>
          <w:p w:rsidR="00C645C9" w:rsidRDefault="00F955D9">
            <w:pPr>
              <w:pStyle w:val="afa"/>
              <w:rPr>
                <w:rFonts w:eastAsiaTheme="minorEastAsia"/>
                <w:szCs w:val="21"/>
              </w:rPr>
            </w:pPr>
            <w:r>
              <w:rPr>
                <w:position w:val="-2"/>
                <w:szCs w:val="21"/>
              </w:rPr>
              <w:t>〇</w:t>
            </w:r>
          </w:p>
        </w:tc>
        <w:tc>
          <w:tcPr>
            <w:tcW w:w="352" w:type="pct"/>
          </w:tcPr>
          <w:p w:rsidR="00C645C9" w:rsidRDefault="00F955D9">
            <w:pPr>
              <w:pStyle w:val="afa"/>
              <w:rPr>
                <w:rFonts w:eastAsiaTheme="minorEastAsia"/>
                <w:szCs w:val="21"/>
              </w:rPr>
            </w:pPr>
            <w:r>
              <w:rPr>
                <w:w w:val="85"/>
                <w:szCs w:val="21"/>
              </w:rPr>
              <w:t>+</w:t>
            </w:r>
          </w:p>
        </w:tc>
        <w:tc>
          <w:tcPr>
            <w:tcW w:w="348" w:type="pct"/>
          </w:tcPr>
          <w:p w:rsidR="00C645C9" w:rsidRDefault="00F955D9">
            <w:pPr>
              <w:pStyle w:val="afa"/>
              <w:rPr>
                <w:rFonts w:eastAsiaTheme="minorEastAsia"/>
                <w:szCs w:val="21"/>
              </w:rPr>
            </w:pPr>
            <w:r>
              <w:rPr>
                <w:position w:val="-2"/>
                <w:szCs w:val="21"/>
              </w:rPr>
              <w:t>〇</w:t>
            </w:r>
          </w:p>
        </w:tc>
        <w:tc>
          <w:tcPr>
            <w:tcW w:w="399" w:type="pct"/>
          </w:tcPr>
          <w:p w:rsidR="00C645C9" w:rsidRDefault="00F955D9">
            <w:pPr>
              <w:pStyle w:val="afa"/>
              <w:rPr>
                <w:rFonts w:eastAsiaTheme="minorEastAsia"/>
                <w:szCs w:val="21"/>
              </w:rPr>
            </w:pPr>
            <w:r>
              <w:rPr>
                <w:w w:val="85"/>
                <w:szCs w:val="21"/>
              </w:rPr>
              <w:t>+</w:t>
            </w:r>
          </w:p>
        </w:tc>
        <w:tc>
          <w:tcPr>
            <w:tcW w:w="305" w:type="pct"/>
          </w:tcPr>
          <w:p w:rsidR="00C645C9" w:rsidRDefault="00F955D9">
            <w:pPr>
              <w:pStyle w:val="afa"/>
              <w:rPr>
                <w:rFonts w:eastAsiaTheme="minorEastAsia"/>
                <w:szCs w:val="21"/>
              </w:rPr>
            </w:pPr>
            <w:r>
              <w:rPr>
                <w:position w:val="-2"/>
                <w:szCs w:val="21"/>
              </w:rPr>
              <w:t>〇</w:t>
            </w:r>
          </w:p>
        </w:tc>
        <w:tc>
          <w:tcPr>
            <w:tcW w:w="411" w:type="pct"/>
          </w:tcPr>
          <w:p w:rsidR="00C645C9" w:rsidRDefault="00F955D9">
            <w:pPr>
              <w:pStyle w:val="afa"/>
              <w:rPr>
                <w:rFonts w:eastAsiaTheme="minorEastAsia"/>
                <w:szCs w:val="21"/>
              </w:rPr>
            </w:pPr>
            <w:r>
              <w:rPr>
                <w:w w:val="85"/>
                <w:szCs w:val="21"/>
              </w:rPr>
              <w:t>++</w:t>
            </w:r>
          </w:p>
        </w:tc>
        <w:tc>
          <w:tcPr>
            <w:tcW w:w="370" w:type="pct"/>
          </w:tcPr>
          <w:p w:rsidR="00C645C9" w:rsidRDefault="00F955D9">
            <w:pPr>
              <w:pStyle w:val="afa"/>
              <w:rPr>
                <w:rFonts w:eastAsiaTheme="minorEastAsia"/>
                <w:szCs w:val="21"/>
              </w:rPr>
            </w:pPr>
            <w:r>
              <w:rPr>
                <w:w w:val="85"/>
                <w:szCs w:val="21"/>
              </w:rPr>
              <w:t>+</w:t>
            </w:r>
          </w:p>
        </w:tc>
        <w:tc>
          <w:tcPr>
            <w:tcW w:w="400" w:type="pct"/>
          </w:tcPr>
          <w:p w:rsidR="00C645C9" w:rsidRDefault="00F955D9">
            <w:pPr>
              <w:pStyle w:val="afa"/>
              <w:rPr>
                <w:rFonts w:eastAsiaTheme="minorEastAsia"/>
                <w:szCs w:val="21"/>
              </w:rPr>
            </w:pPr>
            <w:r>
              <w:rPr>
                <w:w w:val="85"/>
                <w:szCs w:val="21"/>
              </w:rPr>
              <w:t>+</w:t>
            </w:r>
          </w:p>
        </w:tc>
        <w:tc>
          <w:tcPr>
            <w:tcW w:w="399" w:type="pct"/>
          </w:tcPr>
          <w:p w:rsidR="00C645C9" w:rsidRDefault="00F955D9">
            <w:pPr>
              <w:pStyle w:val="afa"/>
              <w:rPr>
                <w:w w:val="85"/>
                <w:szCs w:val="21"/>
              </w:rPr>
            </w:pPr>
            <w:r>
              <w:rPr>
                <w:w w:val="85"/>
                <w:szCs w:val="21"/>
              </w:rPr>
              <w:t>+</w:t>
            </w:r>
          </w:p>
        </w:tc>
      </w:tr>
      <w:tr w:rsidR="00C645C9">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水生植被</w:t>
            </w:r>
          </w:p>
        </w:tc>
        <w:tc>
          <w:tcPr>
            <w:tcW w:w="313"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285"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39"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341"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44"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52"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48"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399"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05" w:type="pct"/>
            <w:tcBorders>
              <w:top w:val="single" w:sz="4" w:space="0" w:color="auto"/>
              <w:left w:val="single" w:sz="4" w:space="0" w:color="auto"/>
              <w:bottom w:val="single" w:sz="4" w:space="0" w:color="auto"/>
              <w:right w:val="single" w:sz="4" w:space="0" w:color="auto"/>
            </w:tcBorders>
          </w:tcPr>
          <w:p w:rsidR="00C645C9" w:rsidRDefault="00C645C9">
            <w:pPr>
              <w:pStyle w:val="afa"/>
              <w:rPr>
                <w:position w:val="-2"/>
                <w:szCs w:val="21"/>
              </w:rPr>
            </w:pPr>
          </w:p>
        </w:tc>
        <w:tc>
          <w:tcPr>
            <w:tcW w:w="411"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70"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400"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c>
          <w:tcPr>
            <w:tcW w:w="399" w:type="pct"/>
            <w:tcBorders>
              <w:top w:val="single" w:sz="4" w:space="0" w:color="auto"/>
              <w:left w:val="single" w:sz="4" w:space="0" w:color="auto"/>
              <w:bottom w:val="single" w:sz="4" w:space="0" w:color="auto"/>
              <w:right w:val="single" w:sz="4" w:space="0" w:color="auto"/>
            </w:tcBorders>
          </w:tcPr>
          <w:p w:rsidR="00C645C9" w:rsidRDefault="00C645C9">
            <w:pPr>
              <w:pStyle w:val="afa"/>
              <w:rPr>
                <w:w w:val="85"/>
                <w:szCs w:val="21"/>
              </w:rPr>
            </w:pPr>
          </w:p>
        </w:tc>
      </w:tr>
      <w:tr w:rsidR="00C645C9">
        <w:trPr>
          <w:jc w:val="center"/>
        </w:trPr>
        <w:tc>
          <w:tcPr>
            <w:tcW w:w="391" w:type="pct"/>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水土流失</w:t>
            </w:r>
          </w:p>
        </w:tc>
        <w:tc>
          <w:tcPr>
            <w:tcW w:w="313" w:type="pct"/>
          </w:tcPr>
          <w:p w:rsidR="00C645C9" w:rsidRDefault="00F955D9">
            <w:pPr>
              <w:pStyle w:val="afa"/>
              <w:rPr>
                <w:w w:val="85"/>
                <w:szCs w:val="21"/>
              </w:rPr>
            </w:pPr>
            <w:r>
              <w:rPr>
                <w:w w:val="85"/>
                <w:szCs w:val="21"/>
              </w:rPr>
              <w:t>++</w:t>
            </w:r>
          </w:p>
        </w:tc>
        <w:tc>
          <w:tcPr>
            <w:tcW w:w="285" w:type="pct"/>
          </w:tcPr>
          <w:p w:rsidR="00C645C9" w:rsidRDefault="00F955D9">
            <w:pPr>
              <w:pStyle w:val="afa"/>
              <w:rPr>
                <w:rFonts w:eastAsiaTheme="minorEastAsia"/>
                <w:szCs w:val="21"/>
              </w:rPr>
            </w:pPr>
            <w:r>
              <w:rPr>
                <w:w w:val="85"/>
                <w:szCs w:val="21"/>
              </w:rPr>
              <w:t>+</w:t>
            </w:r>
          </w:p>
        </w:tc>
        <w:tc>
          <w:tcPr>
            <w:tcW w:w="339" w:type="pct"/>
          </w:tcPr>
          <w:p w:rsidR="00C645C9" w:rsidRDefault="00F955D9">
            <w:pPr>
              <w:pStyle w:val="afa"/>
              <w:rPr>
                <w:rFonts w:eastAsiaTheme="minorEastAsia"/>
                <w:szCs w:val="21"/>
              </w:rPr>
            </w:pPr>
            <w:r>
              <w:rPr>
                <w:w w:val="85"/>
                <w:szCs w:val="21"/>
              </w:rPr>
              <w:t>+</w:t>
            </w:r>
          </w:p>
        </w:tc>
        <w:tc>
          <w:tcPr>
            <w:tcW w:w="341" w:type="pct"/>
          </w:tcPr>
          <w:p w:rsidR="00C645C9" w:rsidRDefault="00F955D9">
            <w:pPr>
              <w:pStyle w:val="afa"/>
              <w:rPr>
                <w:rFonts w:eastAsiaTheme="minorEastAsia"/>
                <w:szCs w:val="21"/>
              </w:rPr>
            </w:pPr>
            <w:r>
              <w:rPr>
                <w:w w:val="85"/>
                <w:szCs w:val="21"/>
              </w:rPr>
              <w:t>+</w:t>
            </w:r>
          </w:p>
        </w:tc>
        <w:tc>
          <w:tcPr>
            <w:tcW w:w="344" w:type="pct"/>
          </w:tcPr>
          <w:p w:rsidR="00C645C9" w:rsidRDefault="00F955D9">
            <w:pPr>
              <w:pStyle w:val="afa"/>
              <w:rPr>
                <w:rFonts w:eastAsiaTheme="minorEastAsia"/>
                <w:szCs w:val="21"/>
              </w:rPr>
            </w:pPr>
            <w:r>
              <w:rPr>
                <w:position w:val="-2"/>
                <w:szCs w:val="21"/>
              </w:rPr>
              <w:t>〇</w:t>
            </w:r>
          </w:p>
        </w:tc>
        <w:tc>
          <w:tcPr>
            <w:tcW w:w="352" w:type="pct"/>
          </w:tcPr>
          <w:p w:rsidR="00C645C9" w:rsidRDefault="00F955D9">
            <w:pPr>
              <w:pStyle w:val="afa"/>
              <w:rPr>
                <w:rFonts w:eastAsiaTheme="minorEastAsia"/>
                <w:szCs w:val="21"/>
              </w:rPr>
            </w:pPr>
            <w:r>
              <w:rPr>
                <w:w w:val="85"/>
                <w:szCs w:val="21"/>
              </w:rPr>
              <w:t>+</w:t>
            </w:r>
          </w:p>
        </w:tc>
        <w:tc>
          <w:tcPr>
            <w:tcW w:w="348" w:type="pct"/>
          </w:tcPr>
          <w:p w:rsidR="00C645C9" w:rsidRDefault="00F955D9">
            <w:pPr>
              <w:pStyle w:val="afa"/>
              <w:rPr>
                <w:rFonts w:eastAsiaTheme="minorEastAsia"/>
                <w:szCs w:val="21"/>
              </w:rPr>
            </w:pPr>
            <w:r>
              <w:rPr>
                <w:position w:val="-2"/>
                <w:szCs w:val="21"/>
              </w:rPr>
              <w:t>〇</w:t>
            </w:r>
          </w:p>
        </w:tc>
        <w:tc>
          <w:tcPr>
            <w:tcW w:w="399" w:type="pct"/>
          </w:tcPr>
          <w:p w:rsidR="00C645C9" w:rsidRDefault="00F955D9">
            <w:pPr>
              <w:pStyle w:val="afa"/>
              <w:rPr>
                <w:rFonts w:eastAsiaTheme="minorEastAsia"/>
                <w:szCs w:val="21"/>
              </w:rPr>
            </w:pPr>
            <w:r>
              <w:rPr>
                <w:w w:val="85"/>
                <w:szCs w:val="21"/>
              </w:rPr>
              <w:t>+</w:t>
            </w:r>
          </w:p>
        </w:tc>
        <w:tc>
          <w:tcPr>
            <w:tcW w:w="305" w:type="pct"/>
          </w:tcPr>
          <w:p w:rsidR="00C645C9" w:rsidRDefault="00F955D9">
            <w:pPr>
              <w:pStyle w:val="afa"/>
              <w:rPr>
                <w:rFonts w:eastAsiaTheme="minorEastAsia"/>
                <w:szCs w:val="21"/>
              </w:rPr>
            </w:pPr>
            <w:r>
              <w:rPr>
                <w:position w:val="-2"/>
                <w:szCs w:val="21"/>
              </w:rPr>
              <w:t>〇</w:t>
            </w:r>
          </w:p>
        </w:tc>
        <w:tc>
          <w:tcPr>
            <w:tcW w:w="411" w:type="pct"/>
          </w:tcPr>
          <w:p w:rsidR="00C645C9" w:rsidRDefault="00F955D9">
            <w:pPr>
              <w:pStyle w:val="afa"/>
              <w:rPr>
                <w:rFonts w:eastAsiaTheme="minorEastAsia"/>
                <w:szCs w:val="21"/>
              </w:rPr>
            </w:pPr>
            <w:r>
              <w:rPr>
                <w:w w:val="85"/>
                <w:szCs w:val="21"/>
              </w:rPr>
              <w:t>++</w:t>
            </w:r>
          </w:p>
        </w:tc>
        <w:tc>
          <w:tcPr>
            <w:tcW w:w="370" w:type="pct"/>
          </w:tcPr>
          <w:p w:rsidR="00C645C9" w:rsidRDefault="00F955D9">
            <w:pPr>
              <w:pStyle w:val="afa"/>
              <w:rPr>
                <w:rFonts w:eastAsiaTheme="minorEastAsia"/>
                <w:szCs w:val="21"/>
              </w:rPr>
            </w:pPr>
            <w:r>
              <w:rPr>
                <w:w w:val="85"/>
                <w:szCs w:val="21"/>
              </w:rPr>
              <w:t>+</w:t>
            </w:r>
          </w:p>
        </w:tc>
        <w:tc>
          <w:tcPr>
            <w:tcW w:w="400" w:type="pct"/>
          </w:tcPr>
          <w:p w:rsidR="00C645C9" w:rsidRDefault="00F955D9">
            <w:pPr>
              <w:pStyle w:val="afa"/>
              <w:rPr>
                <w:rFonts w:eastAsiaTheme="minorEastAsia"/>
                <w:szCs w:val="21"/>
              </w:rPr>
            </w:pPr>
            <w:r>
              <w:rPr>
                <w:w w:val="85"/>
                <w:szCs w:val="21"/>
              </w:rPr>
              <w:t>+</w:t>
            </w:r>
          </w:p>
        </w:tc>
        <w:tc>
          <w:tcPr>
            <w:tcW w:w="399" w:type="pct"/>
          </w:tcPr>
          <w:p w:rsidR="00C645C9" w:rsidRDefault="00F955D9">
            <w:pPr>
              <w:pStyle w:val="afa"/>
              <w:rPr>
                <w:rFonts w:eastAsiaTheme="minorEastAsia"/>
                <w:w w:val="85"/>
                <w:szCs w:val="21"/>
              </w:rPr>
            </w:pPr>
            <w:r>
              <w:rPr>
                <w:w w:val="85"/>
                <w:szCs w:val="21"/>
              </w:rPr>
              <w:t>+</w:t>
            </w:r>
          </w:p>
        </w:tc>
      </w:tr>
      <w:tr w:rsidR="00C645C9">
        <w:trPr>
          <w:jc w:val="center"/>
        </w:trPr>
        <w:tc>
          <w:tcPr>
            <w:tcW w:w="391" w:type="pct"/>
            <w:vAlign w:val="center"/>
          </w:tcPr>
          <w:p w:rsidR="00C645C9" w:rsidRDefault="00F955D9">
            <w:pPr>
              <w:adjustRightInd w:val="0"/>
              <w:snapToGrid w:val="0"/>
              <w:jc w:val="center"/>
              <w:rPr>
                <w:rFonts w:eastAsiaTheme="minorEastAsia" w:cs="Times New Roman"/>
                <w:kern w:val="2"/>
                <w:sz w:val="21"/>
                <w:szCs w:val="21"/>
              </w:rPr>
            </w:pPr>
            <w:r>
              <w:rPr>
                <w:rFonts w:cs="Times New Roman"/>
                <w:sz w:val="21"/>
                <w:szCs w:val="21"/>
              </w:rPr>
              <w:t>生态敏感区</w:t>
            </w:r>
          </w:p>
        </w:tc>
        <w:tc>
          <w:tcPr>
            <w:tcW w:w="313" w:type="pct"/>
          </w:tcPr>
          <w:p w:rsidR="00C645C9" w:rsidRDefault="00C645C9">
            <w:pPr>
              <w:pStyle w:val="afa"/>
              <w:rPr>
                <w:w w:val="85"/>
                <w:szCs w:val="21"/>
              </w:rPr>
            </w:pPr>
          </w:p>
        </w:tc>
        <w:tc>
          <w:tcPr>
            <w:tcW w:w="285" w:type="pct"/>
          </w:tcPr>
          <w:p w:rsidR="00C645C9" w:rsidRDefault="00C645C9">
            <w:pPr>
              <w:pStyle w:val="afa"/>
              <w:rPr>
                <w:w w:val="85"/>
                <w:szCs w:val="21"/>
              </w:rPr>
            </w:pPr>
          </w:p>
        </w:tc>
        <w:tc>
          <w:tcPr>
            <w:tcW w:w="339" w:type="pct"/>
          </w:tcPr>
          <w:p w:rsidR="00C645C9" w:rsidRDefault="00C645C9">
            <w:pPr>
              <w:pStyle w:val="afa"/>
              <w:rPr>
                <w:position w:val="-2"/>
                <w:szCs w:val="21"/>
              </w:rPr>
            </w:pPr>
          </w:p>
        </w:tc>
        <w:tc>
          <w:tcPr>
            <w:tcW w:w="341" w:type="pct"/>
          </w:tcPr>
          <w:p w:rsidR="00C645C9" w:rsidRDefault="00C645C9">
            <w:pPr>
              <w:pStyle w:val="afa"/>
              <w:rPr>
                <w:w w:val="85"/>
                <w:szCs w:val="21"/>
              </w:rPr>
            </w:pPr>
          </w:p>
        </w:tc>
        <w:tc>
          <w:tcPr>
            <w:tcW w:w="344" w:type="pct"/>
          </w:tcPr>
          <w:p w:rsidR="00C645C9" w:rsidRDefault="00C645C9">
            <w:pPr>
              <w:pStyle w:val="afa"/>
              <w:rPr>
                <w:w w:val="85"/>
                <w:szCs w:val="21"/>
              </w:rPr>
            </w:pPr>
          </w:p>
        </w:tc>
        <w:tc>
          <w:tcPr>
            <w:tcW w:w="352" w:type="pct"/>
          </w:tcPr>
          <w:p w:rsidR="00C645C9" w:rsidRDefault="00C645C9">
            <w:pPr>
              <w:pStyle w:val="afa"/>
              <w:rPr>
                <w:w w:val="85"/>
                <w:szCs w:val="21"/>
              </w:rPr>
            </w:pPr>
          </w:p>
        </w:tc>
        <w:tc>
          <w:tcPr>
            <w:tcW w:w="348" w:type="pct"/>
          </w:tcPr>
          <w:p w:rsidR="00C645C9" w:rsidRDefault="00C645C9">
            <w:pPr>
              <w:pStyle w:val="afa"/>
              <w:rPr>
                <w:position w:val="-2"/>
                <w:szCs w:val="21"/>
              </w:rPr>
            </w:pPr>
          </w:p>
        </w:tc>
        <w:tc>
          <w:tcPr>
            <w:tcW w:w="399" w:type="pct"/>
          </w:tcPr>
          <w:p w:rsidR="00C645C9" w:rsidRDefault="00C645C9">
            <w:pPr>
              <w:pStyle w:val="afa"/>
              <w:rPr>
                <w:w w:val="85"/>
                <w:szCs w:val="21"/>
              </w:rPr>
            </w:pPr>
          </w:p>
        </w:tc>
        <w:tc>
          <w:tcPr>
            <w:tcW w:w="305" w:type="pct"/>
          </w:tcPr>
          <w:p w:rsidR="00C645C9" w:rsidRDefault="00C645C9">
            <w:pPr>
              <w:pStyle w:val="afa"/>
              <w:rPr>
                <w:position w:val="-2"/>
                <w:szCs w:val="21"/>
              </w:rPr>
            </w:pPr>
          </w:p>
        </w:tc>
        <w:tc>
          <w:tcPr>
            <w:tcW w:w="411" w:type="pct"/>
          </w:tcPr>
          <w:p w:rsidR="00C645C9" w:rsidRDefault="00C645C9">
            <w:pPr>
              <w:pStyle w:val="afa"/>
              <w:rPr>
                <w:w w:val="85"/>
                <w:szCs w:val="21"/>
              </w:rPr>
            </w:pPr>
          </w:p>
        </w:tc>
        <w:tc>
          <w:tcPr>
            <w:tcW w:w="370" w:type="pct"/>
          </w:tcPr>
          <w:p w:rsidR="00C645C9" w:rsidRDefault="00C645C9">
            <w:pPr>
              <w:pStyle w:val="afa"/>
              <w:rPr>
                <w:w w:val="85"/>
                <w:szCs w:val="21"/>
              </w:rPr>
            </w:pPr>
          </w:p>
        </w:tc>
        <w:tc>
          <w:tcPr>
            <w:tcW w:w="400" w:type="pct"/>
          </w:tcPr>
          <w:p w:rsidR="00C645C9" w:rsidRDefault="00C645C9">
            <w:pPr>
              <w:pStyle w:val="afa"/>
              <w:rPr>
                <w:w w:val="85"/>
                <w:szCs w:val="21"/>
              </w:rPr>
            </w:pPr>
          </w:p>
        </w:tc>
        <w:tc>
          <w:tcPr>
            <w:tcW w:w="399" w:type="pct"/>
          </w:tcPr>
          <w:p w:rsidR="00C645C9" w:rsidRDefault="00C645C9">
            <w:pPr>
              <w:pStyle w:val="afa"/>
              <w:rPr>
                <w:w w:val="85"/>
                <w:szCs w:val="21"/>
              </w:rPr>
            </w:pPr>
          </w:p>
        </w:tc>
      </w:tr>
    </w:tbl>
    <w:bookmarkEnd w:id="137"/>
    <w:p w:rsidR="00C645C9" w:rsidRDefault="00F955D9">
      <w:pPr>
        <w:widowControl w:val="0"/>
        <w:rPr>
          <w:rFonts w:cs="Times New Roman"/>
          <w:bCs/>
          <w:sz w:val="18"/>
          <w:szCs w:val="18"/>
        </w:rPr>
      </w:pPr>
      <w:r>
        <w:rPr>
          <w:rFonts w:cs="Times New Roman"/>
          <w:bCs/>
          <w:sz w:val="18"/>
          <w:szCs w:val="18"/>
        </w:rPr>
        <w:t>注：〇：无影响；</w:t>
      </w:r>
      <w:r>
        <w:rPr>
          <w:rFonts w:cs="Times New Roman"/>
          <w:bCs/>
          <w:sz w:val="18"/>
          <w:szCs w:val="18"/>
        </w:rPr>
        <w:t>+</w:t>
      </w:r>
      <w:r>
        <w:rPr>
          <w:rFonts w:cs="Times New Roman"/>
          <w:bCs/>
          <w:sz w:val="18"/>
          <w:szCs w:val="18"/>
        </w:rPr>
        <w:t>：短期不利影响；</w:t>
      </w:r>
      <w:r>
        <w:rPr>
          <w:rFonts w:cs="Times New Roman"/>
          <w:bCs/>
          <w:sz w:val="18"/>
          <w:szCs w:val="18"/>
        </w:rPr>
        <w:t xml:space="preserve">++ </w:t>
      </w:r>
      <w:r>
        <w:rPr>
          <w:rFonts w:cs="Times New Roman"/>
          <w:bCs/>
          <w:sz w:val="18"/>
          <w:szCs w:val="18"/>
        </w:rPr>
        <w:t>：长期不利影响。</w:t>
      </w: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C645C9">
      <w:pPr>
        <w:pStyle w:val="af9"/>
        <w:adjustRightInd w:val="0"/>
        <w:snapToGrid w:val="0"/>
        <w:spacing w:line="240" w:lineRule="auto"/>
        <w:rPr>
          <w:rFonts w:eastAsia="黑体"/>
          <w:b w:val="0"/>
          <w:bCs/>
        </w:rPr>
      </w:pPr>
    </w:p>
    <w:p w:rsidR="00C645C9" w:rsidRDefault="00F955D9">
      <w:pPr>
        <w:pStyle w:val="af9"/>
        <w:adjustRightInd w:val="0"/>
        <w:snapToGrid w:val="0"/>
        <w:spacing w:line="240" w:lineRule="auto"/>
      </w:pPr>
      <w:r>
        <w:rPr>
          <w:rFonts w:eastAsia="黑体"/>
          <w:b w:val="0"/>
          <w:bCs/>
        </w:rPr>
        <w:t>表</w:t>
      </w:r>
      <w:r>
        <w:rPr>
          <w:rFonts w:eastAsia="黑体"/>
          <w:b w:val="0"/>
          <w:bCs/>
        </w:rPr>
        <w:t xml:space="preserve">2.3-2   </w:t>
      </w:r>
      <w:r>
        <w:rPr>
          <w:rFonts w:eastAsia="黑体"/>
          <w:b w:val="0"/>
          <w:bCs/>
        </w:rPr>
        <w:t>环境影响因子筛选结果汇总表</w:t>
      </w:r>
    </w:p>
    <w:tbl>
      <w:tblPr>
        <w:tblStyle w:val="TableNormal"/>
        <w:tblW w:w="1401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83"/>
        <w:gridCol w:w="1789"/>
        <w:gridCol w:w="1789"/>
        <w:gridCol w:w="1789"/>
        <w:gridCol w:w="1789"/>
        <w:gridCol w:w="1789"/>
        <w:gridCol w:w="1789"/>
        <w:gridCol w:w="1794"/>
      </w:tblGrid>
      <w:tr w:rsidR="00C645C9">
        <w:trPr>
          <w:trHeight w:val="661"/>
        </w:trPr>
        <w:tc>
          <w:tcPr>
            <w:tcW w:w="1483" w:type="dxa"/>
            <w:tcBorders>
              <w:tl2br w:val="single" w:sz="4" w:space="0" w:color="000000"/>
            </w:tcBorders>
            <w:vAlign w:val="center"/>
          </w:tcPr>
          <w:p w:rsidR="00C645C9" w:rsidRDefault="00F955D9">
            <w:pPr>
              <w:widowControl w:val="0"/>
              <w:adjustRightInd w:val="0"/>
              <w:snapToGrid w:val="0"/>
              <w:jc w:val="right"/>
              <w:rPr>
                <w:rFonts w:cs="Times New Roman"/>
                <w:spacing w:val="5"/>
                <w:sz w:val="21"/>
                <w:szCs w:val="21"/>
              </w:rPr>
            </w:pPr>
            <w:r>
              <w:rPr>
                <w:rFonts w:cs="Times New Roman"/>
                <w:spacing w:val="5"/>
                <w:sz w:val="21"/>
                <w:szCs w:val="21"/>
              </w:rPr>
              <w:t xml:space="preserve"> </w:t>
            </w:r>
            <w:r>
              <w:rPr>
                <w:rFonts w:cs="Times New Roman"/>
                <w:spacing w:val="5"/>
                <w:sz w:val="21"/>
                <w:szCs w:val="21"/>
              </w:rPr>
              <w:t>环境要素</w:t>
            </w:r>
            <w:r>
              <w:rPr>
                <w:rFonts w:cs="Times New Roman"/>
                <w:spacing w:val="5"/>
                <w:sz w:val="21"/>
                <w:szCs w:val="21"/>
              </w:rPr>
              <w:t xml:space="preserve"> </w:t>
            </w:r>
          </w:p>
          <w:p w:rsidR="00C645C9" w:rsidRDefault="00F955D9">
            <w:pPr>
              <w:widowControl w:val="0"/>
              <w:adjustRightInd w:val="0"/>
              <w:snapToGrid w:val="0"/>
              <w:rPr>
                <w:rFonts w:cs="Times New Roman"/>
                <w:spacing w:val="5"/>
                <w:sz w:val="21"/>
                <w:szCs w:val="21"/>
              </w:rPr>
            </w:pPr>
            <w:r>
              <w:rPr>
                <w:rFonts w:cs="Times New Roman"/>
                <w:spacing w:val="5"/>
                <w:sz w:val="21"/>
                <w:szCs w:val="21"/>
              </w:rPr>
              <w:t>单项工程</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时期</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大气</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地表水</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地下水</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土壤</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生态</w:t>
            </w:r>
          </w:p>
        </w:tc>
        <w:tc>
          <w:tcPr>
            <w:tcW w:w="1794"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噪声</w:t>
            </w:r>
          </w:p>
        </w:tc>
      </w:tr>
      <w:tr w:rsidR="00C645C9">
        <w:trPr>
          <w:trHeight w:val="1664"/>
        </w:trPr>
        <w:tc>
          <w:tcPr>
            <w:tcW w:w="1483" w:type="dxa"/>
            <w:vMerge w:val="restart"/>
            <w:tcBorders>
              <w:bottom w:val="nil"/>
            </w:tcBorders>
            <w:vAlign w:val="center"/>
          </w:tcPr>
          <w:p w:rsidR="00C645C9" w:rsidRDefault="00F955D9">
            <w:pPr>
              <w:widowControl w:val="0"/>
              <w:adjustRightInd w:val="0"/>
              <w:snapToGrid w:val="0"/>
              <w:jc w:val="center"/>
              <w:rPr>
                <w:rFonts w:cs="Times New Roman"/>
                <w:spacing w:val="5"/>
                <w:sz w:val="21"/>
                <w:szCs w:val="21"/>
              </w:rPr>
            </w:pPr>
            <w:r>
              <w:rPr>
                <w:rFonts w:cs="Times New Roman" w:hint="eastAsia"/>
                <w:spacing w:val="5"/>
                <w:sz w:val="21"/>
                <w:szCs w:val="21"/>
              </w:rPr>
              <w:t>拉运</w:t>
            </w:r>
            <w:r>
              <w:rPr>
                <w:rFonts w:cs="Times New Roman"/>
                <w:spacing w:val="5"/>
                <w:sz w:val="21"/>
                <w:szCs w:val="21"/>
              </w:rPr>
              <w:t>工程</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施工期</w:t>
            </w:r>
          </w:p>
        </w:tc>
        <w:tc>
          <w:tcPr>
            <w:tcW w:w="1789" w:type="dxa"/>
            <w:tcBorders>
              <w:bottom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颗粒物</w:t>
            </w:r>
          </w:p>
        </w:tc>
        <w:tc>
          <w:tcPr>
            <w:tcW w:w="1789" w:type="dxa"/>
            <w:tcBorders>
              <w:bottom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tcBorders>
              <w:bottom w:val="single" w:sz="4" w:space="0" w:color="auto"/>
            </w:tcBorders>
            <w:vAlign w:val="center"/>
          </w:tcPr>
          <w:p w:rsidR="00C645C9" w:rsidRDefault="00F955D9">
            <w:pPr>
              <w:spacing w:before="65" w:line="227" w:lineRule="auto"/>
              <w:jc w:val="center"/>
              <w:rPr>
                <w:rFonts w:cs="Times New Roman"/>
                <w:spacing w:val="5"/>
                <w:sz w:val="21"/>
                <w:szCs w:val="21"/>
              </w:rPr>
            </w:pPr>
            <w:r>
              <w:rPr>
                <w:rFonts w:cs="Times New Roman"/>
                <w:spacing w:val="7"/>
                <w:sz w:val="21"/>
                <w:szCs w:val="21"/>
              </w:rPr>
              <w:t>耗氧量、氨</w:t>
            </w:r>
            <w:r>
              <w:rPr>
                <w:rFonts w:cs="Times New Roman"/>
                <w:spacing w:val="8"/>
                <w:sz w:val="21"/>
                <w:szCs w:val="21"/>
              </w:rPr>
              <w:t>氮、石油类</w:t>
            </w:r>
            <w:r>
              <w:rPr>
                <w:rFonts w:cs="Times New Roman"/>
                <w:sz w:val="21"/>
                <w:szCs w:val="21"/>
              </w:rPr>
              <w:t>等</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地表扰动面积及类型、植被覆盖度、生物量损失、物种多样性、生态系统完整性等</w:t>
            </w:r>
          </w:p>
        </w:tc>
        <w:tc>
          <w:tcPr>
            <w:tcW w:w="1794"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r>
      <w:tr w:rsidR="00C645C9">
        <w:trPr>
          <w:trHeight w:val="1664"/>
        </w:trPr>
        <w:tc>
          <w:tcPr>
            <w:tcW w:w="1483" w:type="dxa"/>
            <w:vMerge/>
            <w:tcBorders>
              <w:top w:val="nil"/>
            </w:tcBorders>
            <w:vAlign w:val="center"/>
          </w:tcPr>
          <w:p w:rsidR="00C645C9" w:rsidRDefault="00C645C9">
            <w:pPr>
              <w:widowControl w:val="0"/>
              <w:adjustRightInd w:val="0"/>
              <w:snapToGrid w:val="0"/>
              <w:jc w:val="center"/>
              <w:rPr>
                <w:rFonts w:cs="Times New Roman"/>
                <w:spacing w:val="5"/>
                <w:sz w:val="21"/>
                <w:szCs w:val="21"/>
              </w:rPr>
            </w:pPr>
          </w:p>
        </w:tc>
        <w:tc>
          <w:tcPr>
            <w:tcW w:w="1789" w:type="dxa"/>
            <w:tcBorders>
              <w:right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运营期</w:t>
            </w:r>
          </w:p>
        </w:tc>
        <w:tc>
          <w:tcPr>
            <w:tcW w:w="1789"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hint="eastAsia"/>
                <w:sz w:val="21"/>
                <w:szCs w:val="21"/>
              </w:rPr>
              <w:t>SO</w:t>
            </w:r>
            <w:r>
              <w:rPr>
                <w:rFonts w:hint="eastAsia"/>
                <w:sz w:val="21"/>
                <w:szCs w:val="21"/>
                <w:vertAlign w:val="subscript"/>
              </w:rPr>
              <w:t>2</w:t>
            </w:r>
            <w:r>
              <w:rPr>
                <w:rFonts w:hint="eastAsia"/>
                <w:sz w:val="21"/>
                <w:szCs w:val="21"/>
              </w:rPr>
              <w:t>、</w:t>
            </w:r>
            <w:r>
              <w:rPr>
                <w:rFonts w:hint="eastAsia"/>
                <w:sz w:val="21"/>
                <w:szCs w:val="21"/>
              </w:rPr>
              <w:t>NO</w:t>
            </w:r>
            <w:r>
              <w:rPr>
                <w:rFonts w:hint="eastAsia"/>
                <w:sz w:val="21"/>
                <w:szCs w:val="21"/>
                <w:vertAlign w:val="subscript"/>
              </w:rPr>
              <w:t>x</w:t>
            </w:r>
            <w:r>
              <w:rPr>
                <w:rFonts w:cs="Times New Roman" w:hint="eastAsia"/>
                <w:snapToGrid w:val="0"/>
                <w:kern w:val="2"/>
                <w:sz w:val="21"/>
                <w:szCs w:val="21"/>
              </w:rPr>
              <w:t>、硫化氢、</w:t>
            </w:r>
            <w:r>
              <w:rPr>
                <w:rFonts w:cs="Times New Roman"/>
                <w:snapToGrid w:val="0"/>
                <w:kern w:val="2"/>
                <w:sz w:val="21"/>
                <w:szCs w:val="21"/>
              </w:rPr>
              <w:t>非甲烷总烃</w:t>
            </w:r>
          </w:p>
        </w:tc>
        <w:tc>
          <w:tcPr>
            <w:tcW w:w="1789"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7"/>
                <w:sz w:val="21"/>
                <w:szCs w:val="21"/>
              </w:rPr>
              <w:t>耗氧量、氨</w:t>
            </w:r>
            <w:r>
              <w:rPr>
                <w:rFonts w:cs="Times New Roman"/>
                <w:spacing w:val="8"/>
                <w:sz w:val="21"/>
                <w:szCs w:val="21"/>
              </w:rPr>
              <w:t>氮、石油类</w:t>
            </w:r>
            <w:r>
              <w:rPr>
                <w:rFonts w:cs="Times New Roman"/>
                <w:sz w:val="21"/>
                <w:szCs w:val="21"/>
              </w:rPr>
              <w:t>等</w:t>
            </w:r>
          </w:p>
        </w:tc>
        <w:tc>
          <w:tcPr>
            <w:tcW w:w="1789" w:type="dxa"/>
            <w:tcBorders>
              <w:left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土壤肥力或林地立地条件、生物多样性、生态系统完整性等</w:t>
            </w:r>
          </w:p>
        </w:tc>
        <w:tc>
          <w:tcPr>
            <w:tcW w:w="1794" w:type="dxa"/>
            <w:vAlign w:val="center"/>
          </w:tcPr>
          <w:p w:rsidR="00C645C9" w:rsidRDefault="00F955D9">
            <w:pPr>
              <w:widowControl w:val="0"/>
              <w:adjustRightInd w:val="0"/>
              <w:snapToGrid w:val="0"/>
              <w:jc w:val="center"/>
              <w:rPr>
                <w:rFonts w:cs="Times New Roman"/>
                <w:spacing w:val="5"/>
                <w:sz w:val="21"/>
                <w:szCs w:val="21"/>
              </w:rPr>
            </w:pPr>
            <w:bookmarkStart w:id="138" w:name="OLE_LINK38"/>
            <w:r>
              <w:rPr>
                <w:rFonts w:cs="Times New Roman"/>
                <w:spacing w:val="12"/>
                <w:sz w:val="21"/>
                <w:szCs w:val="21"/>
              </w:rPr>
              <w:t>昼</w:t>
            </w:r>
            <w:r>
              <w:rPr>
                <w:rFonts w:cs="Times New Roman" w:hint="eastAsia"/>
                <w:spacing w:val="12"/>
                <w:sz w:val="21"/>
                <w:szCs w:val="21"/>
              </w:rPr>
              <w:t>间等效声级（</w:t>
            </w:r>
            <w:r>
              <w:rPr>
                <w:rFonts w:cs="Times New Roman"/>
                <w:i/>
                <w:iCs/>
                <w:spacing w:val="-7"/>
                <w:sz w:val="21"/>
                <w:szCs w:val="21"/>
              </w:rPr>
              <w:t>L</w:t>
            </w:r>
            <w:r>
              <w:rPr>
                <w:rFonts w:cs="Times New Roman"/>
                <w:i/>
                <w:iCs/>
                <w:spacing w:val="-7"/>
                <w:position w:val="-1"/>
                <w:sz w:val="21"/>
                <w:szCs w:val="21"/>
                <w:vertAlign w:val="subscript"/>
              </w:rPr>
              <w:t>d</w:t>
            </w:r>
            <w:r>
              <w:rPr>
                <w:rFonts w:cs="Times New Roman" w:hint="eastAsia"/>
                <w:spacing w:val="12"/>
                <w:sz w:val="21"/>
                <w:szCs w:val="21"/>
              </w:rPr>
              <w:t>）、</w:t>
            </w:r>
            <w:r>
              <w:rPr>
                <w:rFonts w:cs="Times New Roman"/>
                <w:spacing w:val="23"/>
                <w:sz w:val="21"/>
                <w:szCs w:val="21"/>
              </w:rPr>
              <w:t>夜间等效声级</w:t>
            </w:r>
            <w:r>
              <w:rPr>
                <w:rFonts w:cs="Times New Roman"/>
                <w:spacing w:val="-7"/>
                <w:sz w:val="21"/>
                <w:szCs w:val="21"/>
              </w:rPr>
              <w:t>（</w:t>
            </w:r>
            <w:r>
              <w:rPr>
                <w:rFonts w:cs="Times New Roman"/>
                <w:sz w:val="21"/>
                <w:szCs w:val="21"/>
              </w:rPr>
              <w:t xml:space="preserve"> </w:t>
            </w:r>
            <w:r>
              <w:rPr>
                <w:rFonts w:cs="Times New Roman"/>
                <w:i/>
                <w:iCs/>
                <w:sz w:val="21"/>
                <w:szCs w:val="21"/>
              </w:rPr>
              <w:t>L</w:t>
            </w:r>
            <w:r>
              <w:rPr>
                <w:rFonts w:cs="Times New Roman"/>
                <w:i/>
                <w:iCs/>
                <w:position w:val="-1"/>
                <w:sz w:val="21"/>
                <w:szCs w:val="21"/>
                <w:vertAlign w:val="subscript"/>
              </w:rPr>
              <w:t>n</w:t>
            </w:r>
            <w:r>
              <w:rPr>
                <w:rFonts w:cs="Times New Roman"/>
                <w:spacing w:val="51"/>
                <w:sz w:val="21"/>
                <w:szCs w:val="21"/>
              </w:rPr>
              <w:t>）</w:t>
            </w:r>
            <w:bookmarkEnd w:id="138"/>
          </w:p>
        </w:tc>
      </w:tr>
      <w:tr w:rsidR="00C645C9">
        <w:trPr>
          <w:trHeight w:val="1664"/>
        </w:trPr>
        <w:tc>
          <w:tcPr>
            <w:tcW w:w="1483" w:type="dxa"/>
            <w:vMerge w:val="restart"/>
            <w:tcBorders>
              <w:bottom w:val="nil"/>
            </w:tcBorders>
            <w:vAlign w:val="center"/>
          </w:tcPr>
          <w:p w:rsidR="00C645C9" w:rsidRDefault="00C645C9">
            <w:pPr>
              <w:widowControl w:val="0"/>
              <w:adjustRightInd w:val="0"/>
              <w:snapToGrid w:val="0"/>
              <w:jc w:val="center"/>
              <w:rPr>
                <w:rFonts w:cs="Times New Roman"/>
                <w:spacing w:val="5"/>
                <w:sz w:val="21"/>
                <w:szCs w:val="21"/>
              </w:rPr>
            </w:pPr>
          </w:p>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油气处理工程</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施工期</w:t>
            </w:r>
          </w:p>
        </w:tc>
        <w:tc>
          <w:tcPr>
            <w:tcW w:w="1789" w:type="dxa"/>
            <w:tcBorders>
              <w:top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颗粒物</w:t>
            </w:r>
          </w:p>
        </w:tc>
        <w:tc>
          <w:tcPr>
            <w:tcW w:w="1789" w:type="dxa"/>
            <w:tcBorders>
              <w:top w:val="single" w:sz="4" w:space="0" w:color="auto"/>
            </w:tcBorders>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tcBorders>
              <w:top w:val="single" w:sz="4" w:space="0" w:color="auto"/>
            </w:tcBorders>
            <w:vAlign w:val="center"/>
          </w:tcPr>
          <w:p w:rsidR="00C645C9" w:rsidRDefault="00F955D9">
            <w:pPr>
              <w:widowControl w:val="0"/>
              <w:adjustRightInd w:val="0"/>
              <w:snapToGrid w:val="0"/>
              <w:jc w:val="center"/>
              <w:rPr>
                <w:rFonts w:cs="Times New Roman"/>
                <w:spacing w:val="5"/>
                <w:sz w:val="21"/>
                <w:szCs w:val="21"/>
              </w:rPr>
            </w:pPr>
            <w:bookmarkStart w:id="139" w:name="OLE_LINK36"/>
            <w:r>
              <w:rPr>
                <w:rFonts w:cs="Times New Roman"/>
                <w:spacing w:val="7"/>
                <w:sz w:val="21"/>
                <w:szCs w:val="21"/>
              </w:rPr>
              <w:t>耗氧量、氨</w:t>
            </w:r>
            <w:r>
              <w:rPr>
                <w:rFonts w:cs="Times New Roman"/>
                <w:spacing w:val="8"/>
                <w:sz w:val="21"/>
                <w:szCs w:val="21"/>
              </w:rPr>
              <w:t>氮、</w:t>
            </w:r>
            <w:bookmarkEnd w:id="139"/>
            <w:r>
              <w:rPr>
                <w:rFonts w:cs="Times New Roman"/>
                <w:spacing w:val="8"/>
                <w:sz w:val="21"/>
                <w:szCs w:val="21"/>
              </w:rPr>
              <w:t>石油类</w:t>
            </w:r>
            <w:r>
              <w:rPr>
                <w:rFonts w:cs="Times New Roman"/>
                <w:sz w:val="21"/>
                <w:szCs w:val="21"/>
              </w:rPr>
              <w:t>等</w:t>
            </w:r>
          </w:p>
        </w:tc>
        <w:tc>
          <w:tcPr>
            <w:tcW w:w="1789" w:type="dxa"/>
            <w:vAlign w:val="center"/>
          </w:tcPr>
          <w:p w:rsidR="00C645C9" w:rsidRDefault="00F955D9">
            <w:pPr>
              <w:widowControl w:val="0"/>
              <w:adjustRightInd w:val="0"/>
              <w:snapToGrid w:val="0"/>
              <w:jc w:val="center"/>
              <w:rPr>
                <w:rFonts w:cs="Times New Roman"/>
                <w:spacing w:val="5"/>
                <w:sz w:val="21"/>
                <w:szCs w:val="21"/>
              </w:rPr>
            </w:pPr>
            <w:bookmarkStart w:id="140" w:name="OLE_LINK34"/>
            <w:r>
              <w:rPr>
                <w:rFonts w:cs="Times New Roman"/>
                <w:spacing w:val="5"/>
                <w:sz w:val="21"/>
                <w:szCs w:val="21"/>
              </w:rPr>
              <w:t>/</w:t>
            </w:r>
            <w:bookmarkEnd w:id="140"/>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地表扰动面积及类型、生物量损失、物种多样性、生态系统完整性等</w:t>
            </w:r>
          </w:p>
        </w:tc>
        <w:tc>
          <w:tcPr>
            <w:tcW w:w="1794"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r>
      <w:tr w:rsidR="00C645C9">
        <w:trPr>
          <w:trHeight w:val="1664"/>
        </w:trPr>
        <w:tc>
          <w:tcPr>
            <w:tcW w:w="1483" w:type="dxa"/>
            <w:vMerge/>
            <w:tcBorders>
              <w:top w:val="nil"/>
            </w:tcBorders>
            <w:vAlign w:val="center"/>
          </w:tcPr>
          <w:p w:rsidR="00C645C9" w:rsidRDefault="00C645C9">
            <w:pPr>
              <w:widowControl w:val="0"/>
              <w:adjustRightInd w:val="0"/>
              <w:snapToGrid w:val="0"/>
              <w:jc w:val="center"/>
              <w:rPr>
                <w:rFonts w:cs="Times New Roman"/>
                <w:spacing w:val="5"/>
                <w:sz w:val="21"/>
                <w:szCs w:val="21"/>
              </w:rPr>
            </w:pP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运营期</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napToGrid w:val="0"/>
                <w:kern w:val="2"/>
                <w:sz w:val="21"/>
                <w:szCs w:val="21"/>
              </w:rPr>
              <w:t>SO</w:t>
            </w:r>
            <w:r>
              <w:rPr>
                <w:rFonts w:cs="Times New Roman"/>
                <w:snapToGrid w:val="0"/>
                <w:kern w:val="2"/>
                <w:sz w:val="21"/>
                <w:szCs w:val="21"/>
                <w:vertAlign w:val="subscript"/>
              </w:rPr>
              <w:t>2</w:t>
            </w:r>
            <w:r>
              <w:rPr>
                <w:rFonts w:cs="Times New Roman"/>
                <w:snapToGrid w:val="0"/>
                <w:kern w:val="2"/>
                <w:sz w:val="21"/>
                <w:szCs w:val="21"/>
              </w:rPr>
              <w:t>、</w:t>
            </w:r>
            <w:r>
              <w:rPr>
                <w:rFonts w:cs="Times New Roman"/>
                <w:snapToGrid w:val="0"/>
                <w:kern w:val="2"/>
                <w:sz w:val="21"/>
                <w:szCs w:val="21"/>
              </w:rPr>
              <w:t>NO</w:t>
            </w:r>
            <w:r>
              <w:rPr>
                <w:rFonts w:cs="Times New Roman"/>
                <w:snapToGrid w:val="0"/>
                <w:kern w:val="2"/>
                <w:sz w:val="21"/>
                <w:szCs w:val="21"/>
                <w:vertAlign w:val="subscript"/>
              </w:rPr>
              <w:t>x</w:t>
            </w:r>
            <w:r>
              <w:rPr>
                <w:rFonts w:cs="Times New Roman"/>
                <w:snapToGrid w:val="0"/>
                <w:kern w:val="2"/>
                <w:sz w:val="21"/>
                <w:szCs w:val="21"/>
              </w:rPr>
              <w:t>、硫化氢</w:t>
            </w:r>
            <w:r>
              <w:rPr>
                <w:rFonts w:cs="Times New Roman" w:hint="eastAsia"/>
                <w:snapToGrid w:val="0"/>
                <w:kern w:val="2"/>
                <w:sz w:val="21"/>
                <w:szCs w:val="21"/>
              </w:rPr>
              <w:t>、</w:t>
            </w:r>
            <w:r>
              <w:rPr>
                <w:rFonts w:cs="Times New Roman"/>
                <w:snapToGrid w:val="0"/>
                <w:kern w:val="2"/>
                <w:sz w:val="21"/>
                <w:szCs w:val="21"/>
              </w:rPr>
              <w:t>非甲烷总烃</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w:t>
            </w:r>
          </w:p>
        </w:tc>
        <w:tc>
          <w:tcPr>
            <w:tcW w:w="1789"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5"/>
                <w:sz w:val="21"/>
                <w:szCs w:val="21"/>
              </w:rPr>
              <w:t>pH</w:t>
            </w:r>
            <w:r>
              <w:rPr>
                <w:rFonts w:cs="Times New Roman"/>
                <w:spacing w:val="5"/>
                <w:sz w:val="21"/>
                <w:szCs w:val="21"/>
              </w:rPr>
              <w:t>值、</w:t>
            </w:r>
            <w:r>
              <w:rPr>
                <w:rFonts w:cs="Times New Roman" w:hint="eastAsia"/>
                <w:spacing w:val="5"/>
                <w:sz w:val="21"/>
                <w:szCs w:val="21"/>
              </w:rPr>
              <w:t>挥发酚、</w:t>
            </w:r>
            <w:r>
              <w:rPr>
                <w:rFonts w:cs="Times New Roman"/>
                <w:spacing w:val="7"/>
                <w:sz w:val="21"/>
                <w:szCs w:val="21"/>
              </w:rPr>
              <w:t>耗氧量、氨</w:t>
            </w:r>
            <w:r>
              <w:rPr>
                <w:rFonts w:cs="Times New Roman"/>
                <w:spacing w:val="8"/>
                <w:sz w:val="21"/>
                <w:szCs w:val="21"/>
              </w:rPr>
              <w:t>氮、</w:t>
            </w:r>
            <w:r>
              <w:rPr>
                <w:rFonts w:cs="Times New Roman" w:hint="eastAsia"/>
                <w:spacing w:val="8"/>
                <w:sz w:val="21"/>
                <w:szCs w:val="21"/>
              </w:rPr>
              <w:t>硫化物、氯化物、石油类、总硬度、溶解性总固体、钡、汞、砷、六价铬等</w:t>
            </w:r>
          </w:p>
        </w:tc>
        <w:tc>
          <w:tcPr>
            <w:tcW w:w="1789" w:type="dxa"/>
            <w:vAlign w:val="center"/>
          </w:tcPr>
          <w:p w:rsidR="00C645C9" w:rsidRDefault="00F955D9">
            <w:pPr>
              <w:widowControl w:val="0"/>
              <w:adjustRightInd w:val="0"/>
              <w:snapToGrid w:val="0"/>
              <w:jc w:val="center"/>
              <w:rPr>
                <w:rFonts w:cs="Times New Roman"/>
                <w:spacing w:val="5"/>
                <w:sz w:val="21"/>
                <w:szCs w:val="21"/>
              </w:rPr>
            </w:pPr>
            <w:bookmarkStart w:id="141" w:name="OLE_LINK35"/>
            <w:r>
              <w:rPr>
                <w:rFonts w:cs="Times New Roman"/>
                <w:spacing w:val="5"/>
                <w:sz w:val="21"/>
                <w:szCs w:val="21"/>
              </w:rPr>
              <w:t>pH</w:t>
            </w:r>
            <w:r>
              <w:rPr>
                <w:rFonts w:cs="Times New Roman"/>
                <w:spacing w:val="5"/>
                <w:sz w:val="21"/>
                <w:szCs w:val="21"/>
              </w:rPr>
              <w:t>值、</w:t>
            </w:r>
            <w:bookmarkEnd w:id="141"/>
            <w:r>
              <w:rPr>
                <w:rFonts w:cs="Times New Roman"/>
                <w:spacing w:val="5"/>
                <w:sz w:val="21"/>
                <w:szCs w:val="21"/>
              </w:rPr>
              <w:t>石油类、石油烃（</w:t>
            </w:r>
            <w:r>
              <w:rPr>
                <w:rFonts w:cs="Times New Roman"/>
                <w:spacing w:val="5"/>
                <w:sz w:val="21"/>
                <w:szCs w:val="21"/>
              </w:rPr>
              <w:t>C</w:t>
            </w:r>
            <w:r>
              <w:rPr>
                <w:rFonts w:cs="Times New Roman"/>
                <w:spacing w:val="5"/>
                <w:sz w:val="21"/>
                <w:szCs w:val="21"/>
                <w:vertAlign w:val="subscript"/>
              </w:rPr>
              <w:t>6</w:t>
            </w:r>
            <w:r>
              <w:rPr>
                <w:rFonts w:cs="Times New Roman"/>
                <w:spacing w:val="5"/>
                <w:sz w:val="21"/>
                <w:szCs w:val="21"/>
              </w:rPr>
              <w:t>~C</w:t>
            </w:r>
            <w:r>
              <w:rPr>
                <w:rFonts w:cs="Times New Roman"/>
                <w:spacing w:val="5"/>
                <w:sz w:val="21"/>
                <w:szCs w:val="21"/>
                <w:vertAlign w:val="subscript"/>
              </w:rPr>
              <w:t>9</w:t>
            </w:r>
            <w:r>
              <w:rPr>
                <w:rFonts w:cs="Times New Roman"/>
                <w:spacing w:val="5"/>
                <w:sz w:val="21"/>
                <w:szCs w:val="21"/>
              </w:rPr>
              <w:t>）、石油烃（</w:t>
            </w:r>
            <w:r>
              <w:rPr>
                <w:rFonts w:cs="Times New Roman"/>
                <w:spacing w:val="5"/>
                <w:sz w:val="21"/>
                <w:szCs w:val="21"/>
              </w:rPr>
              <w:t>C</w:t>
            </w:r>
            <w:r>
              <w:rPr>
                <w:rFonts w:cs="Times New Roman"/>
                <w:spacing w:val="5"/>
                <w:sz w:val="21"/>
                <w:szCs w:val="21"/>
                <w:vertAlign w:val="subscript"/>
              </w:rPr>
              <w:t>10</w:t>
            </w:r>
            <w:r>
              <w:rPr>
                <w:rFonts w:cs="Times New Roman"/>
                <w:spacing w:val="5"/>
                <w:sz w:val="21"/>
                <w:szCs w:val="21"/>
              </w:rPr>
              <w:t>~C</w:t>
            </w:r>
            <w:r>
              <w:rPr>
                <w:rFonts w:cs="Times New Roman"/>
                <w:spacing w:val="5"/>
                <w:sz w:val="21"/>
                <w:szCs w:val="21"/>
                <w:vertAlign w:val="subscript"/>
              </w:rPr>
              <w:t>40</w:t>
            </w:r>
            <w:r>
              <w:rPr>
                <w:rFonts w:cs="Times New Roman"/>
                <w:spacing w:val="5"/>
                <w:sz w:val="21"/>
                <w:szCs w:val="21"/>
              </w:rPr>
              <w:t>）、汞、砷、六价铬、土壤盐分含量等</w:t>
            </w:r>
          </w:p>
        </w:tc>
        <w:tc>
          <w:tcPr>
            <w:tcW w:w="1789" w:type="dxa"/>
            <w:vAlign w:val="center"/>
          </w:tcPr>
          <w:p w:rsidR="00C645C9" w:rsidRDefault="00F955D9">
            <w:pPr>
              <w:widowControl w:val="0"/>
              <w:adjustRightInd w:val="0"/>
              <w:snapToGrid w:val="0"/>
              <w:jc w:val="center"/>
              <w:rPr>
                <w:rFonts w:cs="Times New Roman"/>
                <w:spacing w:val="5"/>
                <w:sz w:val="21"/>
                <w:szCs w:val="21"/>
              </w:rPr>
            </w:pPr>
            <w:bookmarkStart w:id="142" w:name="OLE_LINK37"/>
            <w:r>
              <w:rPr>
                <w:rFonts w:cs="Times New Roman"/>
                <w:spacing w:val="5"/>
                <w:sz w:val="21"/>
                <w:szCs w:val="21"/>
              </w:rPr>
              <w:t>/</w:t>
            </w:r>
            <w:bookmarkEnd w:id="142"/>
          </w:p>
        </w:tc>
        <w:tc>
          <w:tcPr>
            <w:tcW w:w="1794" w:type="dxa"/>
            <w:vAlign w:val="center"/>
          </w:tcPr>
          <w:p w:rsidR="00C645C9" w:rsidRDefault="00F955D9">
            <w:pPr>
              <w:widowControl w:val="0"/>
              <w:adjustRightInd w:val="0"/>
              <w:snapToGrid w:val="0"/>
              <w:jc w:val="center"/>
              <w:rPr>
                <w:rFonts w:cs="Times New Roman"/>
                <w:spacing w:val="5"/>
                <w:sz w:val="21"/>
                <w:szCs w:val="21"/>
              </w:rPr>
            </w:pPr>
            <w:r>
              <w:rPr>
                <w:rFonts w:cs="Times New Roman"/>
                <w:spacing w:val="12"/>
                <w:sz w:val="21"/>
                <w:szCs w:val="21"/>
              </w:rPr>
              <w:t>昼</w:t>
            </w:r>
            <w:r>
              <w:rPr>
                <w:rFonts w:cs="Times New Roman" w:hint="eastAsia"/>
                <w:spacing w:val="12"/>
                <w:sz w:val="21"/>
                <w:szCs w:val="21"/>
              </w:rPr>
              <w:t>间等效声级（</w:t>
            </w:r>
            <w:r>
              <w:rPr>
                <w:rFonts w:cs="Times New Roman"/>
                <w:i/>
                <w:iCs/>
                <w:spacing w:val="-7"/>
                <w:sz w:val="21"/>
                <w:szCs w:val="21"/>
              </w:rPr>
              <w:t>L</w:t>
            </w:r>
            <w:r>
              <w:rPr>
                <w:rFonts w:cs="Times New Roman"/>
                <w:i/>
                <w:iCs/>
                <w:spacing w:val="-7"/>
                <w:position w:val="-1"/>
                <w:sz w:val="21"/>
                <w:szCs w:val="21"/>
                <w:vertAlign w:val="subscript"/>
              </w:rPr>
              <w:t>d</w:t>
            </w:r>
            <w:r>
              <w:rPr>
                <w:rFonts w:cs="Times New Roman" w:hint="eastAsia"/>
                <w:spacing w:val="12"/>
                <w:sz w:val="21"/>
                <w:szCs w:val="21"/>
              </w:rPr>
              <w:t>）、</w:t>
            </w:r>
            <w:r>
              <w:rPr>
                <w:rFonts w:cs="Times New Roman"/>
                <w:spacing w:val="23"/>
                <w:sz w:val="21"/>
                <w:szCs w:val="21"/>
              </w:rPr>
              <w:t>夜间等效声级</w:t>
            </w:r>
            <w:r>
              <w:rPr>
                <w:rFonts w:cs="Times New Roman"/>
                <w:spacing w:val="-7"/>
                <w:sz w:val="21"/>
                <w:szCs w:val="21"/>
              </w:rPr>
              <w:t>（</w:t>
            </w:r>
            <w:r>
              <w:rPr>
                <w:rFonts w:cs="Times New Roman"/>
                <w:sz w:val="21"/>
                <w:szCs w:val="21"/>
              </w:rPr>
              <w:t xml:space="preserve"> </w:t>
            </w:r>
            <w:r>
              <w:rPr>
                <w:rFonts w:cs="Times New Roman"/>
                <w:i/>
                <w:iCs/>
                <w:sz w:val="21"/>
                <w:szCs w:val="21"/>
              </w:rPr>
              <w:t>L</w:t>
            </w:r>
            <w:r>
              <w:rPr>
                <w:rFonts w:cs="Times New Roman"/>
                <w:i/>
                <w:iCs/>
                <w:position w:val="-1"/>
                <w:sz w:val="21"/>
                <w:szCs w:val="21"/>
                <w:vertAlign w:val="subscript"/>
              </w:rPr>
              <w:t>n</w:t>
            </w:r>
            <w:r>
              <w:rPr>
                <w:rFonts w:cs="Times New Roman"/>
                <w:spacing w:val="51"/>
                <w:sz w:val="21"/>
                <w:szCs w:val="21"/>
              </w:rPr>
              <w:t>）</w:t>
            </w:r>
          </w:p>
        </w:tc>
      </w:tr>
    </w:tbl>
    <w:p w:rsidR="00C645C9" w:rsidRDefault="00C645C9">
      <w:pPr>
        <w:pStyle w:val="ad"/>
        <w:sectPr w:rsidR="00C645C9">
          <w:pgSz w:w="16838" w:h="11905" w:orient="landscape"/>
          <w:pgMar w:top="1800" w:right="1440" w:bottom="1800" w:left="1440" w:header="935" w:footer="1134" w:gutter="0"/>
          <w:cols w:space="720"/>
          <w:docGrid w:linePitch="312"/>
        </w:sectPr>
      </w:pP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43" w:name="_Toc297590925"/>
      <w:bookmarkStart w:id="144" w:name="_Toc374724176"/>
      <w:bookmarkStart w:id="145" w:name="_Toc93507157"/>
      <w:bookmarkStart w:id="146" w:name="_Toc280954980"/>
      <w:bookmarkStart w:id="147" w:name="_Toc30807"/>
      <w:bookmarkStart w:id="148" w:name="_Toc361761822"/>
      <w:bookmarkStart w:id="149" w:name="_Toc508291878"/>
      <w:bookmarkStart w:id="150" w:name="_Toc68025005"/>
      <w:bookmarkStart w:id="151" w:name="_Toc353966730"/>
      <w:bookmarkStart w:id="152" w:name="_Toc297590772"/>
      <w:bookmarkStart w:id="153" w:name="_Toc280954903"/>
      <w:bookmarkStart w:id="154" w:name="_Toc412"/>
      <w:r>
        <w:rPr>
          <w:rFonts w:ascii="Times New Roman" w:hAnsi="Times New Roman" w:cs="Times New Roman"/>
          <w:color w:val="auto"/>
          <w:lang w:eastAsia="zh-CN"/>
        </w:rPr>
        <w:lastRenderedPageBreak/>
        <w:t>2.4</w:t>
      </w:r>
      <w:bookmarkEnd w:id="143"/>
      <w:bookmarkEnd w:id="144"/>
      <w:bookmarkEnd w:id="145"/>
      <w:bookmarkEnd w:id="146"/>
      <w:bookmarkEnd w:id="147"/>
      <w:bookmarkEnd w:id="148"/>
      <w:bookmarkEnd w:id="149"/>
      <w:bookmarkEnd w:id="150"/>
      <w:bookmarkEnd w:id="151"/>
      <w:bookmarkEnd w:id="152"/>
      <w:bookmarkEnd w:id="153"/>
      <w:r>
        <w:rPr>
          <w:rFonts w:ascii="Times New Roman" w:hAnsi="Times New Roman" w:cs="Times New Roman"/>
          <w:color w:val="auto"/>
          <w:lang w:eastAsia="zh-CN"/>
        </w:rPr>
        <w:t>环境功能区划及评价标准</w:t>
      </w:r>
      <w:bookmarkEnd w:id="154"/>
    </w:p>
    <w:p w:rsidR="00C645C9" w:rsidRDefault="00F955D9">
      <w:pPr>
        <w:pStyle w:val="32"/>
        <w:adjustRightInd w:val="0"/>
        <w:snapToGrid w:val="0"/>
        <w:spacing w:before="0" w:after="0"/>
        <w:rPr>
          <w:color w:val="auto"/>
          <w:lang w:eastAsia="zh-CN"/>
        </w:rPr>
      </w:pPr>
      <w:bookmarkStart w:id="155" w:name="OLE_LINK475"/>
      <w:r>
        <w:rPr>
          <w:color w:val="auto"/>
          <w:lang w:eastAsia="zh-CN"/>
        </w:rPr>
        <w:t>2.4.1</w:t>
      </w:r>
      <w:r>
        <w:rPr>
          <w:color w:val="auto"/>
          <w:lang w:eastAsia="zh-CN"/>
        </w:rPr>
        <w:t>环境功能区划</w:t>
      </w:r>
    </w:p>
    <w:bookmarkEnd w:id="155"/>
    <w:p w:rsidR="00C645C9" w:rsidRDefault="00F955D9">
      <w:pPr>
        <w:pStyle w:val="32"/>
        <w:adjustRightInd w:val="0"/>
        <w:snapToGrid w:val="0"/>
        <w:spacing w:before="0" w:after="0"/>
        <w:ind w:firstLineChars="200" w:firstLine="480"/>
        <w:rPr>
          <w:b w:val="0"/>
          <w:bCs/>
          <w:color w:val="auto"/>
          <w:sz w:val="24"/>
          <w:szCs w:val="24"/>
          <w:lang w:eastAsia="zh-CN"/>
        </w:rPr>
      </w:pPr>
      <w:r>
        <w:rPr>
          <w:rFonts w:hint="eastAsia"/>
          <w:b w:val="0"/>
          <w:bCs/>
          <w:color w:val="auto"/>
          <w:sz w:val="24"/>
          <w:szCs w:val="24"/>
          <w:lang w:eastAsia="zh-CN"/>
        </w:rPr>
        <w:t>（</w:t>
      </w:r>
      <w:r>
        <w:rPr>
          <w:rFonts w:hint="eastAsia"/>
          <w:b w:val="0"/>
          <w:bCs/>
          <w:color w:val="auto"/>
          <w:sz w:val="24"/>
          <w:szCs w:val="24"/>
          <w:lang w:eastAsia="zh-CN"/>
        </w:rPr>
        <w:t>1</w:t>
      </w:r>
      <w:r>
        <w:rPr>
          <w:rFonts w:hint="eastAsia"/>
          <w:b w:val="0"/>
          <w:bCs/>
          <w:color w:val="auto"/>
          <w:sz w:val="24"/>
          <w:szCs w:val="24"/>
          <w:lang w:eastAsia="zh-CN"/>
        </w:rPr>
        <w:t>）</w:t>
      </w:r>
      <w:r>
        <w:rPr>
          <w:b w:val="0"/>
          <w:bCs/>
          <w:color w:val="auto"/>
          <w:sz w:val="24"/>
          <w:szCs w:val="24"/>
          <w:lang w:eastAsia="zh-CN"/>
        </w:rPr>
        <w:t>生态环境</w:t>
      </w:r>
    </w:p>
    <w:p w:rsidR="00C645C9" w:rsidRDefault="00F955D9">
      <w:pPr>
        <w:adjustRightInd w:val="0"/>
        <w:snapToGrid w:val="0"/>
        <w:spacing w:line="360" w:lineRule="auto"/>
        <w:ind w:firstLineChars="200" w:firstLine="480"/>
        <w:jc w:val="both"/>
        <w:rPr>
          <w:rFonts w:cs="Times New Roman"/>
          <w:bCs/>
        </w:rPr>
      </w:pPr>
      <w:r>
        <w:rPr>
          <w:rFonts w:cs="Times New Roman"/>
          <w:bCs/>
          <w:snapToGrid w:val="0"/>
        </w:rPr>
        <w:t>根据《</w:t>
      </w:r>
      <w:bookmarkStart w:id="156" w:name="OLE_LINK44"/>
      <w:r>
        <w:rPr>
          <w:rFonts w:cs="Times New Roman"/>
          <w:bCs/>
          <w:snapToGrid w:val="0"/>
        </w:rPr>
        <w:t>新疆生态功能区划</w:t>
      </w:r>
      <w:bookmarkEnd w:id="156"/>
      <w:r>
        <w:rPr>
          <w:rFonts w:cs="Times New Roman"/>
          <w:bCs/>
          <w:snapToGrid w:val="0"/>
        </w:rPr>
        <w:t>》</w:t>
      </w:r>
      <w:r>
        <w:rPr>
          <w:rFonts w:cs="Times New Roman"/>
          <w:bCs/>
          <w:snapToGrid w:val="0"/>
        </w:rPr>
        <w:t>（</w:t>
      </w:r>
      <w:r>
        <w:rPr>
          <w:rFonts w:cs="Times New Roman"/>
          <w:bCs/>
          <w:snapToGrid w:val="0"/>
        </w:rPr>
        <w:t>2005</w:t>
      </w:r>
      <w:r>
        <w:rPr>
          <w:rFonts w:cs="Times New Roman"/>
          <w:bCs/>
          <w:snapToGrid w:val="0"/>
        </w:rPr>
        <w:t>版）</w:t>
      </w:r>
      <w:r>
        <w:rPr>
          <w:rFonts w:cs="Times New Roman"/>
          <w:bCs/>
          <w:snapToGrid w:val="0"/>
        </w:rPr>
        <w:t>，</w:t>
      </w:r>
      <w:r>
        <w:rPr>
          <w:rFonts w:cs="Times New Roman"/>
          <w:bCs/>
        </w:rPr>
        <w:t>本工程所在区域属于</w:t>
      </w:r>
      <w:bookmarkStart w:id="157" w:name="OLE_LINK45"/>
      <w:r>
        <w:rPr>
          <w:rFonts w:cs="Times New Roman"/>
          <w:bCs/>
        </w:rPr>
        <w:t>塔里木盆地暖温带极干旱沙漠</w:t>
      </w:r>
      <w:bookmarkEnd w:id="157"/>
      <w:r>
        <w:rPr>
          <w:rFonts w:cs="Times New Roman"/>
          <w:bCs/>
        </w:rPr>
        <w:t>、戈壁及绿洲农业生态区</w:t>
      </w:r>
      <w:r>
        <w:rPr>
          <w:rFonts w:cs="Times New Roman" w:hint="eastAsia"/>
          <w:bCs/>
        </w:rPr>
        <w:t>（</w:t>
      </w:r>
      <w:r>
        <w:rPr>
          <w:rFonts w:cs="Times New Roman"/>
          <w:bCs/>
        </w:rPr>
        <w:t>Ⅳ</w:t>
      </w:r>
      <w:r>
        <w:rPr>
          <w:rFonts w:cs="Times New Roman" w:hint="eastAsia"/>
          <w:bCs/>
        </w:rPr>
        <w:t>）</w:t>
      </w:r>
      <w:r>
        <w:rPr>
          <w:rFonts w:cs="Times New Roman"/>
          <w:bCs/>
        </w:rPr>
        <w:t>，塔里木盆地西部和北部荒漠、绿洲农业生态亚区</w:t>
      </w:r>
      <w:r>
        <w:rPr>
          <w:rFonts w:cs="Times New Roman" w:hint="eastAsia"/>
          <w:bCs/>
        </w:rPr>
        <w:t>（</w:t>
      </w:r>
      <w:r>
        <w:rPr>
          <w:rFonts w:cs="Times New Roman"/>
          <w:bCs/>
        </w:rPr>
        <w:t>Ⅳ</w:t>
      </w:r>
      <w:r>
        <w:rPr>
          <w:rFonts w:cs="Times New Roman"/>
          <w:bCs/>
          <w:vertAlign w:val="subscript"/>
        </w:rPr>
        <w:t>1</w:t>
      </w:r>
      <w:r>
        <w:rPr>
          <w:rFonts w:cs="Times New Roman" w:hint="eastAsia"/>
          <w:bCs/>
        </w:rPr>
        <w:t>）</w:t>
      </w:r>
      <w:r>
        <w:rPr>
          <w:rFonts w:cs="Times New Roman"/>
          <w:bCs/>
        </w:rPr>
        <w:t>，渭干河三角洲荒漠</w:t>
      </w:r>
      <w:r>
        <w:rPr>
          <w:rFonts w:cs="Times New Roman"/>
          <w:bCs/>
        </w:rPr>
        <w:t>—</w:t>
      </w:r>
      <w:r>
        <w:rPr>
          <w:rFonts w:cs="Times New Roman"/>
          <w:bCs/>
        </w:rPr>
        <w:t>绿洲农业、盐渍化敏感生态功能区</w:t>
      </w:r>
      <w:r>
        <w:rPr>
          <w:rFonts w:cs="Times New Roman" w:hint="eastAsia"/>
          <w:bCs/>
        </w:rPr>
        <w:t>（</w:t>
      </w:r>
      <w:r>
        <w:rPr>
          <w:rFonts w:cs="Times New Roman"/>
          <w:bCs/>
        </w:rPr>
        <w:t>55</w:t>
      </w:r>
      <w:r>
        <w:rPr>
          <w:rFonts w:cs="Times New Roman" w:hint="eastAsia"/>
          <w:bCs/>
        </w:rPr>
        <w:t>）</w:t>
      </w:r>
      <w:r>
        <w:rPr>
          <w:rFonts w:cs="Times New Roman"/>
          <w:bCs/>
          <w:snapToGrid w:val="0"/>
        </w:rPr>
        <w:t>。</w:t>
      </w:r>
    </w:p>
    <w:p w:rsidR="00C645C9" w:rsidRDefault="00F955D9">
      <w:pPr>
        <w:adjustRightInd w:val="0"/>
        <w:snapToGrid w:val="0"/>
        <w:spacing w:line="360" w:lineRule="auto"/>
        <w:ind w:firstLineChars="200" w:firstLine="480"/>
        <w:jc w:val="both"/>
      </w:pPr>
      <w:r>
        <w:rPr>
          <w:rFonts w:cs="Times New Roman"/>
        </w:rPr>
        <w:t>根据</w:t>
      </w:r>
      <w:bookmarkStart w:id="158" w:name="OLE_LINK47"/>
      <w:r>
        <w:rPr>
          <w:rFonts w:cs="Times New Roman"/>
        </w:rPr>
        <w:t>新水水保</w:t>
      </w:r>
      <w:bookmarkStart w:id="159" w:name="OLE_LINK46"/>
      <w:r>
        <w:rPr>
          <w:rFonts w:cs="Times New Roman"/>
        </w:rPr>
        <w:t>〔</w:t>
      </w:r>
      <w:r>
        <w:rPr>
          <w:rFonts w:cs="Times New Roman"/>
        </w:rPr>
        <w:t>2019</w:t>
      </w:r>
      <w:r>
        <w:rPr>
          <w:rFonts w:cs="Times New Roman"/>
        </w:rPr>
        <w:t>〕</w:t>
      </w:r>
      <w:r>
        <w:rPr>
          <w:rFonts w:cs="Times New Roman"/>
        </w:rPr>
        <w:t>4</w:t>
      </w:r>
      <w:r>
        <w:rPr>
          <w:rFonts w:cs="Times New Roman"/>
        </w:rPr>
        <w:t>号</w:t>
      </w:r>
      <w:bookmarkEnd w:id="158"/>
      <w:bookmarkEnd w:id="159"/>
      <w:r>
        <w:rPr>
          <w:rFonts w:cs="Times New Roman"/>
        </w:rPr>
        <w:t>，水土流失重点预防区和重点治理区复核划分成果，本工程所在区域新和县属于塔里木河流域水土流失重点治理区范围</w:t>
      </w:r>
      <w:r>
        <w:rPr>
          <w:rFonts w:cs="Times New Roman"/>
          <w:snapToGrid w:val="0"/>
        </w:rPr>
        <w:t>。</w:t>
      </w:r>
    </w:p>
    <w:p w:rsidR="00C645C9" w:rsidRDefault="00F955D9">
      <w:pPr>
        <w:pStyle w:val="32"/>
        <w:adjustRightInd w:val="0"/>
        <w:snapToGrid w:val="0"/>
        <w:spacing w:before="0" w:after="0"/>
        <w:ind w:firstLineChars="200" w:firstLine="480"/>
        <w:rPr>
          <w:b w:val="0"/>
          <w:bCs/>
          <w:color w:val="auto"/>
          <w:sz w:val="24"/>
          <w:szCs w:val="24"/>
          <w:lang w:eastAsia="zh-CN"/>
        </w:rPr>
      </w:pPr>
      <w:r>
        <w:rPr>
          <w:rFonts w:hint="eastAsia"/>
          <w:b w:val="0"/>
          <w:bCs/>
          <w:color w:val="auto"/>
          <w:sz w:val="24"/>
          <w:szCs w:val="24"/>
          <w:lang w:eastAsia="zh-CN"/>
        </w:rPr>
        <w:t>（</w:t>
      </w:r>
      <w:r>
        <w:rPr>
          <w:rFonts w:hint="eastAsia"/>
          <w:b w:val="0"/>
          <w:bCs/>
          <w:color w:val="auto"/>
          <w:sz w:val="24"/>
          <w:szCs w:val="24"/>
          <w:lang w:eastAsia="zh-CN"/>
        </w:rPr>
        <w:t>2</w:t>
      </w:r>
      <w:r>
        <w:rPr>
          <w:rFonts w:hint="eastAsia"/>
          <w:b w:val="0"/>
          <w:bCs/>
          <w:color w:val="auto"/>
          <w:sz w:val="24"/>
          <w:szCs w:val="24"/>
          <w:lang w:eastAsia="zh-CN"/>
        </w:rPr>
        <w:t>）</w:t>
      </w:r>
      <w:r>
        <w:rPr>
          <w:b w:val="0"/>
          <w:bCs/>
          <w:color w:val="auto"/>
          <w:sz w:val="24"/>
          <w:szCs w:val="24"/>
          <w:lang w:eastAsia="zh-CN"/>
        </w:rPr>
        <w:t>水环境</w:t>
      </w:r>
    </w:p>
    <w:p w:rsidR="00C645C9" w:rsidRDefault="00F955D9">
      <w:pPr>
        <w:adjustRightInd w:val="0"/>
        <w:snapToGrid w:val="0"/>
        <w:spacing w:line="360" w:lineRule="auto"/>
        <w:ind w:firstLine="480"/>
        <w:rPr>
          <w:rFonts w:cs="Times New Roman"/>
          <w:bCs/>
        </w:rPr>
      </w:pPr>
      <w:bookmarkStart w:id="160" w:name="OLE_LINK41"/>
      <w:r>
        <w:rPr>
          <w:rFonts w:cs="Times New Roman" w:hint="eastAsia"/>
          <w:bCs/>
        </w:rPr>
        <w:t>本工程</w:t>
      </w:r>
      <w:r>
        <w:rPr>
          <w:rFonts w:cs="Times New Roman"/>
          <w:bCs/>
        </w:rPr>
        <w:t>所在区域</w:t>
      </w:r>
      <w:bookmarkEnd w:id="160"/>
      <w:r>
        <w:rPr>
          <w:rFonts w:cs="Times New Roman"/>
          <w:bCs/>
        </w:rPr>
        <w:t>周边</w:t>
      </w:r>
      <w:r>
        <w:rPr>
          <w:rFonts w:cs="Times New Roman"/>
          <w:bCs/>
        </w:rPr>
        <w:t>5km</w:t>
      </w:r>
      <w:r>
        <w:rPr>
          <w:rFonts w:cs="Times New Roman"/>
          <w:bCs/>
        </w:rPr>
        <w:t>范围内无地表水体，距离塔里木河约</w:t>
      </w:r>
      <w:r>
        <w:rPr>
          <w:rFonts w:cs="Times New Roman" w:hint="eastAsia"/>
          <w:bCs/>
        </w:rPr>
        <w:t>62</w:t>
      </w:r>
      <w:r>
        <w:rPr>
          <w:rFonts w:cs="Times New Roman"/>
          <w:bCs/>
        </w:rPr>
        <w:t>km</w:t>
      </w:r>
      <w:r>
        <w:rPr>
          <w:rFonts w:cs="Times New Roman" w:hint="eastAsia"/>
          <w:bCs/>
        </w:rPr>
        <w:t>，</w:t>
      </w:r>
      <w:r>
        <w:rPr>
          <w:rFonts w:cs="Times New Roman"/>
          <w:bCs/>
        </w:rPr>
        <w:t>不对区域内地表水进行现状调查。</w:t>
      </w:r>
    </w:p>
    <w:p w:rsidR="00C645C9" w:rsidRDefault="00F955D9">
      <w:pPr>
        <w:adjustRightInd w:val="0"/>
        <w:snapToGrid w:val="0"/>
        <w:spacing w:line="360" w:lineRule="auto"/>
        <w:ind w:firstLine="480"/>
        <w:rPr>
          <w:rFonts w:cs="Times New Roman"/>
          <w:bCs/>
        </w:rPr>
      </w:pPr>
      <w:r>
        <w:rPr>
          <w:rFonts w:cs="Times New Roman"/>
          <w:bCs/>
        </w:rPr>
        <w:t>根据《</w:t>
      </w:r>
      <w:bookmarkStart w:id="161" w:name="OLE_LINK40"/>
      <w:r>
        <w:rPr>
          <w:rFonts w:cs="Times New Roman"/>
          <w:bCs/>
        </w:rPr>
        <w:t>地下水质量标准</w:t>
      </w:r>
      <w:bookmarkEnd w:id="161"/>
      <w:r>
        <w:rPr>
          <w:rFonts w:cs="Times New Roman"/>
          <w:bCs/>
        </w:rPr>
        <w:t>》（</w:t>
      </w:r>
      <w:r>
        <w:rPr>
          <w:rFonts w:cs="Times New Roman"/>
          <w:bCs/>
        </w:rPr>
        <w:t>GB/T14848-2017</w:t>
      </w:r>
      <w:r>
        <w:rPr>
          <w:rFonts w:cs="Times New Roman"/>
          <w:bCs/>
        </w:rPr>
        <w:t>）中地下水</w:t>
      </w:r>
      <w:r>
        <w:rPr>
          <w:rFonts w:cs="Times New Roman" w:hint="eastAsia"/>
          <w:bCs/>
        </w:rPr>
        <w:t>质量</w:t>
      </w:r>
      <w:r>
        <w:rPr>
          <w:rFonts w:cs="Times New Roman"/>
          <w:bCs/>
        </w:rPr>
        <w:t>分类标准，</w:t>
      </w:r>
      <w:r>
        <w:rPr>
          <w:rFonts w:cs="Times New Roman" w:hint="eastAsia"/>
          <w:bCs/>
        </w:rPr>
        <w:t>本工程</w:t>
      </w:r>
      <w:r>
        <w:rPr>
          <w:rFonts w:cs="Times New Roman"/>
          <w:bCs/>
        </w:rPr>
        <w:t>所在区域</w:t>
      </w:r>
      <w:r>
        <w:rPr>
          <w:rFonts w:cs="Times New Roman"/>
          <w:bCs/>
        </w:rPr>
        <w:t>的</w:t>
      </w:r>
      <w:r>
        <w:rPr>
          <w:rFonts w:cs="Times New Roman"/>
          <w:bCs/>
        </w:rPr>
        <w:t>地下水</w:t>
      </w:r>
      <w:r>
        <w:rPr>
          <w:rFonts w:cs="Times New Roman" w:hint="eastAsia"/>
          <w:bCs/>
        </w:rPr>
        <w:t>质量属于</w:t>
      </w:r>
      <w:r>
        <w:rPr>
          <w:rFonts w:cs="Times New Roman"/>
          <w:bCs/>
        </w:rPr>
        <w:t>Ⅲ</w:t>
      </w:r>
      <w:r>
        <w:rPr>
          <w:rFonts w:cs="Times New Roman"/>
          <w:bCs/>
        </w:rPr>
        <w:t>类功能区</w:t>
      </w:r>
      <w:r>
        <w:rPr>
          <w:rFonts w:cs="Times New Roman"/>
          <w:bCs/>
        </w:rPr>
        <w:t>。</w:t>
      </w:r>
    </w:p>
    <w:p w:rsidR="00C645C9" w:rsidRDefault="00F955D9">
      <w:pPr>
        <w:pStyle w:val="32"/>
        <w:adjustRightInd w:val="0"/>
        <w:snapToGrid w:val="0"/>
        <w:spacing w:before="0" w:after="0"/>
        <w:ind w:firstLineChars="200" w:firstLine="480"/>
        <w:rPr>
          <w:b w:val="0"/>
          <w:bCs/>
          <w:color w:val="auto"/>
          <w:sz w:val="24"/>
          <w:szCs w:val="24"/>
          <w:lang w:eastAsia="zh-CN"/>
        </w:rPr>
      </w:pPr>
      <w:r>
        <w:rPr>
          <w:rFonts w:hint="eastAsia"/>
          <w:b w:val="0"/>
          <w:bCs/>
          <w:color w:val="auto"/>
          <w:sz w:val="24"/>
          <w:szCs w:val="24"/>
          <w:lang w:eastAsia="zh-CN"/>
        </w:rPr>
        <w:t>（</w:t>
      </w:r>
      <w:r>
        <w:rPr>
          <w:rFonts w:hint="eastAsia"/>
          <w:b w:val="0"/>
          <w:bCs/>
          <w:color w:val="auto"/>
          <w:sz w:val="24"/>
          <w:szCs w:val="24"/>
          <w:lang w:eastAsia="zh-CN"/>
        </w:rPr>
        <w:t>3</w:t>
      </w:r>
      <w:r>
        <w:rPr>
          <w:rFonts w:hint="eastAsia"/>
          <w:b w:val="0"/>
          <w:bCs/>
          <w:color w:val="auto"/>
          <w:sz w:val="24"/>
          <w:szCs w:val="24"/>
          <w:lang w:eastAsia="zh-CN"/>
        </w:rPr>
        <w:t>）大气环境</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本</w:t>
      </w:r>
      <w:r>
        <w:rPr>
          <w:rFonts w:cs="Times New Roman" w:hint="eastAsia"/>
          <w:bCs/>
        </w:rPr>
        <w:t>工程</w:t>
      </w:r>
      <w:r>
        <w:rPr>
          <w:rFonts w:cs="Times New Roman"/>
          <w:bCs/>
        </w:rPr>
        <w:t>所在地位于新疆维吾尔自治区阿克苏地区</w:t>
      </w:r>
      <w:r>
        <w:rPr>
          <w:rFonts w:cs="Times New Roman" w:hint="eastAsia"/>
          <w:bCs/>
        </w:rPr>
        <w:t>新和</w:t>
      </w:r>
      <w:r>
        <w:rPr>
          <w:rFonts w:cs="Times New Roman"/>
          <w:bCs/>
        </w:rPr>
        <w:t>县</w:t>
      </w:r>
      <w:r>
        <w:rPr>
          <w:rFonts w:cs="Times New Roman"/>
          <w:bCs/>
        </w:rPr>
        <w:t>境内，属于</w:t>
      </w:r>
      <w:bookmarkStart w:id="162" w:name="OLE_LINK43"/>
      <w:r>
        <w:rPr>
          <w:rFonts w:cs="Times New Roman"/>
          <w:bCs/>
        </w:rPr>
        <w:t>油气勘探开发区域</w:t>
      </w:r>
      <w:bookmarkEnd w:id="162"/>
      <w:r>
        <w:rPr>
          <w:rFonts w:cs="Times New Roman"/>
          <w:bCs/>
        </w:rPr>
        <w:t>，按照</w:t>
      </w:r>
      <w:r>
        <w:rPr>
          <w:rFonts w:cs="Times New Roman"/>
          <w:bCs/>
        </w:rPr>
        <w:t>《</w:t>
      </w:r>
      <w:bookmarkStart w:id="163" w:name="OLE_LINK39"/>
      <w:r>
        <w:rPr>
          <w:rFonts w:cs="Times New Roman"/>
          <w:bCs/>
        </w:rPr>
        <w:t>环境空气质量标准</w:t>
      </w:r>
      <w:bookmarkEnd w:id="163"/>
      <w:r>
        <w:rPr>
          <w:rFonts w:cs="Times New Roman"/>
          <w:bCs/>
        </w:rPr>
        <w:t>》（</w:t>
      </w:r>
      <w:r>
        <w:rPr>
          <w:rFonts w:cs="Times New Roman"/>
          <w:bCs/>
        </w:rPr>
        <w:t>GB3095-2012</w:t>
      </w:r>
      <w:r>
        <w:rPr>
          <w:rFonts w:cs="Times New Roman"/>
          <w:bCs/>
        </w:rPr>
        <w:t>）</w:t>
      </w:r>
      <w:r>
        <w:rPr>
          <w:rFonts w:cs="Times New Roman" w:hint="eastAsia"/>
          <w:bCs/>
        </w:rPr>
        <w:t>要求</w:t>
      </w:r>
      <w:r>
        <w:rPr>
          <w:rFonts w:cs="Times New Roman"/>
          <w:bCs/>
        </w:rPr>
        <w:t>，</w:t>
      </w:r>
      <w:r>
        <w:rPr>
          <w:rFonts w:cs="Times New Roman" w:hint="eastAsia"/>
          <w:bCs/>
        </w:rPr>
        <w:t>本工程所在</w:t>
      </w:r>
      <w:r>
        <w:rPr>
          <w:rFonts w:cs="Times New Roman"/>
          <w:bCs/>
        </w:rPr>
        <w:t>区域</w:t>
      </w:r>
      <w:bookmarkStart w:id="164" w:name="OLE_LINK42"/>
      <w:r>
        <w:rPr>
          <w:rFonts w:cs="Times New Roman"/>
          <w:bCs/>
        </w:rPr>
        <w:t>的</w:t>
      </w:r>
      <w:bookmarkEnd w:id="164"/>
      <w:r>
        <w:rPr>
          <w:rFonts w:cs="Times New Roman"/>
          <w:bCs/>
        </w:rPr>
        <w:t>环境空气功能区属于二类功能区。</w:t>
      </w:r>
    </w:p>
    <w:p w:rsidR="00C645C9" w:rsidRDefault="00F955D9">
      <w:pPr>
        <w:pStyle w:val="32"/>
        <w:adjustRightInd w:val="0"/>
        <w:snapToGrid w:val="0"/>
        <w:spacing w:before="0" w:after="0"/>
        <w:ind w:firstLineChars="200" w:firstLine="480"/>
        <w:rPr>
          <w:b w:val="0"/>
          <w:bCs/>
          <w:color w:val="auto"/>
          <w:sz w:val="24"/>
          <w:szCs w:val="24"/>
          <w:lang w:eastAsia="zh-CN"/>
        </w:rPr>
      </w:pPr>
      <w:r>
        <w:rPr>
          <w:rFonts w:hint="eastAsia"/>
          <w:b w:val="0"/>
          <w:bCs/>
          <w:color w:val="auto"/>
          <w:sz w:val="24"/>
          <w:szCs w:val="24"/>
          <w:lang w:eastAsia="zh-CN"/>
        </w:rPr>
        <w:t>（</w:t>
      </w:r>
      <w:r>
        <w:rPr>
          <w:rFonts w:hint="eastAsia"/>
          <w:b w:val="0"/>
          <w:bCs/>
          <w:color w:val="auto"/>
          <w:sz w:val="24"/>
          <w:szCs w:val="24"/>
          <w:lang w:eastAsia="zh-CN"/>
        </w:rPr>
        <w:t>4</w:t>
      </w:r>
      <w:r>
        <w:rPr>
          <w:rFonts w:hint="eastAsia"/>
          <w:b w:val="0"/>
          <w:bCs/>
          <w:color w:val="auto"/>
          <w:sz w:val="24"/>
          <w:szCs w:val="24"/>
          <w:lang w:eastAsia="zh-CN"/>
        </w:rPr>
        <w:t>）</w:t>
      </w:r>
      <w:r>
        <w:rPr>
          <w:b w:val="0"/>
          <w:bCs/>
          <w:color w:val="auto"/>
          <w:sz w:val="24"/>
          <w:szCs w:val="24"/>
          <w:lang w:eastAsia="zh-CN"/>
        </w:rPr>
        <w:t>声环境</w:t>
      </w:r>
    </w:p>
    <w:p w:rsidR="00C645C9" w:rsidRDefault="00F955D9">
      <w:pPr>
        <w:adjustRightInd w:val="0"/>
        <w:snapToGrid w:val="0"/>
        <w:spacing w:line="360" w:lineRule="auto"/>
        <w:ind w:firstLine="480"/>
        <w:rPr>
          <w:rFonts w:cs="Times New Roman"/>
          <w:bCs/>
        </w:rPr>
      </w:pPr>
      <w:r>
        <w:rPr>
          <w:rFonts w:cs="Times New Roman" w:hint="eastAsia"/>
          <w:bCs/>
        </w:rPr>
        <w:t>本工程</w:t>
      </w:r>
      <w:r>
        <w:rPr>
          <w:rFonts w:cs="Times New Roman"/>
          <w:bCs/>
        </w:rPr>
        <w:t>所在区域</w:t>
      </w:r>
      <w:r>
        <w:rPr>
          <w:rFonts w:cs="Times New Roman"/>
          <w:bCs/>
        </w:rPr>
        <w:t>为</w:t>
      </w:r>
      <w:r>
        <w:rPr>
          <w:rFonts w:cs="Times New Roman"/>
          <w:bCs/>
        </w:rPr>
        <w:t>油气勘探开发区域</w:t>
      </w:r>
      <w:r>
        <w:rPr>
          <w:rFonts w:cs="Times New Roman"/>
          <w:bCs/>
        </w:rPr>
        <w:t>，目前暂未进行声环境功能区划，根据</w:t>
      </w:r>
      <w:bookmarkStart w:id="165" w:name="OLE_LINK124"/>
      <w:r>
        <w:rPr>
          <w:rFonts w:cs="Times New Roman"/>
          <w:bCs/>
        </w:rPr>
        <w:t>《声环境质量标准》（</w:t>
      </w:r>
      <w:r>
        <w:rPr>
          <w:rFonts w:cs="Times New Roman"/>
          <w:bCs/>
        </w:rPr>
        <w:t>GB3096-2008</w:t>
      </w:r>
      <w:r>
        <w:rPr>
          <w:rFonts w:cs="Times New Roman"/>
          <w:bCs/>
        </w:rPr>
        <w:t>）要求，划定为</w:t>
      </w:r>
      <w:r>
        <w:rPr>
          <w:rFonts w:cs="Times New Roman"/>
          <w:bCs/>
        </w:rPr>
        <w:t>2</w:t>
      </w:r>
      <w:r>
        <w:rPr>
          <w:rFonts w:cs="Times New Roman"/>
          <w:bCs/>
        </w:rPr>
        <w:t>类声环境功能区</w:t>
      </w:r>
      <w:bookmarkEnd w:id="165"/>
      <w:r>
        <w:rPr>
          <w:rFonts w:cs="Times New Roman"/>
          <w:bCs/>
        </w:rPr>
        <w:t>。</w:t>
      </w:r>
    </w:p>
    <w:p w:rsidR="00C645C9" w:rsidRDefault="00F955D9">
      <w:pPr>
        <w:pStyle w:val="32"/>
        <w:adjustRightInd w:val="0"/>
        <w:snapToGrid w:val="0"/>
        <w:spacing w:before="0" w:after="0"/>
        <w:rPr>
          <w:color w:val="auto"/>
          <w:lang w:eastAsia="zh-CN"/>
        </w:rPr>
      </w:pPr>
      <w:r>
        <w:rPr>
          <w:color w:val="auto"/>
          <w:lang w:eastAsia="zh-CN"/>
        </w:rPr>
        <w:t>2.</w:t>
      </w:r>
      <w:r>
        <w:rPr>
          <w:rFonts w:hint="eastAsia"/>
          <w:color w:val="auto"/>
          <w:lang w:eastAsia="zh-CN"/>
        </w:rPr>
        <w:t>4.2</w:t>
      </w:r>
      <w:r>
        <w:rPr>
          <w:color w:val="auto"/>
          <w:lang w:eastAsia="zh-CN"/>
        </w:rPr>
        <w:t>环境质量标准</w:t>
      </w:r>
    </w:p>
    <w:p w:rsidR="00C645C9" w:rsidRDefault="00F955D9">
      <w:pPr>
        <w:adjustRightInd w:val="0"/>
        <w:snapToGrid w:val="0"/>
        <w:spacing w:line="360" w:lineRule="auto"/>
        <w:ind w:firstLine="480"/>
        <w:rPr>
          <w:rFonts w:cs="Times New Roman"/>
        </w:rPr>
      </w:pPr>
      <w:r>
        <w:rPr>
          <w:rFonts w:cs="Times New Roman"/>
        </w:rPr>
        <w:t>根据</w:t>
      </w:r>
      <w:r>
        <w:rPr>
          <w:rFonts w:cs="Times New Roman" w:hint="eastAsia"/>
        </w:rPr>
        <w:t>本工程</w:t>
      </w:r>
      <w:r>
        <w:rPr>
          <w:rFonts w:cs="Times New Roman"/>
        </w:rPr>
        <w:t>所在区域的自然环境特点，采用以下评价因子及环境标准。</w:t>
      </w:r>
    </w:p>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hint="eastAsia"/>
        </w:rPr>
        <w:t>1</w:t>
      </w:r>
      <w:r>
        <w:rPr>
          <w:rFonts w:cs="Times New Roman"/>
        </w:rPr>
        <w:t>）</w:t>
      </w:r>
      <w:r>
        <w:rPr>
          <w:rFonts w:cs="Times New Roman"/>
        </w:rPr>
        <w:t>水环境</w:t>
      </w:r>
    </w:p>
    <w:p w:rsidR="00C645C9" w:rsidRDefault="00F955D9">
      <w:pPr>
        <w:adjustRightInd w:val="0"/>
        <w:snapToGrid w:val="0"/>
        <w:spacing w:line="360" w:lineRule="auto"/>
        <w:ind w:firstLine="480"/>
        <w:rPr>
          <w:rFonts w:cs="Times New Roman"/>
        </w:rPr>
      </w:pPr>
      <w:r>
        <w:rPr>
          <w:rFonts w:cs="Times New Roman"/>
        </w:rPr>
        <w:t>本</w:t>
      </w:r>
      <w:r>
        <w:rPr>
          <w:rFonts w:cs="Times New Roman" w:hint="eastAsia"/>
        </w:rPr>
        <w:t>工程</w:t>
      </w:r>
      <w:r>
        <w:rPr>
          <w:rFonts w:cs="Times New Roman"/>
        </w:rPr>
        <w:t>位于新疆维吾尔自治区</w:t>
      </w:r>
      <w:r>
        <w:rPr>
          <w:rFonts w:cs="Times New Roman" w:hint="eastAsia"/>
        </w:rPr>
        <w:t>阿克苏地区新和</w:t>
      </w:r>
      <w:r>
        <w:rPr>
          <w:rFonts w:cs="Times New Roman"/>
        </w:rPr>
        <w:t>县</w:t>
      </w:r>
      <w:r>
        <w:rPr>
          <w:rFonts w:cs="Times New Roman"/>
        </w:rPr>
        <w:t>境内。地下水执行《</w:t>
      </w:r>
      <w:bookmarkStart w:id="166" w:name="OLE_LINK52"/>
      <w:r>
        <w:rPr>
          <w:rFonts w:cs="Times New Roman"/>
        </w:rPr>
        <w:t>地下水质量标准</w:t>
      </w:r>
      <w:bookmarkEnd w:id="166"/>
      <w:r>
        <w:rPr>
          <w:rFonts w:cs="Times New Roman"/>
        </w:rPr>
        <w:t>》（</w:t>
      </w:r>
      <w:r>
        <w:rPr>
          <w:rFonts w:cs="Times New Roman"/>
        </w:rPr>
        <w:t>GB/T14848-2017</w:t>
      </w:r>
      <w:r>
        <w:rPr>
          <w:rFonts w:cs="Times New Roman"/>
        </w:rPr>
        <w:t>）</w:t>
      </w:r>
      <w:r>
        <w:rPr>
          <w:rFonts w:cs="Times New Roman" w:hint="eastAsia"/>
        </w:rPr>
        <w:t>表</w:t>
      </w:r>
      <w:r>
        <w:rPr>
          <w:rFonts w:cs="Times New Roman" w:hint="eastAsia"/>
        </w:rPr>
        <w:t>1</w:t>
      </w:r>
      <w:r>
        <w:rPr>
          <w:rFonts w:cs="Times New Roman"/>
        </w:rPr>
        <w:t>中的</w:t>
      </w:r>
      <w:bookmarkStart w:id="167" w:name="OLE_LINK66"/>
      <w:r>
        <w:rPr>
          <w:rFonts w:cs="Times New Roman"/>
        </w:rPr>
        <w:t>Ⅲ</w:t>
      </w:r>
      <w:r>
        <w:rPr>
          <w:rFonts w:cs="Times New Roman"/>
        </w:rPr>
        <w:t>类水质标准</w:t>
      </w:r>
      <w:bookmarkEnd w:id="167"/>
      <w:r>
        <w:rPr>
          <w:rFonts w:cs="Times New Roman"/>
        </w:rPr>
        <w:t>。石油类参照《地表水环境质量标准》（</w:t>
      </w:r>
      <w:r>
        <w:rPr>
          <w:rFonts w:cs="Times New Roman"/>
        </w:rPr>
        <w:t>GB3838-2002</w:t>
      </w:r>
      <w:r>
        <w:rPr>
          <w:rFonts w:cs="Times New Roman"/>
        </w:rPr>
        <w:t>）</w:t>
      </w:r>
      <w:bookmarkStart w:id="168" w:name="OLE_LINK61"/>
      <w:r>
        <w:rPr>
          <w:rFonts w:cs="Times New Roman" w:hint="eastAsia"/>
        </w:rPr>
        <w:t>表</w:t>
      </w:r>
      <w:r>
        <w:rPr>
          <w:rFonts w:cs="Times New Roman" w:hint="eastAsia"/>
        </w:rPr>
        <w:t>1</w:t>
      </w:r>
      <w:r>
        <w:rPr>
          <w:rFonts w:cs="Times New Roman"/>
        </w:rPr>
        <w:t>中的</w:t>
      </w:r>
      <w:bookmarkStart w:id="169" w:name="OLE_LINK65"/>
      <w:bookmarkEnd w:id="168"/>
      <w:r>
        <w:rPr>
          <w:rFonts w:cs="Times New Roman"/>
        </w:rPr>
        <w:t>Ⅲ</w:t>
      </w:r>
      <w:r>
        <w:rPr>
          <w:rFonts w:cs="Times New Roman"/>
        </w:rPr>
        <w:t>类标准</w:t>
      </w:r>
      <w:bookmarkEnd w:id="169"/>
      <w:r>
        <w:rPr>
          <w:rFonts w:cs="Times New Roman"/>
        </w:rPr>
        <w:t>。有关标准限值见表</w:t>
      </w:r>
      <w:r>
        <w:rPr>
          <w:rFonts w:cs="Times New Roman"/>
        </w:rPr>
        <w:t>2.</w:t>
      </w:r>
      <w:r>
        <w:rPr>
          <w:rFonts w:cs="Times New Roman" w:hint="eastAsia"/>
        </w:rPr>
        <w:t>4</w:t>
      </w:r>
      <w:r>
        <w:rPr>
          <w:rFonts w:cs="Times New Roman"/>
        </w:rPr>
        <w:t>-</w:t>
      </w:r>
      <w:r>
        <w:rPr>
          <w:rFonts w:cs="Times New Roman" w:hint="eastAsia"/>
        </w:rPr>
        <w:t>1</w:t>
      </w:r>
      <w:r>
        <w:rPr>
          <w:rFonts w:cs="Times New Roman"/>
        </w:rPr>
        <w:t>和</w:t>
      </w:r>
      <w:r>
        <w:rPr>
          <w:rFonts w:cs="Times New Roman"/>
        </w:rPr>
        <w:t>表</w:t>
      </w:r>
      <w:r>
        <w:rPr>
          <w:rFonts w:cs="Times New Roman"/>
        </w:rPr>
        <w:t>2.</w:t>
      </w:r>
      <w:r>
        <w:rPr>
          <w:rFonts w:cs="Times New Roman" w:hint="eastAsia"/>
        </w:rPr>
        <w:t>4</w:t>
      </w:r>
      <w:r>
        <w:rPr>
          <w:rFonts w:cs="Times New Roman"/>
        </w:rPr>
        <w:t>-</w:t>
      </w:r>
      <w:r>
        <w:rPr>
          <w:rFonts w:cs="Times New Roman" w:hint="eastAsia"/>
        </w:rPr>
        <w:t>2</w:t>
      </w:r>
      <w:r>
        <w:rPr>
          <w:rFonts w:cs="Times New Roman"/>
        </w:rPr>
        <w:t>。</w:t>
      </w:r>
    </w:p>
    <w:p w:rsidR="00C645C9" w:rsidRDefault="00F955D9">
      <w:pPr>
        <w:pStyle w:val="af9"/>
        <w:adjustRightInd w:val="0"/>
        <w:snapToGrid w:val="0"/>
        <w:spacing w:line="240" w:lineRule="auto"/>
      </w:pPr>
      <w:r>
        <w:rPr>
          <w:rFonts w:eastAsia="黑体"/>
          <w:b w:val="0"/>
          <w:bCs/>
        </w:rPr>
        <w:t>表</w:t>
      </w:r>
      <w:r>
        <w:rPr>
          <w:rFonts w:eastAsia="黑体"/>
          <w:b w:val="0"/>
          <w:bCs/>
        </w:rPr>
        <w:t>2.</w:t>
      </w:r>
      <w:r>
        <w:rPr>
          <w:rFonts w:eastAsia="黑体" w:hint="eastAsia"/>
          <w:b w:val="0"/>
          <w:bCs/>
        </w:rPr>
        <w:t>4</w:t>
      </w:r>
      <w:r>
        <w:rPr>
          <w:rFonts w:eastAsia="黑体"/>
          <w:b w:val="0"/>
          <w:bCs/>
        </w:rPr>
        <w:t>-</w:t>
      </w:r>
      <w:r>
        <w:rPr>
          <w:rFonts w:eastAsia="黑体" w:hint="eastAsia"/>
          <w:b w:val="0"/>
          <w:bCs/>
        </w:rPr>
        <w:t>1</w:t>
      </w:r>
      <w:r>
        <w:rPr>
          <w:rFonts w:eastAsia="黑体"/>
          <w:b w:val="0"/>
          <w:bCs/>
        </w:rPr>
        <w:t xml:space="preserve">   </w:t>
      </w:r>
      <w:r>
        <w:rPr>
          <w:rFonts w:eastAsia="黑体"/>
          <w:b w:val="0"/>
          <w:bCs/>
        </w:rPr>
        <w:t>《</w:t>
      </w:r>
      <w:bookmarkStart w:id="170" w:name="OLE_LINK58"/>
      <w:r>
        <w:rPr>
          <w:rFonts w:eastAsia="黑体"/>
          <w:b w:val="0"/>
          <w:bCs/>
        </w:rPr>
        <w:t>地表水环境质量标准</w:t>
      </w:r>
      <w:bookmarkEnd w:id="170"/>
      <w:r>
        <w:rPr>
          <w:rFonts w:eastAsia="黑体"/>
          <w:b w:val="0"/>
          <w:bCs/>
        </w:rPr>
        <w:t>》（</w:t>
      </w:r>
      <w:r>
        <w:rPr>
          <w:rFonts w:eastAsia="黑体"/>
          <w:b w:val="0"/>
          <w:bCs/>
        </w:rPr>
        <w:t>GB3838-2002</w:t>
      </w:r>
      <w:r>
        <w:rPr>
          <w:rFonts w:eastAsia="黑体"/>
          <w:b w:val="0"/>
          <w:bCs/>
        </w:rPr>
        <w:t>）</w:t>
      </w:r>
      <w:r>
        <w:rPr>
          <w:rFonts w:eastAsia="黑体"/>
          <w:b w:val="0"/>
          <w:bCs/>
        </w:rPr>
        <w:t>III</w:t>
      </w:r>
      <w:r>
        <w:rPr>
          <w:rFonts w:eastAsia="黑体"/>
          <w:b w:val="0"/>
          <w:bCs/>
        </w:rPr>
        <w:t>类标准</w:t>
      </w:r>
      <w:r>
        <w:rPr>
          <w:rFonts w:eastAsia="黑体"/>
          <w:b w:val="0"/>
          <w:bCs/>
        </w:rPr>
        <w:t xml:space="preserve">  </w:t>
      </w:r>
      <w:r>
        <w:rPr>
          <w:rFonts w:eastAsia="黑体"/>
          <w:b w:val="0"/>
          <w:bCs/>
        </w:rPr>
        <w:t>单位：</w:t>
      </w:r>
      <w:r>
        <w:rPr>
          <w:rFonts w:eastAsia="黑体"/>
          <w:b w:val="0"/>
          <w:bCs/>
        </w:rPr>
        <w:t>mg/L</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443"/>
        <w:gridCol w:w="1150"/>
        <w:gridCol w:w="653"/>
        <w:gridCol w:w="2165"/>
        <w:gridCol w:w="1437"/>
      </w:tblGrid>
      <w:tr w:rsidR="00C645C9">
        <w:trPr>
          <w:cantSplit/>
          <w:trHeight w:val="33"/>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序号</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监测项目</w:t>
            </w:r>
          </w:p>
        </w:tc>
        <w:tc>
          <w:tcPr>
            <w:tcW w:w="1150" w:type="dxa"/>
            <w:tcBorders>
              <w:top w:val="single" w:sz="4" w:space="0" w:color="auto"/>
              <w:left w:val="single" w:sz="4" w:space="0" w:color="auto"/>
            </w:tcBorders>
            <w:vAlign w:val="center"/>
          </w:tcPr>
          <w:p w:rsidR="00C645C9" w:rsidRDefault="00F955D9">
            <w:pPr>
              <w:pStyle w:val="afb"/>
              <w:adjustRightInd w:val="0"/>
              <w:snapToGrid w:val="0"/>
              <w:spacing w:line="240" w:lineRule="auto"/>
              <w:rPr>
                <w:bCs/>
                <w:szCs w:val="21"/>
              </w:rPr>
            </w:pPr>
            <w:r>
              <w:rPr>
                <w:bCs/>
                <w:szCs w:val="21"/>
              </w:rPr>
              <w:t>标准值</w:t>
            </w:r>
          </w:p>
        </w:tc>
        <w:tc>
          <w:tcPr>
            <w:tcW w:w="653" w:type="dxa"/>
            <w:tcBorders>
              <w:top w:val="single" w:sz="4" w:space="0" w:color="auto"/>
              <w:left w:val="single" w:sz="4" w:space="0" w:color="auto"/>
            </w:tcBorders>
            <w:vAlign w:val="center"/>
          </w:tcPr>
          <w:p w:rsidR="00C645C9" w:rsidRDefault="00F955D9">
            <w:pPr>
              <w:pStyle w:val="afb"/>
              <w:adjustRightInd w:val="0"/>
              <w:snapToGrid w:val="0"/>
              <w:spacing w:line="240" w:lineRule="auto"/>
              <w:rPr>
                <w:bCs/>
                <w:szCs w:val="21"/>
              </w:rPr>
            </w:pPr>
            <w:r>
              <w:rPr>
                <w:bCs/>
                <w:szCs w:val="21"/>
              </w:rPr>
              <w:t>序号</w:t>
            </w:r>
          </w:p>
        </w:tc>
        <w:tc>
          <w:tcPr>
            <w:tcW w:w="2165" w:type="dxa"/>
            <w:tcBorders>
              <w:top w:val="single" w:sz="4" w:space="0" w:color="auto"/>
              <w:left w:val="single" w:sz="4" w:space="0" w:color="auto"/>
            </w:tcBorders>
            <w:vAlign w:val="center"/>
          </w:tcPr>
          <w:p w:rsidR="00C645C9" w:rsidRDefault="00F955D9">
            <w:pPr>
              <w:pStyle w:val="afb"/>
              <w:adjustRightInd w:val="0"/>
              <w:snapToGrid w:val="0"/>
              <w:spacing w:line="240" w:lineRule="auto"/>
              <w:rPr>
                <w:bCs/>
                <w:szCs w:val="21"/>
              </w:rPr>
            </w:pPr>
            <w:r>
              <w:rPr>
                <w:bCs/>
                <w:szCs w:val="21"/>
              </w:rPr>
              <w:t>监测项目</w:t>
            </w:r>
          </w:p>
        </w:tc>
        <w:tc>
          <w:tcPr>
            <w:tcW w:w="1437" w:type="dxa"/>
            <w:tcBorders>
              <w:top w:val="single" w:sz="4" w:space="0" w:color="auto"/>
              <w:left w:val="single" w:sz="4" w:space="0" w:color="auto"/>
            </w:tcBorders>
            <w:vAlign w:val="center"/>
          </w:tcPr>
          <w:p w:rsidR="00C645C9" w:rsidRDefault="00F955D9">
            <w:pPr>
              <w:pStyle w:val="afb"/>
              <w:adjustRightInd w:val="0"/>
              <w:snapToGrid w:val="0"/>
              <w:spacing w:line="240" w:lineRule="auto"/>
              <w:rPr>
                <w:bCs/>
                <w:szCs w:val="21"/>
              </w:rPr>
            </w:pPr>
            <w:r>
              <w:rPr>
                <w:bCs/>
                <w:szCs w:val="21"/>
              </w:rPr>
              <w:t>标准值</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lastRenderedPageBreak/>
              <w:t>1</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pH</w:t>
            </w:r>
            <w:r>
              <w:rPr>
                <w:bCs/>
                <w:szCs w:val="21"/>
              </w:rPr>
              <w:t>（</w:t>
            </w:r>
            <w:r>
              <w:rPr>
                <w:bCs/>
                <w:szCs w:val="21"/>
              </w:rPr>
              <w:t>无量纲</w:t>
            </w:r>
            <w:r>
              <w:rPr>
                <w:bCs/>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6</w:t>
            </w:r>
            <w:r>
              <w:rPr>
                <w:bCs/>
                <w:szCs w:val="21"/>
              </w:rPr>
              <w:t>~</w:t>
            </w:r>
            <w:r>
              <w:rPr>
                <w:bCs/>
                <w:szCs w:val="21"/>
              </w:rPr>
              <w:t>9</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13</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砷</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rFonts w:ascii="宋体" w:hAnsi="宋体" w:hint="eastAsia"/>
                <w:szCs w:val="21"/>
              </w:rPr>
              <w:t>≤</w:t>
            </w:r>
            <w:r>
              <w:rPr>
                <w:bCs/>
                <w:szCs w:val="21"/>
              </w:rPr>
              <w:t>0.05</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2</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溶解氧</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rFonts w:ascii="宋体" w:hAnsi="宋体" w:hint="eastAsia"/>
                <w:szCs w:val="21"/>
              </w:rPr>
              <w:t>≥</w:t>
            </w:r>
            <w:r>
              <w:rPr>
                <w:bCs/>
                <w:szCs w:val="21"/>
              </w:rPr>
              <w:t>5</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14</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bCs/>
                <w:szCs w:val="21"/>
              </w:rPr>
              <w:t>汞</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bCs/>
                <w:szCs w:val="21"/>
              </w:rPr>
            </w:pPr>
            <w:r>
              <w:rPr>
                <w:rFonts w:ascii="宋体" w:hAnsi="宋体" w:hint="eastAsia"/>
                <w:szCs w:val="21"/>
              </w:rPr>
              <w:t>≤</w:t>
            </w:r>
            <w:r>
              <w:rPr>
                <w:bCs/>
                <w:szCs w:val="21"/>
              </w:rPr>
              <w:t>0.0001</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3</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高锰酸盐指数</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6</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15</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镉</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0.005</w:t>
            </w:r>
          </w:p>
        </w:tc>
      </w:tr>
      <w:tr w:rsidR="00C645C9">
        <w:trPr>
          <w:cantSplit/>
          <w:trHeight w:val="211"/>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4</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五日生化需氧量</w:t>
            </w:r>
            <w:r>
              <w:rPr>
                <w:bCs/>
                <w:szCs w:val="21"/>
              </w:rPr>
              <w:t>（</w:t>
            </w:r>
            <w:r>
              <w:rPr>
                <w:bCs/>
                <w:szCs w:val="21"/>
              </w:rPr>
              <w:t>BOD</w:t>
            </w:r>
            <w:r>
              <w:rPr>
                <w:bCs/>
                <w:szCs w:val="21"/>
                <w:vertAlign w:val="subscript"/>
              </w:rPr>
              <w:t>5</w:t>
            </w:r>
            <w:r>
              <w:rPr>
                <w:bCs/>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bookmarkStart w:id="171" w:name="OLE_LINK115"/>
            <w:r>
              <w:rPr>
                <w:rFonts w:ascii="宋体" w:hAnsi="宋体" w:hint="eastAsia"/>
                <w:szCs w:val="21"/>
              </w:rPr>
              <w:t>≤</w:t>
            </w:r>
            <w:bookmarkEnd w:id="171"/>
            <w:r>
              <w:rPr>
                <w:bCs/>
                <w:szCs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16</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铬</w:t>
            </w:r>
            <w:r>
              <w:rPr>
                <w:bCs/>
                <w:szCs w:val="21"/>
              </w:rPr>
              <w:t>（</w:t>
            </w:r>
            <w:r>
              <w:rPr>
                <w:bCs/>
                <w:szCs w:val="21"/>
              </w:rPr>
              <w:t>六价</w:t>
            </w:r>
            <w:r>
              <w:rPr>
                <w:bCs/>
                <w:szCs w:val="21"/>
              </w:rPr>
              <w:t>）</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0.05</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5</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氨氮</w:t>
            </w:r>
            <w:r>
              <w:rPr>
                <w:rFonts w:hint="eastAsia"/>
                <w:bCs/>
                <w:szCs w:val="21"/>
              </w:rPr>
              <w:t>（</w:t>
            </w:r>
            <w:r>
              <w:rPr>
                <w:rFonts w:hint="eastAsia"/>
                <w:bCs/>
                <w:szCs w:val="21"/>
              </w:rPr>
              <w:t>NH</w:t>
            </w:r>
            <w:r>
              <w:rPr>
                <w:rFonts w:hint="eastAsia"/>
                <w:bCs/>
                <w:szCs w:val="21"/>
                <w:vertAlign w:val="subscript"/>
              </w:rPr>
              <w:t>3</w:t>
            </w:r>
            <w:r>
              <w:rPr>
                <w:rFonts w:hint="eastAsia"/>
                <w:bCs/>
                <w:szCs w:val="21"/>
              </w:rPr>
              <w:t>-N</w:t>
            </w:r>
            <w:r>
              <w:rPr>
                <w:rFonts w:hint="eastAsia"/>
                <w:bCs/>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17</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铅</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0.05</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6</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化学需氧量</w:t>
            </w:r>
            <w:r>
              <w:rPr>
                <w:bCs/>
                <w:szCs w:val="21"/>
              </w:rPr>
              <w:t>（</w:t>
            </w:r>
            <w:r>
              <w:rPr>
                <w:bCs/>
                <w:szCs w:val="21"/>
              </w:rPr>
              <w:t>C</w:t>
            </w:r>
            <w:r>
              <w:rPr>
                <w:bCs/>
                <w:szCs w:val="21"/>
              </w:rPr>
              <w:t>OD</w:t>
            </w:r>
            <w:r>
              <w:rPr>
                <w:bCs/>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20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18</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氰化物</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0.2</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7</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总磷</w:t>
            </w:r>
            <w:bookmarkStart w:id="172" w:name="OLE_LINK59"/>
            <w:r>
              <w:rPr>
                <w:rFonts w:hint="eastAsia"/>
                <w:bCs/>
                <w:szCs w:val="21"/>
              </w:rPr>
              <w:t>（</w:t>
            </w:r>
            <w:r>
              <w:rPr>
                <w:rFonts w:hint="eastAsia"/>
                <w:bCs/>
                <w:szCs w:val="21"/>
              </w:rPr>
              <w:t>以</w:t>
            </w:r>
            <w:r>
              <w:rPr>
                <w:rFonts w:hint="eastAsia"/>
                <w:bCs/>
                <w:szCs w:val="21"/>
              </w:rPr>
              <w:t>P</w:t>
            </w:r>
            <w:r>
              <w:rPr>
                <w:rFonts w:hint="eastAsia"/>
                <w:bCs/>
                <w:szCs w:val="21"/>
              </w:rPr>
              <w:t>计</w:t>
            </w:r>
            <w:r>
              <w:rPr>
                <w:rFonts w:hint="eastAsia"/>
                <w:bCs/>
                <w:szCs w:val="21"/>
              </w:rPr>
              <w:t>）</w:t>
            </w:r>
            <w:bookmarkEnd w:id="172"/>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0.2</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19</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挥发酚</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0.005</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8</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总氮</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20</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石油类</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0.05</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9</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铜</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21</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阴离子表面活性剂</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0.2</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10</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锌</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22</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硫化物</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0.2</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11</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氟化物</w:t>
            </w:r>
            <w:r>
              <w:rPr>
                <w:rFonts w:hint="eastAsia"/>
                <w:bCs/>
                <w:szCs w:val="21"/>
              </w:rPr>
              <w:t>（</w:t>
            </w:r>
            <w:r>
              <w:rPr>
                <w:rFonts w:hint="eastAsia"/>
                <w:bCs/>
                <w:szCs w:val="21"/>
              </w:rPr>
              <w:t>以</w:t>
            </w:r>
            <w:r>
              <w:rPr>
                <w:rFonts w:hint="eastAsia"/>
                <w:bCs/>
                <w:szCs w:val="21"/>
              </w:rPr>
              <w:t>F</w:t>
            </w:r>
            <w:r>
              <w:rPr>
                <w:rFonts w:hint="eastAsia"/>
                <w:bCs/>
                <w:szCs w:val="21"/>
                <w:vertAlign w:val="superscript"/>
              </w:rPr>
              <w:t>-</w:t>
            </w:r>
            <w:r>
              <w:rPr>
                <w:rFonts w:hint="eastAsia"/>
                <w:bCs/>
                <w:szCs w:val="21"/>
              </w:rPr>
              <w:t>计</w:t>
            </w:r>
            <w:r>
              <w:rPr>
                <w:rFonts w:hint="eastAsia"/>
                <w:bCs/>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23</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粪大肠杆菌数（个</w:t>
            </w:r>
            <w:r>
              <w:rPr>
                <w:bCs/>
                <w:szCs w:val="21"/>
              </w:rPr>
              <w:t>/L</w:t>
            </w:r>
            <w:r>
              <w:rPr>
                <w:bCs/>
                <w:szCs w:val="21"/>
              </w:rPr>
              <w:t>）</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10000</w:t>
            </w:r>
          </w:p>
        </w:tc>
      </w:tr>
      <w:tr w:rsidR="00C645C9">
        <w:trPr>
          <w:cantSplit/>
          <w:trHeight w:val="64"/>
          <w:jc w:val="center"/>
        </w:trPr>
        <w:tc>
          <w:tcPr>
            <w:tcW w:w="66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12</w:t>
            </w:r>
          </w:p>
        </w:tc>
        <w:tc>
          <w:tcPr>
            <w:tcW w:w="244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硒</w:t>
            </w:r>
          </w:p>
        </w:tc>
        <w:tc>
          <w:tcPr>
            <w:tcW w:w="115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rFonts w:ascii="宋体" w:hAnsi="宋体" w:hint="eastAsia"/>
                <w:szCs w:val="21"/>
              </w:rPr>
              <w:t>≤</w:t>
            </w:r>
            <w:r>
              <w:rPr>
                <w:bCs/>
                <w:szCs w:val="21"/>
              </w:rPr>
              <w:t>0</w:t>
            </w:r>
            <w:r>
              <w:rPr>
                <w:bCs/>
                <w:szCs w:val="21"/>
              </w:rPr>
              <w:t>.0</w:t>
            </w:r>
            <w:r>
              <w:rPr>
                <w:bCs/>
                <w:szCs w:val="21"/>
              </w:rPr>
              <w:t>1</w:t>
            </w:r>
          </w:p>
        </w:tc>
        <w:tc>
          <w:tcPr>
            <w:tcW w:w="653"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24</w:t>
            </w:r>
          </w:p>
        </w:tc>
        <w:tc>
          <w:tcPr>
            <w:tcW w:w="216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水温</w:t>
            </w:r>
          </w:p>
        </w:tc>
        <w:tc>
          <w:tcPr>
            <w:tcW w:w="1437"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bCs/>
                <w:szCs w:val="21"/>
              </w:rPr>
            </w:pPr>
            <w:r>
              <w:rPr>
                <w:bCs/>
                <w:szCs w:val="21"/>
              </w:rPr>
              <w:t>升</w:t>
            </w:r>
            <w:r>
              <w:rPr>
                <w:rFonts w:ascii="宋体" w:hAnsi="宋体" w:hint="eastAsia"/>
                <w:szCs w:val="21"/>
              </w:rPr>
              <w:t>≤</w:t>
            </w:r>
            <w:r>
              <w:rPr>
                <w:bCs/>
                <w:szCs w:val="21"/>
              </w:rPr>
              <w:t>1</w:t>
            </w:r>
            <w:r>
              <w:rPr>
                <w:bCs/>
                <w:szCs w:val="21"/>
              </w:rPr>
              <w:t>；降</w:t>
            </w:r>
            <w:r>
              <w:rPr>
                <w:rFonts w:ascii="宋体" w:hAnsi="宋体" w:hint="eastAsia"/>
                <w:szCs w:val="21"/>
              </w:rPr>
              <w:t>≤</w:t>
            </w:r>
            <w:r>
              <w:rPr>
                <w:bCs/>
                <w:szCs w:val="21"/>
              </w:rPr>
              <w:t>2</w:t>
            </w:r>
          </w:p>
        </w:tc>
      </w:tr>
    </w:tbl>
    <w:p w:rsidR="00C645C9" w:rsidRDefault="00F955D9">
      <w:pPr>
        <w:pStyle w:val="af9"/>
        <w:adjustRightInd w:val="0"/>
        <w:snapToGrid w:val="0"/>
        <w:spacing w:line="240" w:lineRule="auto"/>
      </w:pPr>
      <w:r>
        <w:rPr>
          <w:rFonts w:eastAsia="黑体"/>
          <w:b w:val="0"/>
          <w:bCs/>
        </w:rPr>
        <w:t>表</w:t>
      </w:r>
      <w:r>
        <w:rPr>
          <w:rFonts w:eastAsia="黑体"/>
          <w:b w:val="0"/>
          <w:bCs/>
        </w:rPr>
        <w:t>2.</w:t>
      </w:r>
      <w:r>
        <w:rPr>
          <w:rFonts w:eastAsia="黑体" w:hint="eastAsia"/>
          <w:b w:val="0"/>
          <w:bCs/>
        </w:rPr>
        <w:t>4</w:t>
      </w:r>
      <w:r>
        <w:rPr>
          <w:rFonts w:eastAsia="黑体"/>
          <w:b w:val="0"/>
          <w:bCs/>
        </w:rPr>
        <w:t>-</w:t>
      </w:r>
      <w:r>
        <w:rPr>
          <w:rFonts w:eastAsia="黑体" w:hint="eastAsia"/>
          <w:b w:val="0"/>
          <w:bCs/>
        </w:rPr>
        <w:t>2</w:t>
      </w:r>
      <w:r>
        <w:rPr>
          <w:rFonts w:eastAsia="黑体"/>
          <w:b w:val="0"/>
          <w:bCs/>
        </w:rPr>
        <w:t xml:space="preserve">   </w:t>
      </w:r>
      <w:r>
        <w:rPr>
          <w:rFonts w:eastAsia="黑体"/>
          <w:b w:val="0"/>
          <w:bCs/>
        </w:rPr>
        <w:t>《</w:t>
      </w:r>
      <w:bookmarkStart w:id="173" w:name="OLE_LINK60"/>
      <w:r>
        <w:rPr>
          <w:rFonts w:eastAsia="黑体"/>
          <w:b w:val="0"/>
          <w:bCs/>
        </w:rPr>
        <w:t>地下水质量标准</w:t>
      </w:r>
      <w:bookmarkEnd w:id="173"/>
      <w:r>
        <w:rPr>
          <w:rFonts w:eastAsia="黑体"/>
          <w:b w:val="0"/>
          <w:bCs/>
        </w:rPr>
        <w:t>》（</w:t>
      </w:r>
      <w:r>
        <w:rPr>
          <w:rFonts w:eastAsia="黑体"/>
          <w:b w:val="0"/>
          <w:bCs/>
        </w:rPr>
        <w:t>GB/T14848-2017</w:t>
      </w:r>
      <w:r>
        <w:rPr>
          <w:rFonts w:eastAsia="黑体"/>
          <w:b w:val="0"/>
          <w:bCs/>
        </w:rPr>
        <w:t>）</w:t>
      </w:r>
      <w:r>
        <w:rPr>
          <w:rFonts w:eastAsia="黑体"/>
          <w:b w:val="0"/>
          <w:bCs/>
        </w:rPr>
        <w:t>Ⅲ</w:t>
      </w:r>
      <w:r>
        <w:rPr>
          <w:rFonts w:eastAsia="黑体"/>
          <w:b w:val="0"/>
          <w:bCs/>
        </w:rPr>
        <w:t>类水质标准</w:t>
      </w:r>
      <w:r>
        <w:rPr>
          <w:rFonts w:eastAsia="黑体"/>
          <w:b w:val="0"/>
          <w:bCs/>
        </w:rPr>
        <w:t xml:space="preserve">   </w:t>
      </w:r>
      <w:r>
        <w:rPr>
          <w:rFonts w:eastAsia="黑体"/>
          <w:b w:val="0"/>
          <w:bCs/>
        </w:rPr>
        <w:t>单位：</w:t>
      </w:r>
      <w:r>
        <w:rPr>
          <w:rFonts w:eastAsia="黑体"/>
          <w:b w:val="0"/>
          <w:bCs/>
        </w:rPr>
        <w:t>mg/L</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830"/>
        <w:gridCol w:w="940"/>
        <w:gridCol w:w="670"/>
        <w:gridCol w:w="2526"/>
        <w:gridCol w:w="917"/>
      </w:tblGrid>
      <w:tr w:rsidR="00C645C9">
        <w:trPr>
          <w:trHeight w:val="33"/>
          <w:jc w:val="center"/>
        </w:trPr>
        <w:tc>
          <w:tcPr>
            <w:tcW w:w="639" w:type="dxa"/>
            <w:vAlign w:val="center"/>
          </w:tcPr>
          <w:p w:rsidR="00C645C9" w:rsidRDefault="00F955D9">
            <w:pPr>
              <w:pStyle w:val="afb"/>
              <w:adjustRightInd w:val="0"/>
              <w:snapToGrid w:val="0"/>
              <w:spacing w:line="240" w:lineRule="auto"/>
              <w:rPr>
                <w:szCs w:val="21"/>
              </w:rPr>
            </w:pPr>
            <w:r>
              <w:rPr>
                <w:szCs w:val="21"/>
              </w:rPr>
              <w:t>序号</w:t>
            </w:r>
          </w:p>
        </w:tc>
        <w:tc>
          <w:tcPr>
            <w:tcW w:w="2830" w:type="dxa"/>
            <w:vAlign w:val="center"/>
          </w:tcPr>
          <w:p w:rsidR="00C645C9" w:rsidRDefault="00F955D9">
            <w:pPr>
              <w:pStyle w:val="afb"/>
              <w:adjustRightInd w:val="0"/>
              <w:snapToGrid w:val="0"/>
              <w:spacing w:line="240" w:lineRule="auto"/>
              <w:rPr>
                <w:szCs w:val="21"/>
              </w:rPr>
            </w:pPr>
            <w:r>
              <w:rPr>
                <w:szCs w:val="21"/>
              </w:rPr>
              <w:t>监测项目</w:t>
            </w:r>
          </w:p>
        </w:tc>
        <w:tc>
          <w:tcPr>
            <w:tcW w:w="940" w:type="dxa"/>
            <w:vAlign w:val="center"/>
          </w:tcPr>
          <w:p w:rsidR="00C645C9" w:rsidRDefault="00F955D9">
            <w:pPr>
              <w:pStyle w:val="afb"/>
              <w:adjustRightInd w:val="0"/>
              <w:snapToGrid w:val="0"/>
              <w:spacing w:line="240" w:lineRule="auto"/>
              <w:rPr>
                <w:szCs w:val="21"/>
              </w:rPr>
            </w:pPr>
            <w:r>
              <w:rPr>
                <w:szCs w:val="21"/>
              </w:rPr>
              <w:t>标准值</w:t>
            </w:r>
          </w:p>
        </w:tc>
        <w:tc>
          <w:tcPr>
            <w:tcW w:w="670" w:type="dxa"/>
            <w:vAlign w:val="center"/>
          </w:tcPr>
          <w:p w:rsidR="00C645C9" w:rsidRDefault="00F955D9">
            <w:pPr>
              <w:pStyle w:val="afb"/>
              <w:adjustRightInd w:val="0"/>
              <w:snapToGrid w:val="0"/>
              <w:spacing w:line="240" w:lineRule="auto"/>
              <w:rPr>
                <w:szCs w:val="21"/>
              </w:rPr>
            </w:pPr>
            <w:r>
              <w:rPr>
                <w:szCs w:val="21"/>
              </w:rPr>
              <w:t>序号</w:t>
            </w:r>
          </w:p>
        </w:tc>
        <w:tc>
          <w:tcPr>
            <w:tcW w:w="2526" w:type="dxa"/>
            <w:vAlign w:val="center"/>
          </w:tcPr>
          <w:p w:rsidR="00C645C9" w:rsidRDefault="00F955D9">
            <w:pPr>
              <w:pStyle w:val="afb"/>
              <w:adjustRightInd w:val="0"/>
              <w:snapToGrid w:val="0"/>
              <w:spacing w:line="240" w:lineRule="auto"/>
              <w:rPr>
                <w:szCs w:val="21"/>
              </w:rPr>
            </w:pPr>
            <w:r>
              <w:rPr>
                <w:szCs w:val="21"/>
              </w:rPr>
              <w:t>监测项目</w:t>
            </w:r>
          </w:p>
        </w:tc>
        <w:tc>
          <w:tcPr>
            <w:tcW w:w="917" w:type="dxa"/>
            <w:vAlign w:val="center"/>
          </w:tcPr>
          <w:p w:rsidR="00C645C9" w:rsidRDefault="00F955D9">
            <w:pPr>
              <w:pStyle w:val="afb"/>
              <w:adjustRightInd w:val="0"/>
              <w:snapToGrid w:val="0"/>
              <w:spacing w:line="240" w:lineRule="auto"/>
              <w:rPr>
                <w:szCs w:val="21"/>
              </w:rPr>
            </w:pPr>
            <w:r>
              <w:rPr>
                <w:szCs w:val="21"/>
              </w:rPr>
              <w:t>标准值</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w:t>
            </w:r>
          </w:p>
        </w:tc>
        <w:tc>
          <w:tcPr>
            <w:tcW w:w="2830" w:type="dxa"/>
            <w:vAlign w:val="center"/>
          </w:tcPr>
          <w:p w:rsidR="00C645C9" w:rsidRDefault="00F955D9">
            <w:pPr>
              <w:pStyle w:val="afb"/>
              <w:adjustRightInd w:val="0"/>
              <w:snapToGrid w:val="0"/>
              <w:spacing w:line="240" w:lineRule="auto"/>
              <w:rPr>
                <w:szCs w:val="21"/>
              </w:rPr>
            </w:pPr>
            <w:r>
              <w:rPr>
                <w:szCs w:val="21"/>
              </w:rPr>
              <w:t>色</w:t>
            </w:r>
            <w:r>
              <w:rPr>
                <w:szCs w:val="21"/>
              </w:rPr>
              <w:t>（</w:t>
            </w:r>
            <w:r>
              <w:rPr>
                <w:szCs w:val="21"/>
              </w:rPr>
              <w:t>铂钴色度单位</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15</w:t>
            </w:r>
          </w:p>
        </w:tc>
        <w:tc>
          <w:tcPr>
            <w:tcW w:w="670" w:type="dxa"/>
            <w:vAlign w:val="center"/>
          </w:tcPr>
          <w:p w:rsidR="00C645C9" w:rsidRDefault="00F955D9">
            <w:pPr>
              <w:pStyle w:val="afb"/>
              <w:adjustRightInd w:val="0"/>
              <w:snapToGrid w:val="0"/>
              <w:spacing w:line="240" w:lineRule="auto"/>
              <w:rPr>
                <w:szCs w:val="21"/>
              </w:rPr>
            </w:pPr>
            <w:r>
              <w:rPr>
                <w:szCs w:val="21"/>
              </w:rPr>
              <w:t>21</w:t>
            </w:r>
          </w:p>
        </w:tc>
        <w:tc>
          <w:tcPr>
            <w:tcW w:w="2526" w:type="dxa"/>
            <w:vAlign w:val="center"/>
          </w:tcPr>
          <w:p w:rsidR="00C645C9" w:rsidRDefault="00F955D9">
            <w:pPr>
              <w:pStyle w:val="afb"/>
              <w:adjustRightInd w:val="0"/>
              <w:snapToGrid w:val="0"/>
              <w:spacing w:line="240" w:lineRule="auto"/>
              <w:rPr>
                <w:szCs w:val="21"/>
              </w:rPr>
            </w:pPr>
            <w:r>
              <w:rPr>
                <w:szCs w:val="21"/>
              </w:rPr>
              <w:t>总大肠菌群</w:t>
            </w:r>
            <w:r>
              <w:rPr>
                <w:szCs w:val="21"/>
              </w:rPr>
              <w:t>（</w:t>
            </w:r>
            <w:r>
              <w:rPr>
                <w:szCs w:val="21"/>
              </w:rPr>
              <w:t>MPN</w:t>
            </w:r>
            <w:r>
              <w:rPr>
                <w:rFonts w:hint="eastAsia"/>
                <w:szCs w:val="21"/>
                <w:vertAlign w:val="superscript"/>
              </w:rPr>
              <w:t>b</w:t>
            </w:r>
            <w:r>
              <w:rPr>
                <w:szCs w:val="21"/>
              </w:rPr>
              <w:t>/100mL</w:t>
            </w:r>
            <w:r>
              <w:rPr>
                <w:szCs w:val="21"/>
              </w:rPr>
              <w:t>或</w:t>
            </w:r>
            <w:r>
              <w:rPr>
                <w:szCs w:val="21"/>
              </w:rPr>
              <w:t>CFU</w:t>
            </w:r>
            <w:r>
              <w:rPr>
                <w:rFonts w:hint="eastAsia"/>
                <w:szCs w:val="21"/>
                <w:vertAlign w:val="superscript"/>
              </w:rPr>
              <w:t>c</w:t>
            </w:r>
            <w:r>
              <w:rPr>
                <w:szCs w:val="21"/>
              </w:rPr>
              <w:t>/100mL</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3.0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2</w:t>
            </w:r>
          </w:p>
        </w:tc>
        <w:tc>
          <w:tcPr>
            <w:tcW w:w="2830" w:type="dxa"/>
            <w:vAlign w:val="center"/>
          </w:tcPr>
          <w:p w:rsidR="00C645C9" w:rsidRDefault="00F955D9">
            <w:pPr>
              <w:pStyle w:val="afb"/>
              <w:adjustRightInd w:val="0"/>
              <w:snapToGrid w:val="0"/>
              <w:spacing w:line="240" w:lineRule="auto"/>
              <w:rPr>
                <w:szCs w:val="21"/>
              </w:rPr>
            </w:pPr>
            <w:r>
              <w:rPr>
                <w:szCs w:val="21"/>
              </w:rPr>
              <w:t>嗅和味</w:t>
            </w:r>
          </w:p>
        </w:tc>
        <w:tc>
          <w:tcPr>
            <w:tcW w:w="940" w:type="dxa"/>
            <w:vAlign w:val="center"/>
          </w:tcPr>
          <w:p w:rsidR="00C645C9" w:rsidRDefault="00F955D9">
            <w:pPr>
              <w:pStyle w:val="afb"/>
              <w:adjustRightInd w:val="0"/>
              <w:snapToGrid w:val="0"/>
              <w:spacing w:line="240" w:lineRule="auto"/>
              <w:rPr>
                <w:szCs w:val="21"/>
              </w:rPr>
            </w:pPr>
            <w:r>
              <w:rPr>
                <w:szCs w:val="21"/>
              </w:rPr>
              <w:t>无</w:t>
            </w:r>
          </w:p>
        </w:tc>
        <w:tc>
          <w:tcPr>
            <w:tcW w:w="670" w:type="dxa"/>
            <w:vAlign w:val="center"/>
          </w:tcPr>
          <w:p w:rsidR="00C645C9" w:rsidRDefault="00F955D9">
            <w:pPr>
              <w:pStyle w:val="afb"/>
              <w:adjustRightInd w:val="0"/>
              <w:snapToGrid w:val="0"/>
              <w:spacing w:line="240" w:lineRule="auto"/>
              <w:rPr>
                <w:szCs w:val="21"/>
              </w:rPr>
            </w:pPr>
            <w:r>
              <w:rPr>
                <w:szCs w:val="21"/>
              </w:rPr>
              <w:t>22</w:t>
            </w:r>
          </w:p>
        </w:tc>
        <w:tc>
          <w:tcPr>
            <w:tcW w:w="2526" w:type="dxa"/>
            <w:vAlign w:val="center"/>
          </w:tcPr>
          <w:p w:rsidR="00C645C9" w:rsidRDefault="00F955D9">
            <w:pPr>
              <w:pStyle w:val="afb"/>
              <w:adjustRightInd w:val="0"/>
              <w:snapToGrid w:val="0"/>
              <w:spacing w:line="240" w:lineRule="auto"/>
              <w:rPr>
                <w:szCs w:val="21"/>
              </w:rPr>
            </w:pPr>
            <w:r>
              <w:rPr>
                <w:szCs w:val="21"/>
              </w:rPr>
              <w:t>菌落总数</w:t>
            </w:r>
            <w:r>
              <w:rPr>
                <w:szCs w:val="21"/>
              </w:rPr>
              <w:t>（</w:t>
            </w:r>
            <w:r>
              <w:rPr>
                <w:szCs w:val="21"/>
              </w:rPr>
              <w:t>CFU/mL</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3</w:t>
            </w:r>
          </w:p>
        </w:tc>
        <w:tc>
          <w:tcPr>
            <w:tcW w:w="2830" w:type="dxa"/>
            <w:vAlign w:val="center"/>
          </w:tcPr>
          <w:p w:rsidR="00C645C9" w:rsidRDefault="00F955D9">
            <w:pPr>
              <w:pStyle w:val="afb"/>
              <w:adjustRightInd w:val="0"/>
              <w:snapToGrid w:val="0"/>
              <w:spacing w:line="240" w:lineRule="auto"/>
              <w:rPr>
                <w:szCs w:val="21"/>
              </w:rPr>
            </w:pPr>
            <w:r>
              <w:rPr>
                <w:szCs w:val="21"/>
              </w:rPr>
              <w:t>浑浊度</w:t>
            </w:r>
            <w:r>
              <w:rPr>
                <w:szCs w:val="21"/>
              </w:rPr>
              <w:t>（</w:t>
            </w:r>
            <w:r>
              <w:rPr>
                <w:szCs w:val="21"/>
              </w:rPr>
              <w:t>NTU</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3</w:t>
            </w:r>
          </w:p>
        </w:tc>
        <w:tc>
          <w:tcPr>
            <w:tcW w:w="670" w:type="dxa"/>
            <w:vAlign w:val="center"/>
          </w:tcPr>
          <w:p w:rsidR="00C645C9" w:rsidRDefault="00F955D9">
            <w:pPr>
              <w:pStyle w:val="afb"/>
              <w:adjustRightInd w:val="0"/>
              <w:snapToGrid w:val="0"/>
              <w:spacing w:line="240" w:lineRule="auto"/>
              <w:rPr>
                <w:szCs w:val="21"/>
              </w:rPr>
            </w:pPr>
            <w:r>
              <w:rPr>
                <w:szCs w:val="21"/>
              </w:rPr>
              <w:t>23</w:t>
            </w:r>
          </w:p>
        </w:tc>
        <w:tc>
          <w:tcPr>
            <w:tcW w:w="2526" w:type="dxa"/>
            <w:vAlign w:val="center"/>
          </w:tcPr>
          <w:p w:rsidR="00C645C9" w:rsidRDefault="00F955D9">
            <w:pPr>
              <w:pStyle w:val="afb"/>
              <w:adjustRightInd w:val="0"/>
              <w:snapToGrid w:val="0"/>
              <w:spacing w:line="240" w:lineRule="auto"/>
              <w:rPr>
                <w:szCs w:val="21"/>
              </w:rPr>
            </w:pPr>
            <w:r>
              <w:rPr>
                <w:szCs w:val="21"/>
              </w:rPr>
              <w:t>亚硝酸盐</w:t>
            </w:r>
            <w:r>
              <w:rPr>
                <w:szCs w:val="21"/>
              </w:rPr>
              <w:t>（</w:t>
            </w:r>
            <w:r>
              <w:rPr>
                <w:szCs w:val="21"/>
              </w:rPr>
              <w:t>以</w:t>
            </w:r>
            <w:r>
              <w:rPr>
                <w:rFonts w:hint="eastAsia"/>
                <w:szCs w:val="21"/>
              </w:rPr>
              <w:t>N</w:t>
            </w:r>
            <w:r>
              <w:rPr>
                <w:szCs w:val="21"/>
              </w:rPr>
              <w:t>计</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w:t>
            </w:r>
            <w:r>
              <w:rPr>
                <w:rFonts w:hint="eastAsia"/>
                <w:szCs w:val="21"/>
              </w:rPr>
              <w:t>0</w:t>
            </w:r>
          </w:p>
        </w:tc>
      </w:tr>
      <w:tr w:rsidR="00C645C9">
        <w:trPr>
          <w:trHeight w:val="212"/>
          <w:jc w:val="center"/>
        </w:trPr>
        <w:tc>
          <w:tcPr>
            <w:tcW w:w="639" w:type="dxa"/>
            <w:vAlign w:val="center"/>
          </w:tcPr>
          <w:p w:rsidR="00C645C9" w:rsidRDefault="00F955D9">
            <w:pPr>
              <w:pStyle w:val="afb"/>
              <w:adjustRightInd w:val="0"/>
              <w:snapToGrid w:val="0"/>
              <w:spacing w:line="240" w:lineRule="auto"/>
              <w:rPr>
                <w:szCs w:val="21"/>
              </w:rPr>
            </w:pPr>
            <w:r>
              <w:rPr>
                <w:szCs w:val="21"/>
              </w:rPr>
              <w:t>4</w:t>
            </w:r>
          </w:p>
        </w:tc>
        <w:tc>
          <w:tcPr>
            <w:tcW w:w="2830" w:type="dxa"/>
            <w:vAlign w:val="center"/>
          </w:tcPr>
          <w:p w:rsidR="00C645C9" w:rsidRDefault="00F955D9">
            <w:pPr>
              <w:pStyle w:val="afb"/>
              <w:adjustRightInd w:val="0"/>
              <w:snapToGrid w:val="0"/>
              <w:spacing w:line="240" w:lineRule="auto"/>
              <w:rPr>
                <w:szCs w:val="21"/>
              </w:rPr>
            </w:pPr>
            <w:r>
              <w:rPr>
                <w:szCs w:val="21"/>
              </w:rPr>
              <w:t>肉眼可见物</w:t>
            </w:r>
          </w:p>
        </w:tc>
        <w:tc>
          <w:tcPr>
            <w:tcW w:w="940" w:type="dxa"/>
            <w:vAlign w:val="center"/>
          </w:tcPr>
          <w:p w:rsidR="00C645C9" w:rsidRDefault="00F955D9">
            <w:pPr>
              <w:pStyle w:val="afb"/>
              <w:adjustRightInd w:val="0"/>
              <w:snapToGrid w:val="0"/>
              <w:spacing w:line="240" w:lineRule="auto"/>
              <w:rPr>
                <w:szCs w:val="21"/>
              </w:rPr>
            </w:pPr>
            <w:r>
              <w:rPr>
                <w:szCs w:val="21"/>
              </w:rPr>
              <w:t>无</w:t>
            </w:r>
          </w:p>
        </w:tc>
        <w:tc>
          <w:tcPr>
            <w:tcW w:w="670" w:type="dxa"/>
            <w:vAlign w:val="center"/>
          </w:tcPr>
          <w:p w:rsidR="00C645C9" w:rsidRDefault="00F955D9">
            <w:pPr>
              <w:pStyle w:val="afb"/>
              <w:adjustRightInd w:val="0"/>
              <w:snapToGrid w:val="0"/>
              <w:spacing w:line="240" w:lineRule="auto"/>
              <w:rPr>
                <w:szCs w:val="21"/>
              </w:rPr>
            </w:pPr>
            <w:r>
              <w:rPr>
                <w:szCs w:val="21"/>
              </w:rPr>
              <w:t>24</w:t>
            </w:r>
          </w:p>
        </w:tc>
        <w:tc>
          <w:tcPr>
            <w:tcW w:w="2526" w:type="dxa"/>
            <w:vAlign w:val="center"/>
          </w:tcPr>
          <w:p w:rsidR="00C645C9" w:rsidRDefault="00F955D9">
            <w:pPr>
              <w:pStyle w:val="afb"/>
              <w:adjustRightInd w:val="0"/>
              <w:snapToGrid w:val="0"/>
              <w:spacing w:line="240" w:lineRule="auto"/>
              <w:rPr>
                <w:szCs w:val="21"/>
              </w:rPr>
            </w:pPr>
            <w:r>
              <w:rPr>
                <w:szCs w:val="21"/>
              </w:rPr>
              <w:t>硝酸盐</w:t>
            </w:r>
            <w:r>
              <w:rPr>
                <w:szCs w:val="21"/>
              </w:rPr>
              <w:t>（</w:t>
            </w:r>
            <w:r>
              <w:rPr>
                <w:szCs w:val="21"/>
              </w:rPr>
              <w:t>以</w:t>
            </w:r>
            <w:r>
              <w:rPr>
                <w:rFonts w:hint="eastAsia"/>
                <w:szCs w:val="21"/>
              </w:rPr>
              <w:t>N</w:t>
            </w:r>
            <w:r>
              <w:rPr>
                <w:szCs w:val="21"/>
              </w:rPr>
              <w:t>计</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20.0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5</w:t>
            </w:r>
          </w:p>
        </w:tc>
        <w:tc>
          <w:tcPr>
            <w:tcW w:w="2830" w:type="dxa"/>
            <w:vAlign w:val="center"/>
          </w:tcPr>
          <w:p w:rsidR="00C645C9" w:rsidRDefault="00F955D9">
            <w:pPr>
              <w:pStyle w:val="afb"/>
              <w:adjustRightInd w:val="0"/>
              <w:snapToGrid w:val="0"/>
              <w:spacing w:line="240" w:lineRule="auto"/>
              <w:rPr>
                <w:szCs w:val="21"/>
              </w:rPr>
            </w:pPr>
            <w:r>
              <w:rPr>
                <w:szCs w:val="21"/>
              </w:rPr>
              <w:t>pH</w:t>
            </w:r>
            <w:r>
              <w:rPr>
                <w:szCs w:val="21"/>
              </w:rPr>
              <w:t>（</w:t>
            </w:r>
            <w:r>
              <w:rPr>
                <w:szCs w:val="21"/>
              </w:rPr>
              <w:t>无量纲</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hint="eastAsia"/>
                <w:szCs w:val="21"/>
              </w:rPr>
              <w:t>6</w:t>
            </w:r>
            <w:r>
              <w:rPr>
                <w:szCs w:val="21"/>
              </w:rPr>
              <w:t>.5</w:t>
            </w:r>
            <w:r>
              <w:rPr>
                <w:rFonts w:ascii="宋体" w:hAnsi="宋体" w:hint="eastAsia"/>
                <w:szCs w:val="21"/>
              </w:rPr>
              <w:t>≤</w:t>
            </w:r>
            <w:r>
              <w:rPr>
                <w:szCs w:val="21"/>
              </w:rPr>
              <w:t>pH</w:t>
            </w:r>
            <w:r>
              <w:rPr>
                <w:rFonts w:hint="eastAsia"/>
                <w:szCs w:val="21"/>
              </w:rPr>
              <w:t>&lt;</w:t>
            </w:r>
            <w:r>
              <w:rPr>
                <w:rFonts w:hint="eastAsia"/>
                <w:szCs w:val="21"/>
              </w:rPr>
              <w:t>8</w:t>
            </w:r>
            <w:r>
              <w:rPr>
                <w:szCs w:val="21"/>
              </w:rPr>
              <w:t>.5</w:t>
            </w:r>
          </w:p>
        </w:tc>
        <w:tc>
          <w:tcPr>
            <w:tcW w:w="670" w:type="dxa"/>
            <w:vAlign w:val="center"/>
          </w:tcPr>
          <w:p w:rsidR="00C645C9" w:rsidRDefault="00F955D9">
            <w:pPr>
              <w:pStyle w:val="afb"/>
              <w:adjustRightInd w:val="0"/>
              <w:snapToGrid w:val="0"/>
              <w:spacing w:line="240" w:lineRule="auto"/>
              <w:rPr>
                <w:szCs w:val="21"/>
              </w:rPr>
            </w:pPr>
            <w:r>
              <w:rPr>
                <w:szCs w:val="21"/>
              </w:rPr>
              <w:t>25</w:t>
            </w:r>
          </w:p>
        </w:tc>
        <w:tc>
          <w:tcPr>
            <w:tcW w:w="2526" w:type="dxa"/>
            <w:vAlign w:val="center"/>
          </w:tcPr>
          <w:p w:rsidR="00C645C9" w:rsidRDefault="00F955D9">
            <w:pPr>
              <w:pStyle w:val="afb"/>
              <w:adjustRightInd w:val="0"/>
              <w:snapToGrid w:val="0"/>
              <w:spacing w:line="240" w:lineRule="auto"/>
              <w:rPr>
                <w:szCs w:val="21"/>
              </w:rPr>
            </w:pPr>
            <w:r>
              <w:rPr>
                <w:szCs w:val="21"/>
              </w:rPr>
              <w:t>氰化物</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0.05</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6</w:t>
            </w:r>
          </w:p>
        </w:tc>
        <w:tc>
          <w:tcPr>
            <w:tcW w:w="2830" w:type="dxa"/>
            <w:vAlign w:val="center"/>
          </w:tcPr>
          <w:p w:rsidR="00C645C9" w:rsidRDefault="00F955D9">
            <w:pPr>
              <w:pStyle w:val="afb"/>
              <w:adjustRightInd w:val="0"/>
              <w:snapToGrid w:val="0"/>
              <w:spacing w:line="240" w:lineRule="auto"/>
              <w:rPr>
                <w:szCs w:val="21"/>
              </w:rPr>
            </w:pPr>
            <w:r>
              <w:rPr>
                <w:szCs w:val="21"/>
              </w:rPr>
              <w:t>总硬度</w:t>
            </w:r>
            <w:r>
              <w:rPr>
                <w:szCs w:val="21"/>
              </w:rPr>
              <w:t>（</w:t>
            </w:r>
            <w:r>
              <w:rPr>
                <w:szCs w:val="21"/>
              </w:rPr>
              <w:t>以</w:t>
            </w:r>
            <w:r>
              <w:rPr>
                <w:szCs w:val="21"/>
              </w:rPr>
              <w:t>CaCO</w:t>
            </w:r>
            <w:r>
              <w:rPr>
                <w:szCs w:val="21"/>
                <w:vertAlign w:val="subscript"/>
              </w:rPr>
              <w:t>3</w:t>
            </w:r>
            <w:r>
              <w:rPr>
                <w:szCs w:val="21"/>
              </w:rPr>
              <w:t>计</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450</w:t>
            </w:r>
          </w:p>
        </w:tc>
        <w:tc>
          <w:tcPr>
            <w:tcW w:w="670" w:type="dxa"/>
            <w:vAlign w:val="center"/>
          </w:tcPr>
          <w:p w:rsidR="00C645C9" w:rsidRDefault="00F955D9">
            <w:pPr>
              <w:pStyle w:val="afb"/>
              <w:adjustRightInd w:val="0"/>
              <w:snapToGrid w:val="0"/>
              <w:spacing w:line="240" w:lineRule="auto"/>
              <w:rPr>
                <w:szCs w:val="21"/>
              </w:rPr>
            </w:pPr>
            <w:r>
              <w:rPr>
                <w:szCs w:val="21"/>
              </w:rPr>
              <w:t>26</w:t>
            </w:r>
          </w:p>
        </w:tc>
        <w:tc>
          <w:tcPr>
            <w:tcW w:w="2526" w:type="dxa"/>
            <w:vAlign w:val="center"/>
          </w:tcPr>
          <w:p w:rsidR="00C645C9" w:rsidRDefault="00F955D9">
            <w:pPr>
              <w:pStyle w:val="afb"/>
              <w:adjustRightInd w:val="0"/>
              <w:snapToGrid w:val="0"/>
              <w:spacing w:line="240" w:lineRule="auto"/>
              <w:rPr>
                <w:szCs w:val="21"/>
              </w:rPr>
            </w:pPr>
            <w:r>
              <w:rPr>
                <w:szCs w:val="21"/>
              </w:rPr>
              <w:t>氟化物</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7</w:t>
            </w:r>
          </w:p>
        </w:tc>
        <w:tc>
          <w:tcPr>
            <w:tcW w:w="2830" w:type="dxa"/>
            <w:vAlign w:val="center"/>
          </w:tcPr>
          <w:p w:rsidR="00C645C9" w:rsidRDefault="00F955D9">
            <w:pPr>
              <w:pStyle w:val="afb"/>
              <w:adjustRightInd w:val="0"/>
              <w:snapToGrid w:val="0"/>
              <w:spacing w:line="240" w:lineRule="auto"/>
              <w:rPr>
                <w:szCs w:val="21"/>
              </w:rPr>
            </w:pPr>
            <w:r>
              <w:rPr>
                <w:szCs w:val="21"/>
              </w:rPr>
              <w:t>溶解性总固体</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1000</w:t>
            </w:r>
          </w:p>
        </w:tc>
        <w:tc>
          <w:tcPr>
            <w:tcW w:w="670" w:type="dxa"/>
            <w:vAlign w:val="center"/>
          </w:tcPr>
          <w:p w:rsidR="00C645C9" w:rsidRDefault="00F955D9">
            <w:pPr>
              <w:pStyle w:val="afb"/>
              <w:adjustRightInd w:val="0"/>
              <w:snapToGrid w:val="0"/>
              <w:spacing w:line="240" w:lineRule="auto"/>
              <w:rPr>
                <w:szCs w:val="21"/>
              </w:rPr>
            </w:pPr>
            <w:r>
              <w:rPr>
                <w:szCs w:val="21"/>
              </w:rPr>
              <w:t>27</w:t>
            </w:r>
          </w:p>
        </w:tc>
        <w:tc>
          <w:tcPr>
            <w:tcW w:w="2526" w:type="dxa"/>
            <w:vAlign w:val="center"/>
          </w:tcPr>
          <w:p w:rsidR="00C645C9" w:rsidRDefault="00F955D9">
            <w:pPr>
              <w:pStyle w:val="afb"/>
              <w:adjustRightInd w:val="0"/>
              <w:snapToGrid w:val="0"/>
              <w:spacing w:line="240" w:lineRule="auto"/>
              <w:rPr>
                <w:szCs w:val="21"/>
              </w:rPr>
            </w:pPr>
            <w:r>
              <w:rPr>
                <w:szCs w:val="21"/>
              </w:rPr>
              <w:t>碘化物</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0.08</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8</w:t>
            </w:r>
          </w:p>
        </w:tc>
        <w:tc>
          <w:tcPr>
            <w:tcW w:w="2830" w:type="dxa"/>
            <w:vAlign w:val="center"/>
          </w:tcPr>
          <w:p w:rsidR="00C645C9" w:rsidRDefault="00F955D9">
            <w:pPr>
              <w:pStyle w:val="afb"/>
              <w:adjustRightInd w:val="0"/>
              <w:snapToGrid w:val="0"/>
              <w:spacing w:line="240" w:lineRule="auto"/>
              <w:rPr>
                <w:szCs w:val="21"/>
              </w:rPr>
            </w:pPr>
            <w:r>
              <w:rPr>
                <w:szCs w:val="21"/>
              </w:rPr>
              <w:t>硫酸盐</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250</w:t>
            </w:r>
          </w:p>
        </w:tc>
        <w:tc>
          <w:tcPr>
            <w:tcW w:w="670" w:type="dxa"/>
            <w:vAlign w:val="center"/>
          </w:tcPr>
          <w:p w:rsidR="00C645C9" w:rsidRDefault="00F955D9">
            <w:pPr>
              <w:pStyle w:val="afb"/>
              <w:adjustRightInd w:val="0"/>
              <w:snapToGrid w:val="0"/>
              <w:spacing w:line="240" w:lineRule="auto"/>
              <w:rPr>
                <w:szCs w:val="21"/>
              </w:rPr>
            </w:pPr>
            <w:r>
              <w:rPr>
                <w:szCs w:val="21"/>
              </w:rPr>
              <w:t>28</w:t>
            </w:r>
          </w:p>
        </w:tc>
        <w:tc>
          <w:tcPr>
            <w:tcW w:w="2526" w:type="dxa"/>
            <w:vAlign w:val="center"/>
          </w:tcPr>
          <w:p w:rsidR="00C645C9" w:rsidRDefault="00F955D9">
            <w:pPr>
              <w:pStyle w:val="afb"/>
              <w:adjustRightInd w:val="0"/>
              <w:snapToGrid w:val="0"/>
              <w:spacing w:line="240" w:lineRule="auto"/>
              <w:rPr>
                <w:szCs w:val="21"/>
              </w:rPr>
            </w:pPr>
            <w:r>
              <w:rPr>
                <w:szCs w:val="21"/>
              </w:rPr>
              <w:t>汞</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0.001</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9</w:t>
            </w:r>
          </w:p>
        </w:tc>
        <w:tc>
          <w:tcPr>
            <w:tcW w:w="2830" w:type="dxa"/>
            <w:vAlign w:val="center"/>
          </w:tcPr>
          <w:p w:rsidR="00C645C9" w:rsidRDefault="00F955D9">
            <w:pPr>
              <w:pStyle w:val="afb"/>
              <w:adjustRightInd w:val="0"/>
              <w:snapToGrid w:val="0"/>
              <w:spacing w:line="240" w:lineRule="auto"/>
              <w:rPr>
                <w:szCs w:val="21"/>
              </w:rPr>
            </w:pPr>
            <w:r>
              <w:rPr>
                <w:szCs w:val="21"/>
              </w:rPr>
              <w:t>氯化物</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250</w:t>
            </w:r>
          </w:p>
        </w:tc>
        <w:tc>
          <w:tcPr>
            <w:tcW w:w="670" w:type="dxa"/>
            <w:vAlign w:val="center"/>
          </w:tcPr>
          <w:p w:rsidR="00C645C9" w:rsidRDefault="00F955D9">
            <w:pPr>
              <w:pStyle w:val="afb"/>
              <w:adjustRightInd w:val="0"/>
              <w:snapToGrid w:val="0"/>
              <w:spacing w:line="240" w:lineRule="auto"/>
              <w:rPr>
                <w:szCs w:val="21"/>
              </w:rPr>
            </w:pPr>
            <w:r>
              <w:rPr>
                <w:szCs w:val="21"/>
              </w:rPr>
              <w:t>29</w:t>
            </w:r>
          </w:p>
        </w:tc>
        <w:tc>
          <w:tcPr>
            <w:tcW w:w="2526" w:type="dxa"/>
            <w:vAlign w:val="center"/>
          </w:tcPr>
          <w:p w:rsidR="00C645C9" w:rsidRDefault="00F955D9">
            <w:pPr>
              <w:pStyle w:val="afb"/>
              <w:adjustRightInd w:val="0"/>
              <w:snapToGrid w:val="0"/>
              <w:spacing w:line="240" w:lineRule="auto"/>
              <w:rPr>
                <w:szCs w:val="21"/>
              </w:rPr>
            </w:pPr>
            <w:r>
              <w:rPr>
                <w:szCs w:val="21"/>
              </w:rPr>
              <w:t>砷</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0.01</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10</w:t>
            </w:r>
          </w:p>
        </w:tc>
        <w:tc>
          <w:tcPr>
            <w:tcW w:w="2830" w:type="dxa"/>
            <w:vAlign w:val="center"/>
          </w:tcPr>
          <w:p w:rsidR="00C645C9" w:rsidRDefault="00F955D9">
            <w:pPr>
              <w:pStyle w:val="afb"/>
              <w:adjustRightInd w:val="0"/>
              <w:snapToGrid w:val="0"/>
              <w:spacing w:line="240" w:lineRule="auto"/>
              <w:rPr>
                <w:szCs w:val="21"/>
              </w:rPr>
            </w:pPr>
            <w:r>
              <w:rPr>
                <w:szCs w:val="21"/>
              </w:rPr>
              <w:t>铁</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0.3</w:t>
            </w:r>
          </w:p>
        </w:tc>
        <w:tc>
          <w:tcPr>
            <w:tcW w:w="670" w:type="dxa"/>
            <w:vAlign w:val="center"/>
          </w:tcPr>
          <w:p w:rsidR="00C645C9" w:rsidRDefault="00F955D9">
            <w:pPr>
              <w:pStyle w:val="afb"/>
              <w:adjustRightInd w:val="0"/>
              <w:snapToGrid w:val="0"/>
              <w:spacing w:line="240" w:lineRule="auto"/>
              <w:rPr>
                <w:szCs w:val="21"/>
              </w:rPr>
            </w:pPr>
            <w:r>
              <w:rPr>
                <w:szCs w:val="21"/>
              </w:rPr>
              <w:t>30</w:t>
            </w:r>
          </w:p>
        </w:tc>
        <w:tc>
          <w:tcPr>
            <w:tcW w:w="2526" w:type="dxa"/>
            <w:vAlign w:val="center"/>
          </w:tcPr>
          <w:p w:rsidR="00C645C9" w:rsidRDefault="00F955D9">
            <w:pPr>
              <w:pStyle w:val="afb"/>
              <w:adjustRightInd w:val="0"/>
              <w:snapToGrid w:val="0"/>
              <w:spacing w:line="240" w:lineRule="auto"/>
              <w:rPr>
                <w:szCs w:val="21"/>
              </w:rPr>
            </w:pPr>
            <w:r>
              <w:rPr>
                <w:szCs w:val="21"/>
              </w:rPr>
              <w:t>硒</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0.01</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11</w:t>
            </w:r>
          </w:p>
        </w:tc>
        <w:tc>
          <w:tcPr>
            <w:tcW w:w="2830" w:type="dxa"/>
            <w:vAlign w:val="center"/>
          </w:tcPr>
          <w:p w:rsidR="00C645C9" w:rsidRDefault="00F955D9">
            <w:pPr>
              <w:pStyle w:val="afb"/>
              <w:adjustRightInd w:val="0"/>
              <w:snapToGrid w:val="0"/>
              <w:spacing w:line="240" w:lineRule="auto"/>
              <w:rPr>
                <w:szCs w:val="21"/>
              </w:rPr>
            </w:pPr>
            <w:r>
              <w:rPr>
                <w:szCs w:val="21"/>
              </w:rPr>
              <w:t>锰</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0.10</w:t>
            </w:r>
          </w:p>
        </w:tc>
        <w:tc>
          <w:tcPr>
            <w:tcW w:w="670" w:type="dxa"/>
            <w:vAlign w:val="center"/>
          </w:tcPr>
          <w:p w:rsidR="00C645C9" w:rsidRDefault="00F955D9">
            <w:pPr>
              <w:pStyle w:val="afb"/>
              <w:adjustRightInd w:val="0"/>
              <w:snapToGrid w:val="0"/>
              <w:spacing w:line="240" w:lineRule="auto"/>
              <w:rPr>
                <w:szCs w:val="21"/>
              </w:rPr>
            </w:pPr>
            <w:r>
              <w:rPr>
                <w:szCs w:val="21"/>
              </w:rPr>
              <w:t>31</w:t>
            </w:r>
          </w:p>
        </w:tc>
        <w:tc>
          <w:tcPr>
            <w:tcW w:w="2526" w:type="dxa"/>
            <w:vAlign w:val="center"/>
          </w:tcPr>
          <w:p w:rsidR="00C645C9" w:rsidRDefault="00F955D9">
            <w:pPr>
              <w:pStyle w:val="afb"/>
              <w:adjustRightInd w:val="0"/>
              <w:snapToGrid w:val="0"/>
              <w:spacing w:line="240" w:lineRule="auto"/>
              <w:rPr>
                <w:szCs w:val="21"/>
              </w:rPr>
            </w:pPr>
            <w:r>
              <w:rPr>
                <w:szCs w:val="21"/>
              </w:rPr>
              <w:t>镉</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0.005</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12</w:t>
            </w:r>
          </w:p>
        </w:tc>
        <w:tc>
          <w:tcPr>
            <w:tcW w:w="2830" w:type="dxa"/>
            <w:vAlign w:val="center"/>
          </w:tcPr>
          <w:p w:rsidR="00C645C9" w:rsidRDefault="00F955D9">
            <w:pPr>
              <w:pStyle w:val="afb"/>
              <w:adjustRightInd w:val="0"/>
              <w:snapToGrid w:val="0"/>
              <w:spacing w:line="240" w:lineRule="auto"/>
              <w:rPr>
                <w:szCs w:val="21"/>
              </w:rPr>
            </w:pPr>
            <w:r>
              <w:rPr>
                <w:szCs w:val="21"/>
              </w:rPr>
              <w:t>铜</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1.00</w:t>
            </w:r>
          </w:p>
        </w:tc>
        <w:tc>
          <w:tcPr>
            <w:tcW w:w="670" w:type="dxa"/>
            <w:vAlign w:val="center"/>
          </w:tcPr>
          <w:p w:rsidR="00C645C9" w:rsidRDefault="00F955D9">
            <w:pPr>
              <w:pStyle w:val="afb"/>
              <w:adjustRightInd w:val="0"/>
              <w:snapToGrid w:val="0"/>
              <w:spacing w:line="240" w:lineRule="auto"/>
              <w:rPr>
                <w:szCs w:val="21"/>
              </w:rPr>
            </w:pPr>
            <w:r>
              <w:rPr>
                <w:szCs w:val="21"/>
              </w:rPr>
              <w:t>32</w:t>
            </w:r>
          </w:p>
        </w:tc>
        <w:tc>
          <w:tcPr>
            <w:tcW w:w="2526" w:type="dxa"/>
            <w:vAlign w:val="center"/>
          </w:tcPr>
          <w:p w:rsidR="00C645C9" w:rsidRDefault="00F955D9">
            <w:pPr>
              <w:pStyle w:val="afb"/>
              <w:adjustRightInd w:val="0"/>
              <w:snapToGrid w:val="0"/>
              <w:spacing w:line="240" w:lineRule="auto"/>
              <w:rPr>
                <w:szCs w:val="21"/>
              </w:rPr>
            </w:pPr>
            <w:r>
              <w:rPr>
                <w:szCs w:val="21"/>
              </w:rPr>
              <w:t>铬</w:t>
            </w:r>
            <w:r>
              <w:rPr>
                <w:szCs w:val="21"/>
              </w:rPr>
              <w:t>（</w:t>
            </w:r>
            <w:r>
              <w:rPr>
                <w:szCs w:val="21"/>
              </w:rPr>
              <w:t>六价</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0.05</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13</w:t>
            </w:r>
          </w:p>
        </w:tc>
        <w:tc>
          <w:tcPr>
            <w:tcW w:w="2830" w:type="dxa"/>
            <w:vAlign w:val="center"/>
          </w:tcPr>
          <w:p w:rsidR="00C645C9" w:rsidRDefault="00F955D9">
            <w:pPr>
              <w:pStyle w:val="afb"/>
              <w:adjustRightInd w:val="0"/>
              <w:snapToGrid w:val="0"/>
              <w:spacing w:line="240" w:lineRule="auto"/>
              <w:rPr>
                <w:szCs w:val="21"/>
              </w:rPr>
            </w:pPr>
            <w:r>
              <w:rPr>
                <w:szCs w:val="21"/>
              </w:rPr>
              <w:t>锌</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1.00</w:t>
            </w:r>
          </w:p>
        </w:tc>
        <w:tc>
          <w:tcPr>
            <w:tcW w:w="670" w:type="dxa"/>
            <w:vAlign w:val="center"/>
          </w:tcPr>
          <w:p w:rsidR="00C645C9" w:rsidRDefault="00F955D9">
            <w:pPr>
              <w:pStyle w:val="afb"/>
              <w:adjustRightInd w:val="0"/>
              <w:snapToGrid w:val="0"/>
              <w:spacing w:line="240" w:lineRule="auto"/>
              <w:rPr>
                <w:szCs w:val="21"/>
              </w:rPr>
            </w:pPr>
            <w:r>
              <w:rPr>
                <w:szCs w:val="21"/>
              </w:rPr>
              <w:t>33</w:t>
            </w:r>
          </w:p>
        </w:tc>
        <w:tc>
          <w:tcPr>
            <w:tcW w:w="2526" w:type="dxa"/>
            <w:vAlign w:val="center"/>
          </w:tcPr>
          <w:p w:rsidR="00C645C9" w:rsidRDefault="00F955D9">
            <w:pPr>
              <w:pStyle w:val="afb"/>
              <w:adjustRightInd w:val="0"/>
              <w:snapToGrid w:val="0"/>
              <w:spacing w:line="240" w:lineRule="auto"/>
              <w:rPr>
                <w:szCs w:val="21"/>
              </w:rPr>
            </w:pPr>
            <w:r>
              <w:rPr>
                <w:szCs w:val="21"/>
              </w:rPr>
              <w:t>铅</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0.01</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14</w:t>
            </w:r>
          </w:p>
        </w:tc>
        <w:tc>
          <w:tcPr>
            <w:tcW w:w="2830" w:type="dxa"/>
            <w:vAlign w:val="center"/>
          </w:tcPr>
          <w:p w:rsidR="00C645C9" w:rsidRDefault="00F955D9">
            <w:pPr>
              <w:pStyle w:val="afb"/>
              <w:adjustRightInd w:val="0"/>
              <w:snapToGrid w:val="0"/>
              <w:spacing w:line="240" w:lineRule="auto"/>
              <w:rPr>
                <w:szCs w:val="21"/>
              </w:rPr>
            </w:pPr>
            <w:r>
              <w:rPr>
                <w:szCs w:val="21"/>
              </w:rPr>
              <w:t>铝</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0.20</w:t>
            </w:r>
          </w:p>
        </w:tc>
        <w:tc>
          <w:tcPr>
            <w:tcW w:w="670" w:type="dxa"/>
            <w:vAlign w:val="center"/>
          </w:tcPr>
          <w:p w:rsidR="00C645C9" w:rsidRDefault="00F955D9">
            <w:pPr>
              <w:pStyle w:val="afb"/>
              <w:adjustRightInd w:val="0"/>
              <w:snapToGrid w:val="0"/>
              <w:spacing w:line="240" w:lineRule="auto"/>
              <w:rPr>
                <w:szCs w:val="21"/>
              </w:rPr>
            </w:pPr>
            <w:r>
              <w:rPr>
                <w:szCs w:val="21"/>
              </w:rPr>
              <w:t>34</w:t>
            </w:r>
          </w:p>
        </w:tc>
        <w:tc>
          <w:tcPr>
            <w:tcW w:w="2526" w:type="dxa"/>
            <w:vAlign w:val="center"/>
          </w:tcPr>
          <w:p w:rsidR="00C645C9" w:rsidRDefault="00F955D9">
            <w:pPr>
              <w:pStyle w:val="afb"/>
              <w:adjustRightInd w:val="0"/>
              <w:snapToGrid w:val="0"/>
              <w:spacing w:line="240" w:lineRule="auto"/>
              <w:rPr>
                <w:szCs w:val="21"/>
              </w:rPr>
            </w:pPr>
            <w:r>
              <w:rPr>
                <w:rFonts w:hint="eastAsia"/>
                <w:szCs w:val="21"/>
              </w:rPr>
              <w:t>三氯甲烷</w:t>
            </w:r>
            <w:r>
              <w:rPr>
                <w:rFonts w:hint="eastAsia"/>
                <w:szCs w:val="21"/>
              </w:rPr>
              <w:t>/</w:t>
            </w:r>
            <w:r>
              <w:rPr>
                <w:szCs w:val="21"/>
              </w:rPr>
              <w:t>（</w:t>
            </w:r>
            <w:r>
              <w:rPr>
                <w:kern w:val="24"/>
                <w:szCs w:val="21"/>
              </w:rPr>
              <w:t>μg/L</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rFonts w:hint="eastAsia"/>
                <w:szCs w:val="21"/>
              </w:rPr>
              <w:t>6</w:t>
            </w:r>
            <w:r>
              <w:rPr>
                <w:szCs w:val="21"/>
              </w:rPr>
              <w:t>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15</w:t>
            </w:r>
          </w:p>
        </w:tc>
        <w:tc>
          <w:tcPr>
            <w:tcW w:w="2830" w:type="dxa"/>
            <w:vAlign w:val="center"/>
          </w:tcPr>
          <w:p w:rsidR="00C645C9" w:rsidRDefault="00F955D9">
            <w:pPr>
              <w:pStyle w:val="afb"/>
              <w:adjustRightInd w:val="0"/>
              <w:snapToGrid w:val="0"/>
              <w:spacing w:line="240" w:lineRule="auto"/>
              <w:rPr>
                <w:szCs w:val="21"/>
              </w:rPr>
            </w:pPr>
            <w:r>
              <w:rPr>
                <w:szCs w:val="21"/>
              </w:rPr>
              <w:t>挥发性酚类</w:t>
            </w:r>
            <w:r>
              <w:rPr>
                <w:szCs w:val="21"/>
              </w:rPr>
              <w:t>（</w:t>
            </w:r>
            <w:r>
              <w:rPr>
                <w:szCs w:val="21"/>
              </w:rPr>
              <w:t>以苯酚计</w:t>
            </w:r>
            <w:r>
              <w:rPr>
                <w:szCs w:val="21"/>
              </w:rPr>
              <w:t>）</w:t>
            </w:r>
            <w:r>
              <w:rPr>
                <w:szCs w:val="21"/>
              </w:rPr>
              <w:t xml:space="preserve"> </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0.002</w:t>
            </w:r>
          </w:p>
        </w:tc>
        <w:tc>
          <w:tcPr>
            <w:tcW w:w="670" w:type="dxa"/>
            <w:vAlign w:val="center"/>
          </w:tcPr>
          <w:p w:rsidR="00C645C9" w:rsidRDefault="00F955D9">
            <w:pPr>
              <w:pStyle w:val="afb"/>
              <w:adjustRightInd w:val="0"/>
              <w:snapToGrid w:val="0"/>
              <w:spacing w:line="240" w:lineRule="auto"/>
              <w:rPr>
                <w:szCs w:val="21"/>
              </w:rPr>
            </w:pPr>
            <w:r>
              <w:rPr>
                <w:szCs w:val="21"/>
              </w:rPr>
              <w:t>35</w:t>
            </w:r>
          </w:p>
        </w:tc>
        <w:tc>
          <w:tcPr>
            <w:tcW w:w="2526" w:type="dxa"/>
            <w:vAlign w:val="center"/>
          </w:tcPr>
          <w:p w:rsidR="00C645C9" w:rsidRDefault="00F955D9">
            <w:pPr>
              <w:pStyle w:val="afb"/>
              <w:adjustRightInd w:val="0"/>
              <w:snapToGrid w:val="0"/>
              <w:spacing w:line="240" w:lineRule="auto"/>
              <w:rPr>
                <w:szCs w:val="21"/>
              </w:rPr>
            </w:pPr>
            <w:r>
              <w:rPr>
                <w:rFonts w:hint="eastAsia"/>
                <w:szCs w:val="21"/>
              </w:rPr>
              <w:t>四氯化碳</w:t>
            </w:r>
            <w:r>
              <w:rPr>
                <w:rFonts w:hint="eastAsia"/>
                <w:szCs w:val="21"/>
              </w:rPr>
              <w:t>/</w:t>
            </w:r>
            <w:r>
              <w:rPr>
                <w:szCs w:val="21"/>
              </w:rPr>
              <w:t>（</w:t>
            </w:r>
            <w:r>
              <w:rPr>
                <w:kern w:val="24"/>
                <w:szCs w:val="21"/>
              </w:rPr>
              <w:t>μg/L</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rFonts w:hint="eastAsia"/>
                <w:szCs w:val="21"/>
              </w:rPr>
              <w:t>2.0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16</w:t>
            </w:r>
          </w:p>
        </w:tc>
        <w:tc>
          <w:tcPr>
            <w:tcW w:w="2830" w:type="dxa"/>
            <w:vAlign w:val="center"/>
          </w:tcPr>
          <w:p w:rsidR="00C645C9" w:rsidRDefault="00F955D9">
            <w:pPr>
              <w:pStyle w:val="afb"/>
              <w:adjustRightInd w:val="0"/>
              <w:snapToGrid w:val="0"/>
              <w:spacing w:line="240" w:lineRule="auto"/>
              <w:rPr>
                <w:szCs w:val="21"/>
              </w:rPr>
            </w:pPr>
            <w:r>
              <w:rPr>
                <w:szCs w:val="21"/>
              </w:rPr>
              <w:t>阴离子表面活性剂</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0.3</w:t>
            </w:r>
          </w:p>
        </w:tc>
        <w:tc>
          <w:tcPr>
            <w:tcW w:w="670" w:type="dxa"/>
            <w:vAlign w:val="center"/>
          </w:tcPr>
          <w:p w:rsidR="00C645C9" w:rsidRDefault="00F955D9">
            <w:pPr>
              <w:pStyle w:val="afb"/>
              <w:adjustRightInd w:val="0"/>
              <w:snapToGrid w:val="0"/>
              <w:spacing w:line="240" w:lineRule="auto"/>
              <w:rPr>
                <w:szCs w:val="21"/>
              </w:rPr>
            </w:pPr>
            <w:r>
              <w:rPr>
                <w:rFonts w:hint="eastAsia"/>
                <w:szCs w:val="21"/>
              </w:rPr>
              <w:t>36</w:t>
            </w:r>
          </w:p>
        </w:tc>
        <w:tc>
          <w:tcPr>
            <w:tcW w:w="2526" w:type="dxa"/>
            <w:vAlign w:val="center"/>
          </w:tcPr>
          <w:p w:rsidR="00C645C9" w:rsidRDefault="00F955D9">
            <w:pPr>
              <w:pStyle w:val="afb"/>
              <w:adjustRightInd w:val="0"/>
              <w:snapToGrid w:val="0"/>
              <w:spacing w:line="240" w:lineRule="auto"/>
              <w:rPr>
                <w:szCs w:val="21"/>
              </w:rPr>
            </w:pPr>
            <w:r>
              <w:rPr>
                <w:szCs w:val="21"/>
              </w:rPr>
              <w:t>苯</w:t>
            </w:r>
            <w:r>
              <w:rPr>
                <w:szCs w:val="21"/>
              </w:rPr>
              <w:t>（</w:t>
            </w:r>
            <w:r>
              <w:rPr>
                <w:kern w:val="24"/>
                <w:szCs w:val="21"/>
              </w:rPr>
              <w:t>μg/L</w:t>
            </w:r>
            <w:r>
              <w:rPr>
                <w:szCs w:val="21"/>
              </w:rPr>
              <w:t>）</w:t>
            </w:r>
          </w:p>
        </w:tc>
        <w:tc>
          <w:tcPr>
            <w:tcW w:w="917"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rFonts w:hint="eastAsia"/>
                <w:szCs w:val="21"/>
              </w:rPr>
              <w:t>10.</w:t>
            </w:r>
            <w:r>
              <w:rPr>
                <w:szCs w:val="21"/>
              </w:rPr>
              <w:t>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17</w:t>
            </w:r>
          </w:p>
        </w:tc>
        <w:tc>
          <w:tcPr>
            <w:tcW w:w="2830" w:type="dxa"/>
            <w:vAlign w:val="center"/>
          </w:tcPr>
          <w:p w:rsidR="00C645C9" w:rsidRDefault="00F955D9">
            <w:pPr>
              <w:pStyle w:val="afb"/>
              <w:adjustRightInd w:val="0"/>
              <w:snapToGrid w:val="0"/>
              <w:spacing w:line="240" w:lineRule="auto"/>
              <w:rPr>
                <w:szCs w:val="21"/>
              </w:rPr>
            </w:pPr>
            <w:r>
              <w:rPr>
                <w:szCs w:val="21"/>
              </w:rPr>
              <w:t>耗氧量</w:t>
            </w:r>
            <w:r>
              <w:rPr>
                <w:szCs w:val="21"/>
              </w:rPr>
              <w:t>（</w:t>
            </w:r>
            <w:r>
              <w:rPr>
                <w:szCs w:val="21"/>
              </w:rPr>
              <w:t>COD</w:t>
            </w:r>
            <w:r>
              <w:rPr>
                <w:szCs w:val="21"/>
                <w:vertAlign w:val="subscript"/>
              </w:rPr>
              <w:t>Mn</w:t>
            </w:r>
            <w:r>
              <w:rPr>
                <w:szCs w:val="21"/>
              </w:rPr>
              <w:t>法，以</w:t>
            </w:r>
            <w:r>
              <w:rPr>
                <w:szCs w:val="21"/>
              </w:rPr>
              <w:t>O</w:t>
            </w:r>
            <w:r>
              <w:rPr>
                <w:szCs w:val="21"/>
                <w:vertAlign w:val="subscript"/>
              </w:rPr>
              <w:t>2</w:t>
            </w:r>
            <w:r>
              <w:rPr>
                <w:szCs w:val="21"/>
              </w:rPr>
              <w:t>计</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3.0</w:t>
            </w:r>
          </w:p>
        </w:tc>
        <w:tc>
          <w:tcPr>
            <w:tcW w:w="670" w:type="dxa"/>
            <w:vAlign w:val="center"/>
          </w:tcPr>
          <w:p w:rsidR="00C645C9" w:rsidRDefault="00F955D9">
            <w:pPr>
              <w:pStyle w:val="afb"/>
              <w:adjustRightInd w:val="0"/>
              <w:snapToGrid w:val="0"/>
              <w:spacing w:line="240" w:lineRule="auto"/>
              <w:rPr>
                <w:szCs w:val="21"/>
              </w:rPr>
            </w:pPr>
            <w:r>
              <w:rPr>
                <w:rFonts w:hint="eastAsia"/>
                <w:szCs w:val="21"/>
              </w:rPr>
              <w:t>37</w:t>
            </w:r>
          </w:p>
        </w:tc>
        <w:tc>
          <w:tcPr>
            <w:tcW w:w="2526" w:type="dxa"/>
            <w:vAlign w:val="center"/>
          </w:tcPr>
          <w:p w:rsidR="00C645C9" w:rsidRDefault="00F955D9">
            <w:pPr>
              <w:pStyle w:val="afb"/>
              <w:adjustRightInd w:val="0"/>
              <w:snapToGrid w:val="0"/>
              <w:spacing w:line="240" w:lineRule="auto"/>
              <w:rPr>
                <w:szCs w:val="21"/>
              </w:rPr>
            </w:pPr>
            <w:r>
              <w:rPr>
                <w:szCs w:val="21"/>
              </w:rPr>
              <w:t>甲苯</w:t>
            </w:r>
            <w:r>
              <w:rPr>
                <w:szCs w:val="21"/>
              </w:rPr>
              <w:t>（</w:t>
            </w:r>
            <w:r>
              <w:rPr>
                <w:kern w:val="24"/>
                <w:szCs w:val="21"/>
              </w:rPr>
              <w:t>μg/L</w:t>
            </w:r>
            <w:r>
              <w:rPr>
                <w:szCs w:val="21"/>
              </w:rPr>
              <w:t>）</w:t>
            </w:r>
          </w:p>
        </w:tc>
        <w:tc>
          <w:tcPr>
            <w:tcW w:w="917" w:type="dxa"/>
            <w:vAlign w:val="center"/>
          </w:tcPr>
          <w:p w:rsidR="00C645C9" w:rsidRDefault="00F955D9">
            <w:pPr>
              <w:pStyle w:val="afb"/>
              <w:adjustRightInd w:val="0"/>
              <w:snapToGrid w:val="0"/>
              <w:spacing w:line="240" w:lineRule="auto"/>
              <w:rPr>
                <w:szCs w:val="21"/>
              </w:rPr>
            </w:pPr>
            <w:bookmarkStart w:id="174" w:name="OLE_LINK56"/>
            <w:r>
              <w:rPr>
                <w:rFonts w:ascii="宋体" w:hAnsi="宋体" w:hint="eastAsia"/>
                <w:szCs w:val="21"/>
              </w:rPr>
              <w:t>≤</w:t>
            </w:r>
            <w:r>
              <w:rPr>
                <w:szCs w:val="21"/>
              </w:rPr>
              <w:t>700</w:t>
            </w:r>
            <w:bookmarkEnd w:id="174"/>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bookmarkStart w:id="175" w:name="OLE_LINK55" w:colFirst="3" w:colLast="5"/>
            <w:bookmarkStart w:id="176" w:name="OLE_LINK53" w:colFirst="3" w:colLast="4"/>
            <w:bookmarkStart w:id="177" w:name="OLE_LINK54" w:colFirst="4" w:colLast="5"/>
            <w:r>
              <w:rPr>
                <w:szCs w:val="21"/>
              </w:rPr>
              <w:t>18</w:t>
            </w:r>
          </w:p>
        </w:tc>
        <w:tc>
          <w:tcPr>
            <w:tcW w:w="2830" w:type="dxa"/>
            <w:vAlign w:val="center"/>
          </w:tcPr>
          <w:p w:rsidR="00C645C9" w:rsidRDefault="00F955D9">
            <w:pPr>
              <w:pStyle w:val="afb"/>
              <w:adjustRightInd w:val="0"/>
              <w:snapToGrid w:val="0"/>
              <w:spacing w:line="240" w:lineRule="auto"/>
              <w:rPr>
                <w:szCs w:val="21"/>
              </w:rPr>
            </w:pPr>
            <w:r>
              <w:rPr>
                <w:szCs w:val="21"/>
              </w:rPr>
              <w:t>氨氮</w:t>
            </w:r>
            <w:r>
              <w:rPr>
                <w:szCs w:val="21"/>
              </w:rPr>
              <w:t>（</w:t>
            </w:r>
            <w:r>
              <w:rPr>
                <w:szCs w:val="21"/>
              </w:rPr>
              <w:t>以</w:t>
            </w:r>
            <w:r>
              <w:rPr>
                <w:rFonts w:hint="eastAsia"/>
                <w:szCs w:val="21"/>
              </w:rPr>
              <w:t>N</w:t>
            </w:r>
            <w:r>
              <w:rPr>
                <w:szCs w:val="21"/>
              </w:rPr>
              <w:t>计</w:t>
            </w:r>
            <w:r>
              <w:rPr>
                <w:szCs w:val="21"/>
              </w:rPr>
              <w:t>）</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0.50</w:t>
            </w:r>
          </w:p>
        </w:tc>
        <w:tc>
          <w:tcPr>
            <w:tcW w:w="670" w:type="dxa"/>
            <w:vAlign w:val="center"/>
          </w:tcPr>
          <w:p w:rsidR="00C645C9" w:rsidRDefault="00F955D9">
            <w:pPr>
              <w:pStyle w:val="afb"/>
              <w:adjustRightInd w:val="0"/>
              <w:snapToGrid w:val="0"/>
              <w:spacing w:line="240" w:lineRule="auto"/>
              <w:rPr>
                <w:szCs w:val="21"/>
              </w:rPr>
            </w:pPr>
            <w:r>
              <w:rPr>
                <w:rFonts w:hint="eastAsia"/>
                <w:szCs w:val="21"/>
              </w:rPr>
              <w:t>38</w:t>
            </w:r>
          </w:p>
        </w:tc>
        <w:tc>
          <w:tcPr>
            <w:tcW w:w="2526" w:type="dxa"/>
            <w:vAlign w:val="center"/>
          </w:tcPr>
          <w:p w:rsidR="00C645C9" w:rsidRDefault="00F955D9">
            <w:pPr>
              <w:pStyle w:val="afb"/>
              <w:adjustRightInd w:val="0"/>
              <w:snapToGrid w:val="0"/>
              <w:spacing w:line="240" w:lineRule="auto"/>
              <w:rPr>
                <w:szCs w:val="21"/>
              </w:rPr>
            </w:pPr>
            <w:bookmarkStart w:id="178" w:name="OLE_LINK57"/>
            <w:r>
              <w:rPr>
                <w:szCs w:val="21"/>
              </w:rPr>
              <w:t>总</w:t>
            </w:r>
            <w:r>
              <w:rPr>
                <w:szCs w:val="21"/>
              </w:rPr>
              <w:t>α</w:t>
            </w:r>
            <w:r>
              <w:rPr>
                <w:szCs w:val="21"/>
              </w:rPr>
              <w:t>放射性</w:t>
            </w:r>
            <w:r>
              <w:rPr>
                <w:szCs w:val="21"/>
              </w:rPr>
              <w:t>/</w:t>
            </w:r>
            <w:r>
              <w:rPr>
                <w:szCs w:val="21"/>
              </w:rPr>
              <w:t>（</w:t>
            </w:r>
            <w:r>
              <w:rPr>
                <w:szCs w:val="21"/>
              </w:rPr>
              <w:t>Bq/L</w:t>
            </w:r>
            <w:r>
              <w:rPr>
                <w:szCs w:val="21"/>
              </w:rPr>
              <w:t>）</w:t>
            </w:r>
            <w:bookmarkEnd w:id="178"/>
          </w:p>
        </w:tc>
        <w:tc>
          <w:tcPr>
            <w:tcW w:w="917" w:type="dxa"/>
            <w:vAlign w:val="center"/>
          </w:tcPr>
          <w:p w:rsidR="00C645C9" w:rsidRDefault="00F955D9">
            <w:pPr>
              <w:adjustRightInd w:val="0"/>
              <w:snapToGrid w:val="0"/>
              <w:jc w:val="center"/>
              <w:rPr>
                <w:rFonts w:cs="Times New Roman"/>
                <w:sz w:val="21"/>
                <w:szCs w:val="21"/>
              </w:rPr>
            </w:pPr>
            <w:r>
              <w:rPr>
                <w:rFonts w:ascii="宋体" w:hAnsi="宋体" w:hint="eastAsia"/>
                <w:sz w:val="21"/>
                <w:szCs w:val="21"/>
              </w:rPr>
              <w:t>≤</w:t>
            </w:r>
            <w:r>
              <w:rPr>
                <w:rFonts w:cs="Times New Roman"/>
                <w:sz w:val="21"/>
                <w:szCs w:val="21"/>
              </w:rPr>
              <w:t>0.5</w:t>
            </w:r>
          </w:p>
        </w:tc>
      </w:tr>
      <w:bookmarkEnd w:id="175"/>
      <w:bookmarkEnd w:id="176"/>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19</w:t>
            </w:r>
          </w:p>
        </w:tc>
        <w:tc>
          <w:tcPr>
            <w:tcW w:w="2830" w:type="dxa"/>
            <w:vAlign w:val="center"/>
          </w:tcPr>
          <w:p w:rsidR="00C645C9" w:rsidRDefault="00F955D9">
            <w:pPr>
              <w:pStyle w:val="afb"/>
              <w:adjustRightInd w:val="0"/>
              <w:snapToGrid w:val="0"/>
              <w:spacing w:line="240" w:lineRule="auto"/>
              <w:rPr>
                <w:szCs w:val="21"/>
              </w:rPr>
            </w:pPr>
            <w:r>
              <w:rPr>
                <w:szCs w:val="21"/>
              </w:rPr>
              <w:t>硫化物</w:t>
            </w:r>
          </w:p>
        </w:tc>
        <w:tc>
          <w:tcPr>
            <w:tcW w:w="940" w:type="dxa"/>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0.02</w:t>
            </w:r>
          </w:p>
        </w:tc>
        <w:tc>
          <w:tcPr>
            <w:tcW w:w="670" w:type="dxa"/>
            <w:vAlign w:val="center"/>
          </w:tcPr>
          <w:p w:rsidR="00C645C9" w:rsidRDefault="00F955D9">
            <w:pPr>
              <w:pStyle w:val="afb"/>
              <w:adjustRightInd w:val="0"/>
              <w:snapToGrid w:val="0"/>
              <w:spacing w:line="240" w:lineRule="auto"/>
              <w:rPr>
                <w:szCs w:val="21"/>
              </w:rPr>
            </w:pPr>
            <w:r>
              <w:rPr>
                <w:rFonts w:hint="eastAsia"/>
                <w:szCs w:val="21"/>
              </w:rPr>
              <w:t>39</w:t>
            </w:r>
          </w:p>
        </w:tc>
        <w:tc>
          <w:tcPr>
            <w:tcW w:w="2526" w:type="dxa"/>
            <w:vAlign w:val="center"/>
          </w:tcPr>
          <w:p w:rsidR="00C645C9" w:rsidRDefault="00F955D9">
            <w:pPr>
              <w:pStyle w:val="afb"/>
              <w:adjustRightInd w:val="0"/>
              <w:snapToGrid w:val="0"/>
              <w:spacing w:line="240" w:lineRule="auto"/>
              <w:rPr>
                <w:szCs w:val="21"/>
              </w:rPr>
            </w:pPr>
            <w:r>
              <w:rPr>
                <w:szCs w:val="21"/>
              </w:rPr>
              <w:t>总</w:t>
            </w:r>
            <w:r>
              <w:rPr>
                <w:szCs w:val="21"/>
              </w:rPr>
              <w:t>β</w:t>
            </w:r>
            <w:r>
              <w:rPr>
                <w:szCs w:val="21"/>
              </w:rPr>
              <w:t>放射性</w:t>
            </w:r>
            <w:r>
              <w:rPr>
                <w:szCs w:val="21"/>
              </w:rPr>
              <w:t>/</w:t>
            </w:r>
            <w:r>
              <w:rPr>
                <w:szCs w:val="21"/>
              </w:rPr>
              <w:t>（</w:t>
            </w:r>
            <w:r>
              <w:rPr>
                <w:szCs w:val="21"/>
              </w:rPr>
              <w:t>Bq/L</w:t>
            </w:r>
            <w:r>
              <w:rPr>
                <w:szCs w:val="21"/>
              </w:rPr>
              <w:t>）</w:t>
            </w:r>
          </w:p>
        </w:tc>
        <w:tc>
          <w:tcPr>
            <w:tcW w:w="917" w:type="dxa"/>
            <w:vAlign w:val="center"/>
          </w:tcPr>
          <w:p w:rsidR="00C645C9" w:rsidRDefault="00F955D9">
            <w:pPr>
              <w:adjustRightInd w:val="0"/>
              <w:snapToGrid w:val="0"/>
              <w:jc w:val="center"/>
              <w:rPr>
                <w:rFonts w:cs="Times New Roman"/>
                <w:sz w:val="21"/>
                <w:szCs w:val="21"/>
              </w:rPr>
            </w:pPr>
            <w:r>
              <w:rPr>
                <w:rFonts w:ascii="宋体" w:hAnsi="宋体" w:hint="eastAsia"/>
                <w:sz w:val="21"/>
                <w:szCs w:val="21"/>
              </w:rPr>
              <w:t>≤</w:t>
            </w:r>
            <w:r>
              <w:rPr>
                <w:rFonts w:cs="Times New Roman"/>
                <w:sz w:val="21"/>
                <w:szCs w:val="21"/>
              </w:rPr>
              <w:t>1.</w:t>
            </w:r>
            <w:r>
              <w:rPr>
                <w:rFonts w:cs="Times New Roman"/>
                <w:sz w:val="21"/>
                <w:szCs w:val="21"/>
              </w:rPr>
              <w:t>0</w:t>
            </w:r>
          </w:p>
        </w:tc>
      </w:tr>
      <w:tr w:rsidR="00C645C9">
        <w:trPr>
          <w:trHeight w:val="64"/>
          <w:jc w:val="center"/>
        </w:trPr>
        <w:tc>
          <w:tcPr>
            <w:tcW w:w="639" w:type="dxa"/>
            <w:vAlign w:val="center"/>
          </w:tcPr>
          <w:p w:rsidR="00C645C9" w:rsidRDefault="00F955D9">
            <w:pPr>
              <w:pStyle w:val="afb"/>
              <w:adjustRightInd w:val="0"/>
              <w:snapToGrid w:val="0"/>
              <w:spacing w:line="240" w:lineRule="auto"/>
              <w:rPr>
                <w:szCs w:val="21"/>
              </w:rPr>
            </w:pPr>
            <w:r>
              <w:rPr>
                <w:szCs w:val="21"/>
              </w:rPr>
              <w:t>20</w:t>
            </w:r>
          </w:p>
        </w:tc>
        <w:tc>
          <w:tcPr>
            <w:tcW w:w="2830" w:type="dxa"/>
            <w:vAlign w:val="center"/>
          </w:tcPr>
          <w:p w:rsidR="00C645C9" w:rsidRDefault="00F955D9">
            <w:pPr>
              <w:pStyle w:val="afb"/>
              <w:adjustRightInd w:val="0"/>
              <w:snapToGrid w:val="0"/>
              <w:spacing w:line="240" w:lineRule="auto"/>
              <w:rPr>
                <w:szCs w:val="21"/>
              </w:rPr>
            </w:pPr>
            <w:r>
              <w:rPr>
                <w:szCs w:val="21"/>
              </w:rPr>
              <w:t>钠</w:t>
            </w:r>
          </w:p>
        </w:tc>
        <w:tc>
          <w:tcPr>
            <w:tcW w:w="940" w:type="dxa"/>
            <w:vAlign w:val="center"/>
          </w:tcPr>
          <w:p w:rsidR="00C645C9" w:rsidRDefault="00F955D9">
            <w:pPr>
              <w:pStyle w:val="afb"/>
              <w:adjustRightInd w:val="0"/>
              <w:snapToGrid w:val="0"/>
              <w:spacing w:line="240" w:lineRule="auto"/>
              <w:rPr>
                <w:szCs w:val="21"/>
              </w:rPr>
            </w:pPr>
            <w:bookmarkStart w:id="179" w:name="OLE_LINK1112"/>
            <w:r>
              <w:rPr>
                <w:rFonts w:ascii="宋体" w:hAnsi="宋体" w:hint="eastAsia"/>
                <w:szCs w:val="21"/>
              </w:rPr>
              <w:t>≤</w:t>
            </w:r>
            <w:bookmarkEnd w:id="179"/>
            <w:r>
              <w:rPr>
                <w:szCs w:val="21"/>
              </w:rPr>
              <w:t>200</w:t>
            </w:r>
          </w:p>
        </w:tc>
        <w:tc>
          <w:tcPr>
            <w:tcW w:w="670" w:type="dxa"/>
            <w:vAlign w:val="center"/>
          </w:tcPr>
          <w:p w:rsidR="00C645C9" w:rsidRDefault="00C645C9">
            <w:pPr>
              <w:pStyle w:val="afb"/>
              <w:adjustRightInd w:val="0"/>
              <w:snapToGrid w:val="0"/>
              <w:spacing w:line="240" w:lineRule="auto"/>
              <w:rPr>
                <w:szCs w:val="21"/>
              </w:rPr>
            </w:pPr>
          </w:p>
        </w:tc>
        <w:tc>
          <w:tcPr>
            <w:tcW w:w="2526" w:type="dxa"/>
            <w:vAlign w:val="center"/>
          </w:tcPr>
          <w:p w:rsidR="00C645C9" w:rsidRDefault="00C645C9">
            <w:pPr>
              <w:pStyle w:val="afb"/>
              <w:adjustRightInd w:val="0"/>
              <w:snapToGrid w:val="0"/>
              <w:spacing w:line="240" w:lineRule="auto"/>
              <w:rPr>
                <w:szCs w:val="21"/>
              </w:rPr>
            </w:pPr>
          </w:p>
        </w:tc>
        <w:tc>
          <w:tcPr>
            <w:tcW w:w="917" w:type="dxa"/>
            <w:vAlign w:val="center"/>
          </w:tcPr>
          <w:p w:rsidR="00C645C9" w:rsidRDefault="00C645C9">
            <w:pPr>
              <w:pStyle w:val="afb"/>
              <w:adjustRightInd w:val="0"/>
              <w:snapToGrid w:val="0"/>
              <w:spacing w:line="240" w:lineRule="auto"/>
              <w:rPr>
                <w:szCs w:val="21"/>
              </w:rPr>
            </w:pPr>
          </w:p>
        </w:tc>
      </w:tr>
    </w:tbl>
    <w:bookmarkEnd w:id="177"/>
    <w:p w:rsidR="00C645C9" w:rsidRDefault="00F955D9">
      <w:pPr>
        <w:adjustRightInd w:val="0"/>
        <w:snapToGrid w:val="0"/>
        <w:spacing w:line="360" w:lineRule="auto"/>
        <w:ind w:firstLine="480"/>
        <w:rPr>
          <w:rFonts w:cs="Times New Roman"/>
        </w:rPr>
      </w:pPr>
      <w:r>
        <w:rPr>
          <w:rFonts w:cs="Times New Roman"/>
        </w:rPr>
        <w:t>（</w:t>
      </w:r>
      <w:r>
        <w:rPr>
          <w:rFonts w:cs="Times New Roman" w:hint="eastAsia"/>
        </w:rPr>
        <w:t>2</w:t>
      </w:r>
      <w:r>
        <w:rPr>
          <w:rFonts w:cs="Times New Roman"/>
        </w:rPr>
        <w:t>）土壤环境</w:t>
      </w:r>
    </w:p>
    <w:p w:rsidR="00C645C9" w:rsidRDefault="00F955D9">
      <w:pPr>
        <w:adjustRightInd w:val="0"/>
        <w:snapToGrid w:val="0"/>
        <w:spacing w:line="360" w:lineRule="auto"/>
        <w:ind w:firstLine="480"/>
        <w:jc w:val="both"/>
        <w:rPr>
          <w:rFonts w:cs="Times New Roman"/>
        </w:rPr>
      </w:pPr>
      <w:r>
        <w:rPr>
          <w:rFonts w:cs="Times New Roman"/>
        </w:rPr>
        <w:t>根据《</w:t>
      </w:r>
      <w:bookmarkStart w:id="180" w:name="OLE_LINK63"/>
      <w:r>
        <w:rPr>
          <w:rFonts w:cs="Times New Roman"/>
        </w:rPr>
        <w:t>土壤环境质量</w:t>
      </w:r>
      <w:r>
        <w:rPr>
          <w:rFonts w:cs="Times New Roman"/>
        </w:rPr>
        <w:t xml:space="preserve"> </w:t>
      </w:r>
      <w:r>
        <w:rPr>
          <w:rFonts w:cs="Times New Roman"/>
        </w:rPr>
        <w:t>建设用地土壤污染风险管控标准</w:t>
      </w:r>
      <w:bookmarkEnd w:id="180"/>
      <w:r>
        <w:rPr>
          <w:rFonts w:cs="Times New Roman"/>
        </w:rPr>
        <w:t>（试行）》</w:t>
      </w:r>
      <w:r>
        <w:rPr>
          <w:rFonts w:cs="Times New Roman" w:hint="eastAsia"/>
        </w:rPr>
        <w:t>（</w:t>
      </w:r>
      <w:r>
        <w:rPr>
          <w:rFonts w:cs="Times New Roman"/>
        </w:rPr>
        <w:t>GB36600-2018</w:t>
      </w:r>
      <w:r>
        <w:rPr>
          <w:rFonts w:cs="Times New Roman" w:hint="eastAsia"/>
        </w:rPr>
        <w:t>）</w:t>
      </w:r>
      <w:r>
        <w:rPr>
          <w:rFonts w:cs="Times New Roman"/>
        </w:rPr>
        <w:t>，油田内井场建设用地为第二类用地</w:t>
      </w:r>
      <w:r>
        <w:rPr>
          <w:rFonts w:cs="Times New Roman" w:hint="eastAsia"/>
        </w:rPr>
        <w:t>。</w:t>
      </w:r>
      <w:r>
        <w:rPr>
          <w:rFonts w:cs="Times New Roman"/>
        </w:rPr>
        <w:t>结合</w:t>
      </w:r>
      <w:r>
        <w:rPr>
          <w:rFonts w:cs="Times New Roman" w:hint="eastAsia"/>
        </w:rPr>
        <w:t>本工程</w:t>
      </w:r>
      <w:r>
        <w:rPr>
          <w:rFonts w:cs="Times New Roman"/>
        </w:rPr>
        <w:t>所在区域环境特征，本工程占地范围内执行《</w:t>
      </w:r>
      <w:bookmarkStart w:id="181" w:name="OLE_LINK1111"/>
      <w:bookmarkStart w:id="182" w:name="OLE_LINK69"/>
      <w:r>
        <w:rPr>
          <w:rFonts w:cs="Times New Roman"/>
        </w:rPr>
        <w:t>土壤环境质量</w:t>
      </w:r>
      <w:r>
        <w:rPr>
          <w:rFonts w:cs="Times New Roman"/>
        </w:rPr>
        <w:t xml:space="preserve"> </w:t>
      </w:r>
      <w:r>
        <w:rPr>
          <w:rFonts w:cs="Times New Roman"/>
        </w:rPr>
        <w:t>建设用地土壤污染风险管控标准（试行</w:t>
      </w:r>
      <w:bookmarkEnd w:id="181"/>
      <w:r>
        <w:rPr>
          <w:rFonts w:cs="Times New Roman"/>
        </w:rPr>
        <w:t>）</w:t>
      </w:r>
      <w:bookmarkEnd w:id="182"/>
      <w:r>
        <w:rPr>
          <w:rFonts w:cs="Times New Roman"/>
        </w:rPr>
        <w:t>》（</w:t>
      </w:r>
      <w:r>
        <w:rPr>
          <w:rFonts w:cs="Times New Roman"/>
        </w:rPr>
        <w:t>GB36600-2018</w:t>
      </w:r>
      <w:r>
        <w:rPr>
          <w:rFonts w:cs="Times New Roman"/>
        </w:rPr>
        <w:t>）表</w:t>
      </w:r>
      <w:r>
        <w:rPr>
          <w:rFonts w:cs="Times New Roman"/>
        </w:rPr>
        <w:t>1</w:t>
      </w:r>
      <w:r>
        <w:rPr>
          <w:rFonts w:cs="Times New Roman"/>
        </w:rPr>
        <w:t>第二类用地筛选值标准</w:t>
      </w:r>
      <w:r>
        <w:rPr>
          <w:rFonts w:cs="Times New Roman" w:hint="eastAsia"/>
        </w:rPr>
        <w:t>，</w:t>
      </w:r>
      <w:r>
        <w:rPr>
          <w:rFonts w:cs="Times New Roman" w:hint="eastAsia"/>
        </w:rPr>
        <w:t>见表</w:t>
      </w:r>
      <w:r>
        <w:rPr>
          <w:rFonts w:cs="Times New Roman" w:hint="eastAsia"/>
        </w:rPr>
        <w:t>2.4-3</w:t>
      </w:r>
      <w:r>
        <w:rPr>
          <w:rFonts w:cs="Times New Roman" w:hint="eastAsia"/>
        </w:rPr>
        <w:t>。占地范围外执行《</w:t>
      </w:r>
      <w:bookmarkStart w:id="183" w:name="OLE_LINK1110"/>
      <w:r>
        <w:rPr>
          <w:rFonts w:cs="Times New Roman" w:hint="eastAsia"/>
        </w:rPr>
        <w:t>土壤环境质量</w:t>
      </w:r>
      <w:r>
        <w:rPr>
          <w:rFonts w:cs="Times New Roman" w:hint="eastAsia"/>
        </w:rPr>
        <w:t xml:space="preserve"> </w:t>
      </w:r>
      <w:r>
        <w:rPr>
          <w:rFonts w:cs="Times New Roman" w:hint="eastAsia"/>
        </w:rPr>
        <w:t>农用地土壤污染风险管控标准（试行）</w:t>
      </w:r>
      <w:bookmarkEnd w:id="183"/>
      <w:r>
        <w:rPr>
          <w:rFonts w:cs="Times New Roman" w:hint="eastAsia"/>
        </w:rPr>
        <w:t>》（</w:t>
      </w:r>
      <w:r>
        <w:rPr>
          <w:rFonts w:cs="Times New Roman" w:hint="eastAsia"/>
        </w:rPr>
        <w:t>GB15618-2018</w:t>
      </w:r>
      <w:r>
        <w:rPr>
          <w:rFonts w:cs="Times New Roman" w:hint="eastAsia"/>
        </w:rPr>
        <w:t>）中表</w:t>
      </w:r>
      <w:r>
        <w:rPr>
          <w:rFonts w:cs="Times New Roman" w:hint="eastAsia"/>
        </w:rPr>
        <w:t>1</w:t>
      </w:r>
      <w:r>
        <w:rPr>
          <w:rFonts w:cs="Times New Roman" w:hint="eastAsia"/>
        </w:rPr>
        <w:t>农用地土壤污染风险筛选值（基本工程）风险筛选值。</w:t>
      </w:r>
      <w:r>
        <w:rPr>
          <w:rFonts w:cs="Times New Roman" w:hint="eastAsia"/>
        </w:rPr>
        <w:lastRenderedPageBreak/>
        <w:t>根据监测结果，在监测期间，本工程所在区域土壤</w:t>
      </w:r>
      <w:bookmarkStart w:id="184" w:name="OLE_LINK1113"/>
      <w:r>
        <w:rPr>
          <w:rFonts w:cs="Times New Roman"/>
        </w:rPr>
        <w:t>6.5&lt;pH</w:t>
      </w:r>
      <w:r>
        <w:rPr>
          <w:rFonts w:ascii="宋体" w:hAnsi="宋体" w:hint="eastAsia"/>
        </w:rPr>
        <w:t>≤</w:t>
      </w:r>
      <w:r>
        <w:rPr>
          <w:rFonts w:cs="Times New Roman" w:hint="eastAsia"/>
        </w:rPr>
        <w:t>7.5</w:t>
      </w:r>
      <w:bookmarkEnd w:id="184"/>
      <w:r>
        <w:rPr>
          <w:rFonts w:cs="Times New Roman" w:hint="eastAsia"/>
        </w:rPr>
        <w:t>，因此占地范围外土壤执行《土壤环境质量</w:t>
      </w:r>
      <w:r>
        <w:rPr>
          <w:rFonts w:cs="Times New Roman" w:hint="eastAsia"/>
        </w:rPr>
        <w:t xml:space="preserve"> </w:t>
      </w:r>
      <w:r>
        <w:rPr>
          <w:rFonts w:cs="Times New Roman" w:hint="eastAsia"/>
        </w:rPr>
        <w:t>农用地土壤污染风险管控标准（试行）》（</w:t>
      </w:r>
      <w:r>
        <w:rPr>
          <w:rFonts w:cs="Times New Roman" w:hint="eastAsia"/>
        </w:rPr>
        <w:t>GB15618-2018</w:t>
      </w:r>
      <w:r>
        <w:rPr>
          <w:rFonts w:cs="Times New Roman" w:hint="eastAsia"/>
        </w:rPr>
        <w:t>）表</w:t>
      </w:r>
      <w:r>
        <w:rPr>
          <w:rFonts w:cs="Times New Roman" w:hint="eastAsia"/>
        </w:rPr>
        <w:t>1</w:t>
      </w:r>
      <w:r>
        <w:rPr>
          <w:rFonts w:cs="Times New Roman" w:hint="eastAsia"/>
        </w:rPr>
        <w:t>中</w:t>
      </w:r>
      <w:bookmarkStart w:id="185" w:name="OLE_LINK1115"/>
      <w:r>
        <w:rPr>
          <w:rFonts w:cs="Times New Roman"/>
        </w:rPr>
        <w:t>6.5&lt;pH</w:t>
      </w:r>
      <w:r>
        <w:rPr>
          <w:rFonts w:ascii="宋体" w:hAnsi="宋体" w:hint="eastAsia"/>
        </w:rPr>
        <w:t>≤</w:t>
      </w:r>
      <w:r>
        <w:rPr>
          <w:rFonts w:cs="Times New Roman" w:hint="eastAsia"/>
        </w:rPr>
        <w:t>7.5</w:t>
      </w:r>
      <w:bookmarkEnd w:id="185"/>
      <w:r>
        <w:rPr>
          <w:rFonts w:cs="Times New Roman" w:hint="eastAsia"/>
        </w:rPr>
        <w:t>所列筛选值标准，见表</w:t>
      </w:r>
      <w:r>
        <w:rPr>
          <w:rFonts w:cs="Times New Roman" w:hint="eastAsia"/>
        </w:rPr>
        <w:t>2.4-4</w:t>
      </w:r>
      <w:r>
        <w:rPr>
          <w:rFonts w:cs="Times New Roman" w:hint="eastAsia"/>
        </w:rPr>
        <w:t>。石油烃执行《土壤环境质量</w:t>
      </w:r>
      <w:r>
        <w:rPr>
          <w:rFonts w:cs="Times New Roman" w:hint="eastAsia"/>
        </w:rPr>
        <w:t xml:space="preserve"> </w:t>
      </w:r>
      <w:r>
        <w:rPr>
          <w:rFonts w:cs="Times New Roman" w:hint="eastAsia"/>
        </w:rPr>
        <w:t>建设用地土壤污染风险管控标准（试行）》（</w:t>
      </w:r>
      <w:r>
        <w:rPr>
          <w:rFonts w:cs="Times New Roman" w:hint="eastAsia"/>
        </w:rPr>
        <w:t>GB36600-2018</w:t>
      </w:r>
      <w:r>
        <w:rPr>
          <w:rFonts w:cs="Times New Roman" w:hint="eastAsia"/>
        </w:rPr>
        <w:t>）表</w:t>
      </w:r>
      <w:r>
        <w:rPr>
          <w:rFonts w:cs="Times New Roman" w:hint="eastAsia"/>
        </w:rPr>
        <w:t>2</w:t>
      </w:r>
      <w:r>
        <w:rPr>
          <w:rFonts w:cs="Times New Roman" w:hint="eastAsia"/>
        </w:rPr>
        <w:t>第二类用地筛选值标准</w:t>
      </w:r>
      <w:r>
        <w:rPr>
          <w:rFonts w:cs="Times New Roman"/>
        </w:rPr>
        <w:t>。</w:t>
      </w:r>
    </w:p>
    <w:p w:rsidR="00C645C9" w:rsidRDefault="00F955D9">
      <w:pPr>
        <w:pStyle w:val="af9"/>
        <w:adjustRightInd w:val="0"/>
        <w:snapToGrid w:val="0"/>
        <w:spacing w:line="240" w:lineRule="auto"/>
        <w:rPr>
          <w:rFonts w:eastAsia="黑体"/>
          <w:b w:val="0"/>
          <w:bCs/>
        </w:rPr>
      </w:pPr>
      <w:bookmarkStart w:id="186" w:name="OLE_LINK62"/>
      <w:r>
        <w:rPr>
          <w:rFonts w:eastAsia="黑体"/>
          <w:b w:val="0"/>
          <w:bCs/>
        </w:rPr>
        <w:t>表</w:t>
      </w:r>
      <w:r>
        <w:rPr>
          <w:rFonts w:eastAsia="黑体"/>
          <w:b w:val="0"/>
          <w:bCs/>
        </w:rPr>
        <w:t>2.</w:t>
      </w:r>
      <w:bookmarkEnd w:id="186"/>
      <w:r>
        <w:rPr>
          <w:rFonts w:eastAsia="黑体" w:hint="eastAsia"/>
          <w:b w:val="0"/>
          <w:bCs/>
        </w:rPr>
        <w:t>4-3</w:t>
      </w:r>
      <w:r>
        <w:rPr>
          <w:rFonts w:eastAsia="黑体"/>
          <w:b w:val="0"/>
          <w:bCs/>
        </w:rPr>
        <w:t xml:space="preserve">  </w:t>
      </w:r>
      <w:r>
        <w:rPr>
          <w:rFonts w:eastAsia="黑体"/>
          <w:b w:val="0"/>
          <w:bCs/>
        </w:rPr>
        <w:t>《土壤环境质量</w:t>
      </w:r>
      <w:r>
        <w:rPr>
          <w:rFonts w:eastAsia="黑体"/>
          <w:b w:val="0"/>
          <w:bCs/>
        </w:rPr>
        <w:t xml:space="preserve"> </w:t>
      </w:r>
      <w:r>
        <w:rPr>
          <w:rFonts w:eastAsia="黑体"/>
          <w:b w:val="0"/>
          <w:bCs/>
        </w:rPr>
        <w:t>建设用地土壤污染风险管控标准（试行）》第二类用地筛选值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798"/>
        <w:gridCol w:w="893"/>
        <w:gridCol w:w="893"/>
        <w:gridCol w:w="671"/>
        <w:gridCol w:w="1910"/>
        <w:gridCol w:w="794"/>
        <w:gridCol w:w="890"/>
      </w:tblGrid>
      <w:tr w:rsidR="00C645C9">
        <w:trPr>
          <w:trHeight w:val="353"/>
        </w:trPr>
        <w:tc>
          <w:tcPr>
            <w:tcW w:w="394" w:type="pct"/>
            <w:vAlign w:val="center"/>
          </w:tcPr>
          <w:p w:rsidR="00C645C9" w:rsidRDefault="00F955D9">
            <w:pPr>
              <w:pStyle w:val="afb"/>
              <w:adjustRightInd w:val="0"/>
              <w:snapToGrid w:val="0"/>
              <w:spacing w:line="240" w:lineRule="auto"/>
            </w:pPr>
            <w:r>
              <w:t>序号</w:t>
            </w:r>
          </w:p>
        </w:tc>
        <w:tc>
          <w:tcPr>
            <w:tcW w:w="1055" w:type="pct"/>
            <w:vAlign w:val="center"/>
          </w:tcPr>
          <w:p w:rsidR="00C645C9" w:rsidRDefault="00F955D9">
            <w:pPr>
              <w:pStyle w:val="afb"/>
              <w:adjustRightInd w:val="0"/>
              <w:snapToGrid w:val="0"/>
              <w:spacing w:line="240" w:lineRule="auto"/>
            </w:pPr>
            <w:r>
              <w:t>监测项目</w:t>
            </w:r>
          </w:p>
        </w:tc>
        <w:tc>
          <w:tcPr>
            <w:tcW w:w="524" w:type="pct"/>
            <w:vAlign w:val="center"/>
          </w:tcPr>
          <w:p w:rsidR="00C645C9" w:rsidRDefault="00F955D9">
            <w:pPr>
              <w:pStyle w:val="afb"/>
              <w:adjustRightInd w:val="0"/>
              <w:snapToGrid w:val="0"/>
              <w:spacing w:line="240" w:lineRule="auto"/>
            </w:pPr>
            <w:r>
              <w:t>单位</w:t>
            </w:r>
          </w:p>
        </w:tc>
        <w:tc>
          <w:tcPr>
            <w:tcW w:w="524" w:type="pct"/>
            <w:vAlign w:val="center"/>
          </w:tcPr>
          <w:p w:rsidR="00C645C9" w:rsidRDefault="00F955D9">
            <w:pPr>
              <w:pStyle w:val="afb"/>
              <w:adjustRightInd w:val="0"/>
              <w:snapToGrid w:val="0"/>
              <w:spacing w:line="240" w:lineRule="auto"/>
            </w:pPr>
            <w:r>
              <w:t>标准值</w:t>
            </w:r>
          </w:p>
        </w:tc>
        <w:tc>
          <w:tcPr>
            <w:tcW w:w="394" w:type="pct"/>
            <w:vAlign w:val="center"/>
          </w:tcPr>
          <w:p w:rsidR="00C645C9" w:rsidRDefault="00F955D9">
            <w:pPr>
              <w:pStyle w:val="afb"/>
              <w:adjustRightInd w:val="0"/>
              <w:snapToGrid w:val="0"/>
              <w:spacing w:line="240" w:lineRule="auto"/>
            </w:pPr>
            <w:r>
              <w:t>序号</w:t>
            </w:r>
          </w:p>
        </w:tc>
        <w:tc>
          <w:tcPr>
            <w:tcW w:w="1121" w:type="pct"/>
            <w:vAlign w:val="center"/>
          </w:tcPr>
          <w:p w:rsidR="00C645C9" w:rsidRDefault="00F955D9">
            <w:pPr>
              <w:pStyle w:val="afb"/>
              <w:adjustRightInd w:val="0"/>
              <w:snapToGrid w:val="0"/>
              <w:spacing w:line="240" w:lineRule="auto"/>
            </w:pPr>
            <w:r>
              <w:t>监测项目</w:t>
            </w:r>
          </w:p>
        </w:tc>
        <w:tc>
          <w:tcPr>
            <w:tcW w:w="466" w:type="pct"/>
            <w:vAlign w:val="center"/>
          </w:tcPr>
          <w:p w:rsidR="00C645C9" w:rsidRDefault="00F955D9">
            <w:pPr>
              <w:pStyle w:val="afb"/>
              <w:adjustRightInd w:val="0"/>
              <w:snapToGrid w:val="0"/>
              <w:spacing w:line="240" w:lineRule="auto"/>
            </w:pPr>
            <w:r>
              <w:t>单位</w:t>
            </w:r>
          </w:p>
        </w:tc>
        <w:tc>
          <w:tcPr>
            <w:tcW w:w="522" w:type="pct"/>
            <w:vAlign w:val="center"/>
          </w:tcPr>
          <w:p w:rsidR="00C645C9" w:rsidRDefault="00F955D9">
            <w:pPr>
              <w:pStyle w:val="afb"/>
              <w:adjustRightInd w:val="0"/>
              <w:snapToGrid w:val="0"/>
              <w:spacing w:line="240" w:lineRule="auto"/>
            </w:pPr>
            <w:r>
              <w:t>标准值</w:t>
            </w:r>
          </w:p>
        </w:tc>
      </w:tr>
      <w:tr w:rsidR="00C645C9">
        <w:trPr>
          <w:trHeight w:val="313"/>
        </w:trPr>
        <w:tc>
          <w:tcPr>
            <w:tcW w:w="394" w:type="pct"/>
            <w:vAlign w:val="center"/>
          </w:tcPr>
          <w:p w:rsidR="00C645C9" w:rsidRDefault="00F955D9">
            <w:pPr>
              <w:pStyle w:val="afb"/>
              <w:adjustRightInd w:val="0"/>
              <w:snapToGrid w:val="0"/>
              <w:spacing w:line="240" w:lineRule="auto"/>
            </w:pPr>
            <w:r>
              <w:t>1</w:t>
            </w:r>
          </w:p>
        </w:tc>
        <w:tc>
          <w:tcPr>
            <w:tcW w:w="1055" w:type="pct"/>
            <w:vAlign w:val="center"/>
          </w:tcPr>
          <w:p w:rsidR="00C645C9" w:rsidRDefault="00F955D9">
            <w:pPr>
              <w:pStyle w:val="afb"/>
              <w:adjustRightInd w:val="0"/>
              <w:snapToGrid w:val="0"/>
              <w:spacing w:line="240" w:lineRule="auto"/>
            </w:pPr>
            <w:r>
              <w:t>pH</w:t>
            </w:r>
          </w:p>
        </w:tc>
        <w:tc>
          <w:tcPr>
            <w:tcW w:w="524" w:type="pct"/>
            <w:vAlign w:val="center"/>
          </w:tcPr>
          <w:p w:rsidR="00C645C9" w:rsidRDefault="00F955D9">
            <w:pPr>
              <w:pStyle w:val="afb"/>
              <w:adjustRightInd w:val="0"/>
              <w:snapToGrid w:val="0"/>
              <w:spacing w:line="240" w:lineRule="auto"/>
            </w:pPr>
            <w:r>
              <w:t>无量纲</w:t>
            </w:r>
          </w:p>
        </w:tc>
        <w:tc>
          <w:tcPr>
            <w:tcW w:w="524" w:type="pct"/>
            <w:vAlign w:val="center"/>
          </w:tcPr>
          <w:p w:rsidR="00C645C9" w:rsidRDefault="00F955D9">
            <w:pPr>
              <w:pStyle w:val="afb"/>
              <w:adjustRightInd w:val="0"/>
              <w:snapToGrid w:val="0"/>
              <w:spacing w:line="240" w:lineRule="auto"/>
            </w:pPr>
            <w:r>
              <w:t>-</w:t>
            </w:r>
          </w:p>
        </w:tc>
        <w:tc>
          <w:tcPr>
            <w:tcW w:w="394" w:type="pct"/>
            <w:vAlign w:val="center"/>
          </w:tcPr>
          <w:p w:rsidR="00C645C9" w:rsidRDefault="00F955D9">
            <w:pPr>
              <w:pStyle w:val="afb"/>
              <w:adjustRightInd w:val="0"/>
              <w:snapToGrid w:val="0"/>
              <w:spacing w:line="240" w:lineRule="auto"/>
            </w:pPr>
            <w:r>
              <w:t>25</w:t>
            </w:r>
          </w:p>
        </w:tc>
        <w:tc>
          <w:tcPr>
            <w:tcW w:w="1121" w:type="pct"/>
            <w:vAlign w:val="center"/>
          </w:tcPr>
          <w:p w:rsidR="00C645C9" w:rsidRDefault="00F955D9">
            <w:pPr>
              <w:pStyle w:val="afb"/>
              <w:adjustRightInd w:val="0"/>
              <w:snapToGrid w:val="0"/>
              <w:spacing w:line="240" w:lineRule="auto"/>
            </w:pPr>
            <w:r>
              <w:t>1,2,3-</w:t>
            </w:r>
            <w:r>
              <w:t>三氯丙烷</w:t>
            </w:r>
          </w:p>
        </w:tc>
        <w:tc>
          <w:tcPr>
            <w:tcW w:w="466" w:type="pct"/>
            <w:vAlign w:val="center"/>
          </w:tcPr>
          <w:p w:rsidR="00C645C9" w:rsidRDefault="00F955D9">
            <w:pPr>
              <w:pStyle w:val="afb"/>
              <w:adjustRightInd w:val="0"/>
              <w:snapToGrid w:val="0"/>
              <w:spacing w:line="240" w:lineRule="auto"/>
            </w:pPr>
            <w:r>
              <w:t>mg/kg</w:t>
            </w:r>
          </w:p>
        </w:tc>
        <w:tc>
          <w:tcPr>
            <w:tcW w:w="522" w:type="pct"/>
            <w:vAlign w:val="center"/>
          </w:tcPr>
          <w:p w:rsidR="00C645C9" w:rsidRDefault="00F955D9">
            <w:pPr>
              <w:pStyle w:val="afb"/>
              <w:adjustRightInd w:val="0"/>
              <w:snapToGrid w:val="0"/>
              <w:spacing w:line="240" w:lineRule="auto"/>
            </w:pPr>
            <w:r>
              <w:t>0.5</w:t>
            </w:r>
          </w:p>
        </w:tc>
      </w:tr>
      <w:tr w:rsidR="00C645C9">
        <w:trPr>
          <w:trHeight w:val="298"/>
        </w:trPr>
        <w:tc>
          <w:tcPr>
            <w:tcW w:w="394" w:type="pct"/>
            <w:vAlign w:val="center"/>
          </w:tcPr>
          <w:p w:rsidR="00C645C9" w:rsidRDefault="00F955D9">
            <w:pPr>
              <w:pStyle w:val="afb"/>
              <w:adjustRightInd w:val="0"/>
              <w:snapToGrid w:val="0"/>
              <w:spacing w:line="240" w:lineRule="auto"/>
            </w:pPr>
            <w:r>
              <w:t>2</w:t>
            </w:r>
          </w:p>
        </w:tc>
        <w:tc>
          <w:tcPr>
            <w:tcW w:w="1055" w:type="pct"/>
            <w:vAlign w:val="center"/>
          </w:tcPr>
          <w:p w:rsidR="00C645C9" w:rsidRDefault="00F955D9">
            <w:pPr>
              <w:pStyle w:val="afb"/>
              <w:adjustRightInd w:val="0"/>
              <w:snapToGrid w:val="0"/>
              <w:spacing w:line="240" w:lineRule="auto"/>
            </w:pPr>
            <w:r>
              <w:t>砷</w:t>
            </w:r>
          </w:p>
        </w:tc>
        <w:tc>
          <w:tcPr>
            <w:tcW w:w="524" w:type="pct"/>
            <w:vAlign w:val="center"/>
          </w:tcPr>
          <w:p w:rsidR="00C645C9" w:rsidRDefault="00F955D9">
            <w:pPr>
              <w:pStyle w:val="afb"/>
              <w:adjustRightInd w:val="0"/>
              <w:snapToGrid w:val="0"/>
              <w:spacing w:line="240" w:lineRule="auto"/>
            </w:pPr>
            <w:r>
              <w:t>mg/kg</w:t>
            </w:r>
          </w:p>
        </w:tc>
        <w:tc>
          <w:tcPr>
            <w:tcW w:w="524" w:type="pct"/>
            <w:vAlign w:val="center"/>
          </w:tcPr>
          <w:p w:rsidR="00C645C9" w:rsidRDefault="00F955D9">
            <w:pPr>
              <w:pStyle w:val="afb"/>
              <w:adjustRightInd w:val="0"/>
              <w:snapToGrid w:val="0"/>
              <w:spacing w:line="240" w:lineRule="auto"/>
            </w:pPr>
            <w:r>
              <w:t>60</w:t>
            </w:r>
          </w:p>
        </w:tc>
        <w:tc>
          <w:tcPr>
            <w:tcW w:w="394" w:type="pct"/>
            <w:vAlign w:val="center"/>
          </w:tcPr>
          <w:p w:rsidR="00C645C9" w:rsidRDefault="00F955D9">
            <w:pPr>
              <w:pStyle w:val="afb"/>
              <w:adjustRightInd w:val="0"/>
              <w:snapToGrid w:val="0"/>
              <w:spacing w:line="240" w:lineRule="auto"/>
            </w:pPr>
            <w:r>
              <w:t>26</w:t>
            </w:r>
          </w:p>
        </w:tc>
        <w:tc>
          <w:tcPr>
            <w:tcW w:w="1121" w:type="pct"/>
            <w:vAlign w:val="center"/>
          </w:tcPr>
          <w:p w:rsidR="00C645C9" w:rsidRDefault="00F955D9">
            <w:pPr>
              <w:pStyle w:val="afb"/>
              <w:adjustRightInd w:val="0"/>
              <w:snapToGrid w:val="0"/>
              <w:spacing w:line="240" w:lineRule="auto"/>
            </w:pPr>
            <w:r>
              <w:t>氯乙烯</w:t>
            </w:r>
          </w:p>
        </w:tc>
        <w:tc>
          <w:tcPr>
            <w:tcW w:w="466" w:type="pct"/>
            <w:vAlign w:val="center"/>
          </w:tcPr>
          <w:p w:rsidR="00C645C9" w:rsidRDefault="00F955D9">
            <w:pPr>
              <w:pStyle w:val="afb"/>
              <w:adjustRightInd w:val="0"/>
              <w:snapToGrid w:val="0"/>
              <w:spacing w:line="240" w:lineRule="auto"/>
            </w:pPr>
            <w:r>
              <w:t>mg/kg</w:t>
            </w:r>
          </w:p>
        </w:tc>
        <w:tc>
          <w:tcPr>
            <w:tcW w:w="522" w:type="pct"/>
            <w:vAlign w:val="center"/>
          </w:tcPr>
          <w:p w:rsidR="00C645C9" w:rsidRDefault="00F955D9">
            <w:pPr>
              <w:pStyle w:val="afb"/>
              <w:adjustRightInd w:val="0"/>
              <w:snapToGrid w:val="0"/>
              <w:spacing w:line="240" w:lineRule="auto"/>
            </w:pPr>
            <w:r>
              <w:t>0.43</w:t>
            </w:r>
          </w:p>
        </w:tc>
      </w:tr>
      <w:tr w:rsidR="00C645C9">
        <w:trPr>
          <w:trHeight w:val="313"/>
        </w:trPr>
        <w:tc>
          <w:tcPr>
            <w:tcW w:w="394" w:type="pct"/>
            <w:vAlign w:val="center"/>
          </w:tcPr>
          <w:p w:rsidR="00C645C9" w:rsidRDefault="00F955D9">
            <w:pPr>
              <w:pStyle w:val="afb"/>
            </w:pPr>
            <w:r>
              <w:t>3</w:t>
            </w:r>
          </w:p>
        </w:tc>
        <w:tc>
          <w:tcPr>
            <w:tcW w:w="1055" w:type="pct"/>
            <w:vAlign w:val="center"/>
          </w:tcPr>
          <w:p w:rsidR="00C645C9" w:rsidRDefault="00F955D9">
            <w:pPr>
              <w:pStyle w:val="afb"/>
            </w:pPr>
            <w:r>
              <w:t>镉</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65</w:t>
            </w:r>
          </w:p>
        </w:tc>
        <w:tc>
          <w:tcPr>
            <w:tcW w:w="394" w:type="pct"/>
            <w:vAlign w:val="center"/>
          </w:tcPr>
          <w:p w:rsidR="00C645C9" w:rsidRDefault="00F955D9">
            <w:pPr>
              <w:pStyle w:val="afb"/>
            </w:pPr>
            <w:r>
              <w:t>27</w:t>
            </w:r>
          </w:p>
        </w:tc>
        <w:tc>
          <w:tcPr>
            <w:tcW w:w="1121" w:type="pct"/>
            <w:vAlign w:val="center"/>
          </w:tcPr>
          <w:p w:rsidR="00C645C9" w:rsidRDefault="00F955D9">
            <w:pPr>
              <w:pStyle w:val="afb"/>
            </w:pPr>
            <w:r>
              <w:t>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4</w:t>
            </w:r>
          </w:p>
        </w:tc>
      </w:tr>
      <w:tr w:rsidR="00C645C9">
        <w:trPr>
          <w:trHeight w:val="313"/>
        </w:trPr>
        <w:tc>
          <w:tcPr>
            <w:tcW w:w="394" w:type="pct"/>
            <w:vAlign w:val="center"/>
          </w:tcPr>
          <w:p w:rsidR="00C645C9" w:rsidRDefault="00F955D9">
            <w:pPr>
              <w:pStyle w:val="afb"/>
            </w:pPr>
            <w:r>
              <w:t>4</w:t>
            </w:r>
          </w:p>
        </w:tc>
        <w:tc>
          <w:tcPr>
            <w:tcW w:w="1055" w:type="pct"/>
            <w:vAlign w:val="center"/>
          </w:tcPr>
          <w:p w:rsidR="00C645C9" w:rsidRDefault="00F955D9">
            <w:pPr>
              <w:pStyle w:val="afb"/>
            </w:pPr>
            <w:r>
              <w:t>铬</w:t>
            </w:r>
            <w:r>
              <w:t>（</w:t>
            </w:r>
            <w:r>
              <w:t>六价</w:t>
            </w:r>
            <w:r>
              <w:t>）</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5.7</w:t>
            </w:r>
          </w:p>
        </w:tc>
        <w:tc>
          <w:tcPr>
            <w:tcW w:w="394" w:type="pct"/>
            <w:vAlign w:val="center"/>
          </w:tcPr>
          <w:p w:rsidR="00C645C9" w:rsidRDefault="00F955D9">
            <w:pPr>
              <w:pStyle w:val="afb"/>
            </w:pPr>
            <w:r>
              <w:t>28</w:t>
            </w:r>
          </w:p>
        </w:tc>
        <w:tc>
          <w:tcPr>
            <w:tcW w:w="1121" w:type="pct"/>
            <w:vAlign w:val="center"/>
          </w:tcPr>
          <w:p w:rsidR="00C645C9" w:rsidRDefault="00F955D9">
            <w:pPr>
              <w:pStyle w:val="afb"/>
            </w:pPr>
            <w:r>
              <w:t>氯苯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270</w:t>
            </w:r>
          </w:p>
        </w:tc>
      </w:tr>
      <w:tr w:rsidR="00C645C9">
        <w:trPr>
          <w:trHeight w:val="313"/>
        </w:trPr>
        <w:tc>
          <w:tcPr>
            <w:tcW w:w="394" w:type="pct"/>
            <w:vAlign w:val="center"/>
          </w:tcPr>
          <w:p w:rsidR="00C645C9" w:rsidRDefault="00F955D9">
            <w:pPr>
              <w:pStyle w:val="afb"/>
            </w:pPr>
            <w:r>
              <w:t>5</w:t>
            </w:r>
          </w:p>
        </w:tc>
        <w:tc>
          <w:tcPr>
            <w:tcW w:w="1055" w:type="pct"/>
            <w:vAlign w:val="center"/>
          </w:tcPr>
          <w:p w:rsidR="00C645C9" w:rsidRDefault="00F955D9">
            <w:pPr>
              <w:pStyle w:val="afb"/>
            </w:pPr>
            <w:r>
              <w:t>铜</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18000</w:t>
            </w:r>
          </w:p>
        </w:tc>
        <w:tc>
          <w:tcPr>
            <w:tcW w:w="394" w:type="pct"/>
            <w:vAlign w:val="center"/>
          </w:tcPr>
          <w:p w:rsidR="00C645C9" w:rsidRDefault="00F955D9">
            <w:pPr>
              <w:pStyle w:val="afb"/>
            </w:pPr>
            <w:r>
              <w:t>29</w:t>
            </w:r>
          </w:p>
        </w:tc>
        <w:tc>
          <w:tcPr>
            <w:tcW w:w="1121" w:type="pct"/>
            <w:vAlign w:val="center"/>
          </w:tcPr>
          <w:p w:rsidR="00C645C9" w:rsidRDefault="00F955D9">
            <w:pPr>
              <w:pStyle w:val="afb"/>
            </w:pPr>
            <w:r>
              <w:t>1,2-</w:t>
            </w:r>
            <w:r>
              <w:t>二氯苯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560</w:t>
            </w:r>
          </w:p>
        </w:tc>
      </w:tr>
      <w:tr w:rsidR="00C645C9">
        <w:trPr>
          <w:trHeight w:val="313"/>
        </w:trPr>
        <w:tc>
          <w:tcPr>
            <w:tcW w:w="394" w:type="pct"/>
            <w:vAlign w:val="center"/>
          </w:tcPr>
          <w:p w:rsidR="00C645C9" w:rsidRDefault="00F955D9">
            <w:pPr>
              <w:pStyle w:val="afb"/>
            </w:pPr>
            <w:r>
              <w:t>6</w:t>
            </w:r>
          </w:p>
        </w:tc>
        <w:tc>
          <w:tcPr>
            <w:tcW w:w="1055" w:type="pct"/>
            <w:vAlign w:val="center"/>
          </w:tcPr>
          <w:p w:rsidR="00C645C9" w:rsidRDefault="00F955D9">
            <w:pPr>
              <w:pStyle w:val="afb"/>
            </w:pPr>
            <w:r>
              <w:t>铅</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800</w:t>
            </w:r>
          </w:p>
        </w:tc>
        <w:tc>
          <w:tcPr>
            <w:tcW w:w="394" w:type="pct"/>
            <w:vAlign w:val="center"/>
          </w:tcPr>
          <w:p w:rsidR="00C645C9" w:rsidRDefault="00F955D9">
            <w:pPr>
              <w:pStyle w:val="afb"/>
            </w:pPr>
            <w:r>
              <w:t>30</w:t>
            </w:r>
          </w:p>
        </w:tc>
        <w:tc>
          <w:tcPr>
            <w:tcW w:w="1121" w:type="pct"/>
            <w:vAlign w:val="center"/>
          </w:tcPr>
          <w:p w:rsidR="00C645C9" w:rsidRDefault="00F955D9">
            <w:pPr>
              <w:pStyle w:val="afb"/>
            </w:pPr>
            <w:r>
              <w:t>1,4-</w:t>
            </w:r>
            <w:r>
              <w:t>二氯苯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20</w:t>
            </w:r>
          </w:p>
        </w:tc>
      </w:tr>
      <w:tr w:rsidR="00C645C9">
        <w:trPr>
          <w:trHeight w:val="313"/>
        </w:trPr>
        <w:tc>
          <w:tcPr>
            <w:tcW w:w="394" w:type="pct"/>
            <w:vAlign w:val="center"/>
          </w:tcPr>
          <w:p w:rsidR="00C645C9" w:rsidRDefault="00F955D9">
            <w:pPr>
              <w:pStyle w:val="afb"/>
            </w:pPr>
            <w:r>
              <w:t>7</w:t>
            </w:r>
          </w:p>
        </w:tc>
        <w:tc>
          <w:tcPr>
            <w:tcW w:w="1055" w:type="pct"/>
            <w:vAlign w:val="center"/>
          </w:tcPr>
          <w:p w:rsidR="00C645C9" w:rsidRDefault="00F955D9">
            <w:pPr>
              <w:pStyle w:val="afb"/>
            </w:pPr>
            <w:r>
              <w:t>汞</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38</w:t>
            </w:r>
          </w:p>
        </w:tc>
        <w:tc>
          <w:tcPr>
            <w:tcW w:w="394" w:type="pct"/>
            <w:vAlign w:val="center"/>
          </w:tcPr>
          <w:p w:rsidR="00C645C9" w:rsidRDefault="00F955D9">
            <w:pPr>
              <w:pStyle w:val="afb"/>
            </w:pPr>
            <w:r>
              <w:t>31</w:t>
            </w:r>
          </w:p>
        </w:tc>
        <w:tc>
          <w:tcPr>
            <w:tcW w:w="1121" w:type="pct"/>
            <w:vAlign w:val="center"/>
          </w:tcPr>
          <w:p w:rsidR="00C645C9" w:rsidRDefault="00F955D9">
            <w:pPr>
              <w:pStyle w:val="afb"/>
            </w:pPr>
            <w:r>
              <w:t>乙苯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28</w:t>
            </w:r>
          </w:p>
        </w:tc>
      </w:tr>
      <w:tr w:rsidR="00C645C9">
        <w:trPr>
          <w:trHeight w:val="298"/>
        </w:trPr>
        <w:tc>
          <w:tcPr>
            <w:tcW w:w="394" w:type="pct"/>
            <w:vAlign w:val="center"/>
          </w:tcPr>
          <w:p w:rsidR="00C645C9" w:rsidRDefault="00F955D9">
            <w:pPr>
              <w:pStyle w:val="afb"/>
            </w:pPr>
            <w:r>
              <w:t>8</w:t>
            </w:r>
          </w:p>
        </w:tc>
        <w:tc>
          <w:tcPr>
            <w:tcW w:w="1055" w:type="pct"/>
            <w:vAlign w:val="center"/>
          </w:tcPr>
          <w:p w:rsidR="00C645C9" w:rsidRDefault="00F955D9">
            <w:pPr>
              <w:pStyle w:val="afb"/>
            </w:pPr>
            <w:r>
              <w:t>镍</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900</w:t>
            </w:r>
          </w:p>
        </w:tc>
        <w:tc>
          <w:tcPr>
            <w:tcW w:w="394" w:type="pct"/>
            <w:vAlign w:val="center"/>
          </w:tcPr>
          <w:p w:rsidR="00C645C9" w:rsidRDefault="00F955D9">
            <w:pPr>
              <w:pStyle w:val="afb"/>
            </w:pPr>
            <w:r>
              <w:t>32</w:t>
            </w:r>
          </w:p>
        </w:tc>
        <w:tc>
          <w:tcPr>
            <w:tcW w:w="1121" w:type="pct"/>
            <w:vAlign w:val="center"/>
          </w:tcPr>
          <w:p w:rsidR="00C645C9" w:rsidRDefault="00F955D9">
            <w:pPr>
              <w:pStyle w:val="afb"/>
            </w:pPr>
            <w:r>
              <w:t>苯乙烯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1290</w:t>
            </w:r>
          </w:p>
        </w:tc>
      </w:tr>
      <w:tr w:rsidR="00C645C9">
        <w:trPr>
          <w:trHeight w:val="313"/>
        </w:trPr>
        <w:tc>
          <w:tcPr>
            <w:tcW w:w="394" w:type="pct"/>
            <w:vAlign w:val="center"/>
          </w:tcPr>
          <w:p w:rsidR="00C645C9" w:rsidRDefault="00F955D9">
            <w:pPr>
              <w:pStyle w:val="afb"/>
            </w:pPr>
            <w:r>
              <w:t>9</w:t>
            </w:r>
          </w:p>
        </w:tc>
        <w:tc>
          <w:tcPr>
            <w:tcW w:w="1055" w:type="pct"/>
            <w:vAlign w:val="center"/>
          </w:tcPr>
          <w:p w:rsidR="00C645C9" w:rsidRDefault="00F955D9">
            <w:pPr>
              <w:pStyle w:val="afb"/>
            </w:pPr>
            <w:r>
              <w:t>四氯化碳</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2.8</w:t>
            </w:r>
          </w:p>
        </w:tc>
        <w:tc>
          <w:tcPr>
            <w:tcW w:w="394" w:type="pct"/>
            <w:vAlign w:val="center"/>
          </w:tcPr>
          <w:p w:rsidR="00C645C9" w:rsidRDefault="00F955D9">
            <w:pPr>
              <w:pStyle w:val="afb"/>
            </w:pPr>
            <w:r>
              <w:t>33</w:t>
            </w:r>
          </w:p>
        </w:tc>
        <w:tc>
          <w:tcPr>
            <w:tcW w:w="1121" w:type="pct"/>
            <w:vAlign w:val="center"/>
          </w:tcPr>
          <w:p w:rsidR="00C645C9" w:rsidRDefault="00F955D9">
            <w:pPr>
              <w:pStyle w:val="afb"/>
            </w:pPr>
            <w:r>
              <w:t>甲苯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1200</w:t>
            </w:r>
          </w:p>
        </w:tc>
      </w:tr>
      <w:tr w:rsidR="00C645C9">
        <w:trPr>
          <w:trHeight w:val="313"/>
        </w:trPr>
        <w:tc>
          <w:tcPr>
            <w:tcW w:w="394" w:type="pct"/>
            <w:vAlign w:val="center"/>
          </w:tcPr>
          <w:p w:rsidR="00C645C9" w:rsidRDefault="00F955D9">
            <w:pPr>
              <w:pStyle w:val="afb"/>
            </w:pPr>
            <w:r>
              <w:t>10</w:t>
            </w:r>
          </w:p>
        </w:tc>
        <w:tc>
          <w:tcPr>
            <w:tcW w:w="1055" w:type="pct"/>
            <w:vAlign w:val="center"/>
          </w:tcPr>
          <w:p w:rsidR="00C645C9" w:rsidRDefault="00F955D9">
            <w:pPr>
              <w:pStyle w:val="afb"/>
            </w:pPr>
            <w:r>
              <w:t>氯仿</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0.9</w:t>
            </w:r>
          </w:p>
        </w:tc>
        <w:tc>
          <w:tcPr>
            <w:tcW w:w="394" w:type="pct"/>
            <w:vAlign w:val="center"/>
          </w:tcPr>
          <w:p w:rsidR="00C645C9" w:rsidRDefault="00F955D9">
            <w:pPr>
              <w:pStyle w:val="afb"/>
            </w:pPr>
            <w:r>
              <w:t>34</w:t>
            </w:r>
          </w:p>
        </w:tc>
        <w:tc>
          <w:tcPr>
            <w:tcW w:w="1121" w:type="pct"/>
            <w:vAlign w:val="center"/>
          </w:tcPr>
          <w:p w:rsidR="00C645C9" w:rsidRDefault="00F955D9">
            <w:pPr>
              <w:pStyle w:val="afb"/>
              <w:rPr>
                <w:spacing w:val="-12"/>
              </w:rPr>
            </w:pPr>
            <w:r>
              <w:rPr>
                <w:spacing w:val="-12"/>
              </w:rPr>
              <w:t>间二甲苯</w:t>
            </w:r>
            <w:r>
              <w:rPr>
                <w:spacing w:val="-12"/>
              </w:rPr>
              <w:t>+</w:t>
            </w:r>
            <w:r>
              <w:rPr>
                <w:spacing w:val="-12"/>
              </w:rPr>
              <w:t>对二甲苯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570</w:t>
            </w:r>
          </w:p>
        </w:tc>
      </w:tr>
      <w:tr w:rsidR="00C645C9">
        <w:trPr>
          <w:trHeight w:val="313"/>
        </w:trPr>
        <w:tc>
          <w:tcPr>
            <w:tcW w:w="394" w:type="pct"/>
            <w:vAlign w:val="center"/>
          </w:tcPr>
          <w:p w:rsidR="00C645C9" w:rsidRDefault="00F955D9">
            <w:pPr>
              <w:pStyle w:val="afb"/>
            </w:pPr>
            <w:r>
              <w:t>11</w:t>
            </w:r>
          </w:p>
        </w:tc>
        <w:tc>
          <w:tcPr>
            <w:tcW w:w="1055" w:type="pct"/>
            <w:vAlign w:val="center"/>
          </w:tcPr>
          <w:p w:rsidR="00C645C9" w:rsidRDefault="00F955D9">
            <w:pPr>
              <w:pStyle w:val="afb"/>
            </w:pPr>
            <w:r>
              <w:t>氯甲烷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37</w:t>
            </w:r>
          </w:p>
        </w:tc>
        <w:tc>
          <w:tcPr>
            <w:tcW w:w="394" w:type="pct"/>
            <w:vAlign w:val="center"/>
          </w:tcPr>
          <w:p w:rsidR="00C645C9" w:rsidRDefault="00F955D9">
            <w:pPr>
              <w:pStyle w:val="afb"/>
            </w:pPr>
            <w:r>
              <w:t>35</w:t>
            </w:r>
          </w:p>
        </w:tc>
        <w:tc>
          <w:tcPr>
            <w:tcW w:w="1121" w:type="pct"/>
            <w:vAlign w:val="center"/>
          </w:tcPr>
          <w:p w:rsidR="00C645C9" w:rsidRDefault="00F955D9">
            <w:pPr>
              <w:pStyle w:val="afb"/>
            </w:pPr>
            <w:r>
              <w:t>邻二甲苯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640</w:t>
            </w:r>
          </w:p>
        </w:tc>
      </w:tr>
      <w:tr w:rsidR="00C645C9">
        <w:trPr>
          <w:trHeight w:val="313"/>
        </w:trPr>
        <w:tc>
          <w:tcPr>
            <w:tcW w:w="394" w:type="pct"/>
            <w:vAlign w:val="center"/>
          </w:tcPr>
          <w:p w:rsidR="00C645C9" w:rsidRDefault="00F955D9">
            <w:pPr>
              <w:pStyle w:val="afb"/>
            </w:pPr>
            <w:r>
              <w:t>12</w:t>
            </w:r>
          </w:p>
        </w:tc>
        <w:tc>
          <w:tcPr>
            <w:tcW w:w="1055" w:type="pct"/>
            <w:vAlign w:val="center"/>
          </w:tcPr>
          <w:p w:rsidR="00C645C9" w:rsidRDefault="00F955D9">
            <w:pPr>
              <w:pStyle w:val="afb"/>
            </w:pPr>
            <w:r>
              <w:t>1,1-</w:t>
            </w:r>
            <w:r>
              <w:t>二氯乙烷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9</w:t>
            </w:r>
          </w:p>
        </w:tc>
        <w:tc>
          <w:tcPr>
            <w:tcW w:w="394" w:type="pct"/>
            <w:vAlign w:val="center"/>
          </w:tcPr>
          <w:p w:rsidR="00C645C9" w:rsidRDefault="00F955D9">
            <w:pPr>
              <w:pStyle w:val="afb"/>
            </w:pPr>
            <w:r>
              <w:t>36</w:t>
            </w:r>
          </w:p>
        </w:tc>
        <w:tc>
          <w:tcPr>
            <w:tcW w:w="1121" w:type="pct"/>
            <w:vAlign w:val="center"/>
          </w:tcPr>
          <w:p w:rsidR="00C645C9" w:rsidRDefault="00F955D9">
            <w:pPr>
              <w:pStyle w:val="afb"/>
            </w:pPr>
            <w:r>
              <w:t>硝基苯</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76</w:t>
            </w:r>
          </w:p>
        </w:tc>
      </w:tr>
      <w:tr w:rsidR="00C645C9">
        <w:trPr>
          <w:trHeight w:val="313"/>
        </w:trPr>
        <w:tc>
          <w:tcPr>
            <w:tcW w:w="394" w:type="pct"/>
            <w:vAlign w:val="center"/>
          </w:tcPr>
          <w:p w:rsidR="00C645C9" w:rsidRDefault="00F955D9">
            <w:pPr>
              <w:pStyle w:val="afb"/>
            </w:pPr>
            <w:r>
              <w:t>13</w:t>
            </w:r>
          </w:p>
        </w:tc>
        <w:tc>
          <w:tcPr>
            <w:tcW w:w="1055" w:type="pct"/>
            <w:vAlign w:val="center"/>
          </w:tcPr>
          <w:p w:rsidR="00C645C9" w:rsidRDefault="00F955D9">
            <w:pPr>
              <w:pStyle w:val="afb"/>
            </w:pPr>
            <w:r>
              <w:t>1,2-</w:t>
            </w:r>
            <w:r>
              <w:t>二氯乙烷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w:t>
            </w:r>
          </w:p>
        </w:tc>
        <w:tc>
          <w:tcPr>
            <w:tcW w:w="394" w:type="pct"/>
            <w:vAlign w:val="center"/>
          </w:tcPr>
          <w:p w:rsidR="00C645C9" w:rsidRDefault="00F955D9">
            <w:pPr>
              <w:pStyle w:val="afb"/>
            </w:pPr>
            <w:r>
              <w:t>37</w:t>
            </w:r>
          </w:p>
        </w:tc>
        <w:tc>
          <w:tcPr>
            <w:tcW w:w="1121" w:type="pct"/>
            <w:vAlign w:val="center"/>
          </w:tcPr>
          <w:p w:rsidR="00C645C9" w:rsidRDefault="00F955D9">
            <w:pPr>
              <w:pStyle w:val="afb"/>
            </w:pPr>
            <w:r>
              <w:t>苯胺</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260</w:t>
            </w:r>
          </w:p>
        </w:tc>
      </w:tr>
      <w:tr w:rsidR="00C645C9">
        <w:trPr>
          <w:trHeight w:val="313"/>
        </w:trPr>
        <w:tc>
          <w:tcPr>
            <w:tcW w:w="394" w:type="pct"/>
            <w:vAlign w:val="center"/>
          </w:tcPr>
          <w:p w:rsidR="00C645C9" w:rsidRDefault="00F955D9">
            <w:pPr>
              <w:pStyle w:val="afb"/>
            </w:pPr>
            <w:r>
              <w:t>14</w:t>
            </w:r>
          </w:p>
        </w:tc>
        <w:tc>
          <w:tcPr>
            <w:tcW w:w="1055" w:type="pct"/>
            <w:vAlign w:val="center"/>
          </w:tcPr>
          <w:p w:rsidR="00C645C9" w:rsidRDefault="00F955D9">
            <w:pPr>
              <w:pStyle w:val="afb"/>
            </w:pPr>
            <w:r>
              <w:t>1,1-</w:t>
            </w:r>
            <w:r>
              <w:t>二氯乙烯</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66</w:t>
            </w:r>
          </w:p>
        </w:tc>
        <w:tc>
          <w:tcPr>
            <w:tcW w:w="394" w:type="pct"/>
            <w:vAlign w:val="center"/>
          </w:tcPr>
          <w:p w:rsidR="00C645C9" w:rsidRDefault="00F955D9">
            <w:pPr>
              <w:pStyle w:val="afb"/>
            </w:pPr>
            <w:r>
              <w:t>38</w:t>
            </w:r>
          </w:p>
        </w:tc>
        <w:tc>
          <w:tcPr>
            <w:tcW w:w="1121" w:type="pct"/>
            <w:vAlign w:val="center"/>
          </w:tcPr>
          <w:p w:rsidR="00C645C9" w:rsidRDefault="00F955D9">
            <w:pPr>
              <w:pStyle w:val="afb"/>
            </w:pPr>
            <w:r>
              <w:t>2-</w:t>
            </w:r>
            <w:r>
              <w:t>氯酚</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2256</w:t>
            </w:r>
          </w:p>
        </w:tc>
      </w:tr>
      <w:tr w:rsidR="00C645C9">
        <w:trPr>
          <w:trHeight w:val="313"/>
        </w:trPr>
        <w:tc>
          <w:tcPr>
            <w:tcW w:w="394" w:type="pct"/>
            <w:vAlign w:val="center"/>
          </w:tcPr>
          <w:p w:rsidR="00C645C9" w:rsidRDefault="00F955D9">
            <w:pPr>
              <w:pStyle w:val="afb"/>
            </w:pPr>
            <w:r>
              <w:t>15</w:t>
            </w:r>
          </w:p>
        </w:tc>
        <w:tc>
          <w:tcPr>
            <w:tcW w:w="1055" w:type="pct"/>
            <w:vAlign w:val="center"/>
          </w:tcPr>
          <w:p w:rsidR="00C645C9" w:rsidRDefault="00F955D9">
            <w:pPr>
              <w:pStyle w:val="afb"/>
            </w:pPr>
            <w:r>
              <w:t>顺</w:t>
            </w:r>
            <w:r>
              <w:t xml:space="preserve"> 1,2-</w:t>
            </w:r>
            <w:r>
              <w:t>二氯乙烯</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596</w:t>
            </w:r>
          </w:p>
        </w:tc>
        <w:tc>
          <w:tcPr>
            <w:tcW w:w="394" w:type="pct"/>
            <w:vAlign w:val="center"/>
          </w:tcPr>
          <w:p w:rsidR="00C645C9" w:rsidRDefault="00F955D9">
            <w:pPr>
              <w:pStyle w:val="afb"/>
            </w:pPr>
            <w:r>
              <w:t>39</w:t>
            </w:r>
          </w:p>
        </w:tc>
        <w:tc>
          <w:tcPr>
            <w:tcW w:w="1121" w:type="pct"/>
            <w:vAlign w:val="center"/>
          </w:tcPr>
          <w:p w:rsidR="00C645C9" w:rsidRDefault="00F955D9">
            <w:pPr>
              <w:pStyle w:val="afb"/>
            </w:pPr>
            <w:r>
              <w:t>苯并</w:t>
            </w:r>
            <w:r>
              <w:t>〔</w:t>
            </w:r>
            <w:r>
              <w:t>a</w:t>
            </w:r>
            <w:r>
              <w:t>〕</w:t>
            </w:r>
            <w:r>
              <w:t>蒽</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w:t>
            </w:r>
          </w:p>
        </w:tc>
      </w:tr>
      <w:tr w:rsidR="00C645C9">
        <w:trPr>
          <w:trHeight w:val="313"/>
        </w:trPr>
        <w:tc>
          <w:tcPr>
            <w:tcW w:w="394" w:type="pct"/>
            <w:vAlign w:val="center"/>
          </w:tcPr>
          <w:p w:rsidR="00C645C9" w:rsidRDefault="00F955D9">
            <w:pPr>
              <w:pStyle w:val="afb"/>
            </w:pPr>
            <w:r>
              <w:t>16</w:t>
            </w:r>
          </w:p>
        </w:tc>
        <w:tc>
          <w:tcPr>
            <w:tcW w:w="1055" w:type="pct"/>
            <w:vAlign w:val="center"/>
          </w:tcPr>
          <w:p w:rsidR="00C645C9" w:rsidRDefault="00F955D9">
            <w:pPr>
              <w:pStyle w:val="afb"/>
            </w:pPr>
            <w:r>
              <w:t>反</w:t>
            </w:r>
            <w:r>
              <w:t>-1,2-</w:t>
            </w:r>
            <w:r>
              <w:t>二氯乙烯</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54</w:t>
            </w:r>
          </w:p>
        </w:tc>
        <w:tc>
          <w:tcPr>
            <w:tcW w:w="394" w:type="pct"/>
            <w:vAlign w:val="center"/>
          </w:tcPr>
          <w:p w:rsidR="00C645C9" w:rsidRDefault="00F955D9">
            <w:pPr>
              <w:pStyle w:val="afb"/>
            </w:pPr>
            <w:r>
              <w:t>40</w:t>
            </w:r>
          </w:p>
        </w:tc>
        <w:tc>
          <w:tcPr>
            <w:tcW w:w="1121" w:type="pct"/>
            <w:vAlign w:val="center"/>
          </w:tcPr>
          <w:p w:rsidR="00C645C9" w:rsidRDefault="00F955D9">
            <w:pPr>
              <w:pStyle w:val="afb"/>
            </w:pPr>
            <w:r>
              <w:t>苯并</w:t>
            </w:r>
            <w:r>
              <w:t>〔</w:t>
            </w:r>
            <w:r>
              <w:t>a</w:t>
            </w:r>
            <w:r>
              <w:t>〕</w:t>
            </w:r>
            <w:r>
              <w:t>芘</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w:t>
            </w:r>
          </w:p>
        </w:tc>
      </w:tr>
      <w:tr w:rsidR="00C645C9">
        <w:trPr>
          <w:trHeight w:val="313"/>
        </w:trPr>
        <w:tc>
          <w:tcPr>
            <w:tcW w:w="394" w:type="pct"/>
            <w:vAlign w:val="center"/>
          </w:tcPr>
          <w:p w:rsidR="00C645C9" w:rsidRDefault="00F955D9">
            <w:pPr>
              <w:pStyle w:val="afb"/>
            </w:pPr>
            <w:r>
              <w:t>17</w:t>
            </w:r>
          </w:p>
        </w:tc>
        <w:tc>
          <w:tcPr>
            <w:tcW w:w="1055" w:type="pct"/>
            <w:vAlign w:val="center"/>
          </w:tcPr>
          <w:p w:rsidR="00C645C9" w:rsidRDefault="00F955D9">
            <w:pPr>
              <w:pStyle w:val="afb"/>
            </w:pPr>
            <w:r>
              <w:t>二氯甲烷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616</w:t>
            </w:r>
          </w:p>
        </w:tc>
        <w:tc>
          <w:tcPr>
            <w:tcW w:w="394" w:type="pct"/>
            <w:vAlign w:val="center"/>
          </w:tcPr>
          <w:p w:rsidR="00C645C9" w:rsidRDefault="00F955D9">
            <w:pPr>
              <w:pStyle w:val="afb"/>
            </w:pPr>
            <w:r>
              <w:t>41</w:t>
            </w:r>
          </w:p>
        </w:tc>
        <w:tc>
          <w:tcPr>
            <w:tcW w:w="1121" w:type="pct"/>
            <w:vAlign w:val="center"/>
          </w:tcPr>
          <w:p w:rsidR="00C645C9" w:rsidRDefault="00F955D9">
            <w:pPr>
              <w:pStyle w:val="afb"/>
            </w:pPr>
            <w:r>
              <w:t>苯并</w:t>
            </w:r>
            <w:r>
              <w:t>〔</w:t>
            </w:r>
            <w:r>
              <w:t>b</w:t>
            </w:r>
            <w:r>
              <w:t>〕</w:t>
            </w:r>
            <w:r>
              <w:t>荧蒽</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w:t>
            </w:r>
          </w:p>
        </w:tc>
      </w:tr>
      <w:tr w:rsidR="00C645C9">
        <w:trPr>
          <w:trHeight w:val="313"/>
        </w:trPr>
        <w:tc>
          <w:tcPr>
            <w:tcW w:w="394" w:type="pct"/>
            <w:vAlign w:val="center"/>
          </w:tcPr>
          <w:p w:rsidR="00C645C9" w:rsidRDefault="00F955D9">
            <w:pPr>
              <w:pStyle w:val="afb"/>
            </w:pPr>
            <w:r>
              <w:t>18</w:t>
            </w:r>
          </w:p>
        </w:tc>
        <w:tc>
          <w:tcPr>
            <w:tcW w:w="1055" w:type="pct"/>
            <w:vAlign w:val="center"/>
          </w:tcPr>
          <w:p w:rsidR="00C645C9" w:rsidRDefault="00F955D9">
            <w:pPr>
              <w:pStyle w:val="afb"/>
            </w:pPr>
            <w:r>
              <w:t>1,2-</w:t>
            </w:r>
            <w:r>
              <w:t>二氯乙烷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w:t>
            </w:r>
          </w:p>
        </w:tc>
        <w:tc>
          <w:tcPr>
            <w:tcW w:w="394" w:type="pct"/>
            <w:vAlign w:val="center"/>
          </w:tcPr>
          <w:p w:rsidR="00C645C9" w:rsidRDefault="00F955D9">
            <w:pPr>
              <w:pStyle w:val="afb"/>
            </w:pPr>
            <w:r>
              <w:t>42</w:t>
            </w:r>
          </w:p>
        </w:tc>
        <w:tc>
          <w:tcPr>
            <w:tcW w:w="1121" w:type="pct"/>
            <w:vAlign w:val="center"/>
          </w:tcPr>
          <w:p w:rsidR="00C645C9" w:rsidRDefault="00F955D9">
            <w:pPr>
              <w:pStyle w:val="afb"/>
            </w:pPr>
            <w:r>
              <w:t>苯并</w:t>
            </w:r>
            <w:r>
              <w:t>〔</w:t>
            </w:r>
            <w:r>
              <w:t>k</w:t>
            </w:r>
            <w:r>
              <w:t>〕</w:t>
            </w:r>
            <w:r>
              <w:t>荧蒽</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151</w:t>
            </w:r>
          </w:p>
        </w:tc>
      </w:tr>
      <w:tr w:rsidR="00C645C9">
        <w:trPr>
          <w:trHeight w:val="313"/>
        </w:trPr>
        <w:tc>
          <w:tcPr>
            <w:tcW w:w="394" w:type="pct"/>
            <w:vAlign w:val="center"/>
          </w:tcPr>
          <w:p w:rsidR="00C645C9" w:rsidRDefault="00F955D9">
            <w:pPr>
              <w:pStyle w:val="afb"/>
            </w:pPr>
            <w:r>
              <w:t>19</w:t>
            </w:r>
          </w:p>
        </w:tc>
        <w:tc>
          <w:tcPr>
            <w:tcW w:w="1055" w:type="pct"/>
            <w:vAlign w:val="center"/>
          </w:tcPr>
          <w:p w:rsidR="00C645C9" w:rsidRDefault="00F955D9">
            <w:pPr>
              <w:pStyle w:val="afb"/>
            </w:pPr>
            <w:r>
              <w:t>1,1,1,2-</w:t>
            </w:r>
            <w:r>
              <w:t>四氯乙烷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10</w:t>
            </w:r>
          </w:p>
        </w:tc>
        <w:tc>
          <w:tcPr>
            <w:tcW w:w="394" w:type="pct"/>
            <w:vAlign w:val="center"/>
          </w:tcPr>
          <w:p w:rsidR="00C645C9" w:rsidRDefault="00F955D9">
            <w:pPr>
              <w:pStyle w:val="afb"/>
            </w:pPr>
            <w:r>
              <w:t>43</w:t>
            </w:r>
          </w:p>
        </w:tc>
        <w:tc>
          <w:tcPr>
            <w:tcW w:w="1121" w:type="pct"/>
            <w:vAlign w:val="center"/>
          </w:tcPr>
          <w:p w:rsidR="00C645C9" w:rsidRDefault="00F955D9">
            <w:pPr>
              <w:pStyle w:val="afb"/>
            </w:pPr>
            <w:r>
              <w:t>䓛</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1293</w:t>
            </w:r>
          </w:p>
        </w:tc>
      </w:tr>
      <w:tr w:rsidR="00C645C9">
        <w:trPr>
          <w:trHeight w:val="313"/>
        </w:trPr>
        <w:tc>
          <w:tcPr>
            <w:tcW w:w="394" w:type="pct"/>
            <w:vAlign w:val="center"/>
          </w:tcPr>
          <w:p w:rsidR="00C645C9" w:rsidRDefault="00F955D9">
            <w:pPr>
              <w:pStyle w:val="afb"/>
            </w:pPr>
            <w:r>
              <w:t>20</w:t>
            </w:r>
          </w:p>
        </w:tc>
        <w:tc>
          <w:tcPr>
            <w:tcW w:w="1055" w:type="pct"/>
            <w:vAlign w:val="center"/>
          </w:tcPr>
          <w:p w:rsidR="00C645C9" w:rsidRDefault="00F955D9">
            <w:pPr>
              <w:pStyle w:val="afb"/>
            </w:pPr>
            <w:r>
              <w:t>1,1,2,2-</w:t>
            </w:r>
            <w:r>
              <w:t>四氯乙烷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6.8</w:t>
            </w:r>
          </w:p>
        </w:tc>
        <w:tc>
          <w:tcPr>
            <w:tcW w:w="394" w:type="pct"/>
            <w:vAlign w:val="center"/>
          </w:tcPr>
          <w:p w:rsidR="00C645C9" w:rsidRDefault="00F955D9">
            <w:pPr>
              <w:pStyle w:val="afb"/>
            </w:pPr>
            <w:r>
              <w:t>44</w:t>
            </w:r>
          </w:p>
        </w:tc>
        <w:tc>
          <w:tcPr>
            <w:tcW w:w="1121" w:type="pct"/>
            <w:vAlign w:val="center"/>
          </w:tcPr>
          <w:p w:rsidR="00C645C9" w:rsidRDefault="00F955D9">
            <w:pPr>
              <w:pStyle w:val="afb"/>
            </w:pPr>
            <w:r>
              <w:t>二苯并</w:t>
            </w:r>
            <w:r>
              <w:t>〔</w:t>
            </w:r>
            <w:r>
              <w:t>a</w:t>
            </w:r>
            <w:r>
              <w:t>、</w:t>
            </w:r>
            <w:r>
              <w:t>h</w:t>
            </w:r>
            <w:r>
              <w:t>〕</w:t>
            </w:r>
            <w:r>
              <w:t>蒽</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w:t>
            </w:r>
          </w:p>
        </w:tc>
      </w:tr>
      <w:tr w:rsidR="00C645C9">
        <w:trPr>
          <w:trHeight w:val="313"/>
        </w:trPr>
        <w:tc>
          <w:tcPr>
            <w:tcW w:w="394" w:type="pct"/>
            <w:vAlign w:val="center"/>
          </w:tcPr>
          <w:p w:rsidR="00C645C9" w:rsidRDefault="00F955D9">
            <w:pPr>
              <w:pStyle w:val="afb"/>
            </w:pPr>
            <w:r>
              <w:t>21</w:t>
            </w:r>
          </w:p>
        </w:tc>
        <w:tc>
          <w:tcPr>
            <w:tcW w:w="1055" w:type="pct"/>
            <w:vAlign w:val="center"/>
          </w:tcPr>
          <w:p w:rsidR="00C645C9" w:rsidRDefault="00F955D9">
            <w:pPr>
              <w:pStyle w:val="afb"/>
            </w:pPr>
            <w:r>
              <w:t>四氯乙烯</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53</w:t>
            </w:r>
          </w:p>
        </w:tc>
        <w:tc>
          <w:tcPr>
            <w:tcW w:w="394" w:type="pct"/>
            <w:vAlign w:val="center"/>
          </w:tcPr>
          <w:p w:rsidR="00C645C9" w:rsidRDefault="00F955D9">
            <w:pPr>
              <w:pStyle w:val="afb"/>
            </w:pPr>
            <w:r>
              <w:t>45</w:t>
            </w:r>
          </w:p>
        </w:tc>
        <w:tc>
          <w:tcPr>
            <w:tcW w:w="1121" w:type="pct"/>
            <w:vAlign w:val="center"/>
          </w:tcPr>
          <w:p w:rsidR="00C645C9" w:rsidRDefault="00F955D9">
            <w:pPr>
              <w:pStyle w:val="afb"/>
              <w:rPr>
                <w:spacing w:val="-24"/>
              </w:rPr>
            </w:pPr>
            <w:r>
              <w:rPr>
                <w:spacing w:val="-24"/>
              </w:rPr>
              <w:t>茚并</w:t>
            </w:r>
            <w:r>
              <w:rPr>
                <w:spacing w:val="-24"/>
              </w:rPr>
              <w:t>〔</w:t>
            </w:r>
            <w:r>
              <w:rPr>
                <w:spacing w:val="-24"/>
              </w:rPr>
              <w:t>1</w:t>
            </w:r>
            <w:r>
              <w:rPr>
                <w:spacing w:val="-24"/>
              </w:rPr>
              <w:t>、</w:t>
            </w:r>
            <w:r>
              <w:rPr>
                <w:spacing w:val="-24"/>
              </w:rPr>
              <w:t>2</w:t>
            </w:r>
            <w:r>
              <w:rPr>
                <w:spacing w:val="-24"/>
              </w:rPr>
              <w:t>、</w:t>
            </w:r>
            <w:r>
              <w:rPr>
                <w:spacing w:val="-24"/>
              </w:rPr>
              <w:t>3-cd</w:t>
            </w:r>
            <w:r>
              <w:rPr>
                <w:spacing w:val="-24"/>
              </w:rPr>
              <w:t>〕</w:t>
            </w:r>
            <w:r>
              <w:rPr>
                <w:spacing w:val="-24"/>
              </w:rPr>
              <w:t>芘</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15</w:t>
            </w:r>
          </w:p>
        </w:tc>
      </w:tr>
      <w:tr w:rsidR="00C645C9">
        <w:trPr>
          <w:trHeight w:val="313"/>
        </w:trPr>
        <w:tc>
          <w:tcPr>
            <w:tcW w:w="394" w:type="pct"/>
            <w:vAlign w:val="center"/>
          </w:tcPr>
          <w:p w:rsidR="00C645C9" w:rsidRDefault="00F955D9">
            <w:pPr>
              <w:pStyle w:val="afb"/>
            </w:pPr>
            <w:r>
              <w:t>22</w:t>
            </w:r>
          </w:p>
        </w:tc>
        <w:tc>
          <w:tcPr>
            <w:tcW w:w="1055" w:type="pct"/>
            <w:vAlign w:val="center"/>
          </w:tcPr>
          <w:p w:rsidR="00C645C9" w:rsidRDefault="00F955D9">
            <w:pPr>
              <w:pStyle w:val="afb"/>
            </w:pPr>
            <w:r>
              <w:t>1,1,1-</w:t>
            </w:r>
            <w:r>
              <w:t>三氯乙烷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840</w:t>
            </w:r>
          </w:p>
        </w:tc>
        <w:tc>
          <w:tcPr>
            <w:tcW w:w="394" w:type="pct"/>
            <w:vAlign w:val="center"/>
          </w:tcPr>
          <w:p w:rsidR="00C645C9" w:rsidRDefault="00F955D9">
            <w:pPr>
              <w:pStyle w:val="afb"/>
            </w:pPr>
            <w:r>
              <w:t>46</w:t>
            </w:r>
          </w:p>
        </w:tc>
        <w:tc>
          <w:tcPr>
            <w:tcW w:w="1121" w:type="pct"/>
            <w:vAlign w:val="center"/>
          </w:tcPr>
          <w:p w:rsidR="00C645C9" w:rsidRDefault="00F955D9">
            <w:pPr>
              <w:pStyle w:val="afb"/>
            </w:pPr>
            <w:r>
              <w:t>萘</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70</w:t>
            </w:r>
          </w:p>
        </w:tc>
      </w:tr>
      <w:tr w:rsidR="00C645C9">
        <w:trPr>
          <w:trHeight w:val="313"/>
        </w:trPr>
        <w:tc>
          <w:tcPr>
            <w:tcW w:w="394" w:type="pct"/>
            <w:vAlign w:val="center"/>
          </w:tcPr>
          <w:p w:rsidR="00C645C9" w:rsidRDefault="00F955D9">
            <w:pPr>
              <w:pStyle w:val="afb"/>
            </w:pPr>
            <w:r>
              <w:t>23</w:t>
            </w:r>
          </w:p>
        </w:tc>
        <w:tc>
          <w:tcPr>
            <w:tcW w:w="1055" w:type="pct"/>
            <w:vAlign w:val="center"/>
          </w:tcPr>
          <w:p w:rsidR="00C645C9" w:rsidRDefault="00F955D9">
            <w:pPr>
              <w:pStyle w:val="afb"/>
            </w:pPr>
            <w:r>
              <w:t>1,1,2-</w:t>
            </w:r>
            <w:r>
              <w:t>三氯乙烷</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2.8</w:t>
            </w:r>
          </w:p>
        </w:tc>
        <w:tc>
          <w:tcPr>
            <w:tcW w:w="394" w:type="pct"/>
            <w:vAlign w:val="center"/>
          </w:tcPr>
          <w:p w:rsidR="00C645C9" w:rsidRDefault="00F955D9">
            <w:pPr>
              <w:pStyle w:val="afb"/>
            </w:pPr>
            <w:r>
              <w:t>47</w:t>
            </w:r>
          </w:p>
        </w:tc>
        <w:tc>
          <w:tcPr>
            <w:tcW w:w="1121" w:type="pct"/>
            <w:vAlign w:val="center"/>
          </w:tcPr>
          <w:p w:rsidR="00C645C9" w:rsidRDefault="00F955D9">
            <w:pPr>
              <w:pStyle w:val="afb"/>
            </w:pPr>
            <w:r>
              <w:t>石油烃</w:t>
            </w:r>
            <w:r>
              <w:t>（</w:t>
            </w:r>
            <w:r>
              <w:t>C</w:t>
            </w:r>
            <w:r>
              <w:rPr>
                <w:vertAlign w:val="subscript"/>
              </w:rPr>
              <w:t>10</w:t>
            </w:r>
            <w:r>
              <w:t>-C</w:t>
            </w:r>
            <w:r>
              <w:rPr>
                <w:vertAlign w:val="subscript"/>
              </w:rPr>
              <w:t>40</w:t>
            </w:r>
            <w:r>
              <w:t>）</w:t>
            </w:r>
          </w:p>
        </w:tc>
        <w:tc>
          <w:tcPr>
            <w:tcW w:w="466" w:type="pct"/>
            <w:vAlign w:val="center"/>
          </w:tcPr>
          <w:p w:rsidR="00C645C9" w:rsidRDefault="00F955D9">
            <w:pPr>
              <w:pStyle w:val="afb"/>
            </w:pPr>
            <w:r>
              <w:t>mg/kg</w:t>
            </w:r>
          </w:p>
        </w:tc>
        <w:tc>
          <w:tcPr>
            <w:tcW w:w="522" w:type="pct"/>
            <w:vAlign w:val="center"/>
          </w:tcPr>
          <w:p w:rsidR="00C645C9" w:rsidRDefault="00F955D9">
            <w:pPr>
              <w:pStyle w:val="afb"/>
            </w:pPr>
            <w:r>
              <w:t>4500</w:t>
            </w:r>
          </w:p>
        </w:tc>
      </w:tr>
      <w:tr w:rsidR="00C645C9">
        <w:trPr>
          <w:trHeight w:val="313"/>
        </w:trPr>
        <w:tc>
          <w:tcPr>
            <w:tcW w:w="394" w:type="pct"/>
            <w:vAlign w:val="center"/>
          </w:tcPr>
          <w:p w:rsidR="00C645C9" w:rsidRDefault="00F955D9">
            <w:pPr>
              <w:pStyle w:val="afb"/>
            </w:pPr>
            <w:r>
              <w:t>24</w:t>
            </w:r>
          </w:p>
        </w:tc>
        <w:tc>
          <w:tcPr>
            <w:tcW w:w="1055" w:type="pct"/>
            <w:vAlign w:val="center"/>
          </w:tcPr>
          <w:p w:rsidR="00C645C9" w:rsidRDefault="00F955D9">
            <w:pPr>
              <w:pStyle w:val="afb"/>
            </w:pPr>
            <w:r>
              <w:t>三氯乙烯</w:t>
            </w:r>
          </w:p>
        </w:tc>
        <w:tc>
          <w:tcPr>
            <w:tcW w:w="524" w:type="pct"/>
            <w:vAlign w:val="center"/>
          </w:tcPr>
          <w:p w:rsidR="00C645C9" w:rsidRDefault="00F955D9">
            <w:pPr>
              <w:pStyle w:val="afb"/>
            </w:pPr>
            <w:r>
              <w:t>mg/kg</w:t>
            </w:r>
          </w:p>
        </w:tc>
        <w:tc>
          <w:tcPr>
            <w:tcW w:w="524" w:type="pct"/>
            <w:vAlign w:val="center"/>
          </w:tcPr>
          <w:p w:rsidR="00C645C9" w:rsidRDefault="00F955D9">
            <w:pPr>
              <w:pStyle w:val="afb"/>
            </w:pPr>
            <w:r>
              <w:t>2.8</w:t>
            </w:r>
          </w:p>
        </w:tc>
        <w:tc>
          <w:tcPr>
            <w:tcW w:w="394" w:type="pct"/>
            <w:vAlign w:val="center"/>
          </w:tcPr>
          <w:p w:rsidR="00C645C9" w:rsidRDefault="00C645C9">
            <w:pPr>
              <w:pStyle w:val="afb"/>
            </w:pPr>
          </w:p>
        </w:tc>
        <w:tc>
          <w:tcPr>
            <w:tcW w:w="1121" w:type="pct"/>
            <w:vAlign w:val="center"/>
          </w:tcPr>
          <w:p w:rsidR="00C645C9" w:rsidRDefault="00C645C9">
            <w:pPr>
              <w:pStyle w:val="afb"/>
            </w:pPr>
          </w:p>
        </w:tc>
        <w:tc>
          <w:tcPr>
            <w:tcW w:w="466" w:type="pct"/>
            <w:vAlign w:val="center"/>
          </w:tcPr>
          <w:p w:rsidR="00C645C9" w:rsidRDefault="00C645C9">
            <w:pPr>
              <w:pStyle w:val="afb"/>
            </w:pPr>
          </w:p>
        </w:tc>
        <w:tc>
          <w:tcPr>
            <w:tcW w:w="522" w:type="pct"/>
            <w:vAlign w:val="center"/>
          </w:tcPr>
          <w:p w:rsidR="00C645C9" w:rsidRDefault="00C645C9">
            <w:pPr>
              <w:pStyle w:val="afb"/>
            </w:pPr>
          </w:p>
        </w:tc>
      </w:tr>
    </w:tbl>
    <w:p w:rsidR="00C645C9" w:rsidRDefault="00F955D9">
      <w:pPr>
        <w:pStyle w:val="af9"/>
        <w:adjustRightInd w:val="0"/>
        <w:snapToGrid w:val="0"/>
        <w:spacing w:line="240" w:lineRule="auto"/>
      </w:pPr>
      <w:r>
        <w:rPr>
          <w:rFonts w:eastAsia="黑体"/>
          <w:b w:val="0"/>
          <w:bCs/>
        </w:rPr>
        <w:t>表</w:t>
      </w:r>
      <w:r>
        <w:rPr>
          <w:rFonts w:eastAsia="黑体"/>
          <w:b w:val="0"/>
          <w:bCs/>
        </w:rPr>
        <w:t>2.</w:t>
      </w:r>
      <w:r>
        <w:rPr>
          <w:rFonts w:eastAsia="黑体" w:hint="eastAsia"/>
          <w:b w:val="0"/>
          <w:bCs/>
        </w:rPr>
        <w:t>4-4</w:t>
      </w:r>
      <w:r>
        <w:rPr>
          <w:rFonts w:eastAsia="黑体"/>
          <w:b w:val="0"/>
          <w:bCs/>
        </w:rPr>
        <w:t xml:space="preserve">   </w:t>
      </w:r>
      <w:r>
        <w:rPr>
          <w:rFonts w:eastAsia="黑体"/>
          <w:b w:val="0"/>
          <w:bCs/>
        </w:rPr>
        <w:t>《</w:t>
      </w:r>
      <w:bookmarkStart w:id="187" w:name="OLE_LINK67"/>
      <w:r>
        <w:rPr>
          <w:rFonts w:eastAsia="黑体"/>
          <w:b w:val="0"/>
          <w:bCs/>
        </w:rPr>
        <w:t>土壤环境质量</w:t>
      </w:r>
      <w:r>
        <w:rPr>
          <w:rFonts w:eastAsia="黑体"/>
          <w:b w:val="0"/>
          <w:bCs/>
        </w:rPr>
        <w:t xml:space="preserve"> </w:t>
      </w:r>
      <w:r>
        <w:rPr>
          <w:rFonts w:eastAsia="黑体"/>
          <w:b w:val="0"/>
          <w:bCs/>
        </w:rPr>
        <w:t>农用地土壤污染风险管控标准（试行）</w:t>
      </w:r>
      <w:bookmarkEnd w:id="187"/>
      <w:r>
        <w:rPr>
          <w:rFonts w:eastAsia="黑体"/>
          <w:b w:val="0"/>
          <w:bCs/>
        </w:rPr>
        <w:t>》表</w:t>
      </w:r>
      <w:r>
        <w:rPr>
          <w:rFonts w:eastAsia="黑体"/>
          <w:b w:val="0"/>
          <w:bCs/>
        </w:rPr>
        <w:t>1</w:t>
      </w:r>
      <w:r>
        <w:rPr>
          <w:rFonts w:eastAsia="黑体"/>
          <w:b w:val="0"/>
          <w:bCs/>
        </w:rPr>
        <w:t>筛选值</w:t>
      </w:r>
      <w:r>
        <w:rPr>
          <w:rFonts w:eastAsia="黑体" w:hint="eastAsia"/>
          <w:b w:val="0"/>
          <w:bCs/>
        </w:rPr>
        <w:t>（</w:t>
      </w:r>
      <w:r>
        <w:rPr>
          <w:rFonts w:eastAsia="黑体"/>
          <w:b w:val="0"/>
          <w:bCs/>
        </w:rPr>
        <w:t>6.5&lt;pH≤</w:t>
      </w:r>
      <w:bookmarkStart w:id="188" w:name="OLE_LINK1114"/>
      <w:r>
        <w:rPr>
          <w:rFonts w:eastAsia="黑体"/>
          <w:b w:val="0"/>
          <w:bCs/>
        </w:rPr>
        <w:t>7.5</w:t>
      </w:r>
      <w:bookmarkEnd w:id="188"/>
      <w:r>
        <w:rPr>
          <w:rFonts w:eastAsia="黑体" w:hint="eastAsia"/>
          <w:b w:val="0"/>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127"/>
        <w:gridCol w:w="1558"/>
        <w:gridCol w:w="4020"/>
      </w:tblGrid>
      <w:tr w:rsidR="00C645C9">
        <w:trPr>
          <w:trHeight w:val="20"/>
          <w:jc w:val="center"/>
        </w:trPr>
        <w:tc>
          <w:tcPr>
            <w:tcW w:w="478" w:type="pct"/>
            <w:noWrap/>
            <w:vAlign w:val="center"/>
          </w:tcPr>
          <w:p w:rsidR="00C645C9" w:rsidRDefault="00F955D9">
            <w:pPr>
              <w:pStyle w:val="afb"/>
              <w:adjustRightInd w:val="0"/>
              <w:snapToGrid w:val="0"/>
              <w:spacing w:line="240" w:lineRule="auto"/>
            </w:pPr>
            <w:bookmarkStart w:id="189" w:name="OLE_LINK68"/>
            <w:r>
              <w:t>序号</w:t>
            </w:r>
          </w:p>
        </w:tc>
        <w:tc>
          <w:tcPr>
            <w:tcW w:w="1248" w:type="pct"/>
            <w:noWrap/>
            <w:vAlign w:val="center"/>
          </w:tcPr>
          <w:p w:rsidR="00C645C9" w:rsidRDefault="00F955D9">
            <w:pPr>
              <w:pStyle w:val="afb"/>
              <w:adjustRightInd w:val="0"/>
              <w:snapToGrid w:val="0"/>
              <w:spacing w:line="240" w:lineRule="auto"/>
            </w:pPr>
            <w:r>
              <w:t>监测因子</w:t>
            </w:r>
          </w:p>
        </w:tc>
        <w:tc>
          <w:tcPr>
            <w:tcW w:w="914" w:type="pct"/>
          </w:tcPr>
          <w:p w:rsidR="00C645C9" w:rsidRDefault="00F955D9">
            <w:pPr>
              <w:pStyle w:val="afb"/>
              <w:adjustRightInd w:val="0"/>
              <w:snapToGrid w:val="0"/>
              <w:spacing w:line="240" w:lineRule="auto"/>
            </w:pPr>
            <w:r>
              <w:t>单位</w:t>
            </w:r>
          </w:p>
        </w:tc>
        <w:tc>
          <w:tcPr>
            <w:tcW w:w="2358" w:type="pct"/>
            <w:noWrap/>
            <w:vAlign w:val="center"/>
          </w:tcPr>
          <w:p w:rsidR="00C645C9" w:rsidRDefault="00F955D9">
            <w:pPr>
              <w:pStyle w:val="afb"/>
              <w:adjustRightInd w:val="0"/>
              <w:snapToGrid w:val="0"/>
              <w:spacing w:line="240" w:lineRule="auto"/>
            </w:pPr>
            <w:r>
              <w:t>标准值</w:t>
            </w:r>
          </w:p>
        </w:tc>
      </w:tr>
      <w:tr w:rsidR="00C645C9">
        <w:trPr>
          <w:trHeight w:val="20"/>
          <w:jc w:val="center"/>
        </w:trPr>
        <w:tc>
          <w:tcPr>
            <w:tcW w:w="478" w:type="pct"/>
            <w:vAlign w:val="center"/>
          </w:tcPr>
          <w:p w:rsidR="00C645C9" w:rsidRDefault="00F955D9">
            <w:pPr>
              <w:pStyle w:val="afb"/>
              <w:adjustRightInd w:val="0"/>
              <w:snapToGrid w:val="0"/>
              <w:spacing w:line="240" w:lineRule="auto"/>
            </w:pPr>
            <w:r>
              <w:t>1</w:t>
            </w:r>
          </w:p>
        </w:tc>
        <w:tc>
          <w:tcPr>
            <w:tcW w:w="1248" w:type="pct"/>
          </w:tcPr>
          <w:p w:rsidR="00C645C9" w:rsidRDefault="00F955D9">
            <w:pPr>
              <w:pStyle w:val="afb"/>
              <w:adjustRightInd w:val="0"/>
              <w:snapToGrid w:val="0"/>
              <w:spacing w:line="240" w:lineRule="auto"/>
            </w:pPr>
            <w:r>
              <w:t>pH</w:t>
            </w:r>
            <w:r>
              <w:t>值</w:t>
            </w:r>
          </w:p>
        </w:tc>
        <w:tc>
          <w:tcPr>
            <w:tcW w:w="914" w:type="pct"/>
            <w:vAlign w:val="center"/>
          </w:tcPr>
          <w:p w:rsidR="00C645C9" w:rsidRDefault="00F955D9">
            <w:pPr>
              <w:pStyle w:val="afb"/>
              <w:adjustRightInd w:val="0"/>
              <w:snapToGrid w:val="0"/>
              <w:spacing w:line="240" w:lineRule="auto"/>
            </w:pPr>
            <w:r>
              <w:t>无量纲</w:t>
            </w:r>
          </w:p>
        </w:tc>
        <w:tc>
          <w:tcPr>
            <w:tcW w:w="2358" w:type="pct"/>
            <w:vAlign w:val="center"/>
          </w:tcPr>
          <w:p w:rsidR="00C645C9" w:rsidRDefault="00F955D9">
            <w:pPr>
              <w:pStyle w:val="afb"/>
              <w:adjustRightInd w:val="0"/>
              <w:snapToGrid w:val="0"/>
              <w:spacing w:line="240" w:lineRule="auto"/>
            </w:pPr>
            <w:r>
              <w:t>6.5&lt;pH≤7.5</w:t>
            </w:r>
          </w:p>
        </w:tc>
      </w:tr>
      <w:tr w:rsidR="00C645C9">
        <w:trPr>
          <w:trHeight w:val="20"/>
          <w:jc w:val="center"/>
        </w:trPr>
        <w:tc>
          <w:tcPr>
            <w:tcW w:w="478" w:type="pct"/>
            <w:vAlign w:val="center"/>
          </w:tcPr>
          <w:p w:rsidR="00C645C9" w:rsidRDefault="00F955D9">
            <w:pPr>
              <w:pStyle w:val="afb"/>
              <w:adjustRightInd w:val="0"/>
              <w:snapToGrid w:val="0"/>
              <w:spacing w:line="240" w:lineRule="auto"/>
            </w:pPr>
            <w:r>
              <w:t>2</w:t>
            </w:r>
          </w:p>
        </w:tc>
        <w:tc>
          <w:tcPr>
            <w:tcW w:w="1248" w:type="pct"/>
          </w:tcPr>
          <w:p w:rsidR="00C645C9" w:rsidRDefault="00F955D9">
            <w:pPr>
              <w:pStyle w:val="afb"/>
              <w:adjustRightInd w:val="0"/>
              <w:snapToGrid w:val="0"/>
              <w:spacing w:line="240" w:lineRule="auto"/>
            </w:pPr>
            <w:r>
              <w:t>砷</w:t>
            </w:r>
          </w:p>
        </w:tc>
        <w:tc>
          <w:tcPr>
            <w:tcW w:w="914" w:type="pct"/>
            <w:vAlign w:val="center"/>
          </w:tcPr>
          <w:p w:rsidR="00C645C9" w:rsidRDefault="00F955D9">
            <w:pPr>
              <w:pStyle w:val="afb"/>
              <w:adjustRightInd w:val="0"/>
              <w:snapToGrid w:val="0"/>
              <w:spacing w:line="240" w:lineRule="auto"/>
            </w:pPr>
            <w:r>
              <w:t>mg/kg</w:t>
            </w:r>
          </w:p>
        </w:tc>
        <w:tc>
          <w:tcPr>
            <w:tcW w:w="2358" w:type="pct"/>
            <w:vAlign w:val="center"/>
          </w:tcPr>
          <w:p w:rsidR="00C645C9" w:rsidRDefault="00F955D9">
            <w:pPr>
              <w:pStyle w:val="afb"/>
              <w:adjustRightInd w:val="0"/>
              <w:snapToGrid w:val="0"/>
              <w:spacing w:line="240" w:lineRule="auto"/>
            </w:pPr>
            <w:r>
              <w:rPr>
                <w:rFonts w:hint="eastAsia"/>
              </w:rPr>
              <w:t>30</w:t>
            </w:r>
          </w:p>
        </w:tc>
      </w:tr>
      <w:tr w:rsidR="00C645C9">
        <w:trPr>
          <w:trHeight w:val="20"/>
          <w:jc w:val="center"/>
        </w:trPr>
        <w:tc>
          <w:tcPr>
            <w:tcW w:w="478" w:type="pct"/>
            <w:vAlign w:val="center"/>
          </w:tcPr>
          <w:p w:rsidR="00C645C9" w:rsidRDefault="00F955D9">
            <w:pPr>
              <w:pStyle w:val="afb"/>
            </w:pPr>
            <w:r>
              <w:t>3</w:t>
            </w:r>
          </w:p>
        </w:tc>
        <w:tc>
          <w:tcPr>
            <w:tcW w:w="1248" w:type="pct"/>
          </w:tcPr>
          <w:p w:rsidR="00C645C9" w:rsidRDefault="00F955D9">
            <w:pPr>
              <w:pStyle w:val="afb"/>
            </w:pPr>
            <w:r>
              <w:t>镉</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t>0.</w:t>
            </w:r>
            <w:r>
              <w:rPr>
                <w:rFonts w:hint="eastAsia"/>
              </w:rPr>
              <w:t>3</w:t>
            </w:r>
          </w:p>
        </w:tc>
      </w:tr>
      <w:tr w:rsidR="00C645C9">
        <w:trPr>
          <w:trHeight w:val="20"/>
          <w:jc w:val="center"/>
        </w:trPr>
        <w:tc>
          <w:tcPr>
            <w:tcW w:w="478" w:type="pct"/>
            <w:vAlign w:val="center"/>
          </w:tcPr>
          <w:p w:rsidR="00C645C9" w:rsidRDefault="00F955D9">
            <w:pPr>
              <w:pStyle w:val="afb"/>
            </w:pPr>
            <w:r>
              <w:t>4</w:t>
            </w:r>
          </w:p>
        </w:tc>
        <w:tc>
          <w:tcPr>
            <w:tcW w:w="1248" w:type="pct"/>
          </w:tcPr>
          <w:p w:rsidR="00C645C9" w:rsidRDefault="00F955D9">
            <w:pPr>
              <w:pStyle w:val="afb"/>
            </w:pPr>
            <w:r>
              <w:t>铬</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t>2</w:t>
            </w:r>
            <w:r>
              <w:rPr>
                <w:rFonts w:hint="eastAsia"/>
              </w:rPr>
              <w:t>0</w:t>
            </w:r>
            <w:r>
              <w:t>0</w:t>
            </w:r>
          </w:p>
        </w:tc>
      </w:tr>
      <w:tr w:rsidR="00C645C9">
        <w:trPr>
          <w:trHeight w:val="20"/>
          <w:jc w:val="center"/>
        </w:trPr>
        <w:tc>
          <w:tcPr>
            <w:tcW w:w="478" w:type="pct"/>
            <w:vAlign w:val="center"/>
          </w:tcPr>
          <w:p w:rsidR="00C645C9" w:rsidRDefault="00F955D9">
            <w:pPr>
              <w:pStyle w:val="afb"/>
            </w:pPr>
            <w:r>
              <w:t>5</w:t>
            </w:r>
          </w:p>
        </w:tc>
        <w:tc>
          <w:tcPr>
            <w:tcW w:w="1248" w:type="pct"/>
          </w:tcPr>
          <w:p w:rsidR="00C645C9" w:rsidRDefault="00F955D9">
            <w:pPr>
              <w:pStyle w:val="afb"/>
            </w:pPr>
            <w:r>
              <w:t>铜</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t>100</w:t>
            </w:r>
          </w:p>
        </w:tc>
      </w:tr>
      <w:tr w:rsidR="00C645C9">
        <w:trPr>
          <w:trHeight w:val="20"/>
          <w:jc w:val="center"/>
        </w:trPr>
        <w:tc>
          <w:tcPr>
            <w:tcW w:w="478" w:type="pct"/>
            <w:vAlign w:val="center"/>
          </w:tcPr>
          <w:p w:rsidR="00C645C9" w:rsidRDefault="00F955D9">
            <w:pPr>
              <w:pStyle w:val="afb"/>
            </w:pPr>
            <w:r>
              <w:t>6</w:t>
            </w:r>
          </w:p>
        </w:tc>
        <w:tc>
          <w:tcPr>
            <w:tcW w:w="1248" w:type="pct"/>
          </w:tcPr>
          <w:p w:rsidR="00C645C9" w:rsidRDefault="00F955D9">
            <w:pPr>
              <w:pStyle w:val="afb"/>
            </w:pPr>
            <w:r>
              <w:t>铅</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t>1</w:t>
            </w:r>
            <w:r>
              <w:rPr>
                <w:rFonts w:hint="eastAsia"/>
              </w:rPr>
              <w:t>2</w:t>
            </w:r>
            <w:r>
              <w:t>0</w:t>
            </w:r>
          </w:p>
        </w:tc>
      </w:tr>
      <w:tr w:rsidR="00C645C9">
        <w:trPr>
          <w:trHeight w:val="20"/>
          <w:jc w:val="center"/>
        </w:trPr>
        <w:tc>
          <w:tcPr>
            <w:tcW w:w="478" w:type="pct"/>
            <w:vAlign w:val="center"/>
          </w:tcPr>
          <w:p w:rsidR="00C645C9" w:rsidRDefault="00F955D9">
            <w:pPr>
              <w:pStyle w:val="afb"/>
            </w:pPr>
            <w:r>
              <w:t>7</w:t>
            </w:r>
          </w:p>
        </w:tc>
        <w:tc>
          <w:tcPr>
            <w:tcW w:w="1248" w:type="pct"/>
          </w:tcPr>
          <w:p w:rsidR="00C645C9" w:rsidRDefault="00F955D9">
            <w:pPr>
              <w:pStyle w:val="afb"/>
            </w:pPr>
            <w:r>
              <w:t>汞</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rPr>
                <w:rFonts w:hint="eastAsia"/>
              </w:rPr>
              <w:t>2</w:t>
            </w:r>
            <w:r>
              <w:t>.4</w:t>
            </w:r>
          </w:p>
        </w:tc>
      </w:tr>
      <w:tr w:rsidR="00C645C9">
        <w:trPr>
          <w:trHeight w:val="20"/>
          <w:jc w:val="center"/>
        </w:trPr>
        <w:tc>
          <w:tcPr>
            <w:tcW w:w="478" w:type="pct"/>
            <w:vAlign w:val="center"/>
          </w:tcPr>
          <w:p w:rsidR="00C645C9" w:rsidRDefault="00F955D9">
            <w:pPr>
              <w:pStyle w:val="afb"/>
            </w:pPr>
            <w:r>
              <w:t>8</w:t>
            </w:r>
          </w:p>
        </w:tc>
        <w:tc>
          <w:tcPr>
            <w:tcW w:w="1248" w:type="pct"/>
          </w:tcPr>
          <w:p w:rsidR="00C645C9" w:rsidRDefault="00F955D9">
            <w:pPr>
              <w:pStyle w:val="afb"/>
            </w:pPr>
            <w:r>
              <w:t>镍</w:t>
            </w:r>
          </w:p>
        </w:tc>
        <w:tc>
          <w:tcPr>
            <w:tcW w:w="914" w:type="pct"/>
            <w:vAlign w:val="center"/>
          </w:tcPr>
          <w:p w:rsidR="00C645C9" w:rsidRDefault="00F955D9">
            <w:pPr>
              <w:pStyle w:val="afb"/>
            </w:pPr>
            <w:r>
              <w:t>mg/kg</w:t>
            </w:r>
          </w:p>
        </w:tc>
        <w:tc>
          <w:tcPr>
            <w:tcW w:w="2358" w:type="pct"/>
            <w:vAlign w:val="center"/>
          </w:tcPr>
          <w:p w:rsidR="00C645C9" w:rsidRDefault="00F955D9">
            <w:pPr>
              <w:pStyle w:val="afb"/>
            </w:pPr>
            <w:r>
              <w:t>1</w:t>
            </w:r>
            <w:r>
              <w:rPr>
                <w:rFonts w:hint="eastAsia"/>
              </w:rPr>
              <w:t>0</w:t>
            </w:r>
            <w:r>
              <w:t>0</w:t>
            </w:r>
          </w:p>
        </w:tc>
      </w:tr>
      <w:tr w:rsidR="00C645C9">
        <w:trPr>
          <w:trHeight w:val="20"/>
          <w:jc w:val="center"/>
        </w:trPr>
        <w:tc>
          <w:tcPr>
            <w:tcW w:w="478" w:type="pct"/>
          </w:tcPr>
          <w:p w:rsidR="00C645C9" w:rsidRDefault="00F955D9">
            <w:pPr>
              <w:pStyle w:val="afb"/>
            </w:pPr>
            <w:r>
              <w:t>9</w:t>
            </w:r>
          </w:p>
        </w:tc>
        <w:tc>
          <w:tcPr>
            <w:tcW w:w="1248" w:type="pct"/>
          </w:tcPr>
          <w:p w:rsidR="00C645C9" w:rsidRDefault="00F955D9">
            <w:pPr>
              <w:pStyle w:val="afb"/>
            </w:pPr>
            <w:r>
              <w:t>锌</w:t>
            </w:r>
          </w:p>
        </w:tc>
        <w:tc>
          <w:tcPr>
            <w:tcW w:w="914" w:type="pct"/>
            <w:vAlign w:val="center"/>
          </w:tcPr>
          <w:p w:rsidR="00C645C9" w:rsidRDefault="00F955D9">
            <w:pPr>
              <w:pStyle w:val="afb"/>
            </w:pPr>
            <w:r>
              <w:t>mg/kg</w:t>
            </w:r>
          </w:p>
        </w:tc>
        <w:tc>
          <w:tcPr>
            <w:tcW w:w="2358" w:type="pct"/>
          </w:tcPr>
          <w:p w:rsidR="00C645C9" w:rsidRDefault="00F955D9">
            <w:pPr>
              <w:pStyle w:val="afb"/>
            </w:pPr>
            <w:r>
              <w:rPr>
                <w:rFonts w:hint="eastAsia"/>
              </w:rPr>
              <w:t>25</w:t>
            </w:r>
            <w:r>
              <w:t>0</w:t>
            </w:r>
          </w:p>
        </w:tc>
      </w:tr>
    </w:tbl>
    <w:bookmarkEnd w:id="189"/>
    <w:p w:rsidR="00C645C9" w:rsidRDefault="00F955D9">
      <w:pPr>
        <w:adjustRightInd w:val="0"/>
        <w:snapToGrid w:val="0"/>
        <w:spacing w:line="360" w:lineRule="auto"/>
        <w:ind w:firstLine="480"/>
        <w:rPr>
          <w:rFonts w:cs="Times New Roman"/>
        </w:rPr>
      </w:pPr>
      <w:r>
        <w:rPr>
          <w:rFonts w:cs="Times New Roman"/>
        </w:rPr>
        <w:lastRenderedPageBreak/>
        <w:t>（</w:t>
      </w:r>
      <w:r>
        <w:rPr>
          <w:rFonts w:cs="Times New Roman" w:hint="eastAsia"/>
        </w:rPr>
        <w:t>3</w:t>
      </w:r>
      <w:r>
        <w:rPr>
          <w:rFonts w:cs="Times New Roman"/>
        </w:rPr>
        <w:t>）</w:t>
      </w:r>
      <w:r>
        <w:rPr>
          <w:rFonts w:cs="Times New Roman" w:hint="eastAsia"/>
        </w:rPr>
        <w:t>大气环境</w:t>
      </w:r>
    </w:p>
    <w:p w:rsidR="00C645C9" w:rsidRDefault="00F955D9">
      <w:pPr>
        <w:adjustRightInd w:val="0"/>
        <w:snapToGrid w:val="0"/>
        <w:spacing w:line="360" w:lineRule="auto"/>
        <w:ind w:firstLine="480"/>
        <w:rPr>
          <w:rFonts w:cs="Times New Roman"/>
        </w:rPr>
      </w:pPr>
      <w:r>
        <w:rPr>
          <w:rFonts w:cs="Times New Roman"/>
        </w:rPr>
        <w:t>环境空气质量评价中</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PM</w:t>
      </w:r>
      <w:r>
        <w:rPr>
          <w:rFonts w:cs="Times New Roman"/>
          <w:vertAlign w:val="subscript"/>
        </w:rPr>
        <w:t>2.5</w:t>
      </w:r>
      <w:r>
        <w:rPr>
          <w:rFonts w:cs="Times New Roman"/>
        </w:rPr>
        <w:t>、</w:t>
      </w:r>
      <w:r>
        <w:rPr>
          <w:rFonts w:cs="Times New Roman"/>
        </w:rPr>
        <w:t>PM</w:t>
      </w:r>
      <w:r>
        <w:rPr>
          <w:rFonts w:cs="Times New Roman"/>
          <w:vertAlign w:val="subscript"/>
        </w:rPr>
        <w:t>10</w:t>
      </w:r>
      <w:r>
        <w:rPr>
          <w:rFonts w:cs="Times New Roman"/>
        </w:rPr>
        <w:t>、</w:t>
      </w:r>
      <w:r>
        <w:rPr>
          <w:rFonts w:cs="Times New Roman"/>
        </w:rPr>
        <w:t>CO</w:t>
      </w:r>
      <w:r>
        <w:rPr>
          <w:rFonts w:cs="Times New Roman"/>
        </w:rPr>
        <w:t>、</w:t>
      </w:r>
      <w:r>
        <w:rPr>
          <w:rFonts w:cs="Times New Roman"/>
        </w:rPr>
        <w:t>O</w:t>
      </w:r>
      <w:r>
        <w:rPr>
          <w:rFonts w:cs="Times New Roman"/>
          <w:vertAlign w:val="subscript"/>
        </w:rPr>
        <w:t>3</w:t>
      </w:r>
      <w:r>
        <w:rPr>
          <w:rFonts w:cs="Times New Roman"/>
        </w:rPr>
        <w:t>六项指标执行</w:t>
      </w:r>
      <w:r>
        <w:rPr>
          <w:rFonts w:cs="Times New Roman"/>
        </w:rPr>
        <w:t>《</w:t>
      </w:r>
      <w:bookmarkStart w:id="190" w:name="OLE_LINK48"/>
      <w:r>
        <w:rPr>
          <w:rFonts w:cs="Times New Roman"/>
        </w:rPr>
        <w:t>环境空气质量标准</w:t>
      </w:r>
      <w:bookmarkEnd w:id="190"/>
      <w:r>
        <w:rPr>
          <w:rFonts w:cs="Times New Roman"/>
        </w:rPr>
        <w:t>》（</w:t>
      </w:r>
      <w:r>
        <w:rPr>
          <w:rFonts w:cs="Times New Roman"/>
        </w:rPr>
        <w:t>GB3095-2012</w:t>
      </w:r>
      <w:r>
        <w:rPr>
          <w:rFonts w:cs="Times New Roman"/>
        </w:rPr>
        <w:t>）</w:t>
      </w:r>
      <w:r>
        <w:rPr>
          <w:rFonts w:cs="Times New Roman" w:hint="eastAsia"/>
        </w:rPr>
        <w:t>表</w:t>
      </w:r>
      <w:r>
        <w:rPr>
          <w:rFonts w:cs="Times New Roman" w:hint="eastAsia"/>
        </w:rPr>
        <w:t>1</w:t>
      </w:r>
      <w:r>
        <w:rPr>
          <w:rFonts w:cs="Times New Roman" w:hint="eastAsia"/>
        </w:rPr>
        <w:t>中</w:t>
      </w:r>
      <w:r>
        <w:rPr>
          <w:rFonts w:cs="Times New Roman"/>
        </w:rPr>
        <w:t>二级标准。</w:t>
      </w:r>
      <w:r>
        <w:t>对于未作出规定的</w:t>
      </w:r>
      <w:r>
        <w:rPr>
          <w:rFonts w:hint="eastAsia"/>
        </w:rPr>
        <w:t>非甲烷总烃</w:t>
      </w:r>
      <w:r>
        <w:t>参照执行《</w:t>
      </w:r>
      <w:bookmarkStart w:id="191" w:name="OLE_LINK49"/>
      <w:r>
        <w:t>大气污染物综合排放标准详解</w:t>
      </w:r>
      <w:bookmarkEnd w:id="191"/>
      <w:r>
        <w:t>》</w:t>
      </w:r>
      <w:r>
        <w:t>2.0mg/m</w:t>
      </w:r>
      <w:r>
        <w:rPr>
          <w:rFonts w:hint="eastAsia"/>
          <w:vertAlign w:val="superscript"/>
        </w:rPr>
        <w:t>3</w:t>
      </w:r>
      <w:r>
        <w:t>的标准</w:t>
      </w:r>
      <w:r>
        <w:rPr>
          <w:rFonts w:hint="eastAsia"/>
          <w:snapToGrid w:val="0"/>
        </w:rPr>
        <w:t>，</w:t>
      </w:r>
      <w:r>
        <w:t>H</w:t>
      </w:r>
      <w:r>
        <w:rPr>
          <w:vertAlign w:val="subscript"/>
        </w:rPr>
        <w:t>2</w:t>
      </w:r>
      <w:r>
        <w:t>S</w:t>
      </w:r>
      <w:r>
        <w:t>参考执行《</w:t>
      </w:r>
      <w:bookmarkStart w:id="192" w:name="OLE_LINK50"/>
      <w:r>
        <w:t>环境影响评价技术导则</w:t>
      </w:r>
      <w:r>
        <w:rPr>
          <w:rFonts w:hint="eastAsia"/>
        </w:rPr>
        <w:t xml:space="preserve"> </w:t>
      </w:r>
      <w:r>
        <w:t>大气环境</w:t>
      </w:r>
      <w:bookmarkEnd w:id="192"/>
      <w:r>
        <w:t>》（</w:t>
      </w:r>
      <w:r>
        <w:t>HJ2.2-2018</w:t>
      </w:r>
      <w:r>
        <w:t>）附录</w:t>
      </w:r>
      <w:r>
        <w:t>D</w:t>
      </w:r>
      <w:r>
        <w:t>中的</w:t>
      </w:r>
      <w:r>
        <w:t>1h</w:t>
      </w:r>
      <w:r>
        <w:t>平均浓度限值</w:t>
      </w:r>
      <w:r>
        <w:t>10μg/m</w:t>
      </w:r>
      <w:r>
        <w:rPr>
          <w:rFonts w:hint="eastAsia"/>
          <w:vertAlign w:val="superscript"/>
        </w:rPr>
        <w:t>3</w:t>
      </w:r>
      <w:r>
        <w:rPr>
          <w:rFonts w:cs="Times New Roman"/>
        </w:rPr>
        <w:t>。环境空气指标标准取值见表</w:t>
      </w:r>
      <w:r>
        <w:rPr>
          <w:rFonts w:cs="Times New Roman"/>
        </w:rPr>
        <w:t>2.</w:t>
      </w:r>
      <w:r>
        <w:rPr>
          <w:rFonts w:cs="Times New Roman" w:hint="eastAsia"/>
        </w:rPr>
        <w:t>4-5</w:t>
      </w:r>
      <w:r>
        <w:rPr>
          <w:rFonts w:cs="Times New Roman"/>
        </w:rPr>
        <w:t>。</w:t>
      </w:r>
    </w:p>
    <w:p w:rsidR="00C645C9" w:rsidRDefault="00F955D9">
      <w:pPr>
        <w:pStyle w:val="af9"/>
        <w:adjustRightInd w:val="0"/>
        <w:snapToGrid w:val="0"/>
        <w:spacing w:line="240" w:lineRule="auto"/>
        <w:rPr>
          <w:rFonts w:eastAsia="黑体"/>
          <w:b w:val="0"/>
          <w:bCs/>
        </w:rPr>
      </w:pPr>
      <w:r>
        <w:rPr>
          <w:rFonts w:eastAsia="黑体"/>
          <w:b w:val="0"/>
          <w:bCs/>
        </w:rPr>
        <w:t>表</w:t>
      </w:r>
      <w:r>
        <w:rPr>
          <w:rFonts w:eastAsia="黑体"/>
          <w:b w:val="0"/>
          <w:bCs/>
        </w:rPr>
        <w:t>2.</w:t>
      </w:r>
      <w:r>
        <w:rPr>
          <w:rFonts w:eastAsia="黑体" w:hint="eastAsia"/>
          <w:b w:val="0"/>
          <w:bCs/>
        </w:rPr>
        <w:t>4-5</w:t>
      </w:r>
      <w:r>
        <w:rPr>
          <w:rFonts w:eastAsia="黑体"/>
          <w:b w:val="0"/>
          <w:bCs/>
        </w:rPr>
        <w:t xml:space="preserve">   </w:t>
      </w:r>
      <w:r>
        <w:rPr>
          <w:rFonts w:eastAsia="黑体"/>
          <w:b w:val="0"/>
          <w:bCs/>
        </w:rPr>
        <w:t>环境空气质量标准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2039"/>
        <w:gridCol w:w="779"/>
        <w:gridCol w:w="1126"/>
        <w:gridCol w:w="1127"/>
        <w:gridCol w:w="2788"/>
      </w:tblGrid>
      <w:tr w:rsidR="00C645C9">
        <w:trPr>
          <w:trHeight w:val="20"/>
          <w:tblHeader/>
          <w:jc w:val="center"/>
        </w:trPr>
        <w:tc>
          <w:tcPr>
            <w:tcW w:w="437" w:type="dxa"/>
            <w:vMerge w:val="restart"/>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序号</w:t>
            </w:r>
          </w:p>
        </w:tc>
        <w:tc>
          <w:tcPr>
            <w:tcW w:w="2039" w:type="dxa"/>
            <w:vMerge w:val="restart"/>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评价因子</w:t>
            </w:r>
          </w:p>
        </w:tc>
        <w:tc>
          <w:tcPr>
            <w:tcW w:w="3032" w:type="dxa"/>
            <w:gridSpan w:val="3"/>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标准限值（</w:t>
            </w:r>
            <w:r>
              <w:rPr>
                <w:rFonts w:cs="Times New Roman"/>
                <w:bCs/>
                <w:kern w:val="24"/>
                <w:sz w:val="21"/>
                <w:szCs w:val="21"/>
              </w:rPr>
              <w:t>μg</w:t>
            </w:r>
            <w:r>
              <w:rPr>
                <w:rFonts w:cs="Times New Roman"/>
                <w:bCs/>
                <w:sz w:val="21"/>
                <w:szCs w:val="21"/>
              </w:rPr>
              <w:t xml:space="preserve"> /m³</w:t>
            </w:r>
            <w:r>
              <w:rPr>
                <w:rFonts w:cs="Times New Roman"/>
                <w:bCs/>
                <w:sz w:val="21"/>
                <w:szCs w:val="21"/>
              </w:rPr>
              <w:t>）</w:t>
            </w:r>
          </w:p>
        </w:tc>
        <w:tc>
          <w:tcPr>
            <w:tcW w:w="2788" w:type="dxa"/>
            <w:vMerge w:val="restart"/>
            <w:vAlign w:val="center"/>
          </w:tcPr>
          <w:p w:rsidR="00C645C9" w:rsidRDefault="00F955D9">
            <w:pPr>
              <w:spacing w:line="240" w:lineRule="exact"/>
              <w:ind w:left="-105" w:rightChars="-33" w:right="-79"/>
              <w:jc w:val="center"/>
              <w:rPr>
                <w:rFonts w:cs="Times New Roman"/>
                <w:bCs/>
                <w:sz w:val="21"/>
                <w:szCs w:val="21"/>
              </w:rPr>
            </w:pPr>
            <w:r>
              <w:rPr>
                <w:rFonts w:cs="Times New Roman"/>
                <w:bCs/>
                <w:sz w:val="21"/>
                <w:szCs w:val="21"/>
              </w:rPr>
              <w:t>标准来源</w:t>
            </w:r>
          </w:p>
        </w:tc>
      </w:tr>
      <w:tr w:rsidR="00C645C9">
        <w:trPr>
          <w:trHeight w:val="20"/>
          <w:tblHeader/>
          <w:jc w:val="center"/>
        </w:trPr>
        <w:tc>
          <w:tcPr>
            <w:tcW w:w="437" w:type="dxa"/>
            <w:vMerge/>
            <w:vAlign w:val="center"/>
          </w:tcPr>
          <w:p w:rsidR="00C645C9" w:rsidRDefault="00C645C9">
            <w:pPr>
              <w:spacing w:line="240" w:lineRule="exact"/>
              <w:ind w:left="-105" w:right="-105"/>
              <w:jc w:val="center"/>
              <w:rPr>
                <w:rFonts w:cs="Times New Roman"/>
                <w:bCs/>
                <w:sz w:val="21"/>
                <w:szCs w:val="21"/>
              </w:rPr>
            </w:pPr>
          </w:p>
        </w:tc>
        <w:tc>
          <w:tcPr>
            <w:tcW w:w="2039" w:type="dxa"/>
            <w:vMerge/>
            <w:vAlign w:val="center"/>
          </w:tcPr>
          <w:p w:rsidR="00C645C9" w:rsidRDefault="00C645C9">
            <w:pPr>
              <w:spacing w:line="240" w:lineRule="exact"/>
              <w:ind w:left="-105" w:right="-105"/>
              <w:jc w:val="center"/>
              <w:rPr>
                <w:rFonts w:cs="Times New Roman"/>
                <w:bCs/>
                <w:sz w:val="21"/>
                <w:szCs w:val="21"/>
              </w:rPr>
            </w:pPr>
          </w:p>
        </w:tc>
        <w:tc>
          <w:tcPr>
            <w:tcW w:w="77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年平均</w:t>
            </w:r>
          </w:p>
        </w:tc>
        <w:tc>
          <w:tcPr>
            <w:tcW w:w="1126"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24</w:t>
            </w:r>
            <w:r>
              <w:rPr>
                <w:rFonts w:cs="Times New Roman"/>
                <w:bCs/>
                <w:sz w:val="21"/>
                <w:szCs w:val="21"/>
              </w:rPr>
              <w:t>小时平均</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w:t>
            </w:r>
            <w:r>
              <w:rPr>
                <w:rFonts w:cs="Times New Roman"/>
                <w:bCs/>
                <w:sz w:val="21"/>
                <w:szCs w:val="21"/>
              </w:rPr>
              <w:t>小时平均</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二氧化硫（</w:t>
            </w:r>
            <w:r>
              <w:rPr>
                <w:rFonts w:cs="Times New Roman"/>
                <w:bCs/>
                <w:sz w:val="21"/>
                <w:szCs w:val="21"/>
              </w:rPr>
              <w:t>SO</w:t>
            </w:r>
            <w:r>
              <w:rPr>
                <w:rFonts w:cs="Times New Roman"/>
                <w:bCs/>
                <w:sz w:val="21"/>
                <w:szCs w:val="21"/>
                <w:vertAlign w:val="subscript"/>
              </w:rPr>
              <w:t>2</w:t>
            </w:r>
            <w:r>
              <w:rPr>
                <w:rFonts w:cs="Times New Roman"/>
                <w:bCs/>
                <w:sz w:val="21"/>
                <w:szCs w:val="21"/>
              </w:rPr>
              <w:t>）</w:t>
            </w:r>
          </w:p>
        </w:tc>
        <w:tc>
          <w:tcPr>
            <w:tcW w:w="77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60</w:t>
            </w:r>
          </w:p>
        </w:tc>
        <w:tc>
          <w:tcPr>
            <w:tcW w:w="1126"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150</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500</w:t>
            </w:r>
          </w:p>
        </w:tc>
        <w:tc>
          <w:tcPr>
            <w:tcW w:w="2788" w:type="dxa"/>
            <w:vMerge w:val="restart"/>
            <w:vAlign w:val="center"/>
          </w:tcPr>
          <w:p w:rsidR="00C645C9" w:rsidRDefault="00F955D9">
            <w:pPr>
              <w:spacing w:line="240" w:lineRule="exact"/>
              <w:ind w:left="-105" w:rightChars="-33" w:right="-79"/>
              <w:jc w:val="center"/>
              <w:rPr>
                <w:rFonts w:cs="Times New Roman"/>
                <w:bCs/>
                <w:sz w:val="21"/>
                <w:szCs w:val="21"/>
              </w:rPr>
            </w:pPr>
            <w:r>
              <w:rPr>
                <w:rFonts w:cs="Times New Roman"/>
                <w:bCs/>
                <w:sz w:val="21"/>
                <w:szCs w:val="21"/>
              </w:rPr>
              <w:t>《</w:t>
            </w:r>
            <w:bookmarkStart w:id="193" w:name="OLE_LINK51"/>
            <w:r>
              <w:rPr>
                <w:rFonts w:cs="Times New Roman"/>
                <w:bCs/>
                <w:sz w:val="21"/>
                <w:szCs w:val="21"/>
              </w:rPr>
              <w:t>环境空气质量标准</w:t>
            </w:r>
            <w:bookmarkEnd w:id="193"/>
            <w:r>
              <w:rPr>
                <w:rFonts w:cs="Times New Roman"/>
                <w:bCs/>
                <w:sz w:val="21"/>
                <w:szCs w:val="21"/>
              </w:rPr>
              <w:t>》（</w:t>
            </w:r>
            <w:r>
              <w:rPr>
                <w:rFonts w:cs="Times New Roman"/>
                <w:bCs/>
                <w:sz w:val="21"/>
                <w:szCs w:val="21"/>
              </w:rPr>
              <w:t>GB3095-2012</w:t>
            </w:r>
            <w:r>
              <w:rPr>
                <w:rFonts w:cs="Times New Roman"/>
                <w:bCs/>
                <w:sz w:val="21"/>
                <w:szCs w:val="21"/>
              </w:rPr>
              <w:t>）</w:t>
            </w:r>
            <w:r>
              <w:rPr>
                <w:rFonts w:cs="Times New Roman"/>
                <w:sz w:val="21"/>
                <w:szCs w:val="21"/>
              </w:rPr>
              <w:t>二级标准</w:t>
            </w: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2</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二氧化氮（</w:t>
            </w:r>
            <w:r>
              <w:rPr>
                <w:rFonts w:cs="Times New Roman"/>
                <w:bCs/>
                <w:sz w:val="21"/>
                <w:szCs w:val="21"/>
              </w:rPr>
              <w:t>NO</w:t>
            </w:r>
            <w:r>
              <w:rPr>
                <w:rFonts w:cs="Times New Roman"/>
                <w:bCs/>
                <w:sz w:val="21"/>
                <w:szCs w:val="21"/>
                <w:vertAlign w:val="subscript"/>
              </w:rPr>
              <w:t>2</w:t>
            </w:r>
            <w:r>
              <w:rPr>
                <w:rFonts w:cs="Times New Roman"/>
                <w:bCs/>
                <w:sz w:val="21"/>
                <w:szCs w:val="21"/>
              </w:rPr>
              <w:t>）</w:t>
            </w:r>
          </w:p>
        </w:tc>
        <w:tc>
          <w:tcPr>
            <w:tcW w:w="779" w:type="dxa"/>
            <w:noWrap/>
            <w:vAlign w:val="center"/>
          </w:tcPr>
          <w:p w:rsidR="00C645C9" w:rsidRDefault="00F955D9">
            <w:pPr>
              <w:spacing w:line="240" w:lineRule="exact"/>
              <w:ind w:left="-105" w:right="-105"/>
              <w:jc w:val="center"/>
              <w:rPr>
                <w:rFonts w:cs="Times New Roman"/>
                <w:bCs/>
                <w:sz w:val="21"/>
                <w:szCs w:val="21"/>
              </w:rPr>
            </w:pPr>
            <w:r>
              <w:rPr>
                <w:rFonts w:cs="Times New Roman" w:hint="eastAsia"/>
                <w:bCs/>
                <w:sz w:val="21"/>
                <w:szCs w:val="21"/>
              </w:rPr>
              <w:t>4</w:t>
            </w:r>
            <w:r>
              <w:rPr>
                <w:rFonts w:cs="Times New Roman"/>
                <w:bCs/>
                <w:sz w:val="21"/>
                <w:szCs w:val="21"/>
              </w:rPr>
              <w:t>0</w:t>
            </w:r>
          </w:p>
        </w:tc>
        <w:tc>
          <w:tcPr>
            <w:tcW w:w="1126"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80</w:t>
            </w:r>
          </w:p>
        </w:tc>
        <w:tc>
          <w:tcPr>
            <w:tcW w:w="1127"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200</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3</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细颗粒物（</w:t>
            </w:r>
            <w:r>
              <w:rPr>
                <w:rFonts w:cs="Times New Roman"/>
                <w:bCs/>
                <w:sz w:val="21"/>
                <w:szCs w:val="21"/>
              </w:rPr>
              <w:t>PM</w:t>
            </w:r>
            <w:r>
              <w:rPr>
                <w:rFonts w:cs="Times New Roman"/>
                <w:bCs/>
                <w:sz w:val="21"/>
                <w:szCs w:val="21"/>
                <w:vertAlign w:val="subscript"/>
              </w:rPr>
              <w:t>2.5</w:t>
            </w:r>
            <w:r>
              <w:rPr>
                <w:rFonts w:cs="Times New Roman"/>
                <w:bCs/>
                <w:sz w:val="21"/>
                <w:szCs w:val="21"/>
              </w:rPr>
              <w:t>）</w:t>
            </w:r>
          </w:p>
        </w:tc>
        <w:tc>
          <w:tcPr>
            <w:tcW w:w="779"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35</w:t>
            </w:r>
          </w:p>
        </w:tc>
        <w:tc>
          <w:tcPr>
            <w:tcW w:w="1126"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75</w:t>
            </w:r>
          </w:p>
        </w:tc>
        <w:tc>
          <w:tcPr>
            <w:tcW w:w="1127"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4</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可吸入颗粒物（</w:t>
            </w:r>
            <w:r>
              <w:rPr>
                <w:rFonts w:cs="Times New Roman"/>
                <w:bCs/>
                <w:sz w:val="21"/>
                <w:szCs w:val="21"/>
              </w:rPr>
              <w:t>PM</w:t>
            </w:r>
            <w:r>
              <w:rPr>
                <w:rFonts w:cs="Times New Roman"/>
                <w:bCs/>
                <w:sz w:val="21"/>
                <w:szCs w:val="21"/>
                <w:vertAlign w:val="subscript"/>
              </w:rPr>
              <w:t>10</w:t>
            </w:r>
            <w:r>
              <w:rPr>
                <w:rFonts w:cs="Times New Roman"/>
                <w:bCs/>
                <w:sz w:val="21"/>
                <w:szCs w:val="21"/>
              </w:rPr>
              <w:t>）</w:t>
            </w:r>
          </w:p>
        </w:tc>
        <w:tc>
          <w:tcPr>
            <w:tcW w:w="779"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70</w:t>
            </w:r>
          </w:p>
        </w:tc>
        <w:tc>
          <w:tcPr>
            <w:tcW w:w="1126"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150</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5</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一氧化碳（</w:t>
            </w:r>
            <w:r>
              <w:rPr>
                <w:rFonts w:cs="Times New Roman"/>
                <w:bCs/>
                <w:sz w:val="21"/>
                <w:szCs w:val="21"/>
              </w:rPr>
              <w:t>CO</w:t>
            </w:r>
            <w:r>
              <w:rPr>
                <w:rFonts w:cs="Times New Roman"/>
                <w:bCs/>
                <w:sz w:val="21"/>
                <w:szCs w:val="21"/>
              </w:rPr>
              <w:t>）</w:t>
            </w:r>
          </w:p>
        </w:tc>
        <w:tc>
          <w:tcPr>
            <w:tcW w:w="779"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6"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4000</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10000</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2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6</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臭氧（</w:t>
            </w:r>
            <w:r>
              <w:rPr>
                <w:rFonts w:cs="Times New Roman"/>
                <w:bCs/>
                <w:sz w:val="21"/>
                <w:szCs w:val="21"/>
              </w:rPr>
              <w:t>O</w:t>
            </w:r>
            <w:r>
              <w:rPr>
                <w:rFonts w:cs="Times New Roman"/>
                <w:bCs/>
                <w:sz w:val="21"/>
                <w:szCs w:val="21"/>
                <w:vertAlign w:val="subscript"/>
              </w:rPr>
              <w:t>3</w:t>
            </w:r>
            <w:r>
              <w:rPr>
                <w:rFonts w:cs="Times New Roman"/>
                <w:bCs/>
                <w:sz w:val="21"/>
                <w:szCs w:val="21"/>
              </w:rPr>
              <w:t>）</w:t>
            </w:r>
          </w:p>
        </w:tc>
        <w:tc>
          <w:tcPr>
            <w:tcW w:w="779"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6" w:type="dxa"/>
            <w:noWrap/>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200</w:t>
            </w:r>
          </w:p>
        </w:tc>
        <w:tc>
          <w:tcPr>
            <w:tcW w:w="2788" w:type="dxa"/>
            <w:vMerge/>
            <w:vAlign w:val="center"/>
          </w:tcPr>
          <w:p w:rsidR="00C645C9" w:rsidRDefault="00C645C9">
            <w:pPr>
              <w:spacing w:line="240" w:lineRule="exact"/>
              <w:ind w:left="-105" w:rightChars="-33" w:right="-79"/>
              <w:jc w:val="center"/>
              <w:rPr>
                <w:rFonts w:cs="Times New Roman"/>
                <w:bCs/>
                <w:sz w:val="21"/>
                <w:szCs w:val="21"/>
              </w:rPr>
            </w:pPr>
          </w:p>
        </w:tc>
      </w:tr>
      <w:tr w:rsidR="00C645C9">
        <w:trPr>
          <w:trHeight w:val="570"/>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hint="eastAsia"/>
                <w:bCs/>
                <w:sz w:val="21"/>
                <w:szCs w:val="21"/>
              </w:rPr>
              <w:t>7</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非甲烷总烃（</w:t>
            </w:r>
            <w:r>
              <w:rPr>
                <w:rFonts w:cs="Times New Roman"/>
                <w:bCs/>
                <w:sz w:val="21"/>
                <w:szCs w:val="21"/>
              </w:rPr>
              <w:t>NMHC</w:t>
            </w:r>
            <w:r>
              <w:rPr>
                <w:rFonts w:cs="Times New Roman"/>
                <w:bCs/>
                <w:sz w:val="21"/>
                <w:szCs w:val="21"/>
              </w:rPr>
              <w:t>）</w:t>
            </w:r>
          </w:p>
        </w:tc>
        <w:tc>
          <w:tcPr>
            <w:tcW w:w="77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6"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2000</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2788" w:type="dxa"/>
            <w:vAlign w:val="center"/>
          </w:tcPr>
          <w:p w:rsidR="00C645C9" w:rsidRDefault="00F955D9">
            <w:pPr>
              <w:pStyle w:val="afe"/>
              <w:widowControl w:val="0"/>
              <w:spacing w:line="240" w:lineRule="auto"/>
              <w:ind w:rightChars="-33" w:right="-79" w:firstLineChars="0" w:firstLine="0"/>
              <w:rPr>
                <w:rFonts w:ascii="Times New Roman" w:hAnsi="Times New Roman"/>
                <w:bCs/>
                <w:sz w:val="21"/>
                <w:szCs w:val="21"/>
              </w:rPr>
            </w:pPr>
            <w:r>
              <w:rPr>
                <w:rFonts w:ascii="Times New Roman" w:hAnsi="Times New Roman"/>
                <w:sz w:val="21"/>
                <w:szCs w:val="21"/>
              </w:rPr>
              <w:t>《</w:t>
            </w:r>
            <w:r>
              <w:rPr>
                <w:rFonts w:ascii="Times New Roman" w:hAnsi="Times New Roman"/>
                <w:sz w:val="21"/>
                <w:szCs w:val="21"/>
              </w:rPr>
              <w:t>大气污染物综合排放标准</w:t>
            </w:r>
            <w:r>
              <w:rPr>
                <w:rFonts w:ascii="Times New Roman" w:hAnsi="Times New Roman"/>
                <w:sz w:val="21"/>
                <w:szCs w:val="21"/>
              </w:rPr>
              <w:t>》（</w:t>
            </w:r>
            <w:r>
              <w:rPr>
                <w:rFonts w:ascii="Times New Roman" w:hAnsi="Times New Roman"/>
                <w:sz w:val="21"/>
                <w:szCs w:val="21"/>
              </w:rPr>
              <w:t>GB16297-1996</w:t>
            </w:r>
            <w:r>
              <w:rPr>
                <w:rFonts w:ascii="Times New Roman" w:hAnsi="Times New Roman"/>
                <w:sz w:val="21"/>
                <w:szCs w:val="21"/>
              </w:rPr>
              <w:t>）</w:t>
            </w:r>
            <w:r>
              <w:rPr>
                <w:rFonts w:ascii="Times New Roman" w:hAnsi="Times New Roman"/>
                <w:sz w:val="21"/>
                <w:szCs w:val="21"/>
              </w:rPr>
              <w:t>详解</w:t>
            </w:r>
          </w:p>
        </w:tc>
      </w:tr>
      <w:tr w:rsidR="00C645C9">
        <w:trPr>
          <w:trHeight w:val="1028"/>
          <w:jc w:val="center"/>
        </w:trPr>
        <w:tc>
          <w:tcPr>
            <w:tcW w:w="437" w:type="dxa"/>
            <w:vAlign w:val="center"/>
          </w:tcPr>
          <w:p w:rsidR="00C645C9" w:rsidRDefault="00F955D9">
            <w:pPr>
              <w:spacing w:line="240" w:lineRule="exact"/>
              <w:ind w:left="-105" w:right="-105"/>
              <w:jc w:val="center"/>
              <w:rPr>
                <w:rFonts w:cs="Times New Roman"/>
                <w:bCs/>
                <w:sz w:val="21"/>
                <w:szCs w:val="21"/>
              </w:rPr>
            </w:pPr>
            <w:r>
              <w:rPr>
                <w:rFonts w:cs="Times New Roman" w:hint="eastAsia"/>
                <w:bCs/>
                <w:sz w:val="21"/>
                <w:szCs w:val="21"/>
              </w:rPr>
              <w:t>8</w:t>
            </w:r>
          </w:p>
        </w:tc>
        <w:tc>
          <w:tcPr>
            <w:tcW w:w="203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硫化氢（</w:t>
            </w:r>
            <w:r>
              <w:rPr>
                <w:rFonts w:cs="Times New Roman"/>
                <w:bCs/>
                <w:sz w:val="21"/>
                <w:szCs w:val="21"/>
              </w:rPr>
              <w:t>H</w:t>
            </w:r>
            <w:r>
              <w:rPr>
                <w:rFonts w:cs="Times New Roman"/>
                <w:bCs/>
                <w:sz w:val="21"/>
                <w:szCs w:val="21"/>
                <w:vertAlign w:val="subscript"/>
              </w:rPr>
              <w:t>2</w:t>
            </w:r>
            <w:r>
              <w:rPr>
                <w:rFonts w:cs="Times New Roman"/>
                <w:bCs/>
                <w:sz w:val="21"/>
                <w:szCs w:val="21"/>
              </w:rPr>
              <w:t>S</w:t>
            </w:r>
            <w:r>
              <w:rPr>
                <w:rFonts w:cs="Times New Roman"/>
                <w:bCs/>
                <w:sz w:val="21"/>
                <w:szCs w:val="21"/>
              </w:rPr>
              <w:t>）</w:t>
            </w:r>
          </w:p>
        </w:tc>
        <w:tc>
          <w:tcPr>
            <w:tcW w:w="779"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6"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w:t>
            </w:r>
          </w:p>
        </w:tc>
        <w:tc>
          <w:tcPr>
            <w:tcW w:w="1127" w:type="dxa"/>
            <w:vAlign w:val="center"/>
          </w:tcPr>
          <w:p w:rsidR="00C645C9" w:rsidRDefault="00F955D9">
            <w:pPr>
              <w:spacing w:line="240" w:lineRule="exact"/>
              <w:ind w:left="-105" w:right="-105"/>
              <w:jc w:val="center"/>
              <w:rPr>
                <w:rFonts w:cs="Times New Roman"/>
                <w:bCs/>
                <w:sz w:val="21"/>
                <w:szCs w:val="21"/>
              </w:rPr>
            </w:pPr>
            <w:r>
              <w:rPr>
                <w:rFonts w:cs="Times New Roman"/>
                <w:bCs/>
                <w:sz w:val="21"/>
                <w:szCs w:val="21"/>
              </w:rPr>
              <w:t>10</w:t>
            </w:r>
          </w:p>
        </w:tc>
        <w:tc>
          <w:tcPr>
            <w:tcW w:w="2788" w:type="dxa"/>
            <w:vAlign w:val="center"/>
          </w:tcPr>
          <w:p w:rsidR="00C645C9" w:rsidRDefault="00F955D9">
            <w:pPr>
              <w:pStyle w:val="afe"/>
              <w:widowControl w:val="0"/>
              <w:spacing w:line="240" w:lineRule="auto"/>
              <w:ind w:rightChars="-33" w:right="-79" w:firstLineChars="0" w:firstLine="0"/>
              <w:rPr>
                <w:rFonts w:ascii="Times New Roman" w:hAnsi="Times New Roman"/>
                <w:bCs/>
                <w:sz w:val="21"/>
                <w:szCs w:val="21"/>
              </w:rPr>
            </w:pPr>
            <w:r>
              <w:rPr>
                <w:rFonts w:ascii="Times New Roman" w:hAnsi="Times New Roman"/>
                <w:kern w:val="24"/>
                <w:sz w:val="21"/>
                <w:szCs w:val="21"/>
              </w:rPr>
              <w:t>参考执行</w:t>
            </w:r>
            <w:r>
              <w:rPr>
                <w:rFonts w:ascii="Times New Roman" w:hAnsi="Times New Roman"/>
                <w:kern w:val="24"/>
                <w:sz w:val="21"/>
                <w:szCs w:val="21"/>
              </w:rPr>
              <w:t>《</w:t>
            </w:r>
            <w:r>
              <w:rPr>
                <w:rFonts w:ascii="Times New Roman" w:hAnsi="Times New Roman"/>
                <w:kern w:val="24"/>
                <w:sz w:val="21"/>
                <w:szCs w:val="21"/>
              </w:rPr>
              <w:t>环境影响评价技术导则</w:t>
            </w:r>
            <w:r>
              <w:rPr>
                <w:rFonts w:ascii="Times New Roman" w:hAnsi="Times New Roman"/>
                <w:kern w:val="24"/>
                <w:sz w:val="21"/>
                <w:szCs w:val="21"/>
              </w:rPr>
              <w:t xml:space="preserve"> </w:t>
            </w:r>
            <w:r>
              <w:rPr>
                <w:rFonts w:ascii="Times New Roman" w:hAnsi="Times New Roman"/>
                <w:kern w:val="24"/>
                <w:sz w:val="21"/>
                <w:szCs w:val="21"/>
              </w:rPr>
              <w:t>大气环境</w:t>
            </w:r>
            <w:r>
              <w:rPr>
                <w:rFonts w:ascii="Times New Roman" w:hAnsi="Times New Roman"/>
                <w:kern w:val="24"/>
                <w:sz w:val="21"/>
                <w:szCs w:val="21"/>
              </w:rPr>
              <w:t>》（</w:t>
            </w:r>
            <w:r>
              <w:rPr>
                <w:rFonts w:ascii="Times New Roman" w:hAnsi="Times New Roman"/>
                <w:kern w:val="24"/>
                <w:sz w:val="21"/>
                <w:szCs w:val="21"/>
              </w:rPr>
              <w:t>HJ2.2-2018</w:t>
            </w:r>
            <w:r>
              <w:rPr>
                <w:rFonts w:ascii="Times New Roman" w:hAnsi="Times New Roman"/>
                <w:kern w:val="24"/>
                <w:sz w:val="21"/>
                <w:szCs w:val="21"/>
              </w:rPr>
              <w:t>）</w:t>
            </w:r>
            <w:r>
              <w:rPr>
                <w:rFonts w:ascii="Times New Roman" w:hAnsi="Times New Roman"/>
                <w:kern w:val="24"/>
                <w:sz w:val="21"/>
                <w:szCs w:val="21"/>
              </w:rPr>
              <w:t>附录</w:t>
            </w:r>
            <w:r>
              <w:rPr>
                <w:rFonts w:ascii="Times New Roman" w:hAnsi="Times New Roman"/>
                <w:kern w:val="24"/>
                <w:sz w:val="21"/>
                <w:szCs w:val="21"/>
              </w:rPr>
              <w:t>D</w:t>
            </w:r>
            <w:r>
              <w:rPr>
                <w:rFonts w:ascii="Times New Roman" w:hAnsi="Times New Roman"/>
                <w:kern w:val="24"/>
                <w:sz w:val="21"/>
                <w:szCs w:val="21"/>
              </w:rPr>
              <w:t>中的</w:t>
            </w:r>
            <w:r>
              <w:rPr>
                <w:rFonts w:ascii="Times New Roman" w:hAnsi="Times New Roman"/>
                <w:kern w:val="24"/>
                <w:sz w:val="21"/>
                <w:szCs w:val="21"/>
              </w:rPr>
              <w:t>1h</w:t>
            </w:r>
            <w:r>
              <w:rPr>
                <w:rFonts w:ascii="Times New Roman" w:hAnsi="Times New Roman"/>
                <w:kern w:val="24"/>
                <w:sz w:val="21"/>
                <w:szCs w:val="21"/>
              </w:rPr>
              <w:t>平均浓度限值</w:t>
            </w:r>
          </w:p>
        </w:tc>
      </w:tr>
    </w:tbl>
    <w:p w:rsidR="00C645C9" w:rsidRDefault="00F955D9">
      <w:pPr>
        <w:adjustRightInd w:val="0"/>
        <w:snapToGrid w:val="0"/>
        <w:spacing w:line="360" w:lineRule="auto"/>
        <w:ind w:firstLine="480"/>
        <w:rPr>
          <w:rFonts w:cs="Times New Roman"/>
        </w:rPr>
      </w:pPr>
      <w:r>
        <w:rPr>
          <w:rFonts w:cs="Times New Roman"/>
        </w:rPr>
        <w:t>（</w:t>
      </w:r>
      <w:r>
        <w:rPr>
          <w:rFonts w:cs="Times New Roman" w:hint="eastAsia"/>
        </w:rPr>
        <w:t>4</w:t>
      </w:r>
      <w:r>
        <w:rPr>
          <w:rFonts w:cs="Times New Roman"/>
        </w:rPr>
        <w:t>）声环境</w:t>
      </w:r>
    </w:p>
    <w:p w:rsidR="00C645C9" w:rsidRDefault="00F955D9">
      <w:pPr>
        <w:adjustRightInd w:val="0"/>
        <w:snapToGrid w:val="0"/>
        <w:spacing w:line="360" w:lineRule="auto"/>
        <w:ind w:firstLine="480"/>
        <w:rPr>
          <w:rFonts w:cs="Times New Roman"/>
        </w:rPr>
      </w:pPr>
      <w:r>
        <w:rPr>
          <w:rFonts w:cs="Times New Roman"/>
        </w:rPr>
        <w:t>本</w:t>
      </w:r>
      <w:r>
        <w:rPr>
          <w:rFonts w:cs="Times New Roman" w:hint="eastAsia"/>
        </w:rPr>
        <w:t>工程所在</w:t>
      </w:r>
      <w:r>
        <w:rPr>
          <w:rFonts w:cs="Times New Roman"/>
        </w:rPr>
        <w:t>区域属于油田生产区，执行《声环境质量标准》（</w:t>
      </w:r>
      <w:r>
        <w:rPr>
          <w:rFonts w:cs="Times New Roman"/>
        </w:rPr>
        <w:t>GB3096-2008</w:t>
      </w:r>
      <w:r>
        <w:rPr>
          <w:rFonts w:cs="Times New Roman"/>
        </w:rPr>
        <w:t>）</w:t>
      </w:r>
      <w:r>
        <w:rPr>
          <w:rFonts w:cs="Times New Roman"/>
        </w:rPr>
        <w:t>2</w:t>
      </w:r>
      <w:r>
        <w:rPr>
          <w:rFonts w:cs="Times New Roman"/>
        </w:rPr>
        <w:t>类标准，即昼间</w:t>
      </w:r>
      <w:r>
        <w:rPr>
          <w:rFonts w:cs="Times New Roman"/>
        </w:rPr>
        <w:t>60dB</w:t>
      </w:r>
      <w:r>
        <w:rPr>
          <w:rFonts w:cs="Times New Roman"/>
        </w:rPr>
        <w:t>（</w:t>
      </w:r>
      <w:r>
        <w:rPr>
          <w:rFonts w:cs="Times New Roman"/>
        </w:rPr>
        <w:t>A</w:t>
      </w:r>
      <w:r>
        <w:rPr>
          <w:rFonts w:cs="Times New Roman"/>
        </w:rPr>
        <w:t>），夜间</w:t>
      </w:r>
      <w:r>
        <w:rPr>
          <w:rFonts w:cs="Times New Roman"/>
        </w:rPr>
        <w:t>50dB</w:t>
      </w:r>
      <w:r>
        <w:rPr>
          <w:rFonts w:cs="Times New Roman"/>
        </w:rPr>
        <w:t>（</w:t>
      </w:r>
      <w:r>
        <w:rPr>
          <w:rFonts w:cs="Times New Roman"/>
        </w:rPr>
        <w:t>A</w:t>
      </w:r>
      <w:r>
        <w:rPr>
          <w:rFonts w:cs="Times New Roman"/>
        </w:rPr>
        <w:t>）。</w:t>
      </w:r>
    </w:p>
    <w:p w:rsidR="00C645C9" w:rsidRDefault="00F955D9">
      <w:pPr>
        <w:pStyle w:val="32"/>
        <w:adjustRightInd w:val="0"/>
        <w:snapToGrid w:val="0"/>
        <w:spacing w:before="0" w:after="0"/>
        <w:rPr>
          <w:color w:val="auto"/>
          <w:lang w:eastAsia="zh-CN"/>
        </w:rPr>
      </w:pPr>
      <w:r>
        <w:rPr>
          <w:color w:val="auto"/>
          <w:lang w:eastAsia="zh-CN"/>
        </w:rPr>
        <w:t>2.</w:t>
      </w:r>
      <w:r>
        <w:rPr>
          <w:rFonts w:hint="eastAsia"/>
          <w:color w:val="auto"/>
          <w:lang w:eastAsia="zh-CN"/>
        </w:rPr>
        <w:t>4</w:t>
      </w:r>
      <w:r>
        <w:rPr>
          <w:color w:val="auto"/>
          <w:lang w:eastAsia="zh-CN"/>
        </w:rPr>
        <w:t>.</w:t>
      </w:r>
      <w:r>
        <w:rPr>
          <w:rFonts w:hint="eastAsia"/>
          <w:color w:val="auto"/>
          <w:lang w:eastAsia="zh-CN"/>
        </w:rPr>
        <w:t>3</w:t>
      </w:r>
      <w:r>
        <w:rPr>
          <w:color w:val="auto"/>
          <w:lang w:eastAsia="zh-CN"/>
        </w:rPr>
        <w:t xml:space="preserve"> </w:t>
      </w:r>
      <w:r>
        <w:rPr>
          <w:color w:val="auto"/>
          <w:lang w:eastAsia="zh-CN"/>
        </w:rPr>
        <w:t>污染物排放标准</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hint="eastAsia"/>
        </w:rPr>
        <w:t>1</w:t>
      </w:r>
      <w:r>
        <w:rPr>
          <w:rFonts w:cs="Times New Roman"/>
        </w:rPr>
        <w:t>）废水</w:t>
      </w:r>
    </w:p>
    <w:p w:rsidR="00C645C9" w:rsidRDefault="00F955D9">
      <w:pPr>
        <w:adjustRightInd w:val="0"/>
        <w:snapToGrid w:val="0"/>
        <w:spacing w:line="360" w:lineRule="auto"/>
        <w:ind w:firstLineChars="200" w:firstLine="480"/>
        <w:jc w:val="both"/>
        <w:rPr>
          <w:rFonts w:cs="Times New Roman"/>
          <w:kern w:val="24"/>
        </w:rPr>
      </w:pPr>
      <w:bookmarkStart w:id="194" w:name="OLE_LINK1081"/>
      <w:bookmarkStart w:id="195" w:name="OLE_LINK1044"/>
      <w:r>
        <w:rPr>
          <w:rFonts w:cs="Times New Roman"/>
        </w:rPr>
        <w:t>施工期</w:t>
      </w:r>
      <w:bookmarkStart w:id="196" w:name="OLE_LINK1042"/>
      <w:r>
        <w:rPr>
          <w:rFonts w:cs="Times New Roman"/>
        </w:rPr>
        <w:t>生活污水</w:t>
      </w:r>
      <w:bookmarkEnd w:id="196"/>
      <w:r>
        <w:rPr>
          <w:rFonts w:cs="Times New Roman" w:hint="eastAsia"/>
        </w:rPr>
        <w:t>经井场</w:t>
      </w:r>
      <w:r>
        <w:rPr>
          <w:rFonts w:cs="Times New Roman"/>
        </w:rPr>
        <w:t>一体化污水处理装置处理后，水质达到《农村生活污水处理排放标准》（</w:t>
      </w:r>
      <w:r>
        <w:rPr>
          <w:rFonts w:cs="Times New Roman"/>
        </w:rPr>
        <w:t>DB65 4275-2019</w:t>
      </w:r>
      <w:r>
        <w:rPr>
          <w:rFonts w:cs="Times New Roman"/>
        </w:rPr>
        <w:t>）表二的</w:t>
      </w:r>
      <w:r>
        <w:rPr>
          <w:rFonts w:cs="Times New Roman"/>
        </w:rPr>
        <w:t>B</w:t>
      </w:r>
      <w:r>
        <w:rPr>
          <w:rFonts w:cs="Times New Roman"/>
        </w:rPr>
        <w:t>级标准</w:t>
      </w:r>
      <w:r>
        <w:rPr>
          <w:rFonts w:cs="Times New Roman" w:hint="eastAsia"/>
        </w:rPr>
        <w:t>、</w:t>
      </w:r>
      <w:r>
        <w:rPr>
          <w:rFonts w:cs="Times New Roman"/>
        </w:rPr>
        <w:t>《农田灌溉水质标准》（</w:t>
      </w:r>
      <w:r>
        <w:rPr>
          <w:rFonts w:cs="Times New Roman"/>
        </w:rPr>
        <w:t>GB 5084-2021</w:t>
      </w:r>
      <w:r>
        <w:rPr>
          <w:rFonts w:cs="Times New Roman"/>
        </w:rPr>
        <w:t>）表一旱地作物标准后用于井场及道路降尘</w:t>
      </w:r>
      <w:bookmarkEnd w:id="194"/>
      <w:r>
        <w:rPr>
          <w:rFonts w:cs="Times New Roman"/>
        </w:rPr>
        <w:t>。</w:t>
      </w:r>
      <w:bookmarkEnd w:id="195"/>
      <w:r>
        <w:rPr>
          <w:rFonts w:cs="Times New Roman"/>
        </w:rPr>
        <w:t>运营期工作人员由油田内部调剂，不新增工作人员，不新增生活污水。运营期产生的生产废水</w:t>
      </w:r>
      <w:r>
        <w:rPr>
          <w:rFonts w:cs="Times New Roman" w:hint="eastAsia"/>
          <w:kern w:val="2"/>
          <w:szCs w:val="20"/>
          <w:lang w:bidi="ar"/>
        </w:rPr>
        <w:t>由罐车拉运至塔河油田绿色环保工作站处理</w:t>
      </w:r>
      <w:r>
        <w:rPr>
          <w:rFonts w:cs="Times New Roman"/>
        </w:rPr>
        <w:t>。</w:t>
      </w:r>
      <w:r>
        <w:rPr>
          <w:rFonts w:cs="Times New Roman"/>
        </w:rPr>
        <w:t>井下作业废水自带回收罐回收</w:t>
      </w:r>
      <w:r>
        <w:rPr>
          <w:rFonts w:hint="eastAsia"/>
        </w:rPr>
        <w:t>井下作业</w:t>
      </w:r>
      <w:r>
        <w:rPr>
          <w:rFonts w:cs="Times New Roman"/>
        </w:rPr>
        <w:t>废水，</w:t>
      </w:r>
      <w:r>
        <w:rPr>
          <w:rFonts w:cs="Times New Roman" w:hint="eastAsia"/>
        </w:rPr>
        <w:t>依托</w:t>
      </w:r>
      <w:bookmarkStart w:id="197" w:name="OLE_LINK834"/>
      <w:r>
        <w:rPr>
          <w:rFonts w:cs="Times New Roman"/>
        </w:rPr>
        <w:t>塔河油田绿色环保工作站</w:t>
      </w:r>
      <w:bookmarkEnd w:id="197"/>
      <w:r>
        <w:rPr>
          <w:rFonts w:cs="Times New Roman"/>
        </w:rPr>
        <w:t>处理</w:t>
      </w:r>
      <w:r>
        <w:rPr>
          <w:rFonts w:cs="Times New Roman" w:hint="eastAsia"/>
        </w:rPr>
        <w:t>。</w:t>
      </w:r>
      <w:r>
        <w:rPr>
          <w:rFonts w:cs="Times New Roman" w:hint="eastAsia"/>
        </w:rPr>
        <w:t>试油</w:t>
      </w:r>
      <w:r>
        <w:rPr>
          <w:rFonts w:cs="Times New Roman"/>
        </w:rPr>
        <w:t>采出水依托</w:t>
      </w:r>
      <w:r>
        <w:rPr>
          <w:rFonts w:cs="Times New Roman"/>
        </w:rPr>
        <w:t>塔河油田绿色环保工作站</w:t>
      </w:r>
      <w:r>
        <w:rPr>
          <w:rFonts w:cs="Times New Roman"/>
        </w:rPr>
        <w:t>处理达标后回注油层，不向外环境排放，回注水执行</w:t>
      </w:r>
      <w:r>
        <w:rPr>
          <w:rFonts w:cs="Times New Roman"/>
          <w:kern w:val="24"/>
        </w:rPr>
        <w:t>《</w:t>
      </w:r>
      <w:r>
        <w:rPr>
          <w:rFonts w:cs="Times New Roman"/>
          <w:kern w:val="24"/>
        </w:rPr>
        <w:t>碎屑岩油藏注水水质指标技术要求及分析方法</w:t>
      </w:r>
      <w:r>
        <w:rPr>
          <w:rFonts w:cs="Times New Roman"/>
          <w:kern w:val="24"/>
        </w:rPr>
        <w:t>》（</w:t>
      </w:r>
      <w:r>
        <w:rPr>
          <w:rFonts w:cs="Times New Roman"/>
          <w:kern w:val="24"/>
        </w:rPr>
        <w:t>SY/T5329-2022</w:t>
      </w:r>
      <w:r>
        <w:rPr>
          <w:rFonts w:cs="Times New Roman"/>
          <w:kern w:val="24"/>
        </w:rPr>
        <w:t>）</w:t>
      </w:r>
      <w:r>
        <w:rPr>
          <w:rFonts w:cs="Times New Roman"/>
          <w:kern w:val="24"/>
        </w:rPr>
        <w:t>储层空气渗透率</w:t>
      </w:r>
      <w:r>
        <w:rPr>
          <w:rFonts w:cs="Times New Roman"/>
          <w:kern w:val="24"/>
        </w:rPr>
        <w:t>≥2.0μm²</w:t>
      </w:r>
      <w:r>
        <w:rPr>
          <w:rFonts w:cs="Times New Roman"/>
          <w:kern w:val="24"/>
        </w:rPr>
        <w:t>的标准，标准值见表</w:t>
      </w:r>
      <w:r>
        <w:rPr>
          <w:rFonts w:cs="Times New Roman"/>
          <w:kern w:val="24"/>
        </w:rPr>
        <w:t>2.</w:t>
      </w:r>
      <w:r>
        <w:rPr>
          <w:rFonts w:cs="Times New Roman" w:hint="eastAsia"/>
          <w:kern w:val="24"/>
        </w:rPr>
        <w:t>4-6</w:t>
      </w:r>
      <w:r>
        <w:rPr>
          <w:rFonts w:cs="Times New Roman"/>
        </w:rPr>
        <w:t>。</w:t>
      </w:r>
    </w:p>
    <w:p w:rsidR="00C645C9" w:rsidRDefault="00C645C9">
      <w:pPr>
        <w:pStyle w:val="afc"/>
        <w:rPr>
          <w:b w:val="0"/>
          <w:bCs/>
          <w:kern w:val="0"/>
          <w:szCs w:val="21"/>
        </w:rPr>
      </w:pPr>
    </w:p>
    <w:p w:rsidR="00C645C9" w:rsidRDefault="00C645C9">
      <w:pPr>
        <w:pStyle w:val="afc"/>
        <w:rPr>
          <w:b w:val="0"/>
          <w:bCs/>
          <w:kern w:val="0"/>
          <w:szCs w:val="21"/>
        </w:rPr>
      </w:pPr>
    </w:p>
    <w:p w:rsidR="00C645C9" w:rsidRDefault="00F955D9">
      <w:pPr>
        <w:pStyle w:val="afc"/>
        <w:rPr>
          <w:b w:val="0"/>
          <w:bCs/>
          <w:szCs w:val="21"/>
        </w:rPr>
      </w:pPr>
      <w:r>
        <w:rPr>
          <w:b w:val="0"/>
          <w:bCs/>
          <w:kern w:val="0"/>
          <w:szCs w:val="21"/>
        </w:rPr>
        <w:lastRenderedPageBreak/>
        <w:t>表</w:t>
      </w:r>
      <w:r>
        <w:rPr>
          <w:b w:val="0"/>
          <w:bCs/>
          <w:kern w:val="0"/>
          <w:szCs w:val="21"/>
        </w:rPr>
        <w:t>2.</w:t>
      </w:r>
      <w:r>
        <w:rPr>
          <w:rFonts w:hint="eastAsia"/>
          <w:b w:val="0"/>
          <w:bCs/>
          <w:kern w:val="0"/>
          <w:szCs w:val="21"/>
        </w:rPr>
        <w:t>4-6</w:t>
      </w:r>
      <w:r>
        <w:rPr>
          <w:b w:val="0"/>
          <w:bCs/>
          <w:szCs w:val="21"/>
        </w:rPr>
        <w:t xml:space="preserve">   </w:t>
      </w:r>
      <w:r>
        <w:rPr>
          <w:b w:val="0"/>
          <w:bCs/>
          <w:szCs w:val="21"/>
        </w:rPr>
        <w:t>《碎屑岩油藏注水水质指标技术要求及分析方法》（</w:t>
      </w:r>
      <w:r>
        <w:rPr>
          <w:b w:val="0"/>
          <w:bCs/>
          <w:szCs w:val="21"/>
        </w:rPr>
        <w:t>SY/T</w:t>
      </w:r>
      <w:r>
        <w:rPr>
          <w:b w:val="0"/>
          <w:bCs/>
          <w:szCs w:val="21"/>
        </w:rPr>
        <w:t xml:space="preserve"> </w:t>
      </w:r>
      <w:r>
        <w:rPr>
          <w:b w:val="0"/>
          <w:bCs/>
          <w:szCs w:val="21"/>
        </w:rPr>
        <w:t>5329-2022</w:t>
      </w:r>
      <w:r>
        <w:rPr>
          <w:b w:val="0"/>
          <w:bCs/>
          <w:szCs w:val="21"/>
        </w:rPr>
        <w:t>）</w:t>
      </w:r>
    </w:p>
    <w:tbl>
      <w:tblPr>
        <w:tblW w:w="8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892"/>
        <w:gridCol w:w="1376"/>
        <w:gridCol w:w="1344"/>
        <w:gridCol w:w="1238"/>
        <w:gridCol w:w="868"/>
      </w:tblGrid>
      <w:tr w:rsidR="00C645C9">
        <w:trPr>
          <w:trHeight w:val="30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储层</w:t>
            </w:r>
            <w:r>
              <w:rPr>
                <w:rFonts w:cs="Times New Roman"/>
                <w:sz w:val="21"/>
                <w:szCs w:val="21"/>
              </w:rPr>
              <w:t>空气渗透率（</w:t>
            </w:r>
            <w:r>
              <w:rPr>
                <w:rFonts w:cs="Times New Roman"/>
                <w:sz w:val="21"/>
                <w:szCs w:val="21"/>
              </w:rPr>
              <w:t>μm²</w:t>
            </w:r>
            <w:r>
              <w:rPr>
                <w:rFonts w:cs="Times New Roman"/>
                <w:sz w:val="21"/>
                <w:szCs w:val="21"/>
              </w:rPr>
              <w:t>）</w:t>
            </w:r>
          </w:p>
        </w:tc>
        <w:tc>
          <w:tcPr>
            <w:tcW w:w="892" w:type="dxa"/>
            <w:vAlign w:val="center"/>
          </w:tcPr>
          <w:p w:rsidR="00C645C9" w:rsidRDefault="00F955D9">
            <w:pPr>
              <w:widowControl w:val="0"/>
              <w:adjustRightInd w:val="0"/>
              <w:jc w:val="center"/>
              <w:textAlignment w:val="baseline"/>
              <w:rPr>
                <w:rFonts w:cs="Times New Roman"/>
                <w:sz w:val="21"/>
                <w:szCs w:val="21"/>
              </w:rPr>
            </w:pPr>
            <w:r>
              <w:rPr>
                <w:rFonts w:cs="Times New Roman" w:hint="eastAsia"/>
                <w:sz w:val="21"/>
                <w:szCs w:val="21"/>
              </w:rPr>
              <w:t>&lt;</w:t>
            </w:r>
            <w:r>
              <w:rPr>
                <w:rFonts w:cs="Times New Roman"/>
                <w:sz w:val="21"/>
                <w:szCs w:val="21"/>
              </w:rPr>
              <w:t>0.01</w:t>
            </w:r>
          </w:p>
        </w:tc>
        <w:tc>
          <w:tcPr>
            <w:tcW w:w="1376" w:type="dxa"/>
            <w:vAlign w:val="center"/>
          </w:tcPr>
          <w:p w:rsidR="00C645C9" w:rsidRDefault="00F955D9">
            <w:pPr>
              <w:widowControl w:val="0"/>
              <w:adjustRightInd w:val="0"/>
              <w:jc w:val="center"/>
              <w:textAlignment w:val="baseline"/>
              <w:rPr>
                <w:rFonts w:cs="Times New Roman"/>
                <w:sz w:val="21"/>
                <w:szCs w:val="21"/>
              </w:rPr>
            </w:pPr>
            <w:bookmarkStart w:id="198" w:name="OLE_LINK1168"/>
            <w:r>
              <w:rPr>
                <w:rFonts w:cs="Times New Roman" w:hint="eastAsia"/>
                <w:sz w:val="21"/>
                <w:szCs w:val="21"/>
              </w:rPr>
              <w:t>（</w:t>
            </w:r>
            <w:bookmarkEnd w:id="198"/>
            <w:r>
              <w:rPr>
                <w:rFonts w:cs="Times New Roman"/>
                <w:sz w:val="21"/>
                <w:szCs w:val="21"/>
              </w:rPr>
              <w:t>0.01</w:t>
            </w:r>
            <w:r>
              <w:rPr>
                <w:rFonts w:cs="Times New Roman" w:hint="eastAsia"/>
                <w:sz w:val="21"/>
                <w:szCs w:val="21"/>
              </w:rPr>
              <w:t>，</w:t>
            </w:r>
            <w:r>
              <w:rPr>
                <w:rFonts w:cs="Times New Roman"/>
                <w:sz w:val="21"/>
                <w:szCs w:val="21"/>
              </w:rPr>
              <w:t>0.05</w:t>
            </w:r>
            <w:r>
              <w:rPr>
                <w:rFonts w:cs="Times New Roman" w:hint="eastAsia"/>
                <w:sz w:val="21"/>
                <w:szCs w:val="21"/>
              </w:rPr>
              <w:t>）</w:t>
            </w:r>
          </w:p>
        </w:tc>
        <w:tc>
          <w:tcPr>
            <w:tcW w:w="1344" w:type="dxa"/>
            <w:vAlign w:val="center"/>
          </w:tcPr>
          <w:p w:rsidR="00C645C9" w:rsidRDefault="00F955D9">
            <w:pPr>
              <w:widowControl w:val="0"/>
              <w:adjustRightInd w:val="0"/>
              <w:jc w:val="center"/>
              <w:textAlignment w:val="baseline"/>
              <w:rPr>
                <w:rFonts w:cs="Times New Roman"/>
                <w:sz w:val="21"/>
                <w:szCs w:val="21"/>
              </w:rPr>
            </w:pPr>
            <w:r>
              <w:rPr>
                <w:rFonts w:cs="Times New Roman" w:hint="eastAsia"/>
                <w:sz w:val="21"/>
                <w:szCs w:val="21"/>
              </w:rPr>
              <w:t>（</w:t>
            </w:r>
            <w:r>
              <w:rPr>
                <w:rFonts w:cs="Times New Roman"/>
                <w:sz w:val="21"/>
                <w:szCs w:val="21"/>
              </w:rPr>
              <w:t>0.05</w:t>
            </w:r>
            <w:r>
              <w:rPr>
                <w:rFonts w:cs="Times New Roman" w:hint="eastAsia"/>
                <w:sz w:val="21"/>
                <w:szCs w:val="21"/>
              </w:rPr>
              <w:t>，</w:t>
            </w:r>
            <w:r>
              <w:rPr>
                <w:rFonts w:cs="Times New Roman"/>
                <w:sz w:val="21"/>
                <w:szCs w:val="21"/>
              </w:rPr>
              <w:t>0.5</w:t>
            </w:r>
            <w:r>
              <w:rPr>
                <w:rFonts w:cs="Times New Roman" w:hint="eastAsia"/>
                <w:sz w:val="21"/>
                <w:szCs w:val="21"/>
              </w:rPr>
              <w:t>）</w:t>
            </w:r>
          </w:p>
        </w:tc>
        <w:tc>
          <w:tcPr>
            <w:tcW w:w="1238" w:type="dxa"/>
            <w:vAlign w:val="center"/>
          </w:tcPr>
          <w:p w:rsidR="00C645C9" w:rsidRDefault="00F955D9">
            <w:pPr>
              <w:widowControl w:val="0"/>
              <w:adjustRightInd w:val="0"/>
              <w:jc w:val="center"/>
              <w:textAlignment w:val="baseline"/>
              <w:rPr>
                <w:rFonts w:cs="Times New Roman"/>
                <w:sz w:val="21"/>
                <w:szCs w:val="21"/>
              </w:rPr>
            </w:pPr>
            <w:r>
              <w:rPr>
                <w:rFonts w:cs="Times New Roman" w:hint="eastAsia"/>
                <w:sz w:val="21"/>
                <w:szCs w:val="21"/>
              </w:rPr>
              <w:t>（</w:t>
            </w:r>
            <w:r>
              <w:rPr>
                <w:rFonts w:cs="Times New Roman"/>
                <w:sz w:val="21"/>
                <w:szCs w:val="21"/>
              </w:rPr>
              <w:t>0.5</w:t>
            </w:r>
            <w:r>
              <w:rPr>
                <w:rFonts w:cs="Times New Roman" w:hint="eastAsia"/>
                <w:sz w:val="21"/>
                <w:szCs w:val="21"/>
              </w:rPr>
              <w:t>，</w:t>
            </w:r>
            <w:r>
              <w:rPr>
                <w:rFonts w:cs="Times New Roman"/>
                <w:sz w:val="21"/>
                <w:szCs w:val="21"/>
              </w:rPr>
              <w:t>2.0</w:t>
            </w:r>
            <w:r>
              <w:rPr>
                <w:rFonts w:cs="Times New Roman" w:hint="eastAsia"/>
                <w:sz w:val="21"/>
                <w:szCs w:val="21"/>
              </w:rPr>
              <w:t>）</w:t>
            </w:r>
          </w:p>
        </w:tc>
        <w:tc>
          <w:tcPr>
            <w:tcW w:w="86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≥2.0</w:t>
            </w:r>
          </w:p>
        </w:tc>
      </w:tr>
      <w:tr w:rsidR="00C645C9">
        <w:trPr>
          <w:trHeight w:val="30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水质标准分级</w:t>
            </w:r>
          </w:p>
        </w:tc>
        <w:tc>
          <w:tcPr>
            <w:tcW w:w="892"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Ⅰ</w:t>
            </w:r>
          </w:p>
        </w:tc>
        <w:tc>
          <w:tcPr>
            <w:tcW w:w="1376"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Ⅱ</w:t>
            </w:r>
          </w:p>
        </w:tc>
        <w:tc>
          <w:tcPr>
            <w:tcW w:w="1344"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Ⅲ</w:t>
            </w:r>
          </w:p>
        </w:tc>
        <w:tc>
          <w:tcPr>
            <w:tcW w:w="123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Ⅳ</w:t>
            </w:r>
          </w:p>
        </w:tc>
        <w:tc>
          <w:tcPr>
            <w:tcW w:w="86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Ⅴ</w:t>
            </w:r>
          </w:p>
        </w:tc>
      </w:tr>
      <w:tr w:rsidR="00C645C9">
        <w:trPr>
          <w:trHeight w:val="30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悬浮固体含量</w:t>
            </w:r>
            <w:r>
              <w:rPr>
                <w:rFonts w:cs="Times New Roman"/>
                <w:sz w:val="21"/>
                <w:szCs w:val="21"/>
              </w:rPr>
              <w:t>mg/L</w:t>
            </w:r>
          </w:p>
        </w:tc>
        <w:tc>
          <w:tcPr>
            <w:tcW w:w="892"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≤8.0</w:t>
            </w:r>
          </w:p>
        </w:tc>
        <w:tc>
          <w:tcPr>
            <w:tcW w:w="1376"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≤15.0</w:t>
            </w:r>
          </w:p>
        </w:tc>
        <w:tc>
          <w:tcPr>
            <w:tcW w:w="1344"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≤20.0</w:t>
            </w:r>
          </w:p>
        </w:tc>
        <w:tc>
          <w:tcPr>
            <w:tcW w:w="123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≤25.0</w:t>
            </w:r>
          </w:p>
        </w:tc>
        <w:tc>
          <w:tcPr>
            <w:tcW w:w="86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≤35.0</w:t>
            </w:r>
          </w:p>
        </w:tc>
      </w:tr>
      <w:tr w:rsidR="00C645C9">
        <w:trPr>
          <w:trHeight w:val="30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悬浮物颗粒直径中值㎛</w:t>
            </w:r>
          </w:p>
        </w:tc>
        <w:tc>
          <w:tcPr>
            <w:tcW w:w="892"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≤3.0</w:t>
            </w:r>
          </w:p>
        </w:tc>
        <w:tc>
          <w:tcPr>
            <w:tcW w:w="1376"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≤5.0</w:t>
            </w:r>
          </w:p>
        </w:tc>
        <w:tc>
          <w:tcPr>
            <w:tcW w:w="1344"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≤5.0</w:t>
            </w:r>
          </w:p>
        </w:tc>
        <w:tc>
          <w:tcPr>
            <w:tcW w:w="123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≤5.0</w:t>
            </w:r>
          </w:p>
        </w:tc>
        <w:tc>
          <w:tcPr>
            <w:tcW w:w="86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≤5.5</w:t>
            </w:r>
          </w:p>
        </w:tc>
      </w:tr>
      <w:tr w:rsidR="00C645C9">
        <w:trPr>
          <w:trHeight w:val="30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含油量</w:t>
            </w:r>
            <w:r>
              <w:rPr>
                <w:rFonts w:cs="Times New Roman"/>
                <w:sz w:val="21"/>
                <w:szCs w:val="21"/>
              </w:rPr>
              <w:t>mg/L</w:t>
            </w:r>
          </w:p>
        </w:tc>
        <w:tc>
          <w:tcPr>
            <w:tcW w:w="892"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≤5.0</w:t>
            </w:r>
          </w:p>
        </w:tc>
        <w:tc>
          <w:tcPr>
            <w:tcW w:w="1376"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≤10.0</w:t>
            </w:r>
          </w:p>
        </w:tc>
        <w:tc>
          <w:tcPr>
            <w:tcW w:w="1344"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≤15.0</w:t>
            </w:r>
          </w:p>
        </w:tc>
        <w:tc>
          <w:tcPr>
            <w:tcW w:w="123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≤30.0</w:t>
            </w:r>
          </w:p>
        </w:tc>
        <w:tc>
          <w:tcPr>
            <w:tcW w:w="86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≤100.0</w:t>
            </w:r>
          </w:p>
        </w:tc>
      </w:tr>
      <w:tr w:rsidR="00C645C9">
        <w:trPr>
          <w:trHeight w:val="313"/>
        </w:trPr>
        <w:tc>
          <w:tcPr>
            <w:tcW w:w="2818" w:type="dxa"/>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平均腐蚀率</w:t>
            </w:r>
            <w:r>
              <w:rPr>
                <w:rFonts w:cs="Times New Roman"/>
                <w:sz w:val="21"/>
                <w:szCs w:val="21"/>
              </w:rPr>
              <w:t>mm/a</w:t>
            </w:r>
          </w:p>
        </w:tc>
        <w:tc>
          <w:tcPr>
            <w:tcW w:w="5718" w:type="dxa"/>
            <w:gridSpan w:val="5"/>
            <w:vAlign w:val="center"/>
          </w:tcPr>
          <w:p w:rsidR="00C645C9" w:rsidRDefault="00F955D9">
            <w:pPr>
              <w:widowControl w:val="0"/>
              <w:adjustRightInd w:val="0"/>
              <w:jc w:val="center"/>
              <w:textAlignment w:val="baseline"/>
              <w:rPr>
                <w:rFonts w:cs="Times New Roman"/>
                <w:sz w:val="21"/>
                <w:szCs w:val="21"/>
              </w:rPr>
            </w:pPr>
            <w:r>
              <w:rPr>
                <w:rFonts w:cs="Times New Roman"/>
                <w:sz w:val="21"/>
                <w:szCs w:val="21"/>
              </w:rPr>
              <w:t>≤0.076</w:t>
            </w:r>
          </w:p>
        </w:tc>
      </w:tr>
    </w:tbl>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hint="eastAsia"/>
        </w:rPr>
        <w:t>2</w:t>
      </w:r>
      <w:r>
        <w:rPr>
          <w:rFonts w:cs="Times New Roman"/>
        </w:rPr>
        <w:t>）</w:t>
      </w:r>
      <w:r>
        <w:rPr>
          <w:rFonts w:cs="Times New Roman"/>
        </w:rPr>
        <w:t>固体废物</w:t>
      </w:r>
    </w:p>
    <w:p w:rsidR="00C645C9" w:rsidRDefault="00F955D9">
      <w:pPr>
        <w:adjustRightInd w:val="0"/>
        <w:snapToGrid w:val="0"/>
        <w:spacing w:line="360" w:lineRule="auto"/>
        <w:ind w:firstLineChars="200" w:firstLine="480"/>
        <w:rPr>
          <w:rFonts w:cs="Times New Roman"/>
        </w:rPr>
      </w:pPr>
      <w:r>
        <w:rPr>
          <w:rFonts w:cs="Times New Roman"/>
        </w:rPr>
        <w:t>根据</w:t>
      </w:r>
      <w:r>
        <w:rPr>
          <w:rFonts w:cs="Times New Roman" w:hint="eastAsia"/>
        </w:rPr>
        <w:t>本工程</w:t>
      </w:r>
      <w:r>
        <w:rPr>
          <w:rFonts w:cs="Times New Roman"/>
        </w:rPr>
        <w:t>产生的各种固体废物的性质和去向，生活垃圾执行《生活垃圾填埋场污染控制标准》（</w:t>
      </w:r>
      <w:r>
        <w:rPr>
          <w:rFonts w:cs="Times New Roman"/>
        </w:rPr>
        <w:t>GB16889-2024</w:t>
      </w:r>
      <w:r>
        <w:rPr>
          <w:rFonts w:cs="Times New Roman"/>
        </w:rPr>
        <w:t>）</w:t>
      </w:r>
      <w:r>
        <w:rPr>
          <w:rFonts w:cs="Times New Roman" w:hint="eastAsia"/>
        </w:rPr>
        <w:t>；</w:t>
      </w:r>
      <w:r>
        <w:rPr>
          <w:rFonts w:cs="Times New Roman"/>
        </w:rPr>
        <w:t>一般工业固体废物贮存执行《一般工业固体废物贮存和填埋污染控制标准》（</w:t>
      </w:r>
      <w:r>
        <w:rPr>
          <w:rFonts w:cs="Times New Roman"/>
        </w:rPr>
        <w:t>GB 18599-2020</w:t>
      </w:r>
      <w:r>
        <w:rPr>
          <w:rFonts w:cs="Times New Roman"/>
        </w:rPr>
        <w:t>）；危险废物贮存执行《危险废物贮存污染控制标准》（</w:t>
      </w:r>
      <w:r>
        <w:rPr>
          <w:rFonts w:cs="Times New Roman"/>
        </w:rPr>
        <w:t>GB18597-2023</w:t>
      </w:r>
      <w:r>
        <w:rPr>
          <w:rFonts w:cs="Times New Roman"/>
        </w:rPr>
        <w:t>）</w:t>
      </w:r>
      <w:r>
        <w:rPr>
          <w:rFonts w:cs="Times New Roman"/>
        </w:rPr>
        <w:t>。</w:t>
      </w:r>
      <w:bookmarkStart w:id="199" w:name="OLE_LINK95"/>
      <w:r>
        <w:rPr>
          <w:rFonts w:cs="Times New Roman"/>
        </w:rPr>
        <w:t>含油污泥</w:t>
      </w:r>
      <w:bookmarkEnd w:id="199"/>
      <w:r>
        <w:rPr>
          <w:rFonts w:cs="Times New Roman"/>
        </w:rPr>
        <w:t>满足《陆上石油天然气开采含油污泥资源化综合利用及污染控制技术要求》（</w:t>
      </w:r>
      <w:r>
        <w:rPr>
          <w:rFonts w:cs="Times New Roman"/>
        </w:rPr>
        <w:t>SY/T7301-2016</w:t>
      </w:r>
      <w:r>
        <w:rPr>
          <w:rFonts w:cs="Times New Roman"/>
        </w:rPr>
        <w:t>）及《关于含油污泥处置有关事宜的通知》（新环办发〔</w:t>
      </w:r>
      <w:r>
        <w:rPr>
          <w:rFonts w:cs="Times New Roman"/>
        </w:rPr>
        <w:t>2018</w:t>
      </w:r>
      <w:r>
        <w:rPr>
          <w:rFonts w:cs="Times New Roman"/>
        </w:rPr>
        <w:t>〕</w:t>
      </w:r>
      <w:r>
        <w:rPr>
          <w:rFonts w:cs="Times New Roman"/>
        </w:rPr>
        <w:t>20</w:t>
      </w:r>
      <w:r>
        <w:rPr>
          <w:rFonts w:cs="Times New Roman"/>
        </w:rPr>
        <w:t>号）相关要求。</w:t>
      </w:r>
    </w:p>
    <w:p w:rsidR="00C645C9" w:rsidRDefault="00F955D9">
      <w:pPr>
        <w:widowControl w:val="0"/>
        <w:adjustRightInd w:val="0"/>
        <w:snapToGrid w:val="0"/>
        <w:spacing w:line="360" w:lineRule="auto"/>
        <w:ind w:firstLineChars="200" w:firstLine="504"/>
        <w:rPr>
          <w:rFonts w:cs="Times New Roman"/>
          <w:spacing w:val="6"/>
        </w:rPr>
      </w:pPr>
      <w:r>
        <w:rPr>
          <w:rFonts w:cs="Times New Roman"/>
          <w:spacing w:val="6"/>
        </w:rPr>
        <w:t>（</w:t>
      </w:r>
      <w:r>
        <w:rPr>
          <w:rFonts w:cs="Times New Roman" w:hint="eastAsia"/>
          <w:spacing w:val="6"/>
        </w:rPr>
        <w:t>3</w:t>
      </w:r>
      <w:r>
        <w:rPr>
          <w:rFonts w:cs="Times New Roman"/>
          <w:spacing w:val="6"/>
        </w:rPr>
        <w:t>）</w:t>
      </w:r>
      <w:r>
        <w:rPr>
          <w:rFonts w:cs="Times New Roman"/>
          <w:spacing w:val="6"/>
        </w:rPr>
        <w:t>废气</w:t>
      </w:r>
    </w:p>
    <w:p w:rsidR="00C645C9" w:rsidRDefault="00F955D9">
      <w:pPr>
        <w:pStyle w:val="aff"/>
        <w:widowControl w:val="0"/>
        <w:adjustRightInd w:val="0"/>
        <w:snapToGrid w:val="0"/>
        <w:jc w:val="both"/>
        <w:rPr>
          <w:rFonts w:cs="Times New Roman"/>
          <w:color w:val="auto"/>
        </w:rPr>
      </w:pPr>
      <w:r>
        <w:rPr>
          <w:rFonts w:cs="Times New Roman" w:hint="eastAsia"/>
          <w:color w:val="auto"/>
        </w:rPr>
        <w:t>本工程施工期无组织排放扬尘执行</w:t>
      </w:r>
      <w:bookmarkStart w:id="200" w:name="OLE_LINK71"/>
      <w:r>
        <w:rPr>
          <w:rFonts w:cs="Times New Roman" w:hint="eastAsia"/>
          <w:color w:val="auto"/>
        </w:rPr>
        <w:t>《大气污染物综合排放标准》（</w:t>
      </w:r>
      <w:r>
        <w:rPr>
          <w:rFonts w:cs="Times New Roman" w:hint="eastAsia"/>
          <w:color w:val="auto"/>
        </w:rPr>
        <w:t>GB16297-1996</w:t>
      </w:r>
      <w:r>
        <w:rPr>
          <w:rFonts w:cs="Times New Roman" w:hint="eastAsia"/>
          <w:color w:val="auto"/>
        </w:rPr>
        <w:t>）</w:t>
      </w:r>
      <w:bookmarkStart w:id="201" w:name="OLE_LINK72"/>
      <w:bookmarkEnd w:id="200"/>
      <w:r>
        <w:rPr>
          <w:rFonts w:cs="Times New Roman" w:hint="eastAsia"/>
          <w:color w:val="auto"/>
        </w:rPr>
        <w:t>表</w:t>
      </w:r>
      <w:r>
        <w:rPr>
          <w:rFonts w:cs="Times New Roman" w:hint="eastAsia"/>
          <w:color w:val="auto"/>
        </w:rPr>
        <w:t>2</w:t>
      </w:r>
      <w:r>
        <w:rPr>
          <w:rFonts w:cs="Times New Roman" w:hint="eastAsia"/>
          <w:color w:val="auto"/>
        </w:rPr>
        <w:t>无组织排放监控浓度限值</w:t>
      </w:r>
      <w:bookmarkEnd w:id="201"/>
      <w:r>
        <w:rPr>
          <w:rFonts w:cs="Times New Roman" w:hint="eastAsia"/>
          <w:color w:val="auto"/>
        </w:rPr>
        <w:t>。本工程运营期</w:t>
      </w:r>
      <w:r>
        <w:rPr>
          <w:rFonts w:cs="Times New Roman"/>
          <w:color w:val="auto"/>
        </w:rPr>
        <w:t>井场加热炉</w:t>
      </w:r>
      <w:bookmarkStart w:id="202" w:name="OLE_LINK76"/>
      <w:r>
        <w:rPr>
          <w:rFonts w:cs="Times New Roman"/>
          <w:color w:val="auto"/>
        </w:rPr>
        <w:t>燃烧气中颗粒物、</w:t>
      </w:r>
      <w:r>
        <w:rPr>
          <w:rFonts w:cs="Times New Roman"/>
          <w:color w:val="auto"/>
        </w:rPr>
        <w:t>SO</w:t>
      </w:r>
      <w:r>
        <w:rPr>
          <w:rFonts w:cs="Times New Roman"/>
          <w:color w:val="auto"/>
          <w:vertAlign w:val="subscript"/>
        </w:rPr>
        <w:t>2</w:t>
      </w:r>
      <w:r>
        <w:rPr>
          <w:rFonts w:cs="Times New Roman"/>
          <w:color w:val="auto"/>
        </w:rPr>
        <w:t>、</w:t>
      </w:r>
      <w:r>
        <w:rPr>
          <w:rFonts w:cs="Times New Roman"/>
          <w:color w:val="auto"/>
        </w:rPr>
        <w:t>NO</w:t>
      </w:r>
      <w:r>
        <w:rPr>
          <w:rFonts w:cs="Times New Roman"/>
          <w:color w:val="auto"/>
          <w:vertAlign w:val="subscript"/>
        </w:rPr>
        <w:t>x</w:t>
      </w:r>
      <w:r>
        <w:rPr>
          <w:rFonts w:cs="Times New Roman"/>
          <w:color w:val="auto"/>
        </w:rPr>
        <w:t>执行</w:t>
      </w:r>
      <w:r>
        <w:rPr>
          <w:rFonts w:cs="Times New Roman"/>
          <w:color w:val="auto"/>
        </w:rPr>
        <w:t>《</w:t>
      </w:r>
      <w:bookmarkStart w:id="203" w:name="OLE_LINK70"/>
      <w:r>
        <w:rPr>
          <w:rFonts w:cs="Times New Roman"/>
          <w:color w:val="auto"/>
        </w:rPr>
        <w:t>锅炉大气污染物排放标准</w:t>
      </w:r>
      <w:bookmarkEnd w:id="203"/>
      <w:r>
        <w:rPr>
          <w:rFonts w:cs="Times New Roman"/>
          <w:color w:val="auto"/>
        </w:rPr>
        <w:t>》（</w:t>
      </w:r>
      <w:r>
        <w:rPr>
          <w:rFonts w:cs="Times New Roman"/>
          <w:color w:val="auto"/>
        </w:rPr>
        <w:t>GB13271-2014</w:t>
      </w:r>
      <w:r>
        <w:rPr>
          <w:rFonts w:cs="Times New Roman"/>
          <w:color w:val="auto"/>
        </w:rPr>
        <w:t>）</w:t>
      </w:r>
      <w:bookmarkEnd w:id="202"/>
      <w:r>
        <w:rPr>
          <w:rFonts w:cs="Times New Roman"/>
          <w:color w:val="auto"/>
        </w:rPr>
        <w:t>表</w:t>
      </w:r>
      <w:r>
        <w:rPr>
          <w:rFonts w:cs="Times New Roman"/>
          <w:color w:val="auto"/>
        </w:rPr>
        <w:t>2</w:t>
      </w:r>
      <w:r>
        <w:rPr>
          <w:rFonts w:cs="Times New Roman"/>
          <w:color w:val="auto"/>
        </w:rPr>
        <w:t>新建锅炉大气污染物排放浓度限值</w:t>
      </w:r>
      <w:r>
        <w:rPr>
          <w:rFonts w:cs="Times New Roman" w:hint="eastAsia"/>
          <w:color w:val="auto"/>
        </w:rPr>
        <w:t>，非甲烷总烃执行《大气污染物综合排放标准》（</w:t>
      </w:r>
      <w:r>
        <w:rPr>
          <w:rFonts w:cs="Times New Roman" w:hint="eastAsia"/>
          <w:color w:val="auto"/>
        </w:rPr>
        <w:t>GB16297-1996</w:t>
      </w:r>
      <w:r>
        <w:rPr>
          <w:rFonts w:cs="Times New Roman" w:hint="eastAsia"/>
          <w:color w:val="auto"/>
        </w:rPr>
        <w:t>）表</w:t>
      </w:r>
      <w:r>
        <w:rPr>
          <w:rFonts w:cs="Times New Roman" w:hint="eastAsia"/>
          <w:color w:val="auto"/>
        </w:rPr>
        <w:t>2</w:t>
      </w:r>
      <w:r>
        <w:rPr>
          <w:rFonts w:cs="Times New Roman" w:hint="eastAsia"/>
          <w:color w:val="auto"/>
        </w:rPr>
        <w:t>最高允许排放浓度；</w:t>
      </w:r>
      <w:r>
        <w:rPr>
          <w:rFonts w:cs="Times New Roman"/>
          <w:color w:val="auto"/>
        </w:rPr>
        <w:t>油气开采过程中</w:t>
      </w:r>
      <w:bookmarkStart w:id="204" w:name="OLE_LINK78"/>
      <w:r>
        <w:rPr>
          <w:rFonts w:cs="Times New Roman"/>
          <w:color w:val="auto"/>
        </w:rPr>
        <w:t>井场</w:t>
      </w:r>
      <w:r>
        <w:rPr>
          <w:rFonts w:ascii="宋体" w:hAnsi="宋体" w:hint="eastAsia"/>
          <w:color w:val="auto"/>
        </w:rPr>
        <w:t>厂界内</w:t>
      </w:r>
      <w:r>
        <w:rPr>
          <w:rFonts w:cs="Times New Roman"/>
          <w:color w:val="auto"/>
        </w:rPr>
        <w:t>无组织排放的非甲烷总烃</w:t>
      </w:r>
      <w:r>
        <w:rPr>
          <w:rFonts w:cs="Times New Roman" w:hint="eastAsia"/>
          <w:color w:val="auto"/>
        </w:rPr>
        <w:t>执行</w:t>
      </w:r>
      <w:bookmarkEnd w:id="204"/>
      <w:r>
        <w:rPr>
          <w:rFonts w:cs="Times New Roman"/>
          <w:color w:val="auto"/>
        </w:rPr>
        <w:t>《</w:t>
      </w:r>
      <w:bookmarkStart w:id="205" w:name="OLE_LINK73"/>
      <w:r>
        <w:rPr>
          <w:rFonts w:cs="Times New Roman"/>
          <w:color w:val="auto"/>
        </w:rPr>
        <w:t>挥发性有机物无组织排放控制标准</w:t>
      </w:r>
      <w:bookmarkEnd w:id="205"/>
      <w:r>
        <w:rPr>
          <w:rFonts w:cs="Times New Roman"/>
          <w:color w:val="auto"/>
        </w:rPr>
        <w:t>》（</w:t>
      </w:r>
      <w:r>
        <w:rPr>
          <w:rFonts w:cs="Times New Roman"/>
          <w:color w:val="auto"/>
        </w:rPr>
        <w:t>GB37822-2019</w:t>
      </w:r>
      <w:r>
        <w:rPr>
          <w:rFonts w:cs="Times New Roman"/>
          <w:color w:val="auto"/>
        </w:rPr>
        <w:t>）</w:t>
      </w:r>
      <w:bookmarkStart w:id="206" w:name="OLE_LINK83"/>
      <w:r>
        <w:rPr>
          <w:rFonts w:cs="Times New Roman"/>
          <w:color w:val="auto"/>
        </w:rPr>
        <w:t>表</w:t>
      </w:r>
      <w:r>
        <w:rPr>
          <w:rFonts w:cs="Times New Roman"/>
          <w:color w:val="auto"/>
        </w:rPr>
        <w:t>A.1</w:t>
      </w:r>
      <w:r>
        <w:rPr>
          <w:rFonts w:cs="Times New Roman"/>
          <w:color w:val="auto"/>
        </w:rPr>
        <w:t>厂区内</w:t>
      </w:r>
      <w:r>
        <w:rPr>
          <w:rFonts w:cs="Times New Roman" w:hint="eastAsia"/>
          <w:color w:val="auto"/>
        </w:rPr>
        <w:t>VOCs</w:t>
      </w:r>
      <w:r>
        <w:rPr>
          <w:rFonts w:cs="Times New Roman"/>
          <w:color w:val="auto"/>
        </w:rPr>
        <w:t>无组织排放限值</w:t>
      </w:r>
      <w:bookmarkEnd w:id="206"/>
      <w:r>
        <w:rPr>
          <w:rFonts w:cs="Times New Roman"/>
          <w:color w:val="auto"/>
        </w:rPr>
        <w:t>；井场</w:t>
      </w:r>
      <w:bookmarkStart w:id="207" w:name="OLE_LINK79"/>
      <w:r>
        <w:rPr>
          <w:rFonts w:ascii="宋体" w:hAnsi="宋体" w:hint="eastAsia"/>
          <w:color w:val="auto"/>
        </w:rPr>
        <w:t>厂界外</w:t>
      </w:r>
      <w:bookmarkEnd w:id="207"/>
      <w:r>
        <w:rPr>
          <w:rFonts w:cs="Times New Roman"/>
          <w:color w:val="auto"/>
        </w:rPr>
        <w:t>无组织排放的非甲烷总烃</w:t>
      </w:r>
      <w:r>
        <w:rPr>
          <w:rFonts w:cs="Times New Roman" w:hint="eastAsia"/>
          <w:color w:val="auto"/>
        </w:rPr>
        <w:t>执行</w:t>
      </w:r>
      <w:r>
        <w:rPr>
          <w:rFonts w:cs="Times New Roman"/>
          <w:color w:val="auto"/>
        </w:rPr>
        <w:t>《陆上石</w:t>
      </w:r>
      <w:r>
        <w:rPr>
          <w:rFonts w:cs="Times New Roman"/>
          <w:color w:val="auto"/>
        </w:rPr>
        <w:t>油天然气开采工业大气污染物排放标准》（</w:t>
      </w:r>
      <w:r>
        <w:rPr>
          <w:rFonts w:cs="Times New Roman"/>
          <w:color w:val="auto"/>
        </w:rPr>
        <w:t>GB39728-2020</w:t>
      </w:r>
      <w:r>
        <w:rPr>
          <w:rFonts w:cs="Times New Roman"/>
          <w:color w:val="auto"/>
        </w:rPr>
        <w:t>）</w:t>
      </w:r>
      <w:r>
        <w:rPr>
          <w:rFonts w:cs="Times New Roman"/>
          <w:color w:val="auto"/>
        </w:rPr>
        <w:t>企业边界污染物控制要求</w:t>
      </w:r>
      <w:r>
        <w:rPr>
          <w:rFonts w:cs="Times New Roman" w:hint="eastAsia"/>
          <w:color w:val="auto"/>
        </w:rPr>
        <w:t>；</w:t>
      </w:r>
      <w:r>
        <w:rPr>
          <w:rFonts w:cs="Times New Roman"/>
          <w:color w:val="auto"/>
        </w:rPr>
        <w:t>无组织排放</w:t>
      </w:r>
      <w:r>
        <w:rPr>
          <w:rFonts w:cs="Times New Roman" w:hint="eastAsia"/>
          <w:color w:val="auto"/>
        </w:rPr>
        <w:t>的硫化氢</w:t>
      </w:r>
      <w:r>
        <w:rPr>
          <w:rFonts w:cs="Times New Roman"/>
          <w:color w:val="auto"/>
        </w:rPr>
        <w:t>执行</w:t>
      </w:r>
      <w:bookmarkStart w:id="208" w:name="OLE_LINK86"/>
      <w:r>
        <w:rPr>
          <w:rFonts w:cs="Times New Roman"/>
          <w:color w:val="auto"/>
        </w:rPr>
        <w:t>《</w:t>
      </w:r>
      <w:bookmarkStart w:id="209" w:name="OLE_LINK84"/>
      <w:r>
        <w:rPr>
          <w:rFonts w:cs="Times New Roman"/>
          <w:color w:val="auto"/>
        </w:rPr>
        <w:t>恶臭污染物排放标准</w:t>
      </w:r>
      <w:bookmarkEnd w:id="209"/>
      <w:r>
        <w:rPr>
          <w:rFonts w:cs="Times New Roman"/>
          <w:color w:val="auto"/>
        </w:rPr>
        <w:t>》（</w:t>
      </w:r>
      <w:r>
        <w:rPr>
          <w:rFonts w:cs="Times New Roman"/>
          <w:color w:val="auto"/>
        </w:rPr>
        <w:t>GB14554-93</w:t>
      </w:r>
      <w:r>
        <w:rPr>
          <w:rFonts w:cs="Times New Roman"/>
          <w:color w:val="auto"/>
        </w:rPr>
        <w:t>）</w:t>
      </w:r>
      <w:bookmarkStart w:id="210" w:name="OLE_LINK85"/>
      <w:bookmarkEnd w:id="208"/>
      <w:r>
        <w:rPr>
          <w:rFonts w:cs="Times New Roman" w:hint="eastAsia"/>
          <w:color w:val="auto"/>
        </w:rPr>
        <w:t>表</w:t>
      </w:r>
      <w:r>
        <w:rPr>
          <w:rFonts w:cs="Times New Roman" w:hint="eastAsia"/>
          <w:color w:val="auto"/>
        </w:rPr>
        <w:t>1</w:t>
      </w:r>
      <w:r>
        <w:rPr>
          <w:rFonts w:cs="Times New Roman"/>
          <w:color w:val="auto"/>
        </w:rPr>
        <w:t>新</w:t>
      </w:r>
      <w:r>
        <w:rPr>
          <w:rFonts w:cs="Times New Roman" w:hint="eastAsia"/>
          <w:color w:val="auto"/>
        </w:rPr>
        <w:t>扩改</w:t>
      </w:r>
      <w:r>
        <w:rPr>
          <w:rFonts w:cs="Times New Roman"/>
          <w:color w:val="auto"/>
        </w:rPr>
        <w:t>建</w:t>
      </w:r>
      <w:r>
        <w:rPr>
          <w:rFonts w:cs="Times New Roman" w:hint="eastAsia"/>
          <w:color w:val="auto"/>
        </w:rPr>
        <w:t>项目</w:t>
      </w:r>
      <w:r>
        <w:rPr>
          <w:rFonts w:cs="Times New Roman"/>
          <w:color w:val="auto"/>
        </w:rPr>
        <w:t>二级标准</w:t>
      </w:r>
      <w:bookmarkEnd w:id="210"/>
      <w:r>
        <w:rPr>
          <w:rFonts w:cs="Times New Roman"/>
          <w:color w:val="auto"/>
        </w:rPr>
        <w:t>。具体标准限值要求见表</w:t>
      </w:r>
      <w:r>
        <w:rPr>
          <w:rFonts w:cs="Times New Roman"/>
          <w:color w:val="auto"/>
        </w:rPr>
        <w:t>2.</w:t>
      </w:r>
      <w:r>
        <w:rPr>
          <w:rFonts w:cs="Times New Roman" w:hint="eastAsia"/>
          <w:color w:val="auto"/>
        </w:rPr>
        <w:t>4</w:t>
      </w:r>
      <w:r>
        <w:rPr>
          <w:rFonts w:cs="Times New Roman"/>
          <w:color w:val="auto"/>
        </w:rPr>
        <w:t>-</w:t>
      </w:r>
      <w:r>
        <w:rPr>
          <w:rFonts w:cs="Times New Roman" w:hint="eastAsia"/>
          <w:color w:val="auto"/>
        </w:rPr>
        <w:t>7</w:t>
      </w:r>
      <w:r>
        <w:rPr>
          <w:rFonts w:cs="Times New Roman"/>
          <w:color w:val="auto"/>
        </w:rPr>
        <w:t>。</w:t>
      </w:r>
    </w:p>
    <w:p w:rsidR="00C645C9" w:rsidRDefault="00F955D9">
      <w:pPr>
        <w:widowControl w:val="0"/>
        <w:jc w:val="center"/>
        <w:rPr>
          <w:rFonts w:eastAsia="黑体" w:cs="Times New Roman"/>
          <w:bCs/>
          <w:spacing w:val="4"/>
          <w:sz w:val="21"/>
          <w:szCs w:val="21"/>
        </w:rPr>
      </w:pPr>
      <w:r>
        <w:rPr>
          <w:rFonts w:eastAsia="黑体" w:cs="Times New Roman"/>
          <w:bCs/>
          <w:spacing w:val="4"/>
          <w:sz w:val="21"/>
          <w:szCs w:val="21"/>
        </w:rPr>
        <w:t>表</w:t>
      </w:r>
      <w:r>
        <w:rPr>
          <w:rFonts w:eastAsia="黑体" w:cs="Times New Roman"/>
          <w:bCs/>
          <w:spacing w:val="4"/>
          <w:sz w:val="21"/>
          <w:szCs w:val="21"/>
        </w:rPr>
        <w:t>2.</w:t>
      </w:r>
      <w:r>
        <w:rPr>
          <w:rFonts w:eastAsia="黑体" w:cs="Times New Roman" w:hint="eastAsia"/>
          <w:bCs/>
          <w:spacing w:val="4"/>
          <w:sz w:val="21"/>
          <w:szCs w:val="21"/>
        </w:rPr>
        <w:t>4</w:t>
      </w:r>
      <w:r>
        <w:rPr>
          <w:rFonts w:eastAsia="黑体" w:cs="Times New Roman"/>
          <w:bCs/>
          <w:spacing w:val="4"/>
          <w:sz w:val="21"/>
          <w:szCs w:val="21"/>
        </w:rPr>
        <w:t>-</w:t>
      </w:r>
      <w:r>
        <w:rPr>
          <w:rFonts w:eastAsia="黑体" w:cs="Times New Roman" w:hint="eastAsia"/>
          <w:bCs/>
          <w:spacing w:val="4"/>
          <w:sz w:val="21"/>
          <w:szCs w:val="21"/>
        </w:rPr>
        <w:t>7</w:t>
      </w:r>
      <w:r>
        <w:rPr>
          <w:rFonts w:eastAsia="黑体" w:cs="Times New Roman"/>
          <w:bCs/>
          <w:spacing w:val="4"/>
          <w:sz w:val="21"/>
          <w:szCs w:val="21"/>
        </w:rPr>
        <w:t xml:space="preserve">   </w:t>
      </w:r>
      <w:r>
        <w:rPr>
          <w:rFonts w:eastAsia="黑体" w:cs="Times New Roman"/>
          <w:bCs/>
          <w:spacing w:val="4"/>
          <w:sz w:val="21"/>
          <w:szCs w:val="21"/>
        </w:rPr>
        <w:t>大气污染物排放标准值</w:t>
      </w:r>
      <w:r>
        <w:rPr>
          <w:rFonts w:eastAsia="黑体" w:cs="Times New Roman" w:hint="eastAsia"/>
          <w:bCs/>
          <w:spacing w:val="4"/>
          <w:sz w:val="21"/>
          <w:szCs w:val="21"/>
        </w:rPr>
        <w:t xml:space="preserve">  </w:t>
      </w:r>
      <w:r>
        <w:rPr>
          <w:rFonts w:eastAsia="黑体" w:cs="Times New Roman" w:hint="eastAsia"/>
          <w:bCs/>
          <w:spacing w:val="4"/>
          <w:sz w:val="21"/>
          <w:szCs w:val="21"/>
        </w:rPr>
        <w:t>单位：</w:t>
      </w:r>
      <w:r>
        <w:rPr>
          <w:rFonts w:cs="Times New Roman"/>
          <w:sz w:val="21"/>
          <w:szCs w:val="21"/>
        </w:rPr>
        <w:t>mg/m³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078"/>
        <w:gridCol w:w="2344"/>
        <w:gridCol w:w="1575"/>
        <w:gridCol w:w="2670"/>
      </w:tblGrid>
      <w:tr w:rsidR="00C645C9">
        <w:trPr>
          <w:trHeight w:val="139"/>
          <w:jc w:val="center"/>
        </w:trPr>
        <w:tc>
          <w:tcPr>
            <w:tcW w:w="854" w:type="dxa"/>
            <w:vAlign w:val="center"/>
          </w:tcPr>
          <w:p w:rsidR="00C645C9" w:rsidRDefault="00F955D9">
            <w:pPr>
              <w:snapToGrid w:val="0"/>
              <w:jc w:val="center"/>
              <w:rPr>
                <w:rFonts w:cs="Times New Roman"/>
                <w:sz w:val="21"/>
                <w:szCs w:val="21"/>
              </w:rPr>
            </w:pPr>
            <w:r>
              <w:rPr>
                <w:rFonts w:cs="Times New Roman"/>
                <w:sz w:val="21"/>
                <w:szCs w:val="21"/>
              </w:rPr>
              <w:t>时段</w:t>
            </w:r>
          </w:p>
        </w:tc>
        <w:tc>
          <w:tcPr>
            <w:tcW w:w="1078" w:type="dxa"/>
            <w:vAlign w:val="center"/>
          </w:tcPr>
          <w:p w:rsidR="00C645C9" w:rsidRDefault="00F955D9">
            <w:pPr>
              <w:snapToGrid w:val="0"/>
              <w:jc w:val="center"/>
              <w:rPr>
                <w:rFonts w:cs="Times New Roman"/>
                <w:sz w:val="21"/>
                <w:szCs w:val="21"/>
              </w:rPr>
            </w:pPr>
            <w:r>
              <w:rPr>
                <w:rFonts w:cs="Times New Roman"/>
                <w:sz w:val="21"/>
                <w:szCs w:val="21"/>
              </w:rPr>
              <w:t>污染源</w:t>
            </w: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污染物</w:t>
            </w:r>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最高允许</w:t>
            </w:r>
          </w:p>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排放浓度</w:t>
            </w:r>
          </w:p>
        </w:tc>
        <w:tc>
          <w:tcPr>
            <w:tcW w:w="2670"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标准来源</w:t>
            </w:r>
          </w:p>
        </w:tc>
      </w:tr>
      <w:tr w:rsidR="00C645C9">
        <w:trPr>
          <w:trHeight w:val="168"/>
          <w:jc w:val="center"/>
        </w:trPr>
        <w:tc>
          <w:tcPr>
            <w:tcW w:w="85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施工期</w:t>
            </w:r>
          </w:p>
        </w:tc>
        <w:tc>
          <w:tcPr>
            <w:tcW w:w="1078" w:type="dxa"/>
            <w:vAlign w:val="center"/>
          </w:tcPr>
          <w:p w:rsidR="00C645C9" w:rsidRDefault="00F955D9">
            <w:pPr>
              <w:pStyle w:val="afe"/>
              <w:widowControl w:val="0"/>
              <w:spacing w:line="240" w:lineRule="auto"/>
              <w:ind w:firstLineChars="0" w:firstLine="0"/>
              <w:rPr>
                <w:rFonts w:ascii="Times New Roman" w:hAnsi="Times New Roman"/>
                <w:sz w:val="21"/>
                <w:szCs w:val="21"/>
              </w:rPr>
            </w:pPr>
            <w:bookmarkStart w:id="211" w:name="OLE_LINK302"/>
            <w:r>
              <w:rPr>
                <w:rFonts w:ascii="Times New Roman" w:hAnsi="Times New Roman"/>
                <w:sz w:val="21"/>
                <w:szCs w:val="21"/>
              </w:rPr>
              <w:t>施工场地</w:t>
            </w:r>
            <w:bookmarkEnd w:id="211"/>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颗粒物</w:t>
            </w:r>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1.0</w:t>
            </w:r>
          </w:p>
        </w:tc>
        <w:tc>
          <w:tcPr>
            <w:tcW w:w="2670" w:type="dxa"/>
            <w:vAlign w:val="center"/>
          </w:tcPr>
          <w:p w:rsidR="00C645C9" w:rsidRDefault="00F955D9">
            <w:pPr>
              <w:pStyle w:val="afe"/>
              <w:widowControl w:val="0"/>
              <w:spacing w:line="240" w:lineRule="auto"/>
              <w:ind w:firstLineChars="0" w:firstLine="0"/>
              <w:jc w:val="both"/>
              <w:rPr>
                <w:rFonts w:ascii="Times New Roman" w:hAnsi="Times New Roman"/>
                <w:sz w:val="21"/>
                <w:szCs w:val="21"/>
              </w:rPr>
            </w:pPr>
            <w:bookmarkStart w:id="212" w:name="OLE_LINK77"/>
            <w:r>
              <w:rPr>
                <w:rFonts w:ascii="Times New Roman" w:hAnsi="Times New Roman"/>
                <w:sz w:val="21"/>
                <w:szCs w:val="21"/>
              </w:rPr>
              <w:t>《大气污染物综合排放标准》（</w:t>
            </w:r>
            <w:r>
              <w:rPr>
                <w:rFonts w:ascii="Times New Roman" w:hAnsi="Times New Roman"/>
                <w:sz w:val="21"/>
                <w:szCs w:val="21"/>
              </w:rPr>
              <w:t>GB16297-1996</w:t>
            </w:r>
            <w:r>
              <w:rPr>
                <w:rFonts w:ascii="Times New Roman" w:hAnsi="Times New Roman"/>
                <w:sz w:val="21"/>
                <w:szCs w:val="21"/>
              </w:rPr>
              <w:t>）表</w:t>
            </w:r>
            <w:r>
              <w:rPr>
                <w:rFonts w:ascii="Times New Roman" w:hAnsi="Times New Roman"/>
                <w:sz w:val="21"/>
                <w:szCs w:val="21"/>
              </w:rPr>
              <w:t>2</w:t>
            </w:r>
            <w:bookmarkEnd w:id="212"/>
            <w:r>
              <w:rPr>
                <w:rFonts w:ascii="Times New Roman" w:hAnsi="Times New Roman"/>
                <w:sz w:val="21"/>
                <w:szCs w:val="21"/>
              </w:rPr>
              <w:t>无组织排放监控浓度限值</w:t>
            </w:r>
          </w:p>
        </w:tc>
      </w:tr>
      <w:tr w:rsidR="00C645C9">
        <w:trPr>
          <w:trHeight w:val="168"/>
          <w:jc w:val="center"/>
        </w:trPr>
        <w:tc>
          <w:tcPr>
            <w:tcW w:w="854"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运营期</w:t>
            </w:r>
          </w:p>
        </w:tc>
        <w:tc>
          <w:tcPr>
            <w:tcW w:w="1078"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加热炉燃烧废气</w:t>
            </w: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颗粒物</w:t>
            </w:r>
            <w:bookmarkStart w:id="213" w:name="OLE_LINK87"/>
            <w:r>
              <w:rPr>
                <w:rFonts w:ascii="Times New Roman" w:hAnsi="Times New Roman" w:hint="eastAsia"/>
                <w:sz w:val="21"/>
                <w:szCs w:val="21"/>
              </w:rPr>
              <w:t>（烟囱或烟道）</w:t>
            </w:r>
            <w:bookmarkEnd w:id="213"/>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20</w:t>
            </w:r>
          </w:p>
        </w:tc>
        <w:tc>
          <w:tcPr>
            <w:tcW w:w="2670" w:type="dxa"/>
            <w:vMerge w:val="restart"/>
            <w:vAlign w:val="center"/>
          </w:tcPr>
          <w:p w:rsidR="00C645C9" w:rsidRDefault="00F955D9">
            <w:pPr>
              <w:pStyle w:val="afe"/>
              <w:widowControl w:val="0"/>
              <w:spacing w:line="240" w:lineRule="auto"/>
              <w:ind w:firstLineChars="0" w:firstLine="0"/>
              <w:jc w:val="both"/>
              <w:rPr>
                <w:rFonts w:ascii="Times New Roman" w:hAnsi="Times New Roman"/>
                <w:sz w:val="21"/>
                <w:szCs w:val="21"/>
              </w:rPr>
            </w:pPr>
            <w:r>
              <w:rPr>
                <w:rFonts w:ascii="Times New Roman" w:hAnsi="Times New Roman"/>
                <w:sz w:val="21"/>
                <w:szCs w:val="21"/>
              </w:rPr>
              <w:t>《锅炉大气污染物排放标准》（</w:t>
            </w:r>
            <w:r>
              <w:rPr>
                <w:rFonts w:ascii="Times New Roman" w:hAnsi="Times New Roman"/>
                <w:sz w:val="21"/>
                <w:szCs w:val="21"/>
              </w:rPr>
              <w:t>GB13271-2014</w:t>
            </w:r>
            <w:r>
              <w:rPr>
                <w:rFonts w:ascii="Times New Roman" w:hAnsi="Times New Roman"/>
                <w:sz w:val="21"/>
                <w:szCs w:val="21"/>
              </w:rPr>
              <w:t>）</w:t>
            </w:r>
            <w:r>
              <w:rPr>
                <w:rFonts w:ascii="Times New Roman" w:hAnsi="Times New Roman"/>
                <w:sz w:val="21"/>
                <w:szCs w:val="21"/>
              </w:rPr>
              <w:t>表</w:t>
            </w:r>
            <w:r>
              <w:rPr>
                <w:rFonts w:ascii="Times New Roman" w:hAnsi="Times New Roman"/>
                <w:sz w:val="21"/>
                <w:szCs w:val="21"/>
              </w:rPr>
              <w:t>2</w:t>
            </w:r>
            <w:r>
              <w:rPr>
                <w:rFonts w:ascii="Times New Roman" w:hAnsi="Times New Roman"/>
                <w:sz w:val="21"/>
                <w:szCs w:val="21"/>
              </w:rPr>
              <w:t>新建锅炉大气污染物排放浓度限值</w:t>
            </w:r>
            <w:r>
              <w:rPr>
                <w:rFonts w:ascii="Times New Roman" w:hAnsi="Times New Roman"/>
                <w:sz w:val="21"/>
                <w:szCs w:val="21"/>
              </w:rPr>
              <w:t>（</w:t>
            </w:r>
            <w:r>
              <w:rPr>
                <w:rFonts w:ascii="Times New Roman" w:hAnsi="Times New Roman"/>
                <w:sz w:val="21"/>
                <w:szCs w:val="21"/>
              </w:rPr>
              <w:t>燃气锅炉</w:t>
            </w:r>
            <w:r>
              <w:rPr>
                <w:rFonts w:ascii="Times New Roman" w:hAnsi="Times New Roman"/>
                <w:sz w:val="21"/>
                <w:szCs w:val="21"/>
              </w:rPr>
              <w:t>）</w:t>
            </w:r>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hint="eastAsia"/>
                <w:sz w:val="21"/>
                <w:szCs w:val="21"/>
              </w:rPr>
              <w:t>（烟囱或烟道）</w:t>
            </w:r>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50</w:t>
            </w:r>
          </w:p>
        </w:tc>
        <w:tc>
          <w:tcPr>
            <w:tcW w:w="2670" w:type="dxa"/>
            <w:vMerge/>
            <w:vAlign w:val="center"/>
          </w:tcPr>
          <w:p w:rsidR="00C645C9" w:rsidRDefault="00C645C9" w:rsidP="005718BB">
            <w:pPr>
              <w:pStyle w:val="afe"/>
              <w:widowControl w:val="0"/>
              <w:spacing w:line="240" w:lineRule="auto"/>
              <w:ind w:firstLine="420"/>
              <w:rPr>
                <w:rFonts w:ascii="Times New Roman" w:hAnsi="Times New Roman"/>
                <w:sz w:val="21"/>
                <w:szCs w:val="21"/>
              </w:rPr>
            </w:pPr>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bookmarkStart w:id="214" w:name="OLE_LINK74" w:colFirst="1" w:colLast="1"/>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NOx</w:t>
            </w:r>
            <w:r>
              <w:rPr>
                <w:rFonts w:ascii="Times New Roman" w:hAnsi="Times New Roman" w:hint="eastAsia"/>
                <w:sz w:val="21"/>
                <w:szCs w:val="21"/>
              </w:rPr>
              <w:t>（烟囱或烟道）</w:t>
            </w:r>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200</w:t>
            </w:r>
          </w:p>
        </w:tc>
        <w:tc>
          <w:tcPr>
            <w:tcW w:w="2670" w:type="dxa"/>
            <w:vMerge/>
            <w:vAlign w:val="center"/>
          </w:tcPr>
          <w:p w:rsidR="00C645C9" w:rsidRDefault="00C645C9" w:rsidP="005718BB">
            <w:pPr>
              <w:pStyle w:val="afe"/>
              <w:widowControl w:val="0"/>
              <w:spacing w:line="240" w:lineRule="auto"/>
              <w:ind w:firstLine="420"/>
              <w:rPr>
                <w:rFonts w:ascii="Times New Roman" w:hAnsi="Times New Roman"/>
                <w:sz w:val="21"/>
                <w:szCs w:val="21"/>
              </w:rPr>
            </w:pPr>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snapToGrid w:val="0"/>
              <w:jc w:val="center"/>
              <w:rPr>
                <w:rFonts w:cs="Times New Roman"/>
                <w:snapToGrid w:val="0"/>
                <w:sz w:val="21"/>
                <w:szCs w:val="21"/>
              </w:rPr>
            </w:pPr>
            <w:r>
              <w:rPr>
                <w:rFonts w:cs="Times New Roman"/>
                <w:sz w:val="21"/>
                <w:szCs w:val="21"/>
              </w:rPr>
              <w:t>烟气黑度</w:t>
            </w:r>
            <w:r>
              <w:rPr>
                <w:rFonts w:cs="Times New Roman" w:hint="eastAsia"/>
                <w:sz w:val="21"/>
                <w:szCs w:val="21"/>
              </w:rPr>
              <w:t>（烟囱</w:t>
            </w:r>
            <w:r>
              <w:rPr>
                <w:rFonts w:cs="Times New Roman" w:hint="eastAsia"/>
                <w:sz w:val="21"/>
                <w:szCs w:val="21"/>
              </w:rPr>
              <w:t>排放口</w:t>
            </w:r>
            <w:r>
              <w:rPr>
                <w:rFonts w:cs="Times New Roman" w:hint="eastAsia"/>
                <w:sz w:val="21"/>
                <w:szCs w:val="21"/>
              </w:rPr>
              <w:t>）</w:t>
            </w:r>
          </w:p>
        </w:tc>
        <w:tc>
          <w:tcPr>
            <w:tcW w:w="1575" w:type="dxa"/>
            <w:vAlign w:val="center"/>
          </w:tcPr>
          <w:p w:rsidR="00C645C9" w:rsidRDefault="00F955D9">
            <w:pPr>
              <w:snapToGrid w:val="0"/>
              <w:jc w:val="center"/>
              <w:rPr>
                <w:rFonts w:cs="Times New Roman"/>
                <w:snapToGrid w:val="0"/>
                <w:sz w:val="21"/>
                <w:szCs w:val="21"/>
              </w:rPr>
            </w:pPr>
            <w:r>
              <w:rPr>
                <w:rFonts w:cs="Times New Roman"/>
                <w:sz w:val="21"/>
                <w:szCs w:val="21"/>
              </w:rPr>
              <w:t>≤1</w:t>
            </w:r>
          </w:p>
        </w:tc>
        <w:tc>
          <w:tcPr>
            <w:tcW w:w="2670" w:type="dxa"/>
            <w:vMerge/>
            <w:vAlign w:val="center"/>
          </w:tcPr>
          <w:p w:rsidR="00C645C9" w:rsidRDefault="00C645C9" w:rsidP="005718BB">
            <w:pPr>
              <w:pStyle w:val="afe"/>
              <w:widowControl w:val="0"/>
              <w:spacing w:line="240" w:lineRule="auto"/>
              <w:ind w:firstLine="420"/>
              <w:rPr>
                <w:rFonts w:ascii="Times New Roman" w:hAnsi="Times New Roman"/>
                <w:sz w:val="21"/>
                <w:szCs w:val="21"/>
              </w:rPr>
            </w:pPr>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snapToGrid w:val="0"/>
              <w:jc w:val="center"/>
              <w:rPr>
                <w:rFonts w:cs="Times New Roman"/>
                <w:sz w:val="21"/>
                <w:szCs w:val="21"/>
              </w:rPr>
            </w:pPr>
            <w:r>
              <w:rPr>
                <w:rFonts w:cs="Times New Roman"/>
                <w:sz w:val="21"/>
                <w:szCs w:val="21"/>
              </w:rPr>
              <w:t>非甲烷总烃</w:t>
            </w:r>
          </w:p>
        </w:tc>
        <w:tc>
          <w:tcPr>
            <w:tcW w:w="1575" w:type="dxa"/>
            <w:vAlign w:val="center"/>
          </w:tcPr>
          <w:p w:rsidR="00C645C9" w:rsidRDefault="00F955D9">
            <w:pPr>
              <w:snapToGrid w:val="0"/>
              <w:jc w:val="center"/>
              <w:rPr>
                <w:rFonts w:cs="Times New Roman"/>
                <w:sz w:val="21"/>
                <w:szCs w:val="21"/>
              </w:rPr>
            </w:pPr>
            <w:r>
              <w:rPr>
                <w:rFonts w:cs="Times New Roman"/>
                <w:sz w:val="21"/>
                <w:szCs w:val="21"/>
              </w:rPr>
              <w:t>120</w:t>
            </w:r>
          </w:p>
        </w:tc>
        <w:tc>
          <w:tcPr>
            <w:tcW w:w="2670" w:type="dxa"/>
            <w:vAlign w:val="center"/>
          </w:tcPr>
          <w:p w:rsidR="00C645C9" w:rsidRDefault="00F955D9">
            <w:pPr>
              <w:pStyle w:val="afe"/>
              <w:widowControl w:val="0"/>
              <w:spacing w:line="240" w:lineRule="auto"/>
              <w:ind w:firstLineChars="0" w:firstLine="0"/>
              <w:jc w:val="both"/>
              <w:rPr>
                <w:rFonts w:ascii="Times New Roman" w:hAnsi="Times New Roman"/>
                <w:sz w:val="21"/>
                <w:szCs w:val="21"/>
              </w:rPr>
            </w:pPr>
            <w:bookmarkStart w:id="215" w:name="OLE_LINK75"/>
            <w:r>
              <w:rPr>
                <w:rFonts w:ascii="Times New Roman" w:hAnsi="Times New Roman"/>
                <w:sz w:val="21"/>
                <w:szCs w:val="21"/>
              </w:rPr>
              <w:t>《大气污染物综合排放标准》（</w:t>
            </w:r>
            <w:r>
              <w:rPr>
                <w:rFonts w:ascii="Times New Roman" w:hAnsi="Times New Roman"/>
                <w:sz w:val="21"/>
                <w:szCs w:val="21"/>
              </w:rPr>
              <w:t>GB16297-1996</w:t>
            </w:r>
            <w:r>
              <w:rPr>
                <w:rFonts w:ascii="Times New Roman" w:hAnsi="Times New Roman"/>
                <w:sz w:val="21"/>
                <w:szCs w:val="21"/>
              </w:rPr>
              <w:t>）表</w:t>
            </w:r>
            <w:r>
              <w:rPr>
                <w:rFonts w:ascii="Times New Roman" w:hAnsi="Times New Roman"/>
                <w:sz w:val="21"/>
                <w:szCs w:val="21"/>
              </w:rPr>
              <w:t>2</w:t>
            </w:r>
            <w:r>
              <w:rPr>
                <w:rFonts w:ascii="Times New Roman" w:hAnsi="Times New Roman"/>
                <w:sz w:val="21"/>
                <w:szCs w:val="21"/>
              </w:rPr>
              <w:t>最高允许排放浓度</w:t>
            </w:r>
            <w:bookmarkEnd w:id="215"/>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无组织</w:t>
            </w:r>
          </w:p>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排放</w:t>
            </w: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bookmarkStart w:id="216" w:name="OLE_LINK80"/>
            <w:r>
              <w:rPr>
                <w:rFonts w:ascii="Times New Roman" w:hAnsi="Times New Roman"/>
                <w:sz w:val="21"/>
                <w:szCs w:val="21"/>
              </w:rPr>
              <w:t>非甲烷总烃</w:t>
            </w:r>
            <w:r>
              <w:rPr>
                <w:rFonts w:ascii="Times New Roman" w:hAnsi="Times New Roman" w:hint="eastAsia"/>
                <w:sz w:val="21"/>
                <w:szCs w:val="21"/>
              </w:rPr>
              <w:t>（厂界外）</w:t>
            </w:r>
            <w:bookmarkEnd w:id="216"/>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4.0</w:t>
            </w:r>
          </w:p>
        </w:tc>
        <w:tc>
          <w:tcPr>
            <w:tcW w:w="2670" w:type="dxa"/>
            <w:vAlign w:val="center"/>
          </w:tcPr>
          <w:p w:rsidR="00C645C9" w:rsidRDefault="00F955D9">
            <w:pPr>
              <w:pStyle w:val="afe"/>
              <w:widowControl w:val="0"/>
              <w:spacing w:line="240" w:lineRule="auto"/>
              <w:ind w:firstLineChars="0" w:firstLine="0"/>
              <w:jc w:val="both"/>
              <w:rPr>
                <w:rFonts w:ascii="Times New Roman" w:hAnsi="Times New Roman"/>
                <w:sz w:val="21"/>
                <w:szCs w:val="21"/>
              </w:rPr>
            </w:pPr>
            <w:bookmarkStart w:id="217" w:name="OLE_LINK81"/>
            <w:r>
              <w:rPr>
                <w:rFonts w:ascii="Times New Roman" w:hAnsi="Times New Roman"/>
                <w:sz w:val="21"/>
                <w:szCs w:val="21"/>
              </w:rPr>
              <w:t>《</w:t>
            </w:r>
            <w:r>
              <w:rPr>
                <w:rFonts w:ascii="Times New Roman" w:hAnsi="Times New Roman"/>
                <w:sz w:val="21"/>
                <w:szCs w:val="21"/>
              </w:rPr>
              <w:t>陆上石油天然气开采工业大气污染物排放标准</w:t>
            </w:r>
            <w:r>
              <w:rPr>
                <w:rFonts w:ascii="Times New Roman" w:hAnsi="Times New Roman"/>
                <w:sz w:val="21"/>
                <w:szCs w:val="21"/>
              </w:rPr>
              <w:t>》（</w:t>
            </w:r>
            <w:r>
              <w:rPr>
                <w:rFonts w:ascii="Times New Roman" w:hAnsi="Times New Roman"/>
                <w:sz w:val="21"/>
                <w:szCs w:val="21"/>
              </w:rPr>
              <w:t>GB39728-2020</w:t>
            </w:r>
            <w:r>
              <w:rPr>
                <w:rFonts w:ascii="Times New Roman" w:hAnsi="Times New Roman"/>
                <w:sz w:val="21"/>
                <w:szCs w:val="21"/>
              </w:rPr>
              <w:t>）</w:t>
            </w:r>
            <w:bookmarkEnd w:id="217"/>
          </w:p>
        </w:tc>
      </w:tr>
      <w:bookmarkEnd w:id="214"/>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非甲烷总烃</w:t>
            </w:r>
            <w:r>
              <w:rPr>
                <w:rFonts w:ascii="Times New Roman" w:hAnsi="Times New Roman" w:hint="eastAsia"/>
                <w:sz w:val="21"/>
                <w:szCs w:val="21"/>
              </w:rPr>
              <w:t>（厂界</w:t>
            </w:r>
            <w:r>
              <w:rPr>
                <w:rFonts w:ascii="Times New Roman" w:hAnsi="Times New Roman" w:hint="eastAsia"/>
                <w:sz w:val="21"/>
                <w:szCs w:val="21"/>
              </w:rPr>
              <w:t>内</w:t>
            </w:r>
            <w:r>
              <w:rPr>
                <w:rFonts w:ascii="Times New Roman" w:hAnsi="Times New Roman" w:hint="eastAsia"/>
                <w:sz w:val="21"/>
                <w:szCs w:val="21"/>
              </w:rPr>
              <w:t>）</w:t>
            </w:r>
          </w:p>
        </w:tc>
        <w:tc>
          <w:tcPr>
            <w:tcW w:w="1575" w:type="dxa"/>
            <w:vAlign w:val="center"/>
          </w:tcPr>
          <w:p w:rsidR="00C645C9" w:rsidRDefault="00F955D9">
            <w:pPr>
              <w:snapToGrid w:val="0"/>
              <w:jc w:val="center"/>
              <w:rPr>
                <w:rFonts w:cs="Times New Roman"/>
                <w:sz w:val="21"/>
                <w:szCs w:val="21"/>
              </w:rPr>
            </w:pPr>
            <w:r>
              <w:rPr>
                <w:rFonts w:cs="Times New Roman"/>
                <w:sz w:val="21"/>
                <w:szCs w:val="21"/>
              </w:rPr>
              <w:t>10.0</w:t>
            </w:r>
            <w:r>
              <w:rPr>
                <w:rFonts w:cs="Times New Roman"/>
                <w:sz w:val="21"/>
                <w:szCs w:val="21"/>
              </w:rPr>
              <w:t>（监控点处</w:t>
            </w:r>
            <w:r>
              <w:rPr>
                <w:rFonts w:cs="Times New Roman"/>
                <w:sz w:val="21"/>
                <w:szCs w:val="21"/>
              </w:rPr>
              <w:t>1h</w:t>
            </w:r>
            <w:r>
              <w:rPr>
                <w:rFonts w:cs="Times New Roman"/>
                <w:sz w:val="21"/>
                <w:szCs w:val="21"/>
              </w:rPr>
              <w:t>平均浓度值）</w:t>
            </w:r>
            <w:r>
              <w:rPr>
                <w:rFonts w:cs="Times New Roman" w:hint="eastAsia"/>
                <w:sz w:val="21"/>
                <w:szCs w:val="21"/>
              </w:rPr>
              <w:t>；</w:t>
            </w:r>
            <w:r>
              <w:rPr>
                <w:rFonts w:cs="Times New Roman"/>
                <w:sz w:val="21"/>
                <w:szCs w:val="21"/>
              </w:rPr>
              <w:t>30.0</w:t>
            </w:r>
            <w:r>
              <w:rPr>
                <w:rFonts w:cs="Times New Roman"/>
                <w:sz w:val="21"/>
                <w:szCs w:val="21"/>
              </w:rPr>
              <w:t>（监控点处任意一次浓度值）</w:t>
            </w:r>
          </w:p>
        </w:tc>
        <w:tc>
          <w:tcPr>
            <w:tcW w:w="2670" w:type="dxa"/>
            <w:vAlign w:val="center"/>
          </w:tcPr>
          <w:p w:rsidR="00C645C9" w:rsidRDefault="00F955D9">
            <w:pPr>
              <w:pStyle w:val="aff"/>
              <w:snapToGrid w:val="0"/>
              <w:spacing w:line="240" w:lineRule="auto"/>
              <w:ind w:firstLineChars="0" w:firstLine="0"/>
              <w:rPr>
                <w:rFonts w:cs="Times New Roman"/>
                <w:color w:val="auto"/>
                <w:sz w:val="21"/>
                <w:szCs w:val="21"/>
              </w:rPr>
            </w:pPr>
            <w:r>
              <w:rPr>
                <w:rFonts w:cs="Times New Roman"/>
                <w:color w:val="auto"/>
                <w:sz w:val="21"/>
                <w:szCs w:val="21"/>
              </w:rPr>
              <w:t>《</w:t>
            </w:r>
            <w:bookmarkStart w:id="218" w:name="OLE_LINK82"/>
            <w:r>
              <w:rPr>
                <w:rFonts w:cs="Times New Roman"/>
                <w:color w:val="auto"/>
                <w:sz w:val="21"/>
                <w:szCs w:val="21"/>
              </w:rPr>
              <w:t>挥发性有机物无组织排放控制标准</w:t>
            </w:r>
            <w:bookmarkEnd w:id="218"/>
            <w:r>
              <w:rPr>
                <w:rFonts w:cs="Times New Roman"/>
                <w:color w:val="auto"/>
                <w:sz w:val="21"/>
                <w:szCs w:val="21"/>
              </w:rPr>
              <w:t>》（</w:t>
            </w:r>
            <w:r>
              <w:rPr>
                <w:rFonts w:cs="Times New Roman"/>
                <w:color w:val="auto"/>
                <w:sz w:val="21"/>
                <w:szCs w:val="21"/>
              </w:rPr>
              <w:t>GB37822-2019</w:t>
            </w:r>
            <w:r>
              <w:rPr>
                <w:rFonts w:cs="Times New Roman"/>
                <w:color w:val="auto"/>
                <w:sz w:val="21"/>
                <w:szCs w:val="21"/>
              </w:rPr>
              <w:t>）表</w:t>
            </w:r>
            <w:r>
              <w:rPr>
                <w:rFonts w:cs="Times New Roman"/>
                <w:color w:val="auto"/>
                <w:sz w:val="21"/>
                <w:szCs w:val="21"/>
              </w:rPr>
              <w:t>A.1</w:t>
            </w:r>
            <w:r>
              <w:rPr>
                <w:rFonts w:cs="Times New Roman"/>
                <w:color w:val="auto"/>
                <w:sz w:val="21"/>
                <w:szCs w:val="21"/>
              </w:rPr>
              <w:t>厂区内</w:t>
            </w:r>
            <w:r>
              <w:rPr>
                <w:rFonts w:cs="Times New Roman"/>
                <w:color w:val="auto"/>
                <w:sz w:val="21"/>
                <w:szCs w:val="21"/>
              </w:rPr>
              <w:t>VOCs</w:t>
            </w:r>
            <w:r>
              <w:rPr>
                <w:rFonts w:cs="Times New Roman"/>
                <w:color w:val="auto"/>
                <w:sz w:val="21"/>
                <w:szCs w:val="21"/>
              </w:rPr>
              <w:t>无组织排放限值</w:t>
            </w:r>
          </w:p>
        </w:tc>
      </w:tr>
      <w:tr w:rsidR="00C645C9">
        <w:trPr>
          <w:trHeight w:val="139"/>
          <w:jc w:val="center"/>
        </w:trPr>
        <w:tc>
          <w:tcPr>
            <w:tcW w:w="854"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1078" w:type="dxa"/>
            <w:vMerge/>
            <w:vAlign w:val="center"/>
          </w:tcPr>
          <w:p w:rsidR="00C645C9" w:rsidRDefault="00C645C9">
            <w:pPr>
              <w:pStyle w:val="afe"/>
              <w:widowControl w:val="0"/>
              <w:spacing w:line="240" w:lineRule="auto"/>
              <w:ind w:firstLineChars="0" w:firstLine="0"/>
              <w:rPr>
                <w:rFonts w:ascii="Times New Roman" w:hAnsi="Times New Roman"/>
                <w:sz w:val="21"/>
                <w:szCs w:val="21"/>
              </w:rPr>
            </w:pPr>
          </w:p>
        </w:tc>
        <w:tc>
          <w:tcPr>
            <w:tcW w:w="23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575"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0.06</w:t>
            </w:r>
          </w:p>
        </w:tc>
        <w:tc>
          <w:tcPr>
            <w:tcW w:w="2670" w:type="dxa"/>
            <w:vAlign w:val="center"/>
          </w:tcPr>
          <w:p w:rsidR="00C645C9" w:rsidRDefault="00F955D9">
            <w:pPr>
              <w:pStyle w:val="afe"/>
              <w:widowControl w:val="0"/>
              <w:spacing w:line="240" w:lineRule="auto"/>
              <w:ind w:firstLineChars="0" w:firstLine="0"/>
              <w:jc w:val="both"/>
              <w:rPr>
                <w:rFonts w:ascii="Times New Roman" w:hAnsi="Times New Roman"/>
                <w:sz w:val="21"/>
                <w:szCs w:val="21"/>
              </w:rPr>
            </w:pPr>
            <w:r>
              <w:rPr>
                <w:rFonts w:ascii="Times New Roman" w:hAnsi="Times New Roman"/>
                <w:sz w:val="21"/>
                <w:szCs w:val="21"/>
              </w:rPr>
              <w:t>《恶臭污染物排放标准》（</w:t>
            </w:r>
            <w:r>
              <w:rPr>
                <w:rFonts w:ascii="Times New Roman" w:hAnsi="Times New Roman"/>
                <w:sz w:val="21"/>
                <w:szCs w:val="21"/>
              </w:rPr>
              <w:t>GB14554-93</w:t>
            </w:r>
            <w:r>
              <w:rPr>
                <w:rFonts w:ascii="Times New Roman" w:hAnsi="Times New Roman"/>
                <w:sz w:val="21"/>
                <w:szCs w:val="21"/>
              </w:rPr>
              <w:t>）</w:t>
            </w:r>
            <w:r>
              <w:rPr>
                <w:rFonts w:ascii="Times New Roman" w:hAnsi="Times New Roman"/>
                <w:sz w:val="21"/>
                <w:szCs w:val="21"/>
              </w:rPr>
              <w:t>表</w:t>
            </w:r>
            <w:r>
              <w:rPr>
                <w:rFonts w:ascii="Times New Roman" w:hAnsi="Times New Roman"/>
                <w:sz w:val="21"/>
                <w:szCs w:val="21"/>
              </w:rPr>
              <w:t>1</w:t>
            </w:r>
            <w:r>
              <w:rPr>
                <w:rFonts w:ascii="Times New Roman" w:hAnsi="Times New Roman"/>
                <w:sz w:val="21"/>
                <w:szCs w:val="21"/>
              </w:rPr>
              <w:t>新扩改建项目二级标准</w:t>
            </w:r>
          </w:p>
        </w:tc>
      </w:tr>
    </w:tbl>
    <w:p w:rsidR="00C645C9" w:rsidRDefault="00F955D9">
      <w:pPr>
        <w:adjustRightInd w:val="0"/>
        <w:snapToGrid w:val="0"/>
        <w:spacing w:line="360" w:lineRule="auto"/>
        <w:ind w:firstLine="482"/>
        <w:rPr>
          <w:rFonts w:cs="Times New Roman"/>
        </w:rPr>
      </w:pPr>
      <w:r>
        <w:rPr>
          <w:rFonts w:cs="Times New Roman"/>
        </w:rPr>
        <w:t>（</w:t>
      </w:r>
      <w:r>
        <w:rPr>
          <w:rFonts w:cs="Times New Roman" w:hint="eastAsia"/>
        </w:rPr>
        <w:t>4</w:t>
      </w:r>
      <w:r>
        <w:rPr>
          <w:rFonts w:cs="Times New Roman"/>
        </w:rPr>
        <w:t>）</w:t>
      </w:r>
      <w:r>
        <w:rPr>
          <w:rFonts w:cs="Times New Roman"/>
        </w:rPr>
        <w:t>噪声</w:t>
      </w:r>
    </w:p>
    <w:p w:rsidR="00C645C9" w:rsidRDefault="00F955D9">
      <w:pPr>
        <w:adjustRightInd w:val="0"/>
        <w:snapToGrid w:val="0"/>
        <w:spacing w:line="360" w:lineRule="auto"/>
        <w:ind w:firstLine="482"/>
        <w:rPr>
          <w:rFonts w:cs="Times New Roman"/>
        </w:rPr>
      </w:pPr>
      <w:r>
        <w:rPr>
          <w:rFonts w:cs="Times New Roman"/>
        </w:rPr>
        <w:t>施工期</w:t>
      </w:r>
      <w:bookmarkStart w:id="219" w:name="OLE_LINK90"/>
      <w:r>
        <w:rPr>
          <w:rFonts w:cs="Times New Roman"/>
          <w:kern w:val="24"/>
        </w:rPr>
        <w:t>执行</w:t>
      </w:r>
      <w:bookmarkStart w:id="220" w:name="OLE_LINK92"/>
      <w:bookmarkEnd w:id="219"/>
      <w:r>
        <w:rPr>
          <w:rFonts w:cs="Times New Roman"/>
        </w:rPr>
        <w:t>《</w:t>
      </w:r>
      <w:bookmarkStart w:id="221" w:name="OLE_LINK88"/>
      <w:r>
        <w:rPr>
          <w:rFonts w:cs="Times New Roman"/>
        </w:rPr>
        <w:t>建筑施工场界环境噪声排放标准</w:t>
      </w:r>
      <w:bookmarkEnd w:id="221"/>
      <w:r>
        <w:rPr>
          <w:rFonts w:cs="Times New Roman"/>
        </w:rPr>
        <w:t>》（</w:t>
      </w:r>
      <w:r>
        <w:rPr>
          <w:rFonts w:cs="Times New Roman"/>
        </w:rPr>
        <w:t>GB12523-2011</w:t>
      </w:r>
      <w:r>
        <w:rPr>
          <w:rFonts w:cs="Times New Roman"/>
        </w:rPr>
        <w:t>）</w:t>
      </w:r>
      <w:bookmarkEnd w:id="220"/>
      <w:r>
        <w:rPr>
          <w:rFonts w:cs="Times New Roman"/>
        </w:rPr>
        <w:t>表</w:t>
      </w:r>
      <w:r>
        <w:rPr>
          <w:rFonts w:cs="Times New Roman"/>
        </w:rPr>
        <w:t>1</w:t>
      </w:r>
      <w:r>
        <w:rPr>
          <w:rFonts w:cs="Times New Roman"/>
        </w:rPr>
        <w:t>建筑施工场界环境噪声排放限值；运营期</w:t>
      </w:r>
      <w:r>
        <w:rPr>
          <w:rFonts w:cs="Times New Roman"/>
          <w:kern w:val="24"/>
        </w:rPr>
        <w:t>执行</w:t>
      </w:r>
      <w:bookmarkStart w:id="222" w:name="OLE_LINK93"/>
      <w:r>
        <w:rPr>
          <w:rFonts w:cs="Times New Roman"/>
        </w:rPr>
        <w:t>《</w:t>
      </w:r>
      <w:bookmarkStart w:id="223" w:name="OLE_LINK91"/>
      <w:r>
        <w:rPr>
          <w:rFonts w:cs="Times New Roman"/>
        </w:rPr>
        <w:t>工业企业厂界环境噪声排放标准</w:t>
      </w:r>
      <w:bookmarkEnd w:id="223"/>
      <w:r>
        <w:rPr>
          <w:rFonts w:cs="Times New Roman"/>
        </w:rPr>
        <w:t>》（</w:t>
      </w:r>
      <w:r>
        <w:rPr>
          <w:rFonts w:cs="Times New Roman"/>
        </w:rPr>
        <w:t>GB12348-2008</w:t>
      </w:r>
      <w:r>
        <w:rPr>
          <w:rFonts w:cs="Times New Roman"/>
        </w:rPr>
        <w:t>）</w:t>
      </w:r>
      <w:bookmarkEnd w:id="222"/>
      <w:r>
        <w:rPr>
          <w:rFonts w:cs="Times New Roman" w:hint="eastAsia"/>
        </w:rPr>
        <w:t>表</w:t>
      </w:r>
      <w:r>
        <w:rPr>
          <w:rFonts w:cs="Times New Roman" w:hint="eastAsia"/>
        </w:rPr>
        <w:t>1</w:t>
      </w:r>
      <w:r>
        <w:rPr>
          <w:rFonts w:cs="Times New Roman" w:hint="eastAsia"/>
        </w:rPr>
        <w:t>工业企业厂界环境噪声排放限值</w:t>
      </w:r>
      <w:r>
        <w:rPr>
          <w:rFonts w:cs="Times New Roman"/>
        </w:rPr>
        <w:t>2</w:t>
      </w:r>
      <w:r>
        <w:rPr>
          <w:rFonts w:cs="Times New Roman"/>
        </w:rPr>
        <w:t>类标准。环境噪声排放标准限值见表</w:t>
      </w:r>
      <w:r>
        <w:rPr>
          <w:rFonts w:cs="Times New Roman"/>
        </w:rPr>
        <w:t>2.</w:t>
      </w:r>
      <w:r>
        <w:rPr>
          <w:rFonts w:cs="Times New Roman" w:hint="eastAsia"/>
        </w:rPr>
        <w:t>4</w:t>
      </w:r>
      <w:r>
        <w:rPr>
          <w:rFonts w:cs="Times New Roman"/>
        </w:rPr>
        <w:t>-</w:t>
      </w:r>
      <w:r>
        <w:rPr>
          <w:rFonts w:cs="Times New Roman" w:hint="eastAsia"/>
        </w:rPr>
        <w:t>8</w:t>
      </w:r>
      <w:r>
        <w:rPr>
          <w:rFonts w:cs="Times New Roman"/>
        </w:rPr>
        <w:t>。</w:t>
      </w:r>
    </w:p>
    <w:p w:rsidR="00C645C9" w:rsidRDefault="00F955D9">
      <w:pPr>
        <w:pStyle w:val="aff0"/>
        <w:widowControl w:val="0"/>
        <w:spacing w:line="240" w:lineRule="auto"/>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2.</w:t>
      </w:r>
      <w:r>
        <w:rPr>
          <w:rFonts w:ascii="Times New Roman" w:hAnsi="Times New Roman" w:hint="eastAsia"/>
          <w:sz w:val="21"/>
          <w:szCs w:val="21"/>
        </w:rPr>
        <w:t>4</w:t>
      </w:r>
      <w:r>
        <w:rPr>
          <w:rFonts w:ascii="Times New Roman" w:hAnsi="Times New Roman"/>
          <w:sz w:val="21"/>
          <w:szCs w:val="21"/>
        </w:rPr>
        <w:t>-</w:t>
      </w:r>
      <w:r>
        <w:rPr>
          <w:rFonts w:ascii="Times New Roman" w:hAnsi="Times New Roman" w:hint="eastAsia"/>
          <w:sz w:val="21"/>
          <w:szCs w:val="21"/>
        </w:rPr>
        <w:t>8</w:t>
      </w:r>
      <w:r>
        <w:rPr>
          <w:rFonts w:ascii="Times New Roman" w:hAnsi="Times New Roman"/>
          <w:sz w:val="21"/>
          <w:szCs w:val="21"/>
        </w:rPr>
        <w:t xml:space="preserve">   </w:t>
      </w:r>
      <w:bookmarkStart w:id="224" w:name="OLE_LINK94"/>
      <w:r>
        <w:rPr>
          <w:rFonts w:ascii="Times New Roman" w:hAnsi="Times New Roman"/>
          <w:sz w:val="21"/>
          <w:szCs w:val="21"/>
        </w:rPr>
        <w:t>环境噪声排放标准</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21"/>
        <w:gridCol w:w="1398"/>
        <w:gridCol w:w="1399"/>
      </w:tblGrid>
      <w:tr w:rsidR="00C645C9">
        <w:trPr>
          <w:trHeight w:val="267"/>
        </w:trPr>
        <w:tc>
          <w:tcPr>
            <w:tcW w:w="2993" w:type="pct"/>
            <w:vMerge w:val="restar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标准来源</w:t>
            </w:r>
          </w:p>
        </w:tc>
        <w:tc>
          <w:tcPr>
            <w:tcW w:w="364" w:type="pct"/>
            <w:vMerge w:val="restart"/>
            <w:vAlign w:val="center"/>
          </w:tcPr>
          <w:p w:rsidR="00C645C9" w:rsidRDefault="00F955D9">
            <w:pPr>
              <w:pStyle w:val="afe"/>
              <w:widowControl w:val="0"/>
              <w:spacing w:line="240" w:lineRule="auto"/>
              <w:ind w:right="-105" w:firstLineChars="0" w:firstLine="0"/>
              <w:jc w:val="both"/>
              <w:rPr>
                <w:rFonts w:ascii="Times New Roman" w:hAnsi="Times New Roman"/>
                <w:sz w:val="21"/>
                <w:szCs w:val="21"/>
              </w:rPr>
            </w:pPr>
            <w:r>
              <w:rPr>
                <w:rFonts w:ascii="Times New Roman" w:hAnsi="Times New Roman"/>
                <w:sz w:val="21"/>
                <w:szCs w:val="21"/>
              </w:rPr>
              <w:t>类别</w:t>
            </w:r>
          </w:p>
        </w:tc>
        <w:tc>
          <w:tcPr>
            <w:tcW w:w="1641" w:type="pct"/>
            <w:gridSpan w:val="2"/>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噪声限值</w:t>
            </w:r>
            <w:r>
              <w:rPr>
                <w:rFonts w:ascii="Times New Roman" w:hAnsi="Times New Roman"/>
                <w:sz w:val="21"/>
                <w:szCs w:val="21"/>
              </w:rPr>
              <w:t>dB</w:t>
            </w:r>
            <w:r>
              <w:rPr>
                <w:rFonts w:ascii="Times New Roman" w:hAnsi="Times New Roman"/>
                <w:sz w:val="21"/>
                <w:szCs w:val="21"/>
              </w:rPr>
              <w:t>（</w:t>
            </w:r>
            <w:r>
              <w:rPr>
                <w:rFonts w:ascii="Times New Roman" w:hAnsi="Times New Roman"/>
                <w:sz w:val="21"/>
                <w:szCs w:val="21"/>
              </w:rPr>
              <w:t>A</w:t>
            </w:r>
            <w:r>
              <w:rPr>
                <w:rFonts w:ascii="Times New Roman" w:hAnsi="Times New Roman"/>
                <w:sz w:val="21"/>
                <w:szCs w:val="21"/>
              </w:rPr>
              <w:t>）</w:t>
            </w:r>
          </w:p>
        </w:tc>
      </w:tr>
      <w:tr w:rsidR="00C645C9">
        <w:trPr>
          <w:trHeight w:val="123"/>
        </w:trPr>
        <w:tc>
          <w:tcPr>
            <w:tcW w:w="2993" w:type="pct"/>
            <w:vMerge/>
            <w:vAlign w:val="center"/>
          </w:tcPr>
          <w:p w:rsidR="00C645C9" w:rsidRDefault="00C645C9" w:rsidP="005718BB">
            <w:pPr>
              <w:pStyle w:val="afe"/>
              <w:widowControl w:val="0"/>
              <w:spacing w:line="240" w:lineRule="auto"/>
              <w:ind w:left="-105" w:right="-105" w:firstLine="420"/>
              <w:rPr>
                <w:rFonts w:ascii="Times New Roman" w:hAnsi="Times New Roman"/>
                <w:sz w:val="21"/>
                <w:szCs w:val="21"/>
              </w:rPr>
            </w:pPr>
          </w:p>
        </w:tc>
        <w:tc>
          <w:tcPr>
            <w:tcW w:w="364" w:type="pct"/>
            <w:vMerge/>
            <w:vAlign w:val="center"/>
          </w:tcPr>
          <w:p w:rsidR="00C645C9" w:rsidRDefault="00C645C9" w:rsidP="005718BB">
            <w:pPr>
              <w:pStyle w:val="afe"/>
              <w:widowControl w:val="0"/>
              <w:spacing w:line="240" w:lineRule="auto"/>
              <w:ind w:left="-105" w:right="-105" w:firstLine="420"/>
              <w:rPr>
                <w:rFonts w:ascii="Times New Roman" w:hAnsi="Times New Roman"/>
                <w:sz w:val="21"/>
                <w:szCs w:val="21"/>
              </w:rPr>
            </w:pP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昼间</w:t>
            </w: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夜间</w:t>
            </w:r>
          </w:p>
        </w:tc>
      </w:tr>
      <w:tr w:rsidR="00C645C9">
        <w:trPr>
          <w:trHeight w:val="269"/>
        </w:trPr>
        <w:tc>
          <w:tcPr>
            <w:tcW w:w="2993"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《建筑施工场界环境噪声排放标准》（</w:t>
            </w:r>
            <w:r>
              <w:rPr>
                <w:rFonts w:ascii="Times New Roman" w:hAnsi="Times New Roman"/>
                <w:sz w:val="21"/>
                <w:szCs w:val="21"/>
              </w:rPr>
              <w:t>GB12523-2011</w:t>
            </w:r>
            <w:r>
              <w:rPr>
                <w:rFonts w:ascii="Times New Roman" w:hAnsi="Times New Roman"/>
                <w:sz w:val="21"/>
                <w:szCs w:val="21"/>
              </w:rPr>
              <w:t>）</w:t>
            </w:r>
          </w:p>
        </w:tc>
        <w:tc>
          <w:tcPr>
            <w:tcW w:w="364"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w:t>
            </w: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70</w:t>
            </w: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55</w:t>
            </w:r>
          </w:p>
        </w:tc>
      </w:tr>
      <w:tr w:rsidR="00C645C9">
        <w:trPr>
          <w:trHeight w:val="90"/>
        </w:trPr>
        <w:tc>
          <w:tcPr>
            <w:tcW w:w="2993"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《工业企业厂界环境噪声排放标准》（</w:t>
            </w:r>
            <w:r>
              <w:rPr>
                <w:rFonts w:ascii="Times New Roman" w:hAnsi="Times New Roman"/>
                <w:sz w:val="21"/>
                <w:szCs w:val="21"/>
              </w:rPr>
              <w:t>GB12348-2008</w:t>
            </w:r>
            <w:r>
              <w:rPr>
                <w:rFonts w:ascii="Times New Roman" w:hAnsi="Times New Roman"/>
                <w:sz w:val="21"/>
                <w:szCs w:val="21"/>
              </w:rPr>
              <w:t>）</w:t>
            </w:r>
          </w:p>
        </w:tc>
        <w:tc>
          <w:tcPr>
            <w:tcW w:w="364"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类</w:t>
            </w: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60</w:t>
            </w:r>
          </w:p>
        </w:tc>
        <w:tc>
          <w:tcPr>
            <w:tcW w:w="820" w:type="pct"/>
            <w:vAlign w:val="center"/>
          </w:tcPr>
          <w:p w:rsidR="00C645C9" w:rsidRDefault="00F955D9">
            <w:pPr>
              <w:pStyle w:val="afe"/>
              <w:widowControl w:val="0"/>
              <w:spacing w:line="240" w:lineRule="auto"/>
              <w:ind w:right="-105" w:firstLineChars="0" w:firstLine="0"/>
              <w:rPr>
                <w:rFonts w:ascii="Times New Roman" w:hAnsi="Times New Roman"/>
                <w:sz w:val="21"/>
                <w:szCs w:val="21"/>
              </w:rPr>
            </w:pPr>
            <w:r>
              <w:rPr>
                <w:rFonts w:ascii="Times New Roman" w:hAnsi="Times New Roman"/>
                <w:sz w:val="21"/>
                <w:szCs w:val="21"/>
              </w:rPr>
              <w:t>50</w:t>
            </w:r>
          </w:p>
        </w:tc>
      </w:tr>
    </w:tbl>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rPr>
        <w:t>5</w:t>
      </w:r>
      <w:r>
        <w:rPr>
          <w:rFonts w:cs="Times New Roman"/>
        </w:rPr>
        <w:t>）</w:t>
      </w:r>
      <w:r>
        <w:rPr>
          <w:rFonts w:cs="Times New Roman"/>
        </w:rPr>
        <w:t>重大危险源识别标准</w:t>
      </w:r>
    </w:p>
    <w:p w:rsidR="00C645C9" w:rsidRDefault="00F955D9">
      <w:pPr>
        <w:adjustRightInd w:val="0"/>
        <w:snapToGrid w:val="0"/>
        <w:spacing w:line="360" w:lineRule="auto"/>
        <w:ind w:firstLineChars="200" w:firstLine="480"/>
        <w:rPr>
          <w:rFonts w:cs="Times New Roman"/>
        </w:rPr>
      </w:pPr>
      <w:r>
        <w:rPr>
          <w:rFonts w:cs="Times New Roman"/>
        </w:rPr>
        <w:t>本</w:t>
      </w:r>
      <w:r>
        <w:rPr>
          <w:rFonts w:cs="Times New Roman" w:hint="eastAsia"/>
        </w:rPr>
        <w:t>工程</w:t>
      </w:r>
      <w:r>
        <w:rPr>
          <w:rFonts w:cs="Times New Roman"/>
        </w:rPr>
        <w:t>涉及危险物质主要是</w:t>
      </w:r>
      <w:r>
        <w:rPr>
          <w:rFonts w:cs="Times New Roman" w:hint="eastAsia"/>
        </w:rPr>
        <w:t>天然气</w:t>
      </w:r>
      <w:r>
        <w:rPr>
          <w:rFonts w:cs="Times New Roman"/>
        </w:rPr>
        <w:t>、</w:t>
      </w:r>
      <w:r>
        <w:rPr>
          <w:rFonts w:cs="Times New Roman" w:hint="eastAsia"/>
        </w:rPr>
        <w:t>凝析油</w:t>
      </w:r>
      <w:r>
        <w:rPr>
          <w:rFonts w:cs="Times New Roman"/>
        </w:rPr>
        <w:t>、硫化氢，其具体风险性执行《危险化学品重大危险源辨识》（</w:t>
      </w:r>
      <w:r>
        <w:rPr>
          <w:rFonts w:cs="Times New Roman"/>
        </w:rPr>
        <w:t>GB18218-2018</w:t>
      </w:r>
      <w:r>
        <w:rPr>
          <w:rFonts w:cs="Times New Roman"/>
        </w:rPr>
        <w:t>）相关标准</w:t>
      </w:r>
      <w:r>
        <w:rPr>
          <w:rFonts w:cs="Times New Roman"/>
        </w:rPr>
        <w:t>。</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225" w:name="_Toc227650568"/>
      <w:bookmarkStart w:id="226" w:name="_Toc161551976"/>
      <w:bookmarkStart w:id="227" w:name="_Toc353966729"/>
      <w:bookmarkStart w:id="228" w:name="_Toc146540977"/>
      <w:bookmarkStart w:id="229" w:name="_Toc255293762"/>
      <w:bookmarkStart w:id="230" w:name="_Toc508291875"/>
      <w:bookmarkStart w:id="231" w:name="_Toc361761821"/>
      <w:bookmarkStart w:id="232" w:name="_Toc93507159"/>
      <w:bookmarkStart w:id="233" w:name="_Toc68025007"/>
      <w:bookmarkStart w:id="234" w:name="_Toc149456020"/>
      <w:bookmarkStart w:id="235" w:name="_Toc297590771"/>
      <w:bookmarkStart w:id="236" w:name="_Toc374724173"/>
      <w:bookmarkStart w:id="237" w:name="_Toc280954902"/>
      <w:bookmarkStart w:id="238" w:name="_Toc19227"/>
      <w:bookmarkStart w:id="239" w:name="_Toc280954979"/>
      <w:bookmarkStart w:id="240" w:name="_Toc297590924"/>
      <w:bookmarkStart w:id="241" w:name="_Toc32674"/>
      <w:bookmarkStart w:id="242" w:name="_Hlk48603730"/>
      <w:bookmarkStart w:id="243" w:name="OLE_LINK159"/>
      <w:r>
        <w:rPr>
          <w:rFonts w:ascii="Times New Roman" w:hAnsi="Times New Roman" w:cs="Times New Roman"/>
          <w:color w:val="auto"/>
          <w:lang w:eastAsia="zh-CN"/>
        </w:rPr>
        <w:t>2.</w:t>
      </w:r>
      <w:r>
        <w:rPr>
          <w:rFonts w:ascii="Times New Roman" w:hAnsi="Times New Roman" w:cs="Times New Roman" w:hint="eastAsia"/>
          <w:color w:val="auto"/>
          <w:lang w:eastAsia="zh-CN"/>
        </w:rPr>
        <w:t>5</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Fonts w:ascii="Times New Roman" w:hAnsi="Times New Roman" w:cs="Times New Roman"/>
          <w:color w:val="auto"/>
          <w:lang w:eastAsia="zh-CN"/>
        </w:rPr>
        <w:t>评价工作等级和评价范围</w:t>
      </w:r>
      <w:bookmarkEnd w:id="241"/>
    </w:p>
    <w:p w:rsidR="00C645C9" w:rsidRDefault="00F955D9">
      <w:pPr>
        <w:pStyle w:val="32"/>
        <w:adjustRightInd w:val="0"/>
        <w:snapToGrid w:val="0"/>
        <w:spacing w:before="0" w:after="0"/>
        <w:rPr>
          <w:color w:val="auto"/>
          <w:lang w:eastAsia="zh-CN"/>
        </w:rPr>
      </w:pPr>
      <w:bookmarkStart w:id="244" w:name="_Hlk68964072"/>
      <w:bookmarkStart w:id="245" w:name="_Hlk69832293"/>
      <w:bookmarkStart w:id="246" w:name="_Hlk69381725"/>
      <w:bookmarkEnd w:id="242"/>
      <w:r>
        <w:rPr>
          <w:color w:val="auto"/>
          <w:lang w:eastAsia="zh-CN"/>
        </w:rPr>
        <w:t>2.</w:t>
      </w:r>
      <w:r>
        <w:rPr>
          <w:rFonts w:hint="eastAsia"/>
          <w:color w:val="auto"/>
          <w:lang w:eastAsia="zh-CN"/>
        </w:rPr>
        <w:t>5.1</w:t>
      </w:r>
      <w:r>
        <w:rPr>
          <w:color w:val="auto"/>
          <w:lang w:eastAsia="zh-CN"/>
        </w:rPr>
        <w:t>生态</w:t>
      </w:r>
      <w:r>
        <w:rPr>
          <w:rFonts w:hint="eastAsia"/>
          <w:color w:val="auto"/>
          <w:lang w:eastAsia="zh-CN"/>
        </w:rPr>
        <w:t>环境</w:t>
      </w:r>
      <w:r>
        <w:rPr>
          <w:color w:val="auto"/>
          <w:lang w:eastAsia="zh-CN"/>
        </w:rPr>
        <w:t>影响评价等级和评价范围</w:t>
      </w:r>
    </w:p>
    <w:p w:rsidR="00C645C9" w:rsidRDefault="00F955D9">
      <w:pPr>
        <w:adjustRightInd w:val="0"/>
        <w:snapToGrid w:val="0"/>
        <w:spacing w:line="360" w:lineRule="auto"/>
        <w:ind w:firstLine="480"/>
        <w:jc w:val="both"/>
        <w:rPr>
          <w:rFonts w:cs="Times New Roman"/>
        </w:rPr>
      </w:pPr>
      <w:bookmarkStart w:id="247" w:name="OLE_LINK123"/>
      <w:bookmarkEnd w:id="244"/>
      <w:bookmarkEnd w:id="245"/>
      <w:r>
        <w:rPr>
          <w:rFonts w:cs="Times New Roman"/>
        </w:rPr>
        <w:t>（</w:t>
      </w:r>
      <w:r>
        <w:rPr>
          <w:rFonts w:cs="Times New Roman"/>
        </w:rPr>
        <w:t>1</w:t>
      </w:r>
      <w:r>
        <w:rPr>
          <w:rFonts w:cs="Times New Roman"/>
        </w:rPr>
        <w:t>）评价等级</w:t>
      </w:r>
    </w:p>
    <w:bookmarkEnd w:id="247"/>
    <w:p w:rsidR="00C645C9" w:rsidRDefault="00F955D9">
      <w:pPr>
        <w:wordWrap w:val="0"/>
        <w:snapToGrid w:val="0"/>
        <w:spacing w:line="360" w:lineRule="auto"/>
        <w:ind w:firstLineChars="200" w:firstLine="480"/>
        <w:jc w:val="both"/>
        <w:rPr>
          <w:rFonts w:cs="Times New Roman"/>
        </w:rPr>
      </w:pPr>
      <w:r>
        <w:rPr>
          <w:rFonts w:cs="Times New Roman"/>
        </w:rPr>
        <w:t>根据《</w:t>
      </w:r>
      <w:bookmarkStart w:id="248" w:name="OLE_LINK119"/>
      <w:r>
        <w:rPr>
          <w:rFonts w:cs="Times New Roman"/>
        </w:rPr>
        <w:t>环境影响评价技术导则</w:t>
      </w:r>
      <w:r>
        <w:rPr>
          <w:rFonts w:cs="Times New Roman"/>
        </w:rPr>
        <w:t xml:space="preserve"> </w:t>
      </w:r>
      <w:r>
        <w:rPr>
          <w:rFonts w:cs="Times New Roman"/>
        </w:rPr>
        <w:t>生态影响</w:t>
      </w:r>
      <w:bookmarkEnd w:id="248"/>
      <w:r>
        <w:rPr>
          <w:rFonts w:cs="Times New Roman"/>
        </w:rPr>
        <w:t>》（</w:t>
      </w:r>
      <w:r>
        <w:rPr>
          <w:rFonts w:cs="Times New Roman"/>
        </w:rPr>
        <w:t>HJ19-2022</w:t>
      </w:r>
      <w:r>
        <w:rPr>
          <w:rFonts w:cs="Times New Roman"/>
        </w:rPr>
        <w:t>）</w:t>
      </w:r>
      <w:r>
        <w:rPr>
          <w:rFonts w:cs="Times New Roman" w:hint="eastAsia"/>
        </w:rPr>
        <w:t>，</w:t>
      </w:r>
      <w:r>
        <w:rPr>
          <w:rFonts w:cs="Times New Roman"/>
        </w:rPr>
        <w:t>评价区域内不涉及</w:t>
      </w:r>
      <w:r>
        <w:rPr>
          <w:rFonts w:cs="Times New Roman"/>
        </w:rPr>
        <w:t>依法划定各类自然保护地和生态保护红线</w:t>
      </w:r>
      <w:r>
        <w:rPr>
          <w:rFonts w:cs="Times New Roman"/>
        </w:rPr>
        <w:t>。</w:t>
      </w:r>
      <w:bookmarkStart w:id="249" w:name="OLE_LINK761"/>
      <w:r>
        <w:rPr>
          <w:rFonts w:cs="Times New Roman" w:hint="eastAsia"/>
        </w:rPr>
        <w:t>本工程</w:t>
      </w:r>
      <w:r>
        <w:rPr>
          <w:rFonts w:cs="Times New Roman"/>
        </w:rPr>
        <w:t>新增</w:t>
      </w:r>
      <w:bookmarkStart w:id="250" w:name="OLE_LINK1274"/>
      <w:r>
        <w:rPr>
          <w:rFonts w:cs="Times New Roman"/>
        </w:rPr>
        <w:t>占地面积</w:t>
      </w:r>
      <w:bookmarkEnd w:id="250"/>
      <w:r>
        <w:rPr>
          <w:rFonts w:cs="Times New Roman" w:hint="eastAsia"/>
        </w:rPr>
        <w:t>4.09</w:t>
      </w:r>
      <w:r>
        <w:rPr>
          <w:rFonts w:cs="Times New Roman"/>
        </w:rPr>
        <w:t>hm</w:t>
      </w:r>
      <w:r>
        <w:rPr>
          <w:rFonts w:cs="Times New Roman"/>
          <w:vertAlign w:val="superscript"/>
        </w:rPr>
        <w:t>2</w:t>
      </w:r>
      <w:r>
        <w:rPr>
          <w:rFonts w:cs="Times New Roman"/>
        </w:rPr>
        <w:t>，</w:t>
      </w:r>
      <w:r>
        <w:rPr>
          <w:rFonts w:cs="Times New Roman" w:hint="eastAsia"/>
        </w:rPr>
        <w:t>其中</w:t>
      </w:r>
      <w:bookmarkStart w:id="251" w:name="OLE_LINK1372"/>
      <w:r>
        <w:rPr>
          <w:rFonts w:cs="Times New Roman"/>
        </w:rPr>
        <w:t>永久</w:t>
      </w:r>
      <w:r>
        <w:rPr>
          <w:rFonts w:cs="Times New Roman" w:hint="eastAsia"/>
        </w:rPr>
        <w:t>占地</w:t>
      </w:r>
      <w:bookmarkEnd w:id="251"/>
      <w:r>
        <w:rPr>
          <w:rFonts w:cs="Times New Roman" w:hint="eastAsia"/>
        </w:rPr>
        <w:t>为</w:t>
      </w:r>
      <w:r>
        <w:rPr>
          <w:rFonts w:cs="Times New Roman" w:hint="eastAsia"/>
        </w:rPr>
        <w:t>3.43hm</w:t>
      </w:r>
      <w:r>
        <w:rPr>
          <w:rFonts w:cs="Times New Roman" w:hint="eastAsia"/>
          <w:vertAlign w:val="superscript"/>
        </w:rPr>
        <w:t>2</w:t>
      </w:r>
      <w:r>
        <w:rPr>
          <w:rFonts w:cs="Times New Roman"/>
        </w:rPr>
        <w:t>，</w:t>
      </w:r>
      <w:bookmarkStart w:id="252" w:name="OLE_LINK1275"/>
      <w:r>
        <w:rPr>
          <w:rFonts w:cs="Times New Roman" w:hint="eastAsia"/>
        </w:rPr>
        <w:t>临时占地</w:t>
      </w:r>
      <w:bookmarkEnd w:id="252"/>
      <w:r>
        <w:rPr>
          <w:rFonts w:cs="Times New Roman" w:hint="eastAsia"/>
        </w:rPr>
        <w:t>为</w:t>
      </w:r>
      <w:bookmarkStart w:id="253" w:name="OLE_LINK1277"/>
      <w:bookmarkStart w:id="254" w:name="OLE_LINK1133"/>
      <w:r>
        <w:rPr>
          <w:rFonts w:cs="Times New Roman" w:hint="eastAsia"/>
        </w:rPr>
        <w:t>0.6</w:t>
      </w:r>
      <w:bookmarkEnd w:id="253"/>
      <w:r>
        <w:rPr>
          <w:rFonts w:cs="Times New Roman" w:hint="eastAsia"/>
        </w:rPr>
        <w:t>6</w:t>
      </w:r>
      <w:bookmarkEnd w:id="254"/>
      <w:r>
        <w:rPr>
          <w:rFonts w:cs="Times New Roman" w:hint="eastAsia"/>
        </w:rPr>
        <w:t>hm</w:t>
      </w:r>
      <w:r>
        <w:rPr>
          <w:rFonts w:cs="Times New Roman" w:hint="eastAsia"/>
          <w:vertAlign w:val="superscript"/>
        </w:rPr>
        <w:t>2</w:t>
      </w:r>
      <w:r>
        <w:rPr>
          <w:rFonts w:cs="Times New Roman" w:hint="eastAsia"/>
        </w:rPr>
        <w:t>，</w:t>
      </w:r>
      <w:bookmarkEnd w:id="249"/>
      <w:r>
        <w:rPr>
          <w:rFonts w:cs="Times New Roman"/>
        </w:rPr>
        <w:t>占地面积＜</w:t>
      </w:r>
      <w:r>
        <w:rPr>
          <w:rFonts w:cs="Times New Roman"/>
        </w:rPr>
        <w:t>20km</w:t>
      </w:r>
      <w:r>
        <w:rPr>
          <w:rFonts w:cs="Times New Roman"/>
          <w:vertAlign w:val="superscript"/>
        </w:rPr>
        <w:t>2</w:t>
      </w:r>
      <w:r>
        <w:rPr>
          <w:rFonts w:hint="eastAsia"/>
        </w:rPr>
        <w:t>。</w:t>
      </w:r>
    </w:p>
    <w:p w:rsidR="00C645C9" w:rsidRDefault="00F955D9">
      <w:pPr>
        <w:adjustRightInd w:val="0"/>
        <w:snapToGrid w:val="0"/>
        <w:spacing w:line="360" w:lineRule="auto"/>
        <w:ind w:firstLine="480"/>
        <w:jc w:val="both"/>
        <w:rPr>
          <w:rFonts w:cs="Times New Roman"/>
        </w:rPr>
      </w:pPr>
      <w:r>
        <w:rPr>
          <w:rFonts w:cs="Times New Roman"/>
        </w:rPr>
        <w:t>根据《环境影响评价技术导则</w:t>
      </w:r>
      <w:r>
        <w:rPr>
          <w:rFonts w:cs="Times New Roman" w:hint="eastAsia"/>
        </w:rPr>
        <w:t xml:space="preserve"> </w:t>
      </w:r>
      <w:r>
        <w:rPr>
          <w:rFonts w:cs="Times New Roman"/>
        </w:rPr>
        <w:t>生态影响》（</w:t>
      </w:r>
      <w:r>
        <w:rPr>
          <w:rFonts w:cs="Times New Roman"/>
        </w:rPr>
        <w:t>HJ19-2022</w:t>
      </w:r>
      <w:r>
        <w:rPr>
          <w:rFonts w:cs="Times New Roman"/>
        </w:rPr>
        <w:t>）的生态评价等级判定条件，</w:t>
      </w:r>
      <w:r>
        <w:rPr>
          <w:rFonts w:cs="Times New Roman"/>
        </w:rPr>
        <w:t>本</w:t>
      </w:r>
      <w:r>
        <w:rPr>
          <w:rFonts w:cs="Times New Roman" w:hint="eastAsia"/>
        </w:rPr>
        <w:t>工程</w:t>
      </w:r>
      <w:r>
        <w:rPr>
          <w:rFonts w:cs="Times New Roman"/>
        </w:rPr>
        <w:t>生态环境影响评价工作等级确定为</w:t>
      </w:r>
      <w:r>
        <w:rPr>
          <w:rFonts w:cs="Times New Roman" w:hint="eastAsia"/>
        </w:rPr>
        <w:t>三</w:t>
      </w:r>
      <w:r>
        <w:rPr>
          <w:rFonts w:cs="Times New Roman"/>
        </w:rPr>
        <w:t>级。生态评价等级判定过程</w:t>
      </w:r>
      <w:r>
        <w:rPr>
          <w:rFonts w:cs="Times New Roman"/>
        </w:rPr>
        <w:t>，</w:t>
      </w:r>
      <w:r>
        <w:rPr>
          <w:rFonts w:cs="Times New Roman"/>
        </w:rPr>
        <w:t>见</w:t>
      </w:r>
      <w:r>
        <w:rPr>
          <w:rFonts w:cs="Times New Roman"/>
        </w:rPr>
        <w:t>表</w:t>
      </w:r>
      <w:r>
        <w:rPr>
          <w:rFonts w:cs="Times New Roman"/>
        </w:rPr>
        <w:t>2.</w:t>
      </w:r>
      <w:r>
        <w:rPr>
          <w:rFonts w:cs="Times New Roman" w:hint="eastAsia"/>
        </w:rPr>
        <w:t>5-1</w:t>
      </w:r>
      <w:r>
        <w:rPr>
          <w:rFonts w:cs="Times New Roman"/>
        </w:rPr>
        <w:t>。</w:t>
      </w:r>
    </w:p>
    <w:p w:rsidR="00C645C9" w:rsidRDefault="00F955D9">
      <w:pPr>
        <w:pStyle w:val="af9"/>
        <w:adjustRightInd w:val="0"/>
        <w:snapToGrid w:val="0"/>
        <w:spacing w:line="240" w:lineRule="auto"/>
        <w:rPr>
          <w:rFonts w:eastAsia="黑体"/>
          <w:b w:val="0"/>
          <w:bCs/>
        </w:rPr>
      </w:pPr>
      <w:bookmarkStart w:id="255" w:name="OLE_LINK138"/>
      <w:r>
        <w:rPr>
          <w:rFonts w:eastAsia="黑体"/>
          <w:b w:val="0"/>
          <w:bCs/>
        </w:rPr>
        <w:t>表</w:t>
      </w:r>
      <w:bookmarkStart w:id="256" w:name="OLE_LINK164"/>
      <w:r>
        <w:rPr>
          <w:rFonts w:eastAsia="黑体"/>
          <w:b w:val="0"/>
          <w:bCs/>
        </w:rPr>
        <w:t>2.</w:t>
      </w:r>
      <w:bookmarkEnd w:id="256"/>
      <w:r>
        <w:rPr>
          <w:rFonts w:eastAsia="黑体" w:hint="eastAsia"/>
          <w:b w:val="0"/>
          <w:bCs/>
        </w:rPr>
        <w:t>5-1</w:t>
      </w:r>
      <w:r>
        <w:rPr>
          <w:rFonts w:eastAsia="黑体" w:hint="eastAsia"/>
          <w:b w:val="0"/>
          <w:bCs/>
        </w:rPr>
        <w:t xml:space="preserve">   </w:t>
      </w:r>
      <w:r>
        <w:rPr>
          <w:rFonts w:eastAsia="黑体"/>
          <w:b w:val="0"/>
          <w:bCs/>
        </w:rPr>
        <w:t>生态环境评价等级判定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5268"/>
        <w:gridCol w:w="1810"/>
        <w:gridCol w:w="1086"/>
      </w:tblGrid>
      <w:tr w:rsidR="00C645C9">
        <w:trPr>
          <w:trHeight w:val="589"/>
          <w:jc w:val="center"/>
        </w:trPr>
        <w:tc>
          <w:tcPr>
            <w:tcW w:w="210" w:type="pct"/>
            <w:tcBorders>
              <w:top w:val="single" w:sz="4" w:space="0" w:color="auto"/>
              <w:left w:val="single" w:sz="4" w:space="0" w:color="auto"/>
              <w:bottom w:val="single" w:sz="4" w:space="0" w:color="auto"/>
              <w:right w:val="single" w:sz="4" w:space="0" w:color="auto"/>
            </w:tcBorders>
            <w:vAlign w:val="center"/>
          </w:tcPr>
          <w:bookmarkEnd w:id="255"/>
          <w:p w:rsidR="00C645C9" w:rsidRDefault="00F955D9">
            <w:pPr>
              <w:pStyle w:val="af0"/>
              <w:widowControl w:val="0"/>
              <w:adjustRightInd w:val="0"/>
              <w:snapToGrid w:val="0"/>
              <w:jc w:val="center"/>
              <w:rPr>
                <w:rFonts w:cs="Times New Roman"/>
                <w:bCs/>
                <w:sz w:val="21"/>
                <w:szCs w:val="21"/>
              </w:rPr>
            </w:pPr>
            <w:r>
              <w:rPr>
                <w:rFonts w:cs="Times New Roman"/>
                <w:bCs/>
                <w:kern w:val="2"/>
                <w:sz w:val="21"/>
                <w:szCs w:val="21"/>
                <w:lang w:bidi="ar"/>
              </w:rPr>
              <w:lastRenderedPageBreak/>
              <w:t>序号</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bCs/>
                <w:sz w:val="21"/>
                <w:szCs w:val="21"/>
              </w:rPr>
            </w:pPr>
            <w:r>
              <w:rPr>
                <w:rFonts w:cs="Times New Roman"/>
                <w:bCs/>
                <w:kern w:val="2"/>
                <w:sz w:val="21"/>
                <w:szCs w:val="21"/>
                <w:lang w:bidi="ar"/>
              </w:rPr>
              <w:t>生态评价等级判定要求</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bCs/>
                <w:sz w:val="21"/>
                <w:szCs w:val="21"/>
              </w:rPr>
            </w:pPr>
            <w:r>
              <w:rPr>
                <w:rFonts w:cs="Times New Roman"/>
                <w:bCs/>
                <w:kern w:val="2"/>
                <w:sz w:val="21"/>
                <w:szCs w:val="21"/>
                <w:lang w:bidi="ar"/>
              </w:rPr>
              <w:t>本</w:t>
            </w:r>
            <w:r>
              <w:rPr>
                <w:rFonts w:cs="Times New Roman" w:hint="eastAsia"/>
                <w:bCs/>
                <w:kern w:val="2"/>
                <w:sz w:val="21"/>
                <w:szCs w:val="21"/>
                <w:lang w:bidi="ar"/>
              </w:rPr>
              <w:t>工程</w:t>
            </w:r>
            <w:r>
              <w:rPr>
                <w:rFonts w:cs="Times New Roman"/>
                <w:bCs/>
                <w:kern w:val="2"/>
                <w:sz w:val="21"/>
                <w:szCs w:val="21"/>
                <w:lang w:bidi="ar"/>
              </w:rPr>
              <w:t>情况</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bCs/>
                <w:sz w:val="21"/>
                <w:szCs w:val="21"/>
              </w:rPr>
            </w:pPr>
            <w:r>
              <w:rPr>
                <w:rFonts w:cs="Times New Roman"/>
                <w:bCs/>
                <w:kern w:val="2"/>
                <w:sz w:val="21"/>
                <w:szCs w:val="21"/>
                <w:lang w:bidi="ar"/>
              </w:rPr>
              <w:t>生态影响评价等级</w:t>
            </w:r>
          </w:p>
        </w:tc>
      </w:tr>
      <w:tr w:rsidR="00C645C9">
        <w:trPr>
          <w:trHeight w:val="544"/>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bCs/>
                <w:sz w:val="21"/>
                <w:szCs w:val="21"/>
              </w:rPr>
            </w:pPr>
            <w:r>
              <w:rPr>
                <w:rFonts w:cs="Times New Roman"/>
                <w:bCs/>
                <w:kern w:val="2"/>
                <w:sz w:val="21"/>
                <w:szCs w:val="21"/>
                <w:lang w:bidi="ar"/>
              </w:rPr>
              <w:t>a</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rPr>
                <w:rFonts w:cs="Times New Roman"/>
                <w:bCs/>
                <w:sz w:val="21"/>
                <w:szCs w:val="21"/>
              </w:rPr>
            </w:pPr>
            <w:r>
              <w:rPr>
                <w:rFonts w:cs="Times New Roman"/>
                <w:bCs/>
                <w:kern w:val="2"/>
                <w:sz w:val="21"/>
                <w:szCs w:val="21"/>
                <w:lang w:bidi="ar"/>
              </w:rPr>
              <w:t>涉及国家公园、自然保护区、世界自然遗产、重要生境时，评价等级为一级；</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sz w:val="21"/>
                <w:szCs w:val="21"/>
              </w:rPr>
            </w:pPr>
            <w:r>
              <w:rPr>
                <w:rFonts w:cs="Times New Roman"/>
                <w:kern w:val="2"/>
                <w:sz w:val="21"/>
                <w:szCs w:val="21"/>
                <w:lang w:bidi="ar"/>
              </w:rPr>
              <w:t>不涉及</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snapToGrid w:val="0"/>
              <w:jc w:val="center"/>
              <w:rPr>
                <w:rFonts w:cs="Times New Roman"/>
                <w:sz w:val="21"/>
                <w:szCs w:val="21"/>
              </w:rPr>
            </w:pPr>
            <w:r>
              <w:rPr>
                <w:rFonts w:cs="Times New Roman"/>
                <w:kern w:val="2"/>
                <w:sz w:val="21"/>
                <w:szCs w:val="21"/>
                <w:lang w:bidi="ar"/>
              </w:rPr>
              <w:t>/</w:t>
            </w:r>
          </w:p>
        </w:tc>
      </w:tr>
      <w:tr w:rsidR="00C645C9">
        <w:trPr>
          <w:trHeight w:val="544"/>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b</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涉及自然公园时，评价等级为二级；</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不涉及</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w:t>
            </w:r>
          </w:p>
        </w:tc>
      </w:tr>
      <w:tr w:rsidR="00C645C9">
        <w:trPr>
          <w:trHeight w:val="544"/>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c</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涉及生态保护红线时，评价等级不低于二级；</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bookmarkStart w:id="257" w:name="OLE_LINK856"/>
            <w:r>
              <w:rPr>
                <w:rFonts w:cs="Times New Roman"/>
                <w:kern w:val="2"/>
                <w:sz w:val="21"/>
                <w:szCs w:val="21"/>
                <w:lang w:bidi="ar"/>
              </w:rPr>
              <w:t>不涉及</w:t>
            </w:r>
            <w:bookmarkEnd w:id="257"/>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w:t>
            </w:r>
          </w:p>
        </w:tc>
      </w:tr>
      <w:tr w:rsidR="00C645C9">
        <w:trPr>
          <w:trHeight w:val="544"/>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d</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根据</w:t>
            </w:r>
            <w:r>
              <w:rPr>
                <w:rFonts w:cs="Times New Roman"/>
                <w:bCs/>
                <w:kern w:val="2"/>
                <w:sz w:val="21"/>
                <w:szCs w:val="21"/>
                <w:lang w:bidi="ar"/>
              </w:rPr>
              <w:t>HJ2.3</w:t>
            </w:r>
            <w:r>
              <w:rPr>
                <w:rFonts w:cs="Times New Roman"/>
                <w:bCs/>
                <w:kern w:val="2"/>
                <w:sz w:val="21"/>
                <w:szCs w:val="21"/>
                <w:lang w:bidi="ar"/>
              </w:rPr>
              <w:t>判断属于水文要素影响型且地表水评价等级不低于二级的建设项目，生态影响评价等级不低于二级；</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不涉及</w:t>
            </w:r>
            <w:r>
              <w:rPr>
                <w:rFonts w:cs="Times New Roman" w:hint="eastAsia"/>
                <w:kern w:val="2"/>
                <w:sz w:val="21"/>
                <w:szCs w:val="21"/>
                <w:lang w:bidi="ar"/>
              </w:rPr>
              <w:t>，地表水为三级</w:t>
            </w:r>
            <w:r>
              <w:rPr>
                <w:rFonts w:cs="Times New Roman" w:hint="eastAsia"/>
                <w:kern w:val="2"/>
                <w:sz w:val="21"/>
                <w:szCs w:val="21"/>
                <w:lang w:bidi="ar"/>
              </w:rPr>
              <w:t>B</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w:t>
            </w:r>
          </w:p>
        </w:tc>
      </w:tr>
      <w:tr w:rsidR="00C645C9">
        <w:trPr>
          <w:trHeight w:val="649"/>
          <w:jc w:val="center"/>
        </w:trPr>
        <w:tc>
          <w:tcPr>
            <w:tcW w:w="210" w:type="pct"/>
            <w:tcBorders>
              <w:top w:val="single" w:sz="4" w:space="0" w:color="auto"/>
              <w:left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e</w:t>
            </w:r>
          </w:p>
        </w:tc>
        <w:tc>
          <w:tcPr>
            <w:tcW w:w="3090" w:type="pct"/>
            <w:tcBorders>
              <w:top w:val="single" w:sz="4" w:space="0" w:color="auto"/>
              <w:left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根据</w:t>
            </w:r>
            <w:bookmarkStart w:id="258" w:name="OLE_LINK120"/>
            <w:r>
              <w:rPr>
                <w:rFonts w:cs="Times New Roman"/>
                <w:bCs/>
                <w:kern w:val="2"/>
                <w:sz w:val="21"/>
                <w:szCs w:val="21"/>
                <w:lang w:bidi="ar"/>
              </w:rPr>
              <w:t>HJ610</w:t>
            </w:r>
            <w:bookmarkEnd w:id="258"/>
            <w:r>
              <w:rPr>
                <w:rFonts w:cs="Times New Roman"/>
                <w:bCs/>
                <w:kern w:val="2"/>
                <w:sz w:val="21"/>
                <w:szCs w:val="21"/>
                <w:lang w:bidi="ar"/>
              </w:rPr>
              <w:t>、</w:t>
            </w:r>
            <w:r>
              <w:rPr>
                <w:rFonts w:cs="Times New Roman"/>
                <w:bCs/>
                <w:kern w:val="2"/>
                <w:sz w:val="21"/>
                <w:szCs w:val="21"/>
                <w:lang w:bidi="ar"/>
              </w:rPr>
              <w:t>HJ964</w:t>
            </w:r>
            <w:r>
              <w:rPr>
                <w:rFonts w:cs="Times New Roman"/>
                <w:bCs/>
                <w:kern w:val="2"/>
                <w:sz w:val="21"/>
                <w:szCs w:val="21"/>
                <w:lang w:bidi="ar"/>
              </w:rPr>
              <w:t>判断地下水水位或土壤影响范围内分布有天然林、公益林、湿地等生态保护目标的建设项目，生态影响评价等级不低于二级；</w:t>
            </w:r>
          </w:p>
        </w:tc>
        <w:tc>
          <w:tcPr>
            <w:tcW w:w="1062" w:type="pct"/>
            <w:tcBorders>
              <w:top w:val="single" w:sz="4" w:space="0" w:color="auto"/>
              <w:left w:val="single" w:sz="4" w:space="0" w:color="auto"/>
              <w:right w:val="single" w:sz="4" w:space="0" w:color="auto"/>
            </w:tcBorders>
            <w:vAlign w:val="center"/>
          </w:tcPr>
          <w:p w:rsidR="00C645C9" w:rsidRDefault="00F955D9">
            <w:pPr>
              <w:pStyle w:val="af0"/>
              <w:widowControl w:val="0"/>
              <w:adjustRightInd w:val="0"/>
              <w:jc w:val="center"/>
              <w:rPr>
                <w:rFonts w:cs="Times New Roman"/>
                <w:kern w:val="2"/>
                <w:sz w:val="21"/>
                <w:szCs w:val="21"/>
                <w:lang w:bidi="ar"/>
              </w:rPr>
            </w:pPr>
            <w:r>
              <w:rPr>
                <w:rFonts w:cs="Times New Roman"/>
                <w:kern w:val="2"/>
                <w:sz w:val="21"/>
                <w:szCs w:val="21"/>
                <w:lang w:bidi="ar"/>
              </w:rPr>
              <w:t>不涉及</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kern w:val="2"/>
                <w:sz w:val="21"/>
                <w:szCs w:val="21"/>
                <w:lang w:bidi="ar"/>
              </w:rPr>
            </w:pPr>
            <w:r>
              <w:rPr>
                <w:rFonts w:cs="Times New Roman" w:hint="eastAsia"/>
                <w:kern w:val="2"/>
                <w:sz w:val="21"/>
                <w:szCs w:val="21"/>
                <w:lang w:bidi="ar"/>
              </w:rPr>
              <w:t>/</w:t>
            </w:r>
          </w:p>
        </w:tc>
      </w:tr>
      <w:tr w:rsidR="00C645C9">
        <w:trPr>
          <w:trHeight w:val="861"/>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f</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当工程占地规模大于</w:t>
            </w:r>
            <w:r>
              <w:rPr>
                <w:rFonts w:cs="Times New Roman"/>
                <w:bCs/>
                <w:kern w:val="2"/>
                <w:sz w:val="21"/>
                <w:szCs w:val="21"/>
                <w:lang w:bidi="ar"/>
              </w:rPr>
              <w:t>20km</w:t>
            </w:r>
            <w:r>
              <w:rPr>
                <w:rFonts w:cs="Times New Roman"/>
                <w:bCs/>
                <w:kern w:val="2"/>
                <w:sz w:val="21"/>
                <w:szCs w:val="21"/>
                <w:vertAlign w:val="superscript"/>
                <w:lang w:bidi="ar"/>
              </w:rPr>
              <w:t>2</w:t>
            </w:r>
            <w:r>
              <w:rPr>
                <w:rFonts w:cs="Times New Roman"/>
                <w:bCs/>
                <w:kern w:val="2"/>
                <w:sz w:val="21"/>
                <w:szCs w:val="21"/>
                <w:lang w:bidi="ar"/>
              </w:rPr>
              <w:t>时（包括永久和临时占用陆域和水域），评价等级不低于二级；改扩建项目的占地范围以新增占地（包括陆域和水域）确定；</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本</w:t>
            </w:r>
            <w:r>
              <w:rPr>
                <w:rFonts w:cs="Times New Roman" w:hint="eastAsia"/>
                <w:kern w:val="2"/>
                <w:sz w:val="21"/>
                <w:szCs w:val="21"/>
                <w:lang w:bidi="ar"/>
              </w:rPr>
              <w:t>工程</w:t>
            </w:r>
            <w:r>
              <w:rPr>
                <w:rFonts w:cs="Times New Roman"/>
                <w:kern w:val="2"/>
                <w:sz w:val="21"/>
                <w:szCs w:val="21"/>
                <w:lang w:bidi="ar"/>
              </w:rPr>
              <w:t>占地面积为</w:t>
            </w:r>
            <w:r>
              <w:rPr>
                <w:rFonts w:cs="Times New Roman"/>
                <w:kern w:val="2"/>
                <w:sz w:val="21"/>
                <w:szCs w:val="21"/>
                <w:lang w:bidi="ar"/>
              </w:rPr>
              <w:t>0.0</w:t>
            </w:r>
            <w:r>
              <w:rPr>
                <w:rFonts w:cs="Times New Roman" w:hint="eastAsia"/>
                <w:kern w:val="2"/>
                <w:sz w:val="21"/>
                <w:szCs w:val="21"/>
                <w:lang w:bidi="ar"/>
              </w:rPr>
              <w:t>409</w:t>
            </w:r>
            <w:r>
              <w:rPr>
                <w:rFonts w:cs="Times New Roman"/>
                <w:kern w:val="2"/>
                <w:sz w:val="21"/>
                <w:szCs w:val="21"/>
                <w:lang w:bidi="ar"/>
              </w:rPr>
              <w:t>km</w:t>
            </w:r>
            <w:r>
              <w:rPr>
                <w:rFonts w:cs="Times New Roman"/>
                <w:kern w:val="2"/>
                <w:sz w:val="21"/>
                <w:szCs w:val="21"/>
                <w:vertAlign w:val="superscript"/>
                <w:lang w:bidi="ar"/>
              </w:rPr>
              <w:t>2</w:t>
            </w:r>
            <w:r>
              <w:rPr>
                <w:rFonts w:cs="Times New Roman"/>
                <w:kern w:val="2"/>
                <w:sz w:val="21"/>
                <w:szCs w:val="21"/>
                <w:lang w:bidi="ar"/>
              </w:rPr>
              <w:t>（</w:t>
            </w:r>
            <w:r>
              <w:rPr>
                <w:rFonts w:cs="Times New Roman" w:hint="eastAsia"/>
                <w:kern w:val="2"/>
                <w:sz w:val="21"/>
                <w:szCs w:val="21"/>
                <w:lang w:bidi="ar"/>
              </w:rPr>
              <w:t>4.09</w:t>
            </w:r>
            <w:r>
              <w:rPr>
                <w:rFonts w:cs="Times New Roman"/>
                <w:kern w:val="2"/>
                <w:sz w:val="21"/>
                <w:szCs w:val="21"/>
                <w:lang w:bidi="ar"/>
              </w:rPr>
              <w:t>hm</w:t>
            </w:r>
            <w:r>
              <w:rPr>
                <w:rFonts w:cs="Times New Roman"/>
                <w:kern w:val="2"/>
                <w:sz w:val="21"/>
                <w:szCs w:val="21"/>
                <w:vertAlign w:val="superscript"/>
                <w:lang w:bidi="ar"/>
              </w:rPr>
              <w:t>2</w:t>
            </w:r>
            <w:r>
              <w:rPr>
                <w:rFonts w:cs="Times New Roman"/>
                <w:kern w:val="2"/>
                <w:sz w:val="21"/>
                <w:szCs w:val="21"/>
                <w:lang w:bidi="ar"/>
              </w:rPr>
              <w:t>）</w:t>
            </w:r>
            <w:r>
              <w:rPr>
                <w:rFonts w:cs="Times New Roman"/>
                <w:kern w:val="2"/>
                <w:sz w:val="21"/>
                <w:szCs w:val="21"/>
                <w:lang w:bidi="ar"/>
              </w:rPr>
              <w:t>＜</w:t>
            </w:r>
            <w:r>
              <w:rPr>
                <w:rFonts w:cs="Times New Roman"/>
                <w:kern w:val="2"/>
                <w:sz w:val="21"/>
                <w:szCs w:val="21"/>
                <w:lang w:bidi="ar"/>
              </w:rPr>
              <w:t>20km</w:t>
            </w:r>
            <w:r>
              <w:rPr>
                <w:rFonts w:cs="Times New Roman"/>
                <w:kern w:val="2"/>
                <w:sz w:val="21"/>
                <w:szCs w:val="21"/>
                <w:vertAlign w:val="superscript"/>
                <w:lang w:bidi="ar"/>
              </w:rPr>
              <w:t>2</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sz w:val="21"/>
                <w:szCs w:val="21"/>
              </w:rPr>
            </w:pPr>
            <w:r>
              <w:rPr>
                <w:rFonts w:cs="Times New Roman"/>
                <w:kern w:val="2"/>
                <w:sz w:val="21"/>
                <w:szCs w:val="21"/>
                <w:lang w:bidi="ar"/>
              </w:rPr>
              <w:t>/</w:t>
            </w:r>
          </w:p>
        </w:tc>
      </w:tr>
      <w:tr w:rsidR="00C645C9">
        <w:trPr>
          <w:trHeight w:val="299"/>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g</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除本条</w:t>
            </w:r>
            <w:bookmarkStart w:id="259" w:name="OLE_LINK128"/>
            <w:r>
              <w:rPr>
                <w:rFonts w:cs="Times New Roman"/>
                <w:bCs/>
                <w:kern w:val="2"/>
                <w:sz w:val="21"/>
                <w:szCs w:val="21"/>
                <w:lang w:bidi="ar"/>
              </w:rPr>
              <w:t>a</w:t>
            </w:r>
            <w:r>
              <w:rPr>
                <w:rFonts w:cs="Times New Roman"/>
                <w:bCs/>
                <w:kern w:val="2"/>
                <w:sz w:val="21"/>
                <w:szCs w:val="21"/>
                <w:lang w:bidi="ar"/>
              </w:rPr>
              <w:t>）、</w:t>
            </w:r>
            <w:r>
              <w:rPr>
                <w:rFonts w:cs="Times New Roman"/>
                <w:bCs/>
                <w:kern w:val="2"/>
                <w:sz w:val="21"/>
                <w:szCs w:val="21"/>
                <w:lang w:bidi="ar"/>
              </w:rPr>
              <w:t>b</w:t>
            </w:r>
            <w:r>
              <w:rPr>
                <w:rFonts w:cs="Times New Roman"/>
                <w:bCs/>
                <w:kern w:val="2"/>
                <w:sz w:val="21"/>
                <w:szCs w:val="21"/>
                <w:lang w:bidi="ar"/>
              </w:rPr>
              <w:t>）、</w:t>
            </w:r>
            <w:r>
              <w:rPr>
                <w:rFonts w:cs="Times New Roman"/>
                <w:bCs/>
                <w:kern w:val="2"/>
                <w:sz w:val="21"/>
                <w:szCs w:val="21"/>
                <w:lang w:bidi="ar"/>
              </w:rPr>
              <w:t>c</w:t>
            </w:r>
            <w:r>
              <w:rPr>
                <w:rFonts w:cs="Times New Roman"/>
                <w:bCs/>
                <w:kern w:val="2"/>
                <w:sz w:val="21"/>
                <w:szCs w:val="21"/>
                <w:lang w:bidi="ar"/>
              </w:rPr>
              <w:t>）</w:t>
            </w:r>
            <w:bookmarkEnd w:id="259"/>
            <w:r>
              <w:rPr>
                <w:rFonts w:cs="Times New Roman"/>
                <w:bCs/>
                <w:kern w:val="2"/>
                <w:sz w:val="21"/>
                <w:szCs w:val="21"/>
                <w:lang w:bidi="ar"/>
              </w:rPr>
              <w:t>、</w:t>
            </w:r>
            <w:r>
              <w:rPr>
                <w:rFonts w:cs="Times New Roman"/>
                <w:bCs/>
                <w:kern w:val="2"/>
                <w:sz w:val="21"/>
                <w:szCs w:val="21"/>
                <w:lang w:bidi="ar"/>
              </w:rPr>
              <w:t>d</w:t>
            </w:r>
            <w:r>
              <w:rPr>
                <w:rFonts w:cs="Times New Roman"/>
                <w:bCs/>
                <w:kern w:val="2"/>
                <w:sz w:val="21"/>
                <w:szCs w:val="21"/>
                <w:lang w:bidi="ar"/>
              </w:rPr>
              <w:t>）、</w:t>
            </w:r>
            <w:r>
              <w:rPr>
                <w:rFonts w:cs="Times New Roman"/>
                <w:bCs/>
                <w:kern w:val="2"/>
                <w:sz w:val="21"/>
                <w:szCs w:val="21"/>
                <w:lang w:bidi="ar"/>
              </w:rPr>
              <w:t>e</w:t>
            </w:r>
            <w:r>
              <w:rPr>
                <w:rFonts w:cs="Times New Roman"/>
                <w:bCs/>
                <w:kern w:val="2"/>
                <w:sz w:val="21"/>
                <w:szCs w:val="21"/>
                <w:lang w:bidi="ar"/>
              </w:rPr>
              <w:t>）、</w:t>
            </w:r>
            <w:r>
              <w:rPr>
                <w:rFonts w:cs="Times New Roman"/>
                <w:bCs/>
                <w:kern w:val="2"/>
                <w:sz w:val="21"/>
                <w:szCs w:val="21"/>
                <w:lang w:bidi="ar"/>
              </w:rPr>
              <w:t>f</w:t>
            </w:r>
            <w:r>
              <w:rPr>
                <w:rFonts w:cs="Times New Roman"/>
                <w:bCs/>
                <w:kern w:val="2"/>
                <w:sz w:val="21"/>
                <w:szCs w:val="21"/>
                <w:lang w:bidi="ar"/>
              </w:rPr>
              <w:t>）以外的情况，评价等级为三级；</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hint="eastAsia"/>
                <w:kern w:val="2"/>
                <w:sz w:val="21"/>
                <w:szCs w:val="21"/>
                <w:lang w:bidi="ar"/>
              </w:rPr>
              <w:t>三级评价</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hint="eastAsia"/>
                <w:kern w:val="2"/>
                <w:sz w:val="21"/>
                <w:szCs w:val="21"/>
                <w:lang w:bidi="ar"/>
              </w:rPr>
              <w:t>/</w:t>
            </w:r>
          </w:p>
        </w:tc>
      </w:tr>
      <w:tr w:rsidR="00C645C9">
        <w:trPr>
          <w:trHeight w:val="299"/>
          <w:jc w:val="center"/>
        </w:trPr>
        <w:tc>
          <w:tcPr>
            <w:tcW w:w="21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h</w:t>
            </w:r>
          </w:p>
        </w:tc>
        <w:tc>
          <w:tcPr>
            <w:tcW w:w="309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rPr>
                <w:rFonts w:cs="Times New Roman"/>
                <w:bCs/>
                <w:sz w:val="21"/>
                <w:szCs w:val="21"/>
              </w:rPr>
            </w:pPr>
            <w:r>
              <w:rPr>
                <w:rFonts w:cs="Times New Roman"/>
                <w:bCs/>
                <w:kern w:val="2"/>
                <w:sz w:val="21"/>
                <w:szCs w:val="21"/>
                <w:lang w:bidi="ar"/>
              </w:rPr>
              <w:t>当评价等级判定同时符合上述多种情况时，应采用其中最高的评价等级</w:t>
            </w:r>
            <w:r>
              <w:rPr>
                <w:rFonts w:cs="Times New Roman"/>
                <w:bCs/>
                <w:kern w:val="2"/>
                <w:sz w:val="21"/>
                <w:szCs w:val="21"/>
                <w:lang w:bidi="ar"/>
              </w:rPr>
              <w:t>。</w:t>
            </w:r>
          </w:p>
        </w:tc>
        <w:tc>
          <w:tcPr>
            <w:tcW w:w="106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bCs/>
                <w:kern w:val="2"/>
                <w:sz w:val="21"/>
                <w:szCs w:val="21"/>
                <w:lang w:bidi="ar"/>
              </w:rPr>
              <w:t>/</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0"/>
              <w:widowControl w:val="0"/>
              <w:adjustRightInd w:val="0"/>
              <w:jc w:val="center"/>
              <w:rPr>
                <w:rFonts w:cs="Times New Roman"/>
                <w:bCs/>
                <w:sz w:val="21"/>
                <w:szCs w:val="21"/>
              </w:rPr>
            </w:pPr>
            <w:r>
              <w:rPr>
                <w:rFonts w:cs="Times New Roman"/>
                <w:kern w:val="2"/>
                <w:sz w:val="21"/>
                <w:szCs w:val="21"/>
                <w:lang w:bidi="ar"/>
              </w:rPr>
              <w:t>/</w:t>
            </w:r>
          </w:p>
        </w:tc>
      </w:tr>
    </w:tbl>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2</w:t>
      </w:r>
      <w:r>
        <w:rPr>
          <w:rFonts w:cs="Times New Roman"/>
        </w:rPr>
        <w:t>）</w:t>
      </w:r>
      <w:bookmarkStart w:id="260" w:name="OLE_LINK125"/>
      <w:r>
        <w:rPr>
          <w:rFonts w:cs="Times New Roman"/>
        </w:rPr>
        <w:t>评价范围</w:t>
      </w:r>
      <w:bookmarkEnd w:id="260"/>
    </w:p>
    <w:p w:rsidR="00C645C9" w:rsidRDefault="00F955D9">
      <w:pPr>
        <w:adjustRightInd w:val="0"/>
        <w:snapToGrid w:val="0"/>
        <w:spacing w:line="360" w:lineRule="auto"/>
        <w:ind w:firstLine="480"/>
        <w:jc w:val="both"/>
        <w:rPr>
          <w:rFonts w:cs="Times New Roman"/>
        </w:rPr>
      </w:pPr>
      <w:r>
        <w:rPr>
          <w:rFonts w:cs="Times New Roman"/>
        </w:rPr>
        <w:t>根据《环境影响评价技术导则</w:t>
      </w:r>
      <w:r>
        <w:rPr>
          <w:rFonts w:cs="Times New Roman"/>
        </w:rPr>
        <w:t xml:space="preserve"> </w:t>
      </w:r>
      <w:r>
        <w:rPr>
          <w:rFonts w:cs="Times New Roman"/>
        </w:rPr>
        <w:t>生态影响》（</w:t>
      </w:r>
      <w:r>
        <w:rPr>
          <w:rFonts w:cs="Times New Roman"/>
        </w:rPr>
        <w:t>HJ19-2022</w:t>
      </w:r>
      <w:r>
        <w:rPr>
          <w:rFonts w:cs="Times New Roman"/>
        </w:rPr>
        <w:t>）</w:t>
      </w:r>
      <w:r>
        <w:rPr>
          <w:rFonts w:cs="Times New Roman" w:hint="eastAsia"/>
          <w:kern w:val="2"/>
          <w:szCs w:val="32"/>
          <w:lang w:bidi="ar"/>
        </w:rPr>
        <w:t>和</w:t>
      </w:r>
      <w:r>
        <w:rPr>
          <w:rFonts w:cs="Times New Roman"/>
        </w:rPr>
        <w:t>《环境影响评价技术导则</w:t>
      </w:r>
      <w:r>
        <w:rPr>
          <w:rFonts w:cs="Times New Roman" w:hint="eastAsia"/>
        </w:rPr>
        <w:t xml:space="preserve"> </w:t>
      </w:r>
      <w:r>
        <w:rPr>
          <w:rFonts w:cs="Times New Roman"/>
        </w:rPr>
        <w:t>陆地石油天然气开发建设项目》（</w:t>
      </w:r>
      <w:r>
        <w:rPr>
          <w:rFonts w:cs="Times New Roman"/>
        </w:rPr>
        <w:t>HJ349-2023</w:t>
      </w:r>
      <w:r>
        <w:rPr>
          <w:rFonts w:cs="Times New Roman"/>
        </w:rPr>
        <w:t>），考虑油气田整体开发对生态环境的影响，确定生态环境评价范围为井场</w:t>
      </w:r>
      <w:r>
        <w:rPr>
          <w:rFonts w:cs="Times New Roman" w:hint="eastAsia"/>
        </w:rPr>
        <w:t>场界周围</w:t>
      </w:r>
      <w:r>
        <w:rPr>
          <w:rFonts w:cs="Times New Roman"/>
        </w:rPr>
        <w:t>50</w:t>
      </w:r>
      <w:r>
        <w:rPr>
          <w:rFonts w:cs="Times New Roman" w:hint="eastAsia"/>
        </w:rPr>
        <w:t>米范围。</w:t>
      </w:r>
      <w:r>
        <w:rPr>
          <w:rFonts w:cs="Times New Roman"/>
        </w:rPr>
        <w:t>评价范围见</w:t>
      </w:r>
      <w:r>
        <w:rPr>
          <w:rFonts w:cs="Times New Roman"/>
        </w:rPr>
        <w:t>图</w:t>
      </w:r>
      <w:r>
        <w:rPr>
          <w:rFonts w:cs="Times New Roman"/>
        </w:rPr>
        <w:t>2.</w:t>
      </w:r>
      <w:r>
        <w:rPr>
          <w:rFonts w:cs="Times New Roman" w:hint="eastAsia"/>
        </w:rPr>
        <w:t>5</w:t>
      </w:r>
      <w:r>
        <w:rPr>
          <w:rFonts w:cs="Times New Roman"/>
        </w:rPr>
        <w:t>-1</w:t>
      </w:r>
      <w:r>
        <w:rPr>
          <w:rFonts w:cs="Times New Roman"/>
        </w:rPr>
        <w:t>。</w:t>
      </w:r>
    </w:p>
    <w:p w:rsidR="00C645C9" w:rsidRDefault="00F955D9">
      <w:pPr>
        <w:pStyle w:val="32"/>
        <w:adjustRightInd w:val="0"/>
        <w:snapToGrid w:val="0"/>
        <w:spacing w:before="0" w:after="0"/>
        <w:rPr>
          <w:color w:val="auto"/>
          <w:lang w:eastAsia="zh-CN"/>
        </w:rPr>
      </w:pPr>
      <w:r>
        <w:rPr>
          <w:color w:val="auto"/>
          <w:lang w:eastAsia="zh-CN"/>
        </w:rPr>
        <w:t>2.</w:t>
      </w:r>
      <w:r>
        <w:rPr>
          <w:rFonts w:hint="eastAsia"/>
          <w:color w:val="auto"/>
          <w:lang w:eastAsia="zh-CN"/>
        </w:rPr>
        <w:t>5.2</w:t>
      </w:r>
      <w:r>
        <w:rPr>
          <w:color w:val="auto"/>
          <w:lang w:eastAsia="zh-CN"/>
        </w:rPr>
        <w:t>地下水环境影响评价等级和评价范围</w:t>
      </w:r>
    </w:p>
    <w:p w:rsidR="00C645C9" w:rsidRDefault="00F955D9">
      <w:pPr>
        <w:spacing w:line="360" w:lineRule="auto"/>
        <w:ind w:firstLineChars="200" w:firstLine="480"/>
        <w:jc w:val="both"/>
        <w:rPr>
          <w:rFonts w:cs="Times New Roman"/>
          <w:szCs w:val="20"/>
        </w:rPr>
      </w:pPr>
      <w:r>
        <w:rPr>
          <w:rFonts w:cs="Times New Roman" w:hint="eastAsia"/>
          <w:szCs w:val="20"/>
        </w:rPr>
        <w:t>（</w:t>
      </w:r>
      <w:r>
        <w:rPr>
          <w:rFonts w:cs="Times New Roman" w:hint="eastAsia"/>
          <w:szCs w:val="20"/>
        </w:rPr>
        <w:t>1</w:t>
      </w:r>
      <w:r>
        <w:rPr>
          <w:rFonts w:cs="Times New Roman" w:hint="eastAsia"/>
          <w:szCs w:val="20"/>
        </w:rPr>
        <w:t>）</w:t>
      </w:r>
      <w:r>
        <w:rPr>
          <w:rFonts w:cs="Times New Roman"/>
          <w:szCs w:val="20"/>
        </w:rPr>
        <w:t>评价等级</w:t>
      </w:r>
    </w:p>
    <w:p w:rsidR="00C645C9" w:rsidRDefault="00F955D9">
      <w:pPr>
        <w:adjustRightInd w:val="0"/>
        <w:snapToGrid w:val="0"/>
        <w:spacing w:line="360" w:lineRule="auto"/>
        <w:ind w:firstLine="480"/>
        <w:jc w:val="both"/>
        <w:rPr>
          <w:rFonts w:cs="Times New Roman"/>
        </w:rPr>
      </w:pPr>
      <w:r>
        <w:rPr>
          <w:rFonts w:cs="Times New Roman"/>
        </w:rPr>
        <w:t>根据</w:t>
      </w:r>
      <w:r>
        <w:rPr>
          <w:rFonts w:cs="Times New Roman"/>
        </w:rPr>
        <w:t>《</w:t>
      </w:r>
      <w:bookmarkStart w:id="261" w:name="OLE_LINK1169"/>
      <w:r>
        <w:rPr>
          <w:rFonts w:cs="Times New Roman"/>
        </w:rPr>
        <w:t>环境影响评价技术导则</w:t>
      </w:r>
      <w:r>
        <w:rPr>
          <w:rFonts w:cs="Times New Roman"/>
        </w:rPr>
        <w:t xml:space="preserve"> </w:t>
      </w:r>
      <w:r>
        <w:rPr>
          <w:rFonts w:cs="Times New Roman"/>
        </w:rPr>
        <w:t>地下水环境</w:t>
      </w:r>
      <w:bookmarkEnd w:id="261"/>
      <w:r>
        <w:rPr>
          <w:rFonts w:cs="Times New Roman"/>
        </w:rPr>
        <w:t>》（</w:t>
      </w:r>
      <w:r>
        <w:rPr>
          <w:rFonts w:cs="Times New Roman"/>
        </w:rPr>
        <w:t>HJ610-2016</w:t>
      </w:r>
      <w:r>
        <w:rPr>
          <w:rFonts w:cs="Times New Roman"/>
        </w:rPr>
        <w:t>）</w:t>
      </w:r>
      <w:r>
        <w:rPr>
          <w:rFonts w:cs="Times New Roman"/>
        </w:rPr>
        <w:t>中附录</w:t>
      </w:r>
      <w:r>
        <w:rPr>
          <w:rFonts w:cs="Times New Roman"/>
        </w:rPr>
        <w:t>A</w:t>
      </w:r>
      <w:r>
        <w:rPr>
          <w:rFonts w:cs="Times New Roman"/>
        </w:rPr>
        <w:t>地下水环境影响评价行业分类表</w:t>
      </w:r>
      <w:r>
        <w:rPr>
          <w:rFonts w:cs="Times New Roman"/>
        </w:rPr>
        <w:t>，</w:t>
      </w:r>
      <w:r>
        <w:rPr>
          <w:rFonts w:cs="Times New Roman"/>
        </w:rPr>
        <w:t>本</w:t>
      </w:r>
      <w:r>
        <w:rPr>
          <w:rFonts w:cs="Times New Roman" w:hint="eastAsia"/>
        </w:rPr>
        <w:t>工程</w:t>
      </w:r>
      <w:r>
        <w:rPr>
          <w:rFonts w:cs="Times New Roman"/>
        </w:rPr>
        <w:t>属于</w:t>
      </w:r>
      <w:r>
        <w:rPr>
          <w:rFonts w:cs="Times New Roman" w:hint="eastAsia"/>
        </w:rPr>
        <w:t>“</w:t>
      </w:r>
      <w:r>
        <w:rPr>
          <w:rFonts w:cs="Times New Roman"/>
        </w:rPr>
        <w:t>F</w:t>
      </w:r>
      <w:r>
        <w:rPr>
          <w:rFonts w:cs="Times New Roman"/>
        </w:rPr>
        <w:t>石油、天然气</w:t>
      </w:r>
      <w:r>
        <w:rPr>
          <w:rFonts w:cs="Times New Roman" w:hint="eastAsia"/>
        </w:rPr>
        <w:t>”</w:t>
      </w:r>
      <w:r>
        <w:rPr>
          <w:rFonts w:cs="Times New Roman"/>
        </w:rPr>
        <w:t>的</w:t>
      </w:r>
      <w:r>
        <w:rPr>
          <w:rFonts w:cs="Times New Roman" w:hint="eastAsia"/>
        </w:rPr>
        <w:t>“</w:t>
      </w:r>
      <w:bookmarkStart w:id="262" w:name="OLE_LINK107"/>
      <w:r>
        <w:rPr>
          <w:rFonts w:cs="Times New Roman" w:hint="eastAsia"/>
        </w:rPr>
        <w:t>38</w:t>
      </w:r>
      <w:r>
        <w:rPr>
          <w:rFonts w:cs="Times New Roman" w:hint="eastAsia"/>
        </w:rPr>
        <w:t>、天然气、页岩气</w:t>
      </w:r>
      <w:r>
        <w:rPr>
          <w:rFonts w:cs="Times New Roman"/>
        </w:rPr>
        <w:t>开采</w:t>
      </w:r>
      <w:r>
        <w:rPr>
          <w:rFonts w:cs="Times New Roman" w:hint="eastAsia"/>
        </w:rPr>
        <w:t>（</w:t>
      </w:r>
      <w:r>
        <w:rPr>
          <w:rFonts w:cs="Times New Roman" w:hint="eastAsia"/>
        </w:rPr>
        <w:t>含净化</w:t>
      </w:r>
      <w:r>
        <w:rPr>
          <w:rFonts w:cs="Times New Roman" w:hint="eastAsia"/>
        </w:rPr>
        <w:t>）</w:t>
      </w:r>
      <w:r>
        <w:rPr>
          <w:rFonts w:cs="Times New Roman"/>
        </w:rPr>
        <w:t>项目</w:t>
      </w:r>
      <w:bookmarkEnd w:id="262"/>
      <w:r>
        <w:rPr>
          <w:rFonts w:cs="Times New Roman" w:hint="eastAsia"/>
        </w:rPr>
        <w:t>”</w:t>
      </w:r>
      <w:r>
        <w:rPr>
          <w:rFonts w:cs="Times New Roman"/>
        </w:rPr>
        <w:t>，为</w:t>
      </w:r>
      <w:bookmarkStart w:id="263" w:name="OLE_LINK108"/>
      <w:r>
        <w:rPr>
          <w:rFonts w:cs="Times New Roman"/>
        </w:rPr>
        <w:fldChar w:fldCharType="begin"/>
      </w:r>
      <w:r>
        <w:rPr>
          <w:rFonts w:cs="Times New Roman"/>
        </w:rPr>
        <w:instrText xml:space="preserve"> = 2 \* ROMAN \* MERGEFORMAT </w:instrText>
      </w:r>
      <w:r>
        <w:rPr>
          <w:rFonts w:cs="Times New Roman"/>
        </w:rPr>
        <w:fldChar w:fldCharType="separate"/>
      </w:r>
      <w:r>
        <w:t>II</w:t>
      </w:r>
      <w:r>
        <w:rPr>
          <w:rFonts w:cs="Times New Roman"/>
        </w:rPr>
        <w:fldChar w:fldCharType="end"/>
      </w:r>
      <w:bookmarkEnd w:id="263"/>
      <w:r>
        <w:rPr>
          <w:rFonts w:cs="Times New Roman"/>
        </w:rPr>
        <w:t>类项目。</w:t>
      </w:r>
      <w:bookmarkStart w:id="264" w:name="OLE_LINK1531"/>
      <w:r>
        <w:rPr>
          <w:rFonts w:cs="Times New Roman"/>
        </w:rPr>
        <w:t>本</w:t>
      </w:r>
      <w:r>
        <w:rPr>
          <w:rFonts w:cs="Times New Roman" w:hint="eastAsia"/>
        </w:rPr>
        <w:t>工程所在区域</w:t>
      </w:r>
      <w:r>
        <w:rPr>
          <w:rFonts w:cs="Times New Roman"/>
        </w:rPr>
        <w:t>不涉及集中式饮用水水源准保护区及其以外的补给径流区</w:t>
      </w:r>
      <w:r>
        <w:rPr>
          <w:rFonts w:cs="Times New Roman" w:hint="eastAsia"/>
        </w:rPr>
        <w:t>，亦无</w:t>
      </w:r>
      <w:r>
        <w:rPr>
          <w:rFonts w:cs="Times New Roman"/>
        </w:rPr>
        <w:t>国家或地方政府设定的与地下水环境</w:t>
      </w:r>
      <w:r>
        <w:rPr>
          <w:rFonts w:cs="Times New Roman" w:hint="eastAsia"/>
        </w:rPr>
        <w:t>相关的其他</w:t>
      </w:r>
      <w:r>
        <w:rPr>
          <w:rFonts w:cs="Times New Roman"/>
        </w:rPr>
        <w:t>保护区</w:t>
      </w:r>
      <w:r>
        <w:rPr>
          <w:rFonts w:hint="eastAsia"/>
        </w:rPr>
        <w:t>，</w:t>
      </w:r>
      <w:bookmarkStart w:id="265" w:name="OLE_LINK113"/>
      <w:r>
        <w:rPr>
          <w:rFonts w:hint="eastAsia"/>
        </w:rPr>
        <w:t>亦不属于</w:t>
      </w:r>
      <w:bookmarkEnd w:id="265"/>
      <w:r>
        <w:rPr>
          <w:rFonts w:hint="eastAsia"/>
        </w:rPr>
        <w:t>未划定准保护区的集中式饮用水水源，其保护区以外的补给径流区</w:t>
      </w:r>
      <w:r>
        <w:rPr>
          <w:rFonts w:hint="eastAsia"/>
        </w:rPr>
        <w:t>，</w:t>
      </w:r>
      <w:r>
        <w:rPr>
          <w:rFonts w:hint="eastAsia"/>
        </w:rPr>
        <w:t>亦不属于分散式饮用水水源地</w:t>
      </w:r>
      <w:r>
        <w:rPr>
          <w:rFonts w:hint="eastAsia"/>
        </w:rPr>
        <w:t>及特殊地下水资源保护区以外的分布区等其他未列入上述敏感分级的环境敏感区</w:t>
      </w:r>
      <w:r>
        <w:rPr>
          <w:rFonts w:cs="Times New Roman"/>
        </w:rPr>
        <w:t>。</w:t>
      </w:r>
      <w:bookmarkStart w:id="266" w:name="OLE_LINK1528"/>
      <w:bookmarkStart w:id="267" w:name="OLE_LINK1295"/>
      <w:bookmarkEnd w:id="264"/>
      <w:r>
        <w:rPr>
          <w:rFonts w:cs="Times New Roman" w:hint="eastAsia"/>
        </w:rPr>
        <w:t>新北</w:t>
      </w:r>
      <w:r>
        <w:rPr>
          <w:rFonts w:cs="Times New Roman" w:hint="eastAsia"/>
        </w:rPr>
        <w:t>7</w:t>
      </w:r>
      <w:r>
        <w:rPr>
          <w:rFonts w:cs="Times New Roman" w:hint="eastAsia"/>
        </w:rPr>
        <w:t>井距离尤鲁都斯巴格镇饮用水</w:t>
      </w:r>
      <w:bookmarkStart w:id="268" w:name="OLE_LINK1529"/>
      <w:r>
        <w:rPr>
          <w:rFonts w:cs="Times New Roman" w:hint="eastAsia"/>
        </w:rPr>
        <w:t>水源一级保护区</w:t>
      </w:r>
      <w:bookmarkEnd w:id="268"/>
      <w:r>
        <w:rPr>
          <w:rFonts w:cs="Times New Roman" w:hint="eastAsia"/>
        </w:rPr>
        <w:t>（乡镇级）</w:t>
      </w:r>
      <w:r>
        <w:rPr>
          <w:rFonts w:cs="Times New Roman" w:hint="eastAsia"/>
        </w:rPr>
        <w:t>628m</w:t>
      </w:r>
      <w:r>
        <w:rPr>
          <w:rFonts w:cs="Times New Roman" w:hint="eastAsia"/>
        </w:rPr>
        <w:t>，新北</w:t>
      </w:r>
      <w:r>
        <w:rPr>
          <w:rFonts w:cs="Times New Roman" w:hint="eastAsia"/>
        </w:rPr>
        <w:t>1X</w:t>
      </w:r>
      <w:r>
        <w:rPr>
          <w:rFonts w:cs="Times New Roman" w:hint="eastAsia"/>
        </w:rPr>
        <w:t>井距离红旗闸饮用水水源一级保护区（县级）</w:t>
      </w:r>
      <w:r>
        <w:rPr>
          <w:rFonts w:cs="Times New Roman" w:hint="eastAsia"/>
        </w:rPr>
        <w:t>1.9km</w:t>
      </w:r>
      <w:bookmarkEnd w:id="266"/>
      <w:r>
        <w:rPr>
          <w:rFonts w:cs="Times New Roman" w:hint="eastAsia"/>
        </w:rPr>
        <w:t>。</w:t>
      </w:r>
      <w:bookmarkEnd w:id="267"/>
    </w:p>
    <w:p w:rsidR="00C645C9" w:rsidRDefault="00F955D9">
      <w:pPr>
        <w:adjustRightInd w:val="0"/>
        <w:snapToGrid w:val="0"/>
        <w:spacing w:line="360" w:lineRule="auto"/>
        <w:ind w:firstLine="480"/>
        <w:rPr>
          <w:rFonts w:cs="Times New Roman"/>
        </w:rPr>
      </w:pPr>
      <w:r>
        <w:rPr>
          <w:rFonts w:cs="Times New Roman" w:hint="eastAsia"/>
        </w:rPr>
        <w:lastRenderedPageBreak/>
        <w:t>本工程</w:t>
      </w:r>
      <w:r>
        <w:rPr>
          <w:rFonts w:cs="Times New Roman"/>
        </w:rPr>
        <w:t>依据</w:t>
      </w:r>
      <w:r>
        <w:rPr>
          <w:rFonts w:cs="Times New Roman"/>
        </w:rPr>
        <w:t>《</w:t>
      </w:r>
      <w:r>
        <w:rPr>
          <w:rFonts w:cs="Times New Roman"/>
        </w:rPr>
        <w:t>环境影响评价技术导则</w:t>
      </w:r>
      <w:r>
        <w:rPr>
          <w:rFonts w:cs="Times New Roman"/>
        </w:rPr>
        <w:t xml:space="preserve"> </w:t>
      </w:r>
      <w:r>
        <w:rPr>
          <w:rFonts w:cs="Times New Roman"/>
        </w:rPr>
        <w:t>地下水环境</w:t>
      </w:r>
      <w:r>
        <w:rPr>
          <w:rFonts w:cs="Times New Roman"/>
        </w:rPr>
        <w:t>》（</w:t>
      </w:r>
      <w:r>
        <w:rPr>
          <w:rFonts w:cs="Times New Roman"/>
        </w:rPr>
        <w:t>HJ610-2016</w:t>
      </w:r>
      <w:r>
        <w:rPr>
          <w:rFonts w:cs="Times New Roman"/>
        </w:rPr>
        <w:t>）</w:t>
      </w:r>
      <w:r>
        <w:rPr>
          <w:rFonts w:cs="Times New Roman"/>
        </w:rPr>
        <w:t>中的地下水环境敏感程度分级表及建设项目评价工作等级分级表，确定</w:t>
      </w:r>
      <w:r>
        <w:rPr>
          <w:rFonts w:cs="Times New Roman"/>
        </w:rPr>
        <w:t>本</w:t>
      </w:r>
      <w:r>
        <w:rPr>
          <w:rFonts w:cs="Times New Roman" w:hint="eastAsia"/>
        </w:rPr>
        <w:t>工程</w:t>
      </w:r>
      <w:r>
        <w:rPr>
          <w:rFonts w:cs="Times New Roman"/>
        </w:rPr>
        <w:t>地下水评价等级为</w:t>
      </w:r>
      <w:r>
        <w:rPr>
          <w:rFonts w:cs="Times New Roman" w:hint="eastAsia"/>
        </w:rPr>
        <w:t>二</w:t>
      </w:r>
      <w:r>
        <w:rPr>
          <w:rFonts w:cs="Times New Roman"/>
        </w:rPr>
        <w:t>级。</w:t>
      </w:r>
    </w:p>
    <w:p w:rsidR="00C645C9" w:rsidRDefault="00F955D9">
      <w:pPr>
        <w:pStyle w:val="af9"/>
        <w:adjustRightInd w:val="0"/>
        <w:snapToGrid w:val="0"/>
        <w:spacing w:line="240" w:lineRule="auto"/>
        <w:rPr>
          <w:rFonts w:eastAsia="黑体"/>
          <w:b w:val="0"/>
          <w:bCs/>
        </w:rPr>
      </w:pPr>
      <w:r>
        <w:rPr>
          <w:rFonts w:eastAsia="黑体"/>
          <w:b w:val="0"/>
          <w:bCs/>
        </w:rPr>
        <w:t>表</w:t>
      </w:r>
      <w:r>
        <w:rPr>
          <w:rFonts w:eastAsia="黑体"/>
          <w:b w:val="0"/>
          <w:bCs/>
        </w:rPr>
        <w:t>2.</w:t>
      </w:r>
      <w:r>
        <w:rPr>
          <w:rFonts w:eastAsia="黑体" w:hint="eastAsia"/>
          <w:b w:val="0"/>
          <w:bCs/>
        </w:rPr>
        <w:t>5-2</w:t>
      </w:r>
      <w:r>
        <w:rPr>
          <w:rFonts w:eastAsia="黑体"/>
          <w:b w:val="0"/>
          <w:bCs/>
        </w:rPr>
        <w:t xml:space="preserve">   </w:t>
      </w:r>
      <w:r>
        <w:rPr>
          <w:rFonts w:eastAsia="黑体"/>
          <w:b w:val="0"/>
          <w:bCs/>
        </w:rPr>
        <w:t>地下水环境影响评价行业分类表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1107"/>
        <w:gridCol w:w="1108"/>
        <w:gridCol w:w="1486"/>
        <w:gridCol w:w="1486"/>
      </w:tblGrid>
      <w:tr w:rsidR="00C645C9">
        <w:trPr>
          <w:trHeight w:val="190"/>
          <w:jc w:val="center"/>
        </w:trPr>
        <w:tc>
          <w:tcPr>
            <w:tcW w:w="3341" w:type="dxa"/>
            <w:vMerge w:val="restart"/>
            <w:tcBorders>
              <w:tl2br w:val="single" w:sz="4" w:space="0" w:color="auto"/>
            </w:tcBorders>
            <w:vAlign w:val="center"/>
          </w:tcPr>
          <w:p w:rsidR="00C645C9" w:rsidRDefault="00F955D9">
            <w:pPr>
              <w:pStyle w:val="afb"/>
              <w:adjustRightInd w:val="0"/>
              <w:snapToGrid w:val="0"/>
              <w:spacing w:line="240" w:lineRule="auto"/>
            </w:pPr>
            <w:r>
              <w:t xml:space="preserve">         </w:t>
            </w:r>
            <w:r>
              <w:rPr>
                <w:rFonts w:hint="eastAsia"/>
              </w:rPr>
              <w:t xml:space="preserve">            </w:t>
            </w:r>
            <w:r>
              <w:t>行业类别</w:t>
            </w:r>
          </w:p>
          <w:p w:rsidR="00C645C9" w:rsidRDefault="00F955D9">
            <w:pPr>
              <w:pStyle w:val="afb"/>
              <w:adjustRightInd w:val="0"/>
              <w:snapToGrid w:val="0"/>
              <w:spacing w:line="240" w:lineRule="auto"/>
              <w:jc w:val="left"/>
            </w:pPr>
            <w:r>
              <w:t>环评类别</w:t>
            </w:r>
          </w:p>
        </w:tc>
        <w:tc>
          <w:tcPr>
            <w:tcW w:w="1107" w:type="dxa"/>
            <w:vMerge w:val="restart"/>
            <w:vAlign w:val="center"/>
          </w:tcPr>
          <w:p w:rsidR="00C645C9" w:rsidRDefault="00F955D9">
            <w:pPr>
              <w:pStyle w:val="afb"/>
              <w:adjustRightInd w:val="0"/>
              <w:snapToGrid w:val="0"/>
              <w:spacing w:line="240" w:lineRule="auto"/>
            </w:pPr>
            <w:r>
              <w:t>报告书</w:t>
            </w:r>
          </w:p>
        </w:tc>
        <w:tc>
          <w:tcPr>
            <w:tcW w:w="1108" w:type="dxa"/>
            <w:vMerge w:val="restart"/>
            <w:vAlign w:val="center"/>
          </w:tcPr>
          <w:p w:rsidR="00C645C9" w:rsidRDefault="00F955D9">
            <w:pPr>
              <w:pStyle w:val="afb"/>
              <w:adjustRightInd w:val="0"/>
              <w:snapToGrid w:val="0"/>
              <w:spacing w:line="240" w:lineRule="auto"/>
            </w:pPr>
            <w:r>
              <w:t>报告表</w:t>
            </w:r>
          </w:p>
        </w:tc>
        <w:tc>
          <w:tcPr>
            <w:tcW w:w="2972" w:type="dxa"/>
            <w:gridSpan w:val="2"/>
            <w:vAlign w:val="center"/>
          </w:tcPr>
          <w:p w:rsidR="00C645C9" w:rsidRDefault="00F955D9">
            <w:pPr>
              <w:pStyle w:val="afb"/>
              <w:adjustRightInd w:val="0"/>
              <w:snapToGrid w:val="0"/>
              <w:spacing w:line="240" w:lineRule="auto"/>
            </w:pPr>
            <w:r>
              <w:t>地下水环境影响评价项目类别</w:t>
            </w:r>
          </w:p>
        </w:tc>
      </w:tr>
      <w:tr w:rsidR="00C645C9">
        <w:trPr>
          <w:trHeight w:val="166"/>
          <w:jc w:val="center"/>
        </w:trPr>
        <w:tc>
          <w:tcPr>
            <w:tcW w:w="3341" w:type="dxa"/>
            <w:vMerge/>
            <w:vAlign w:val="center"/>
          </w:tcPr>
          <w:p w:rsidR="00C645C9" w:rsidRDefault="00C645C9">
            <w:pPr>
              <w:pStyle w:val="afb"/>
              <w:adjustRightInd w:val="0"/>
              <w:snapToGrid w:val="0"/>
              <w:spacing w:line="240" w:lineRule="auto"/>
            </w:pPr>
          </w:p>
        </w:tc>
        <w:tc>
          <w:tcPr>
            <w:tcW w:w="1107" w:type="dxa"/>
            <w:vMerge/>
            <w:vAlign w:val="center"/>
          </w:tcPr>
          <w:p w:rsidR="00C645C9" w:rsidRDefault="00C645C9">
            <w:pPr>
              <w:pStyle w:val="afb"/>
              <w:adjustRightInd w:val="0"/>
              <w:snapToGrid w:val="0"/>
              <w:spacing w:line="240" w:lineRule="auto"/>
            </w:pPr>
          </w:p>
        </w:tc>
        <w:tc>
          <w:tcPr>
            <w:tcW w:w="1108" w:type="dxa"/>
            <w:vMerge/>
            <w:vAlign w:val="center"/>
          </w:tcPr>
          <w:p w:rsidR="00C645C9" w:rsidRDefault="00C645C9">
            <w:pPr>
              <w:pStyle w:val="afb"/>
              <w:adjustRightInd w:val="0"/>
              <w:snapToGrid w:val="0"/>
              <w:spacing w:line="240" w:lineRule="auto"/>
            </w:pPr>
          </w:p>
        </w:tc>
        <w:tc>
          <w:tcPr>
            <w:tcW w:w="1486" w:type="dxa"/>
            <w:vAlign w:val="center"/>
          </w:tcPr>
          <w:p w:rsidR="00C645C9" w:rsidRDefault="00F955D9">
            <w:pPr>
              <w:pStyle w:val="afb"/>
              <w:adjustRightInd w:val="0"/>
              <w:snapToGrid w:val="0"/>
              <w:spacing w:line="240" w:lineRule="auto"/>
            </w:pPr>
            <w:r>
              <w:t>报告书</w:t>
            </w:r>
          </w:p>
        </w:tc>
        <w:tc>
          <w:tcPr>
            <w:tcW w:w="1486" w:type="dxa"/>
            <w:vAlign w:val="center"/>
          </w:tcPr>
          <w:p w:rsidR="00C645C9" w:rsidRDefault="00F955D9">
            <w:pPr>
              <w:pStyle w:val="afb"/>
              <w:adjustRightInd w:val="0"/>
              <w:snapToGrid w:val="0"/>
              <w:spacing w:line="240" w:lineRule="auto"/>
            </w:pPr>
            <w:r>
              <w:t>报告表</w:t>
            </w:r>
          </w:p>
        </w:tc>
      </w:tr>
      <w:tr w:rsidR="00C645C9">
        <w:trPr>
          <w:trHeight w:val="235"/>
          <w:jc w:val="center"/>
        </w:trPr>
        <w:tc>
          <w:tcPr>
            <w:tcW w:w="3341" w:type="dxa"/>
            <w:vAlign w:val="center"/>
          </w:tcPr>
          <w:p w:rsidR="00C645C9" w:rsidRDefault="00F955D9">
            <w:pPr>
              <w:pStyle w:val="afb"/>
              <w:adjustRightInd w:val="0"/>
              <w:snapToGrid w:val="0"/>
              <w:spacing w:line="240" w:lineRule="auto"/>
            </w:pPr>
            <w:r>
              <w:t>F</w:t>
            </w:r>
            <w:r>
              <w:t>石油、天然气</w:t>
            </w:r>
          </w:p>
        </w:tc>
        <w:tc>
          <w:tcPr>
            <w:tcW w:w="5187" w:type="dxa"/>
            <w:gridSpan w:val="4"/>
            <w:vAlign w:val="center"/>
          </w:tcPr>
          <w:p w:rsidR="00C645C9" w:rsidRDefault="00C645C9">
            <w:pPr>
              <w:pStyle w:val="afb"/>
              <w:adjustRightInd w:val="0"/>
              <w:snapToGrid w:val="0"/>
              <w:spacing w:line="240" w:lineRule="auto"/>
            </w:pPr>
          </w:p>
        </w:tc>
      </w:tr>
      <w:tr w:rsidR="00C645C9">
        <w:trPr>
          <w:trHeight w:val="198"/>
          <w:jc w:val="center"/>
        </w:trPr>
        <w:tc>
          <w:tcPr>
            <w:tcW w:w="3341" w:type="dxa"/>
            <w:vAlign w:val="center"/>
          </w:tcPr>
          <w:p w:rsidR="00C645C9" w:rsidRDefault="00F955D9">
            <w:pPr>
              <w:pStyle w:val="afb"/>
              <w:adjustRightInd w:val="0"/>
              <w:snapToGrid w:val="0"/>
              <w:spacing w:line="240" w:lineRule="auto"/>
            </w:pPr>
            <w:r>
              <w:rPr>
                <w:rFonts w:hint="eastAsia"/>
              </w:rPr>
              <w:t>38</w:t>
            </w:r>
            <w:r>
              <w:t>、天然气、页岩气开采（含净化）</w:t>
            </w:r>
          </w:p>
        </w:tc>
        <w:tc>
          <w:tcPr>
            <w:tcW w:w="1107" w:type="dxa"/>
            <w:vAlign w:val="center"/>
          </w:tcPr>
          <w:p w:rsidR="00C645C9" w:rsidRDefault="00F955D9">
            <w:pPr>
              <w:pStyle w:val="afb"/>
              <w:adjustRightInd w:val="0"/>
              <w:snapToGrid w:val="0"/>
              <w:spacing w:line="240" w:lineRule="auto"/>
            </w:pPr>
            <w:r>
              <w:t>全部</w:t>
            </w:r>
          </w:p>
        </w:tc>
        <w:tc>
          <w:tcPr>
            <w:tcW w:w="1108" w:type="dxa"/>
            <w:vAlign w:val="center"/>
          </w:tcPr>
          <w:p w:rsidR="00C645C9" w:rsidRDefault="00F955D9">
            <w:pPr>
              <w:pStyle w:val="afb"/>
              <w:adjustRightInd w:val="0"/>
              <w:snapToGrid w:val="0"/>
              <w:spacing w:line="240" w:lineRule="auto"/>
            </w:pPr>
            <w:r>
              <w:rPr>
                <w:rFonts w:hint="eastAsia"/>
              </w:rPr>
              <w:t>-</w:t>
            </w:r>
          </w:p>
        </w:tc>
        <w:tc>
          <w:tcPr>
            <w:tcW w:w="1486" w:type="dxa"/>
            <w:vAlign w:val="center"/>
          </w:tcPr>
          <w:p w:rsidR="00C645C9" w:rsidRDefault="00F955D9">
            <w:pPr>
              <w:pStyle w:val="afb"/>
              <w:adjustRightInd w:val="0"/>
              <w:snapToGrid w:val="0"/>
              <w:spacing w:line="240" w:lineRule="auto"/>
            </w:pPr>
            <w:r>
              <w:t>II</w:t>
            </w:r>
            <w:r>
              <w:t>类</w:t>
            </w:r>
          </w:p>
        </w:tc>
        <w:tc>
          <w:tcPr>
            <w:tcW w:w="1486" w:type="dxa"/>
            <w:vAlign w:val="center"/>
          </w:tcPr>
          <w:p w:rsidR="00C645C9" w:rsidRDefault="00C645C9">
            <w:pPr>
              <w:pStyle w:val="afb"/>
              <w:adjustRightInd w:val="0"/>
              <w:snapToGrid w:val="0"/>
              <w:spacing w:line="240" w:lineRule="auto"/>
            </w:pPr>
          </w:p>
        </w:tc>
      </w:tr>
    </w:tbl>
    <w:p w:rsidR="00C645C9" w:rsidRDefault="00C645C9">
      <w:pPr>
        <w:pStyle w:val="af9"/>
        <w:adjustRightInd w:val="0"/>
        <w:snapToGrid w:val="0"/>
        <w:spacing w:line="240" w:lineRule="auto"/>
        <w:rPr>
          <w:rFonts w:eastAsia="黑体"/>
          <w:b w:val="0"/>
          <w:bCs/>
        </w:rPr>
      </w:pPr>
    </w:p>
    <w:p w:rsidR="00C645C9" w:rsidRDefault="00F955D9">
      <w:pPr>
        <w:pStyle w:val="af9"/>
        <w:adjustRightInd w:val="0"/>
        <w:snapToGrid w:val="0"/>
        <w:spacing w:line="240" w:lineRule="auto"/>
        <w:rPr>
          <w:rFonts w:eastAsia="黑体"/>
          <w:b w:val="0"/>
          <w:bCs/>
        </w:rPr>
      </w:pPr>
      <w:r>
        <w:rPr>
          <w:rFonts w:eastAsia="黑体"/>
          <w:b w:val="0"/>
          <w:bCs/>
        </w:rPr>
        <w:t>表</w:t>
      </w:r>
      <w:r>
        <w:rPr>
          <w:rFonts w:eastAsia="黑体"/>
          <w:b w:val="0"/>
          <w:bCs/>
        </w:rPr>
        <w:t>2.</w:t>
      </w:r>
      <w:r>
        <w:rPr>
          <w:rFonts w:eastAsia="黑体" w:hint="eastAsia"/>
          <w:b w:val="0"/>
          <w:bCs/>
        </w:rPr>
        <w:t>5-3</w:t>
      </w:r>
      <w:r>
        <w:rPr>
          <w:rFonts w:eastAsia="黑体"/>
          <w:b w:val="0"/>
          <w:bCs/>
        </w:rPr>
        <w:t xml:space="preserve">   </w:t>
      </w:r>
      <w:r>
        <w:rPr>
          <w:rFonts w:eastAsia="黑体"/>
          <w:b w:val="0"/>
          <w:bCs/>
        </w:rPr>
        <w:t>地下水环境敏感程度分级</w:t>
      </w:r>
      <w:r>
        <w:rPr>
          <w:rFonts w:eastAsia="黑体" w:hint="eastAsia"/>
          <w:b w:val="0"/>
          <w:bCs/>
        </w:rPr>
        <w:t>表</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540"/>
      </w:tblGrid>
      <w:tr w:rsidR="00C645C9">
        <w:trPr>
          <w:trHeight w:val="227"/>
        </w:trPr>
        <w:tc>
          <w:tcPr>
            <w:tcW w:w="988" w:type="dxa"/>
            <w:vAlign w:val="center"/>
          </w:tcPr>
          <w:p w:rsidR="00C645C9" w:rsidRDefault="00F955D9">
            <w:pPr>
              <w:pStyle w:val="afb"/>
              <w:adjustRightInd w:val="0"/>
              <w:snapToGrid w:val="0"/>
              <w:spacing w:line="240" w:lineRule="auto"/>
            </w:pPr>
            <w:r>
              <w:t>分级</w:t>
            </w:r>
          </w:p>
        </w:tc>
        <w:tc>
          <w:tcPr>
            <w:tcW w:w="7540" w:type="dxa"/>
            <w:vAlign w:val="center"/>
          </w:tcPr>
          <w:p w:rsidR="00C645C9" w:rsidRDefault="00F955D9">
            <w:pPr>
              <w:pStyle w:val="afb"/>
              <w:adjustRightInd w:val="0"/>
              <w:snapToGrid w:val="0"/>
              <w:spacing w:line="240" w:lineRule="auto"/>
            </w:pPr>
            <w:r>
              <w:t>项目场地的地下水环境敏感特征</w:t>
            </w:r>
          </w:p>
        </w:tc>
      </w:tr>
      <w:tr w:rsidR="00C645C9">
        <w:trPr>
          <w:trHeight w:val="227"/>
        </w:trPr>
        <w:tc>
          <w:tcPr>
            <w:tcW w:w="988" w:type="dxa"/>
            <w:vAlign w:val="center"/>
          </w:tcPr>
          <w:p w:rsidR="00C645C9" w:rsidRDefault="00F955D9">
            <w:pPr>
              <w:pStyle w:val="afb"/>
              <w:adjustRightInd w:val="0"/>
              <w:snapToGrid w:val="0"/>
              <w:spacing w:line="240" w:lineRule="auto"/>
            </w:pPr>
            <w:r>
              <w:t>敏感</w:t>
            </w:r>
          </w:p>
        </w:tc>
        <w:tc>
          <w:tcPr>
            <w:tcW w:w="7540" w:type="dxa"/>
            <w:vAlign w:val="center"/>
          </w:tcPr>
          <w:p w:rsidR="00C645C9" w:rsidRDefault="00F955D9">
            <w:pPr>
              <w:pStyle w:val="afb"/>
              <w:adjustRightInd w:val="0"/>
              <w:snapToGrid w:val="0"/>
              <w:spacing w:line="240" w:lineRule="auto"/>
              <w:jc w:val="both"/>
            </w:pPr>
            <w:r>
              <w:t>集中式饮用水水源</w:t>
            </w:r>
            <w:r>
              <w:t>（</w:t>
            </w:r>
            <w:r>
              <w:t>包括已建成的在用、备用、应急水源地，在建和规划的饮用水水源</w:t>
            </w:r>
            <w:r>
              <w:t>）</w:t>
            </w:r>
            <w:r>
              <w:t>准保护区；</w:t>
            </w:r>
            <w:bookmarkStart w:id="269" w:name="OLE_LINK109"/>
            <w:r>
              <w:t>除集中式饮用水水源以外的国家或地方政府设定的与地下水环境</w:t>
            </w:r>
            <w:r>
              <w:rPr>
                <w:rFonts w:hint="eastAsia"/>
              </w:rPr>
              <w:t>相关的其他</w:t>
            </w:r>
            <w:r>
              <w:t>保护区</w:t>
            </w:r>
            <w:bookmarkEnd w:id="269"/>
            <w:r>
              <w:t>，如热水、矿泉水、温泉等特殊地下水资源保护区。</w:t>
            </w:r>
          </w:p>
        </w:tc>
      </w:tr>
      <w:tr w:rsidR="00C645C9">
        <w:trPr>
          <w:trHeight w:val="227"/>
        </w:trPr>
        <w:tc>
          <w:tcPr>
            <w:tcW w:w="988" w:type="dxa"/>
            <w:vAlign w:val="center"/>
          </w:tcPr>
          <w:p w:rsidR="00C645C9" w:rsidRDefault="00F955D9">
            <w:pPr>
              <w:pStyle w:val="afb"/>
              <w:adjustRightInd w:val="0"/>
              <w:snapToGrid w:val="0"/>
              <w:spacing w:line="240" w:lineRule="auto"/>
            </w:pPr>
            <w:r>
              <w:t>较敏感</w:t>
            </w:r>
          </w:p>
        </w:tc>
        <w:tc>
          <w:tcPr>
            <w:tcW w:w="7540" w:type="dxa"/>
            <w:vAlign w:val="center"/>
          </w:tcPr>
          <w:p w:rsidR="00C645C9" w:rsidRDefault="00F955D9">
            <w:pPr>
              <w:pStyle w:val="afb"/>
              <w:adjustRightInd w:val="0"/>
              <w:snapToGrid w:val="0"/>
              <w:spacing w:line="240" w:lineRule="auto"/>
              <w:jc w:val="both"/>
            </w:pPr>
            <w:bookmarkStart w:id="270" w:name="OLE_LINK110"/>
            <w:r>
              <w:t>集中式饮用水水源</w:t>
            </w:r>
            <w:bookmarkEnd w:id="270"/>
            <w:r>
              <w:t>（</w:t>
            </w:r>
            <w:r>
              <w:t>包括已建成的在用、备用、应急水源，在建和规划的饮用水水源</w:t>
            </w:r>
            <w:r>
              <w:t>）</w:t>
            </w:r>
            <w:bookmarkStart w:id="271" w:name="OLE_LINK111"/>
            <w:r>
              <w:t>准保护区</w:t>
            </w:r>
            <w:bookmarkStart w:id="272" w:name="OLE_LINK112"/>
            <w:r>
              <w:t>以外的补给径流区</w:t>
            </w:r>
            <w:bookmarkEnd w:id="272"/>
            <w:r>
              <w:t>；未划定准保护区的集中式饮用水水源，其保护区以外的补给径流区；分散式饮用水水源地；特殊地下水资源</w:t>
            </w:r>
            <w:r>
              <w:t>（</w:t>
            </w:r>
            <w:r>
              <w:t>矿泉水、温泉等</w:t>
            </w:r>
            <w:r>
              <w:t>）</w:t>
            </w:r>
            <w:r>
              <w:t>保护区以外的分布区等</w:t>
            </w:r>
            <w:r>
              <w:rPr>
                <w:rFonts w:hint="eastAsia"/>
              </w:rPr>
              <w:t>其他未</w:t>
            </w:r>
            <w:r>
              <w:t>列入上述敏感分级的环境敏感区</w:t>
            </w:r>
            <w:bookmarkEnd w:id="271"/>
            <w:r>
              <w:t>。</w:t>
            </w:r>
          </w:p>
        </w:tc>
      </w:tr>
      <w:tr w:rsidR="00C645C9">
        <w:trPr>
          <w:trHeight w:val="227"/>
        </w:trPr>
        <w:tc>
          <w:tcPr>
            <w:tcW w:w="988" w:type="dxa"/>
            <w:vAlign w:val="center"/>
          </w:tcPr>
          <w:p w:rsidR="00C645C9" w:rsidRDefault="00F955D9">
            <w:pPr>
              <w:pStyle w:val="afb"/>
            </w:pPr>
            <w:r>
              <w:t>不敏感</w:t>
            </w:r>
          </w:p>
        </w:tc>
        <w:tc>
          <w:tcPr>
            <w:tcW w:w="7540" w:type="dxa"/>
            <w:vAlign w:val="center"/>
          </w:tcPr>
          <w:p w:rsidR="00C645C9" w:rsidRDefault="00F955D9">
            <w:pPr>
              <w:pStyle w:val="afb"/>
              <w:jc w:val="left"/>
            </w:pPr>
            <w:r>
              <w:t>上述地区之外</w:t>
            </w:r>
            <w:r>
              <w:rPr>
                <w:rFonts w:hint="eastAsia"/>
              </w:rPr>
              <w:t>的其他</w:t>
            </w:r>
            <w:r>
              <w:t>地区。</w:t>
            </w:r>
          </w:p>
        </w:tc>
      </w:tr>
    </w:tbl>
    <w:p w:rsidR="00C645C9" w:rsidRDefault="00F955D9">
      <w:pPr>
        <w:pStyle w:val="af9"/>
        <w:adjustRightInd w:val="0"/>
        <w:snapToGrid w:val="0"/>
        <w:spacing w:line="240" w:lineRule="auto"/>
        <w:rPr>
          <w:rFonts w:eastAsia="黑体"/>
          <w:b w:val="0"/>
          <w:bCs/>
        </w:rPr>
      </w:pPr>
      <w:r>
        <w:rPr>
          <w:rFonts w:eastAsia="黑体"/>
          <w:b w:val="0"/>
          <w:bCs/>
        </w:rPr>
        <w:t>表</w:t>
      </w:r>
      <w:r>
        <w:rPr>
          <w:rFonts w:eastAsia="黑体"/>
          <w:b w:val="0"/>
          <w:bCs/>
        </w:rPr>
        <w:t>2.</w:t>
      </w:r>
      <w:r>
        <w:rPr>
          <w:rFonts w:eastAsia="黑体" w:hint="eastAsia"/>
          <w:b w:val="0"/>
          <w:bCs/>
        </w:rPr>
        <w:t>5-4</w:t>
      </w:r>
      <w:r>
        <w:rPr>
          <w:rFonts w:eastAsia="黑体"/>
          <w:b w:val="0"/>
          <w:bCs/>
        </w:rPr>
        <w:t xml:space="preserve">   </w:t>
      </w:r>
      <w:r>
        <w:rPr>
          <w:rFonts w:eastAsia="黑体"/>
          <w:b w:val="0"/>
          <w:bCs/>
        </w:rPr>
        <w:t>地下水环境影响评价工作等级</w:t>
      </w:r>
      <w:r>
        <w:rPr>
          <w:rFonts w:eastAsia="黑体" w:hint="eastAsia"/>
          <w:b w:val="0"/>
          <w:bCs/>
        </w:rPr>
        <w:t>分级表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30"/>
        <w:gridCol w:w="2130"/>
        <w:gridCol w:w="2130"/>
      </w:tblGrid>
      <w:tr w:rsidR="00C645C9">
        <w:trPr>
          <w:trHeight w:val="459"/>
        </w:trPr>
        <w:tc>
          <w:tcPr>
            <w:tcW w:w="1250" w:type="pct"/>
            <w:tcBorders>
              <w:tl2br w:val="single" w:sz="4" w:space="0" w:color="auto"/>
            </w:tcBorders>
            <w:vAlign w:val="center"/>
          </w:tcPr>
          <w:p w:rsidR="00C645C9" w:rsidRDefault="00F955D9">
            <w:pPr>
              <w:pStyle w:val="afb"/>
              <w:adjustRightInd w:val="0"/>
              <w:snapToGrid w:val="0"/>
              <w:spacing w:line="240" w:lineRule="auto"/>
            </w:pPr>
            <w:r>
              <w:t xml:space="preserve">          </w:t>
            </w:r>
            <w:r>
              <w:t>项目类别</w:t>
            </w:r>
          </w:p>
          <w:p w:rsidR="00C645C9" w:rsidRDefault="00F955D9">
            <w:pPr>
              <w:pStyle w:val="afb"/>
              <w:adjustRightInd w:val="0"/>
              <w:snapToGrid w:val="0"/>
              <w:spacing w:line="240" w:lineRule="auto"/>
              <w:jc w:val="both"/>
            </w:pPr>
            <w:r>
              <w:t>环境敏感程度</w:t>
            </w:r>
          </w:p>
        </w:tc>
        <w:tc>
          <w:tcPr>
            <w:tcW w:w="1250" w:type="pct"/>
            <w:vAlign w:val="center"/>
          </w:tcPr>
          <w:p w:rsidR="00C645C9" w:rsidRDefault="00F955D9">
            <w:pPr>
              <w:pStyle w:val="afb"/>
              <w:adjustRightInd w:val="0"/>
              <w:snapToGrid w:val="0"/>
              <w:spacing w:line="240" w:lineRule="auto"/>
            </w:pPr>
            <w:r>
              <w:t>I</w:t>
            </w:r>
            <w:r>
              <w:t>类项目</w:t>
            </w:r>
          </w:p>
        </w:tc>
        <w:tc>
          <w:tcPr>
            <w:tcW w:w="1250" w:type="pct"/>
            <w:vAlign w:val="center"/>
          </w:tcPr>
          <w:p w:rsidR="00C645C9" w:rsidRDefault="00F955D9">
            <w:pPr>
              <w:pStyle w:val="afb"/>
              <w:adjustRightInd w:val="0"/>
              <w:snapToGrid w:val="0"/>
              <w:spacing w:line="240" w:lineRule="auto"/>
            </w:pPr>
            <w:r>
              <w:t>Ⅱ</w:t>
            </w:r>
            <w:r>
              <w:t>类</w:t>
            </w:r>
            <w:r>
              <w:t>项目</w:t>
            </w:r>
          </w:p>
        </w:tc>
        <w:tc>
          <w:tcPr>
            <w:tcW w:w="1250" w:type="pct"/>
            <w:vAlign w:val="center"/>
          </w:tcPr>
          <w:p w:rsidR="00C645C9" w:rsidRDefault="00F955D9">
            <w:pPr>
              <w:pStyle w:val="afb"/>
              <w:adjustRightInd w:val="0"/>
              <w:snapToGrid w:val="0"/>
              <w:spacing w:line="240" w:lineRule="auto"/>
            </w:pPr>
            <w:r>
              <w:rPr>
                <w:rFonts w:hint="eastAsia"/>
              </w:rPr>
              <w:t>Ⅲ</w:t>
            </w:r>
            <w:r>
              <w:t>类项目</w:t>
            </w:r>
          </w:p>
        </w:tc>
      </w:tr>
      <w:tr w:rsidR="00C645C9">
        <w:tc>
          <w:tcPr>
            <w:tcW w:w="1250" w:type="pct"/>
            <w:vAlign w:val="center"/>
          </w:tcPr>
          <w:p w:rsidR="00C645C9" w:rsidRDefault="00F955D9">
            <w:pPr>
              <w:pStyle w:val="afb"/>
              <w:adjustRightInd w:val="0"/>
              <w:snapToGrid w:val="0"/>
              <w:spacing w:line="240" w:lineRule="auto"/>
            </w:pPr>
            <w:r>
              <w:t>敏感</w:t>
            </w:r>
          </w:p>
        </w:tc>
        <w:tc>
          <w:tcPr>
            <w:tcW w:w="1250" w:type="pct"/>
            <w:vAlign w:val="center"/>
          </w:tcPr>
          <w:p w:rsidR="00C645C9" w:rsidRDefault="00F955D9">
            <w:pPr>
              <w:pStyle w:val="afb"/>
              <w:adjustRightInd w:val="0"/>
              <w:snapToGrid w:val="0"/>
              <w:spacing w:line="240" w:lineRule="auto"/>
            </w:pPr>
            <w:r>
              <w:t>一</w:t>
            </w:r>
          </w:p>
        </w:tc>
        <w:tc>
          <w:tcPr>
            <w:tcW w:w="1250" w:type="pct"/>
            <w:vAlign w:val="center"/>
          </w:tcPr>
          <w:p w:rsidR="00C645C9" w:rsidRDefault="00F955D9">
            <w:pPr>
              <w:pStyle w:val="afb"/>
              <w:adjustRightInd w:val="0"/>
              <w:snapToGrid w:val="0"/>
              <w:spacing w:line="240" w:lineRule="auto"/>
            </w:pPr>
            <w:r>
              <w:t>一</w:t>
            </w:r>
          </w:p>
        </w:tc>
        <w:tc>
          <w:tcPr>
            <w:tcW w:w="1250" w:type="pct"/>
            <w:vAlign w:val="center"/>
          </w:tcPr>
          <w:p w:rsidR="00C645C9" w:rsidRDefault="00F955D9">
            <w:pPr>
              <w:pStyle w:val="afb"/>
              <w:adjustRightInd w:val="0"/>
              <w:snapToGrid w:val="0"/>
              <w:spacing w:line="240" w:lineRule="auto"/>
            </w:pPr>
            <w:r>
              <w:t>二</w:t>
            </w:r>
          </w:p>
        </w:tc>
      </w:tr>
      <w:tr w:rsidR="00C645C9">
        <w:tc>
          <w:tcPr>
            <w:tcW w:w="1250" w:type="pct"/>
            <w:vAlign w:val="center"/>
          </w:tcPr>
          <w:p w:rsidR="00C645C9" w:rsidRDefault="00F955D9">
            <w:pPr>
              <w:pStyle w:val="afb"/>
              <w:adjustRightInd w:val="0"/>
              <w:snapToGrid w:val="0"/>
              <w:spacing w:line="240" w:lineRule="auto"/>
            </w:pPr>
            <w:r>
              <w:t>较敏感</w:t>
            </w:r>
          </w:p>
        </w:tc>
        <w:tc>
          <w:tcPr>
            <w:tcW w:w="1250" w:type="pct"/>
            <w:vAlign w:val="center"/>
          </w:tcPr>
          <w:p w:rsidR="00C645C9" w:rsidRDefault="00F955D9">
            <w:pPr>
              <w:pStyle w:val="afb"/>
              <w:adjustRightInd w:val="0"/>
              <w:snapToGrid w:val="0"/>
              <w:spacing w:line="240" w:lineRule="auto"/>
            </w:pPr>
            <w:r>
              <w:t>一</w:t>
            </w:r>
          </w:p>
        </w:tc>
        <w:tc>
          <w:tcPr>
            <w:tcW w:w="1250" w:type="pct"/>
            <w:vAlign w:val="center"/>
          </w:tcPr>
          <w:p w:rsidR="00C645C9" w:rsidRDefault="00F955D9">
            <w:pPr>
              <w:pStyle w:val="afb"/>
              <w:adjustRightInd w:val="0"/>
              <w:snapToGrid w:val="0"/>
              <w:spacing w:line="240" w:lineRule="auto"/>
            </w:pPr>
            <w:r>
              <w:t>二</w:t>
            </w:r>
          </w:p>
        </w:tc>
        <w:tc>
          <w:tcPr>
            <w:tcW w:w="1250" w:type="pct"/>
            <w:vAlign w:val="center"/>
          </w:tcPr>
          <w:p w:rsidR="00C645C9" w:rsidRDefault="00F955D9">
            <w:pPr>
              <w:pStyle w:val="afb"/>
              <w:adjustRightInd w:val="0"/>
              <w:snapToGrid w:val="0"/>
              <w:spacing w:line="240" w:lineRule="auto"/>
            </w:pPr>
            <w:r>
              <w:t>三</w:t>
            </w:r>
          </w:p>
        </w:tc>
      </w:tr>
      <w:tr w:rsidR="00C645C9">
        <w:tc>
          <w:tcPr>
            <w:tcW w:w="1250" w:type="pct"/>
            <w:vAlign w:val="center"/>
          </w:tcPr>
          <w:p w:rsidR="00C645C9" w:rsidRDefault="00F955D9">
            <w:pPr>
              <w:pStyle w:val="afb"/>
            </w:pPr>
            <w:r>
              <w:t>不敏感</w:t>
            </w:r>
          </w:p>
        </w:tc>
        <w:tc>
          <w:tcPr>
            <w:tcW w:w="1250" w:type="pct"/>
            <w:vAlign w:val="center"/>
          </w:tcPr>
          <w:p w:rsidR="00C645C9" w:rsidRDefault="00F955D9">
            <w:pPr>
              <w:pStyle w:val="afb"/>
            </w:pPr>
            <w:r>
              <w:t>二</w:t>
            </w:r>
          </w:p>
        </w:tc>
        <w:tc>
          <w:tcPr>
            <w:tcW w:w="1250" w:type="pct"/>
            <w:vAlign w:val="center"/>
          </w:tcPr>
          <w:p w:rsidR="00C645C9" w:rsidRDefault="00F955D9">
            <w:pPr>
              <w:pStyle w:val="afb"/>
            </w:pPr>
            <w:r>
              <w:t>三</w:t>
            </w:r>
          </w:p>
        </w:tc>
        <w:tc>
          <w:tcPr>
            <w:tcW w:w="1250" w:type="pct"/>
            <w:vAlign w:val="center"/>
          </w:tcPr>
          <w:p w:rsidR="00C645C9" w:rsidRDefault="00F955D9">
            <w:pPr>
              <w:pStyle w:val="afb"/>
            </w:pPr>
            <w:r>
              <w:t>三</w:t>
            </w:r>
          </w:p>
        </w:tc>
      </w:tr>
    </w:tbl>
    <w:p w:rsidR="00C645C9" w:rsidRDefault="00F955D9">
      <w:pPr>
        <w:adjustRightInd w:val="0"/>
        <w:snapToGrid w:val="0"/>
        <w:spacing w:line="360" w:lineRule="auto"/>
        <w:ind w:firstLine="420"/>
        <w:rPr>
          <w:rFonts w:cs="Times New Roman"/>
        </w:rPr>
      </w:pPr>
      <w:r>
        <w:rPr>
          <w:rFonts w:cs="Times New Roman"/>
        </w:rPr>
        <w:t>（</w:t>
      </w:r>
      <w:r>
        <w:rPr>
          <w:rFonts w:cs="Times New Roman"/>
        </w:rPr>
        <w:t>2</w:t>
      </w:r>
      <w:r>
        <w:rPr>
          <w:rFonts w:cs="Times New Roman"/>
        </w:rPr>
        <w:t>）评价范围</w:t>
      </w:r>
    </w:p>
    <w:p w:rsidR="00C645C9" w:rsidRDefault="00F955D9">
      <w:pPr>
        <w:adjustRightInd w:val="0"/>
        <w:snapToGrid w:val="0"/>
        <w:spacing w:line="360" w:lineRule="auto"/>
        <w:ind w:firstLine="420"/>
        <w:rPr>
          <w:rFonts w:cs="Times New Roman"/>
        </w:rPr>
      </w:pPr>
      <w:r>
        <w:rPr>
          <w:rFonts w:cs="Times New Roman"/>
        </w:rPr>
        <w:t>根据</w:t>
      </w:r>
      <w:bookmarkStart w:id="273" w:name="OLE_LINK118"/>
      <w:r>
        <w:rPr>
          <w:rFonts w:cs="Times New Roman"/>
        </w:rPr>
        <w:t>《环境影响评价技术导则</w:t>
      </w:r>
      <w:r>
        <w:rPr>
          <w:rFonts w:cs="Times New Roman"/>
        </w:rPr>
        <w:t xml:space="preserve"> </w:t>
      </w:r>
      <w:r>
        <w:rPr>
          <w:rFonts w:cs="Times New Roman"/>
        </w:rPr>
        <w:t>地下水环境》（</w:t>
      </w:r>
      <w:r>
        <w:rPr>
          <w:rFonts w:cs="Times New Roman"/>
        </w:rPr>
        <w:t>HJ610-2016</w:t>
      </w:r>
      <w:r>
        <w:rPr>
          <w:rFonts w:cs="Times New Roman"/>
        </w:rPr>
        <w:t>）</w:t>
      </w:r>
      <w:bookmarkEnd w:id="273"/>
      <w:r>
        <w:rPr>
          <w:rFonts w:cs="Times New Roman"/>
        </w:rPr>
        <w:t>，采用</w:t>
      </w:r>
      <w:r>
        <w:rPr>
          <w:rFonts w:cs="Times New Roman" w:hint="eastAsia"/>
        </w:rPr>
        <w:t>查表</w:t>
      </w:r>
      <w:r>
        <w:rPr>
          <w:rFonts w:cs="Times New Roman"/>
        </w:rPr>
        <w:t>法确定地下水评价范围。</w:t>
      </w:r>
    </w:p>
    <w:p w:rsidR="00C645C9" w:rsidRDefault="00F955D9">
      <w:pPr>
        <w:adjustRightInd w:val="0"/>
        <w:snapToGrid w:val="0"/>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5-5</w:t>
      </w:r>
      <w:r>
        <w:rPr>
          <w:rFonts w:eastAsia="黑体" w:cs="Times New Roman"/>
          <w:bCs/>
          <w:sz w:val="21"/>
          <w:szCs w:val="21"/>
        </w:rPr>
        <w:t xml:space="preserve">   </w:t>
      </w:r>
      <w:r>
        <w:rPr>
          <w:rFonts w:eastAsia="黑体" w:cs="Times New Roman"/>
          <w:bCs/>
          <w:sz w:val="21"/>
          <w:szCs w:val="21"/>
        </w:rPr>
        <w:t>地下水环境现状调查评价范围参照表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759"/>
        <w:gridCol w:w="3003"/>
      </w:tblGrid>
      <w:tr w:rsidR="00C645C9">
        <w:tc>
          <w:tcPr>
            <w:tcW w:w="275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pPr>
            <w:r>
              <w:rPr>
                <w:rFonts w:ascii="宋体" w:hAnsi="宋体" w:hint="eastAsia"/>
              </w:rPr>
              <w:t>评价等级</w:t>
            </w:r>
          </w:p>
        </w:tc>
        <w:tc>
          <w:tcPr>
            <w:tcW w:w="2759" w:type="dxa"/>
            <w:tcBorders>
              <w:top w:val="single" w:sz="4" w:space="0" w:color="auto"/>
              <w:left w:val="nil"/>
              <w:bottom w:val="single" w:sz="4" w:space="0" w:color="auto"/>
              <w:right w:val="single" w:sz="4" w:space="0" w:color="auto"/>
            </w:tcBorders>
            <w:vAlign w:val="center"/>
          </w:tcPr>
          <w:p w:rsidR="00C645C9" w:rsidRDefault="00F955D9">
            <w:pPr>
              <w:pStyle w:val="afa"/>
            </w:pPr>
            <w:r>
              <w:rPr>
                <w:rFonts w:ascii="宋体" w:hAnsi="宋体" w:hint="eastAsia"/>
              </w:rPr>
              <w:t>调查评价面积</w:t>
            </w:r>
            <w:r>
              <w:rPr>
                <w:rFonts w:ascii="宋体" w:hAnsi="宋体" w:hint="eastAsia"/>
              </w:rPr>
              <w:t>/</w:t>
            </w:r>
            <w:r>
              <w:t>km</w:t>
            </w:r>
            <w:r>
              <w:rPr>
                <w:vertAlign w:val="superscript"/>
              </w:rPr>
              <w:t>2</w:t>
            </w:r>
          </w:p>
        </w:tc>
        <w:tc>
          <w:tcPr>
            <w:tcW w:w="3003" w:type="dxa"/>
            <w:tcBorders>
              <w:top w:val="single" w:sz="4" w:space="0" w:color="auto"/>
              <w:left w:val="nil"/>
              <w:bottom w:val="single" w:sz="4" w:space="0" w:color="auto"/>
              <w:right w:val="single" w:sz="4" w:space="0" w:color="auto"/>
            </w:tcBorders>
            <w:vAlign w:val="center"/>
          </w:tcPr>
          <w:p w:rsidR="00C645C9" w:rsidRDefault="00F955D9">
            <w:pPr>
              <w:pStyle w:val="afa"/>
            </w:pPr>
            <w:r>
              <w:rPr>
                <w:rFonts w:ascii="宋体" w:hAnsi="宋体" w:hint="eastAsia"/>
              </w:rPr>
              <w:t>备注</w:t>
            </w:r>
          </w:p>
        </w:tc>
      </w:tr>
      <w:tr w:rsidR="00C645C9">
        <w:tc>
          <w:tcPr>
            <w:tcW w:w="275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pPr>
            <w:r>
              <w:rPr>
                <w:rFonts w:ascii="宋体" w:hAnsi="宋体" w:hint="eastAsia"/>
              </w:rPr>
              <w:t>一级</w:t>
            </w:r>
          </w:p>
        </w:tc>
        <w:tc>
          <w:tcPr>
            <w:tcW w:w="2759" w:type="dxa"/>
            <w:tcBorders>
              <w:top w:val="single" w:sz="4" w:space="0" w:color="auto"/>
              <w:left w:val="nil"/>
              <w:bottom w:val="single" w:sz="4" w:space="0" w:color="auto"/>
              <w:right w:val="single" w:sz="4" w:space="0" w:color="auto"/>
            </w:tcBorders>
            <w:vAlign w:val="center"/>
          </w:tcPr>
          <w:p w:rsidR="00C645C9" w:rsidRDefault="00F955D9">
            <w:pPr>
              <w:pStyle w:val="afa"/>
            </w:pPr>
            <w:bookmarkStart w:id="274" w:name="OLE_LINK117"/>
            <w:r>
              <w:rPr>
                <w:rFonts w:ascii="宋体" w:hAnsi="宋体" w:hint="eastAsia"/>
              </w:rPr>
              <w:t>≥</w:t>
            </w:r>
            <w:bookmarkEnd w:id="274"/>
            <w:r>
              <w:t>20</w:t>
            </w:r>
          </w:p>
        </w:tc>
        <w:tc>
          <w:tcPr>
            <w:tcW w:w="3003" w:type="dxa"/>
            <w:vMerge w:val="restart"/>
            <w:tcBorders>
              <w:top w:val="nil"/>
              <w:left w:val="nil"/>
              <w:bottom w:val="single" w:sz="4" w:space="0" w:color="auto"/>
              <w:right w:val="single" w:sz="4" w:space="0" w:color="auto"/>
            </w:tcBorders>
            <w:vAlign w:val="center"/>
          </w:tcPr>
          <w:p w:rsidR="00C645C9" w:rsidRDefault="00F955D9">
            <w:pPr>
              <w:pStyle w:val="afa"/>
            </w:pPr>
            <w:r>
              <w:rPr>
                <w:rFonts w:ascii="宋体" w:hAnsi="宋体" w:hint="eastAsia"/>
              </w:rPr>
              <w:t>应包括重要的地下水环境保护目标，必要时适当扩大范围。</w:t>
            </w:r>
          </w:p>
        </w:tc>
      </w:tr>
      <w:tr w:rsidR="00C645C9">
        <w:tc>
          <w:tcPr>
            <w:tcW w:w="275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pPr>
            <w:r>
              <w:rPr>
                <w:rFonts w:ascii="宋体" w:hAnsi="宋体" w:hint="eastAsia"/>
              </w:rPr>
              <w:t>二级</w:t>
            </w:r>
          </w:p>
        </w:tc>
        <w:tc>
          <w:tcPr>
            <w:tcW w:w="2759" w:type="dxa"/>
            <w:tcBorders>
              <w:top w:val="single" w:sz="4" w:space="0" w:color="auto"/>
              <w:left w:val="nil"/>
              <w:bottom w:val="single" w:sz="4" w:space="0" w:color="auto"/>
              <w:right w:val="single" w:sz="4" w:space="0" w:color="auto"/>
            </w:tcBorders>
            <w:vAlign w:val="center"/>
          </w:tcPr>
          <w:p w:rsidR="00C645C9" w:rsidRDefault="00F955D9">
            <w:pPr>
              <w:pStyle w:val="afa"/>
            </w:pPr>
            <w:bookmarkStart w:id="275" w:name="OLE_LINK1221"/>
            <w:r>
              <w:t>6</w:t>
            </w:r>
            <w:r>
              <w:rPr>
                <w:rFonts w:hint="eastAsia"/>
              </w:rPr>
              <w:t>~</w:t>
            </w:r>
            <w:bookmarkStart w:id="276" w:name="OLE_LINK1530"/>
            <w:r>
              <w:t>20</w:t>
            </w:r>
            <w:bookmarkEnd w:id="275"/>
            <w:bookmarkEnd w:id="276"/>
          </w:p>
        </w:tc>
        <w:tc>
          <w:tcPr>
            <w:tcW w:w="3003" w:type="dxa"/>
            <w:vMerge/>
            <w:tcBorders>
              <w:top w:val="nil"/>
              <w:left w:val="nil"/>
              <w:bottom w:val="single" w:sz="4" w:space="0" w:color="auto"/>
              <w:right w:val="single" w:sz="4" w:space="0" w:color="auto"/>
            </w:tcBorders>
            <w:vAlign w:val="center"/>
          </w:tcPr>
          <w:p w:rsidR="00C645C9" w:rsidRDefault="00C645C9">
            <w:pPr>
              <w:adjustRightInd w:val="0"/>
              <w:snapToGrid w:val="0"/>
              <w:rPr>
                <w:kern w:val="2"/>
              </w:rPr>
            </w:pPr>
          </w:p>
        </w:tc>
      </w:tr>
      <w:tr w:rsidR="00C645C9">
        <w:tc>
          <w:tcPr>
            <w:tcW w:w="275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pPr>
            <w:r>
              <w:rPr>
                <w:rFonts w:ascii="宋体" w:hAnsi="宋体" w:hint="eastAsia"/>
              </w:rPr>
              <w:t>三级</w:t>
            </w:r>
          </w:p>
        </w:tc>
        <w:tc>
          <w:tcPr>
            <w:tcW w:w="2759" w:type="dxa"/>
            <w:tcBorders>
              <w:top w:val="single" w:sz="4" w:space="0" w:color="auto"/>
              <w:left w:val="nil"/>
              <w:bottom w:val="single" w:sz="4" w:space="0" w:color="auto"/>
              <w:right w:val="single" w:sz="4" w:space="0" w:color="auto"/>
            </w:tcBorders>
            <w:vAlign w:val="center"/>
          </w:tcPr>
          <w:p w:rsidR="00C645C9" w:rsidRDefault="00F955D9">
            <w:pPr>
              <w:pStyle w:val="afa"/>
            </w:pPr>
            <w:bookmarkStart w:id="277" w:name="OLE_LINK114"/>
            <w:r>
              <w:rPr>
                <w:rFonts w:ascii="宋体" w:hAnsi="宋体" w:hint="eastAsia"/>
              </w:rPr>
              <w:t>≤</w:t>
            </w:r>
            <w:bookmarkEnd w:id="277"/>
            <w:r>
              <w:t>6</w:t>
            </w:r>
          </w:p>
        </w:tc>
        <w:tc>
          <w:tcPr>
            <w:tcW w:w="3003" w:type="dxa"/>
            <w:vMerge/>
            <w:tcBorders>
              <w:top w:val="nil"/>
              <w:left w:val="nil"/>
              <w:bottom w:val="single" w:sz="4" w:space="0" w:color="auto"/>
              <w:right w:val="single" w:sz="4" w:space="0" w:color="auto"/>
            </w:tcBorders>
            <w:vAlign w:val="center"/>
          </w:tcPr>
          <w:p w:rsidR="00C645C9" w:rsidRDefault="00C645C9">
            <w:pPr>
              <w:adjustRightInd w:val="0"/>
              <w:snapToGrid w:val="0"/>
              <w:rPr>
                <w:kern w:val="2"/>
              </w:rPr>
            </w:pPr>
          </w:p>
        </w:tc>
      </w:tr>
    </w:tbl>
    <w:p w:rsidR="00C645C9" w:rsidRDefault="00F955D9">
      <w:pPr>
        <w:adjustRightInd w:val="0"/>
        <w:snapToGrid w:val="0"/>
        <w:spacing w:line="360" w:lineRule="auto"/>
        <w:ind w:firstLine="480"/>
        <w:rPr>
          <w:rFonts w:cs="Times New Roman"/>
        </w:rPr>
      </w:pPr>
      <w:r>
        <w:rPr>
          <w:rFonts w:hint="eastAsia"/>
        </w:rPr>
        <w:t>按照</w:t>
      </w:r>
      <w:r>
        <w:rPr>
          <w:rFonts w:cs="Times New Roman"/>
        </w:rPr>
        <w:t>《环境影响评价技术导则</w:t>
      </w:r>
      <w:r>
        <w:rPr>
          <w:rFonts w:cs="Times New Roman"/>
        </w:rPr>
        <w:t xml:space="preserve"> </w:t>
      </w:r>
      <w:r>
        <w:rPr>
          <w:rFonts w:cs="Times New Roman"/>
        </w:rPr>
        <w:t>地下水环境》（</w:t>
      </w:r>
      <w:r>
        <w:rPr>
          <w:rFonts w:cs="Times New Roman"/>
        </w:rPr>
        <w:t>HJ610-2016</w:t>
      </w:r>
      <w:r>
        <w:rPr>
          <w:rFonts w:cs="Times New Roman"/>
        </w:rPr>
        <w:t>）</w:t>
      </w:r>
      <w:r>
        <w:rPr>
          <w:rFonts w:cs="Times New Roman"/>
          <w:snapToGrid w:val="0"/>
        </w:rPr>
        <w:t>中关于</w:t>
      </w:r>
      <w:r>
        <w:rPr>
          <w:rFonts w:cs="Times New Roman" w:hint="eastAsia"/>
          <w:snapToGrid w:val="0"/>
        </w:rPr>
        <w:t>“</w:t>
      </w:r>
      <w:r>
        <w:rPr>
          <w:rFonts w:cs="Times New Roman" w:hint="eastAsia"/>
          <w:snapToGrid w:val="0"/>
        </w:rPr>
        <w:t>二</w:t>
      </w:r>
      <w:r>
        <w:rPr>
          <w:rFonts w:cs="Times New Roman"/>
          <w:snapToGrid w:val="0"/>
        </w:rPr>
        <w:t>级评价</w:t>
      </w:r>
      <w:r>
        <w:rPr>
          <w:rFonts w:cs="Times New Roman" w:hint="eastAsia"/>
          <w:snapToGrid w:val="0"/>
        </w:rPr>
        <w:t>”</w:t>
      </w:r>
      <w:r>
        <w:rPr>
          <w:rFonts w:cs="Times New Roman"/>
          <w:snapToGrid w:val="0"/>
        </w:rPr>
        <w:t>范围的规定，</w:t>
      </w:r>
      <w:r>
        <w:rPr>
          <w:rFonts w:cs="Times New Roman" w:hint="eastAsia"/>
          <w:snapToGrid w:val="0"/>
        </w:rPr>
        <w:t>本工程</w:t>
      </w:r>
      <w:r>
        <w:rPr>
          <w:rFonts w:cs="Times New Roman" w:hint="eastAsia"/>
          <w:snapToGrid w:val="0"/>
        </w:rPr>
        <w:t>地下水</w:t>
      </w:r>
      <w:r>
        <w:rPr>
          <w:rFonts w:cs="Times New Roman" w:hint="eastAsia"/>
          <w:snapToGrid w:val="0"/>
        </w:rPr>
        <w:t>评价范围</w:t>
      </w:r>
      <w:r>
        <w:rPr>
          <w:rFonts w:cs="Times New Roman" w:hint="eastAsia"/>
          <w:snapToGrid w:val="0"/>
        </w:rPr>
        <w:t>为</w:t>
      </w:r>
      <w:r>
        <w:rPr>
          <w:rFonts w:cs="Times New Roman" w:hint="eastAsia"/>
          <w:snapToGrid w:val="0"/>
        </w:rPr>
        <w:t>20</w:t>
      </w:r>
      <w:r>
        <w:rPr>
          <w:rFonts w:hint="eastAsia"/>
        </w:rPr>
        <w:t>km</w:t>
      </w:r>
      <w:r>
        <w:rPr>
          <w:rFonts w:hint="eastAsia"/>
          <w:vertAlign w:val="superscript"/>
        </w:rPr>
        <w:t>2</w:t>
      </w:r>
      <w:r>
        <w:rPr>
          <w:rFonts w:cs="Times New Roman"/>
          <w:snapToGrid w:val="0"/>
        </w:rPr>
        <w:t>，</w:t>
      </w:r>
      <w:r>
        <w:t>结合区域水文地质条件及本工程分布特点、地下水调查点分布情况等，本次评价范围确定为：本工程</w:t>
      </w:r>
      <w:r>
        <w:rPr>
          <w:rFonts w:hint="eastAsia"/>
        </w:rPr>
        <w:t>井场上游</w:t>
      </w:r>
      <w:r>
        <w:rPr>
          <w:rFonts w:hint="eastAsia"/>
        </w:rPr>
        <w:t>1km</w:t>
      </w:r>
      <w:r>
        <w:rPr>
          <w:rFonts w:hint="eastAsia"/>
        </w:rPr>
        <w:t>，下游</w:t>
      </w:r>
      <w:r>
        <w:t>2</w:t>
      </w:r>
      <w:r>
        <w:rPr>
          <w:rFonts w:hint="eastAsia"/>
        </w:rPr>
        <w:t>km</w:t>
      </w:r>
      <w:r>
        <w:rPr>
          <w:rFonts w:hint="eastAsia"/>
        </w:rPr>
        <w:t>，两侧</w:t>
      </w:r>
      <w:r>
        <w:rPr>
          <w:rFonts w:hint="eastAsia"/>
        </w:rPr>
        <w:t>1km</w:t>
      </w:r>
      <w:r>
        <w:rPr>
          <w:rFonts w:hint="eastAsia"/>
        </w:rPr>
        <w:t>的矩形区域</w:t>
      </w:r>
      <w:r>
        <w:t>作为评价范围</w:t>
      </w:r>
      <w:r>
        <w:rPr>
          <w:rFonts w:hint="eastAsia"/>
        </w:rPr>
        <w:t>。</w:t>
      </w:r>
      <w:r>
        <w:t>评价范围见图</w:t>
      </w:r>
      <w:r>
        <w:t>2.</w:t>
      </w:r>
      <w:r>
        <w:rPr>
          <w:rFonts w:hint="eastAsia"/>
        </w:rPr>
        <w:t>5</w:t>
      </w:r>
      <w:r>
        <w:t>-1</w:t>
      </w:r>
      <w:r>
        <w:rPr>
          <w:rFonts w:cs="Times New Roman"/>
        </w:rPr>
        <w:t>。</w:t>
      </w:r>
    </w:p>
    <w:p w:rsidR="00C645C9" w:rsidRDefault="00F955D9">
      <w:pPr>
        <w:pStyle w:val="32"/>
        <w:adjustRightInd w:val="0"/>
        <w:snapToGrid w:val="0"/>
        <w:spacing w:before="0" w:after="0"/>
        <w:rPr>
          <w:color w:val="auto"/>
          <w:lang w:eastAsia="zh-CN"/>
        </w:rPr>
      </w:pPr>
      <w:r>
        <w:rPr>
          <w:color w:val="auto"/>
          <w:lang w:eastAsia="zh-CN"/>
        </w:rPr>
        <w:t>2.</w:t>
      </w:r>
      <w:r>
        <w:rPr>
          <w:rFonts w:hint="eastAsia"/>
          <w:color w:val="auto"/>
          <w:lang w:eastAsia="zh-CN"/>
        </w:rPr>
        <w:t>5</w:t>
      </w:r>
      <w:r>
        <w:rPr>
          <w:color w:val="auto"/>
          <w:lang w:eastAsia="zh-CN"/>
        </w:rPr>
        <w:t>.</w:t>
      </w:r>
      <w:r>
        <w:rPr>
          <w:rFonts w:hint="eastAsia"/>
          <w:color w:val="auto"/>
          <w:lang w:eastAsia="zh-CN"/>
        </w:rPr>
        <w:t>3</w:t>
      </w:r>
      <w:r>
        <w:rPr>
          <w:color w:val="auto"/>
          <w:lang w:eastAsia="zh-CN"/>
        </w:rPr>
        <w:t>地表水环境影响评价等级和评价范围</w:t>
      </w:r>
    </w:p>
    <w:p w:rsidR="00C645C9" w:rsidRDefault="00F955D9">
      <w:pPr>
        <w:widowControl w:val="0"/>
        <w:adjustRightInd w:val="0"/>
        <w:snapToGrid w:val="0"/>
        <w:spacing w:line="360" w:lineRule="auto"/>
        <w:ind w:firstLineChars="200" w:firstLine="480"/>
        <w:rPr>
          <w:rFonts w:cs="Times New Roman"/>
          <w:snapToGrid w:val="0"/>
        </w:rPr>
      </w:pPr>
      <w:r>
        <w:rPr>
          <w:rFonts w:cs="Times New Roman"/>
          <w:snapToGrid w:val="0"/>
        </w:rPr>
        <w:t>（</w:t>
      </w:r>
      <w:r>
        <w:rPr>
          <w:rFonts w:cs="Times New Roman"/>
          <w:snapToGrid w:val="0"/>
        </w:rPr>
        <w:t>1</w:t>
      </w:r>
      <w:r>
        <w:rPr>
          <w:rFonts w:cs="Times New Roman"/>
          <w:snapToGrid w:val="0"/>
        </w:rPr>
        <w:t>）</w:t>
      </w:r>
      <w:r>
        <w:rPr>
          <w:rFonts w:cs="Times New Roman"/>
          <w:snapToGrid w:val="0"/>
        </w:rPr>
        <w:t>评价等级</w:t>
      </w:r>
    </w:p>
    <w:p w:rsidR="00C645C9" w:rsidRDefault="00F955D9">
      <w:pPr>
        <w:widowControl w:val="0"/>
        <w:adjustRightInd w:val="0"/>
        <w:snapToGrid w:val="0"/>
        <w:spacing w:line="360" w:lineRule="auto"/>
        <w:ind w:firstLineChars="200" w:firstLine="480"/>
        <w:jc w:val="both"/>
        <w:rPr>
          <w:rFonts w:cs="Times New Roman"/>
          <w:snapToGrid w:val="0"/>
        </w:rPr>
      </w:pPr>
      <w:r>
        <w:rPr>
          <w:rFonts w:cs="Times New Roman"/>
          <w:snapToGrid w:val="0"/>
        </w:rPr>
        <w:t>按照</w:t>
      </w:r>
      <w:r>
        <w:rPr>
          <w:rFonts w:cs="Times New Roman"/>
          <w:snapToGrid w:val="0"/>
        </w:rPr>
        <w:t>《</w:t>
      </w:r>
      <w:bookmarkStart w:id="278" w:name="OLE_LINK105"/>
      <w:r>
        <w:rPr>
          <w:rFonts w:cs="Times New Roman"/>
          <w:snapToGrid w:val="0"/>
        </w:rPr>
        <w:t>环境影响评价技术导则</w:t>
      </w:r>
      <w:r>
        <w:rPr>
          <w:rFonts w:cs="Times New Roman"/>
          <w:snapToGrid w:val="0"/>
        </w:rPr>
        <w:t xml:space="preserve"> </w:t>
      </w:r>
      <w:r>
        <w:rPr>
          <w:rFonts w:cs="Times New Roman"/>
          <w:snapToGrid w:val="0"/>
        </w:rPr>
        <w:t>地表水环境</w:t>
      </w:r>
      <w:bookmarkEnd w:id="278"/>
      <w:r>
        <w:rPr>
          <w:rFonts w:cs="Times New Roman"/>
          <w:snapToGrid w:val="0"/>
        </w:rPr>
        <w:t>》（</w:t>
      </w:r>
      <w:r>
        <w:rPr>
          <w:rFonts w:cs="Times New Roman"/>
          <w:snapToGrid w:val="0"/>
        </w:rPr>
        <w:t>HJ2.3-2018</w:t>
      </w:r>
      <w:r>
        <w:rPr>
          <w:rFonts w:cs="Times New Roman"/>
          <w:snapToGrid w:val="0"/>
        </w:rPr>
        <w:t>）</w:t>
      </w:r>
      <w:r>
        <w:rPr>
          <w:rFonts w:cs="Times New Roman"/>
          <w:snapToGrid w:val="0"/>
        </w:rPr>
        <w:t>，</w:t>
      </w:r>
      <w:r>
        <w:rPr>
          <w:rFonts w:cs="Times New Roman" w:hint="eastAsia"/>
          <w:snapToGrid w:val="0"/>
        </w:rPr>
        <w:t>本工程</w:t>
      </w:r>
      <w:r>
        <w:rPr>
          <w:rFonts w:cs="Times New Roman"/>
          <w:snapToGrid w:val="0"/>
        </w:rPr>
        <w:t>属于</w:t>
      </w:r>
      <w:r>
        <w:rPr>
          <w:rFonts w:cs="Times New Roman"/>
          <w:snapToGrid w:val="0"/>
        </w:rPr>
        <w:lastRenderedPageBreak/>
        <w:t>水污染影响型建设项目。</w:t>
      </w:r>
      <w:r>
        <w:rPr>
          <w:rFonts w:cs="Times New Roman"/>
          <w:snapToGrid w:val="0"/>
        </w:rPr>
        <w:t>工程</w:t>
      </w:r>
      <w:r>
        <w:rPr>
          <w:rFonts w:cs="Times New Roman"/>
          <w:snapToGrid w:val="0"/>
        </w:rPr>
        <w:t>区</w:t>
      </w:r>
      <w:r>
        <w:rPr>
          <w:rFonts w:cs="Times New Roman"/>
          <w:snapToGrid w:val="0"/>
        </w:rPr>
        <w:t>最近处</w:t>
      </w:r>
      <w:r>
        <w:rPr>
          <w:rFonts w:cs="Times New Roman"/>
          <w:snapToGrid w:val="0"/>
        </w:rPr>
        <w:t>距离</w:t>
      </w:r>
      <w:bookmarkStart w:id="279" w:name="OLE_LINK106"/>
      <w:r>
        <w:rPr>
          <w:rFonts w:cs="Times New Roman"/>
          <w:snapToGrid w:val="0"/>
        </w:rPr>
        <w:t>塔里木河</w:t>
      </w:r>
      <w:bookmarkEnd w:id="279"/>
      <w:r>
        <w:rPr>
          <w:rFonts w:cs="Times New Roman" w:hint="eastAsia"/>
          <w:snapToGrid w:val="0"/>
        </w:rPr>
        <w:t>约</w:t>
      </w:r>
      <w:r>
        <w:rPr>
          <w:rFonts w:cs="Times New Roman" w:hint="eastAsia"/>
          <w:snapToGrid w:val="0"/>
        </w:rPr>
        <w:t>6</w:t>
      </w:r>
      <w:r>
        <w:rPr>
          <w:rFonts w:cs="Times New Roman"/>
          <w:snapToGrid w:val="0"/>
        </w:rPr>
        <w:t>2</w:t>
      </w:r>
      <w:r>
        <w:rPr>
          <w:rFonts w:cs="Times New Roman"/>
          <w:snapToGrid w:val="0"/>
        </w:rPr>
        <w:t>km</w:t>
      </w:r>
      <w:r>
        <w:rPr>
          <w:rFonts w:cs="Times New Roman"/>
          <w:snapToGrid w:val="0"/>
        </w:rPr>
        <w:t>。在油田正常开采及</w:t>
      </w:r>
      <w:r>
        <w:rPr>
          <w:rFonts w:cs="Times New Roman" w:hint="eastAsia"/>
          <w:snapToGrid w:val="0"/>
        </w:rPr>
        <w:t>拉运</w:t>
      </w:r>
      <w:r>
        <w:rPr>
          <w:rFonts w:cs="Times New Roman"/>
          <w:snapToGrid w:val="0"/>
        </w:rPr>
        <w:t>过程中，</w:t>
      </w:r>
      <w:r>
        <w:rPr>
          <w:rFonts w:cs="Times New Roman"/>
          <w:snapToGrid w:val="0"/>
        </w:rPr>
        <w:t>本</w:t>
      </w:r>
      <w:r>
        <w:rPr>
          <w:rFonts w:cs="Times New Roman" w:hint="eastAsia"/>
          <w:snapToGrid w:val="0"/>
        </w:rPr>
        <w:t>工程</w:t>
      </w:r>
      <w:r>
        <w:rPr>
          <w:rFonts w:cs="Times New Roman"/>
          <w:snapToGrid w:val="0"/>
        </w:rPr>
        <w:t>产生的</w:t>
      </w:r>
      <w:r>
        <w:rPr>
          <w:rFonts w:cs="Times New Roman" w:hint="eastAsia"/>
          <w:snapToGrid w:val="0"/>
        </w:rPr>
        <w:t>生产废水</w:t>
      </w:r>
      <w:r>
        <w:rPr>
          <w:rFonts w:cs="Times New Roman"/>
          <w:snapToGrid w:val="0"/>
        </w:rPr>
        <w:t>、井下作业废水不外排，不与周边地表水体发生水力联系，</w:t>
      </w:r>
      <w:r>
        <w:rPr>
          <w:rFonts w:cs="Times New Roman" w:hint="eastAsia"/>
          <w:snapToGrid w:val="0"/>
        </w:rPr>
        <w:t>本工程</w:t>
      </w:r>
      <w:r>
        <w:rPr>
          <w:rFonts w:cs="Times New Roman"/>
          <w:snapToGrid w:val="0"/>
        </w:rPr>
        <w:t>地表水环境影响评价等级为三级</w:t>
      </w:r>
      <w:r>
        <w:rPr>
          <w:rFonts w:cs="Times New Roman"/>
          <w:snapToGrid w:val="0"/>
        </w:rPr>
        <w:t>B</w:t>
      </w:r>
      <w:r>
        <w:rPr>
          <w:rFonts w:cs="Times New Roman"/>
          <w:snapToGrid w:val="0"/>
        </w:rPr>
        <w:t>。</w:t>
      </w:r>
    </w:p>
    <w:p w:rsidR="00C645C9" w:rsidRDefault="00F955D9">
      <w:pPr>
        <w:widowControl w:val="0"/>
        <w:adjustRightInd w:val="0"/>
        <w:snapToGrid w:val="0"/>
        <w:spacing w:line="360" w:lineRule="auto"/>
        <w:ind w:firstLineChars="200" w:firstLine="480"/>
        <w:rPr>
          <w:rFonts w:cs="Times New Roman"/>
          <w:snapToGrid w:val="0"/>
        </w:rPr>
      </w:pPr>
      <w:r>
        <w:rPr>
          <w:rFonts w:cs="Times New Roman"/>
          <w:snapToGrid w:val="0"/>
        </w:rPr>
        <w:t>（</w:t>
      </w:r>
      <w:r>
        <w:rPr>
          <w:rFonts w:cs="Times New Roman"/>
          <w:snapToGrid w:val="0"/>
        </w:rPr>
        <w:t>2</w:t>
      </w:r>
      <w:r>
        <w:rPr>
          <w:rFonts w:cs="Times New Roman"/>
          <w:snapToGrid w:val="0"/>
        </w:rPr>
        <w:t>）</w:t>
      </w:r>
      <w:r>
        <w:rPr>
          <w:rFonts w:cs="Times New Roman"/>
          <w:snapToGrid w:val="0"/>
        </w:rPr>
        <w:t>评价范围</w:t>
      </w:r>
    </w:p>
    <w:p w:rsidR="00C645C9" w:rsidRDefault="00F955D9">
      <w:pPr>
        <w:adjustRightInd w:val="0"/>
        <w:snapToGrid w:val="0"/>
        <w:spacing w:line="360" w:lineRule="auto"/>
        <w:ind w:firstLineChars="200" w:firstLine="480"/>
        <w:rPr>
          <w:rFonts w:eastAsia="黑体" w:cs="Times New Roman"/>
          <w:bCs/>
          <w:sz w:val="21"/>
          <w:szCs w:val="21"/>
        </w:rPr>
      </w:pPr>
      <w:r>
        <w:rPr>
          <w:rFonts w:cs="Times New Roman" w:hint="eastAsia"/>
          <w:snapToGrid w:val="0"/>
        </w:rPr>
        <w:t>本工程</w:t>
      </w:r>
      <w:r>
        <w:rPr>
          <w:rFonts w:cs="Times New Roman"/>
          <w:snapToGrid w:val="0"/>
        </w:rPr>
        <w:t>施工期产生的污染物可以依托处置，运营</w:t>
      </w:r>
      <w:r>
        <w:rPr>
          <w:rFonts w:cs="Times New Roman" w:hint="eastAsia"/>
          <w:snapToGrid w:val="0"/>
        </w:rPr>
        <w:t>期</w:t>
      </w:r>
      <w:r>
        <w:rPr>
          <w:rFonts w:cs="Times New Roman"/>
          <w:snapToGrid w:val="0"/>
        </w:rPr>
        <w:t>正常情况无废水排放，本次地表水环境影响评价重点论证本工程废水综合利用不外排的可行性和可靠性</w:t>
      </w:r>
      <w:r>
        <w:rPr>
          <w:rFonts w:cs="Times New Roman"/>
          <w:spacing w:val="5"/>
          <w:kern w:val="2"/>
          <w:sz w:val="25"/>
          <w:szCs w:val="25"/>
        </w:rPr>
        <w:t>。</w:t>
      </w:r>
    </w:p>
    <w:p w:rsidR="00C645C9" w:rsidRDefault="00F955D9">
      <w:pPr>
        <w:pStyle w:val="32"/>
        <w:adjustRightInd w:val="0"/>
        <w:snapToGrid w:val="0"/>
        <w:spacing w:before="0" w:after="0"/>
        <w:rPr>
          <w:color w:val="auto"/>
          <w:lang w:eastAsia="zh-CN"/>
        </w:rPr>
      </w:pPr>
      <w:bookmarkStart w:id="280" w:name="_Hlk48603751"/>
      <w:r>
        <w:rPr>
          <w:color w:val="auto"/>
          <w:lang w:eastAsia="zh-CN"/>
        </w:rPr>
        <w:t>2.</w:t>
      </w:r>
      <w:r>
        <w:rPr>
          <w:rFonts w:hint="eastAsia"/>
          <w:color w:val="auto"/>
          <w:lang w:eastAsia="zh-CN"/>
        </w:rPr>
        <w:t>5.4</w:t>
      </w:r>
      <w:r>
        <w:rPr>
          <w:color w:val="auto"/>
          <w:lang w:eastAsia="zh-CN"/>
        </w:rPr>
        <w:t>土壤环境影响评价等级和评价范围</w:t>
      </w:r>
    </w:p>
    <w:p w:rsidR="00C645C9" w:rsidRDefault="00F955D9">
      <w:pPr>
        <w:keepLines/>
        <w:adjustRightInd w:val="0"/>
        <w:snapToGrid w:val="0"/>
        <w:spacing w:line="360" w:lineRule="auto"/>
        <w:ind w:firstLineChars="200" w:firstLine="480"/>
        <w:outlineLvl w:val="3"/>
        <w:rPr>
          <w:rFonts w:cs="Times New Roman"/>
        </w:rPr>
      </w:pPr>
      <w:bookmarkStart w:id="281" w:name="OLE_LINK134"/>
      <w:r>
        <w:rPr>
          <w:rFonts w:cs="Times New Roman" w:hint="eastAsia"/>
        </w:rPr>
        <w:t>（</w:t>
      </w:r>
      <w:r>
        <w:rPr>
          <w:rFonts w:cs="Times New Roman" w:hint="eastAsia"/>
        </w:rPr>
        <w:t>1</w:t>
      </w:r>
      <w:r>
        <w:rPr>
          <w:rFonts w:cs="Times New Roman" w:hint="eastAsia"/>
        </w:rPr>
        <w:t>）项目类别</w:t>
      </w:r>
    </w:p>
    <w:p w:rsidR="00C645C9" w:rsidRDefault="00F955D9">
      <w:pPr>
        <w:widowControl w:val="0"/>
        <w:topLinePunct/>
        <w:autoSpaceDE w:val="0"/>
        <w:adjustRightInd w:val="0"/>
        <w:snapToGrid w:val="0"/>
        <w:spacing w:line="360" w:lineRule="auto"/>
        <w:ind w:firstLineChars="200" w:firstLine="480"/>
        <w:jc w:val="both"/>
        <w:rPr>
          <w:rFonts w:cs="Times New Roman"/>
          <w:kern w:val="2"/>
          <w:szCs w:val="32"/>
          <w:lang w:bidi="ar"/>
        </w:rPr>
      </w:pPr>
      <w:bookmarkStart w:id="282" w:name="OLE_LINK136"/>
      <w:bookmarkEnd w:id="281"/>
      <w:r>
        <w:rPr>
          <w:rFonts w:cs="Times New Roman"/>
          <w:kern w:val="2"/>
          <w:szCs w:val="32"/>
          <w:lang w:bidi="ar"/>
        </w:rPr>
        <w:t>根据《</w:t>
      </w:r>
      <w:bookmarkStart w:id="283" w:name="OLE_LINK131"/>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bookmarkEnd w:id="283"/>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bookmarkEnd w:id="282"/>
      <w:r>
        <w:rPr>
          <w:rFonts w:cs="Times New Roman" w:hint="eastAsia"/>
          <w:kern w:val="2"/>
          <w:szCs w:val="32"/>
          <w:lang w:bidi="ar"/>
        </w:rPr>
        <w:t>和</w:t>
      </w:r>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陆地石油天然气开发建设项目》</w:t>
      </w:r>
      <w:r>
        <w:rPr>
          <w:rFonts w:cs="Times New Roman"/>
          <w:kern w:val="2"/>
          <w:szCs w:val="32"/>
          <w:lang w:bidi="ar"/>
        </w:rPr>
        <w:t>（</w:t>
      </w:r>
      <w:r>
        <w:rPr>
          <w:rFonts w:cs="Times New Roman"/>
          <w:kern w:val="2"/>
          <w:szCs w:val="32"/>
          <w:lang w:bidi="ar"/>
        </w:rPr>
        <w:t>HJ349-2023</w:t>
      </w:r>
      <w:r>
        <w:rPr>
          <w:rFonts w:cs="Times New Roman"/>
          <w:kern w:val="2"/>
          <w:szCs w:val="32"/>
          <w:lang w:bidi="ar"/>
        </w:rPr>
        <w:t>）</w:t>
      </w:r>
      <w:r>
        <w:rPr>
          <w:rFonts w:cs="Times New Roman" w:hint="eastAsia"/>
          <w:kern w:val="2"/>
          <w:szCs w:val="32"/>
          <w:lang w:bidi="ar"/>
        </w:rPr>
        <w:t>，“土壤盐化、酸化和碱化地区，建设项目</w:t>
      </w:r>
      <w:bookmarkStart w:id="284" w:name="OLE_LINK132"/>
      <w:r>
        <w:rPr>
          <w:rFonts w:cs="Times New Roman" w:hint="eastAsia"/>
          <w:kern w:val="2"/>
          <w:szCs w:val="32"/>
          <w:lang w:bidi="ar"/>
        </w:rPr>
        <w:t>应按照土壤污染影响型和生态影响型</w:t>
      </w:r>
      <w:bookmarkEnd w:id="284"/>
      <w:r>
        <w:rPr>
          <w:rFonts w:cs="Times New Roman" w:hint="eastAsia"/>
          <w:kern w:val="2"/>
          <w:szCs w:val="32"/>
          <w:lang w:bidi="ar"/>
        </w:rPr>
        <w:t>，按相应等级分别开展评价工作；非土壤盐化、酸化和碱化地区，按照土壤污染影响型，按相应等级开展评价工作。”根据</w:t>
      </w:r>
      <w:r>
        <w:rPr>
          <w:rFonts w:cs="Times New Roman"/>
          <w:kern w:val="2"/>
          <w:szCs w:val="32"/>
          <w:lang w:bidi="ar"/>
        </w:rPr>
        <w:t>区域历史监测数据，</w:t>
      </w:r>
      <w:r>
        <w:rPr>
          <w:rFonts w:cs="Times New Roman" w:hint="eastAsia"/>
          <w:kern w:val="2"/>
          <w:szCs w:val="32"/>
          <w:lang w:bidi="ar"/>
        </w:rPr>
        <w:t>本</w:t>
      </w:r>
      <w:r>
        <w:rPr>
          <w:rFonts w:cs="Times New Roman"/>
          <w:kern w:val="2"/>
          <w:szCs w:val="32"/>
          <w:lang w:bidi="ar"/>
        </w:rPr>
        <w:t>工程所在区域土壤盐分含量大于</w:t>
      </w:r>
      <w:r>
        <w:rPr>
          <w:rFonts w:cs="Times New Roman"/>
          <w:kern w:val="2"/>
          <w:szCs w:val="32"/>
          <w:lang w:bidi="ar"/>
        </w:rPr>
        <w:t>4</w:t>
      </w:r>
      <w:r>
        <w:rPr>
          <w:rFonts w:cs="Times New Roman"/>
          <w:kern w:val="2"/>
          <w:szCs w:val="32"/>
          <w:lang w:bidi="ar"/>
        </w:rPr>
        <w:t>g/kg</w:t>
      </w:r>
      <w:r>
        <w:rPr>
          <w:rFonts w:cs="Times New Roman"/>
          <w:kern w:val="2"/>
          <w:szCs w:val="32"/>
          <w:lang w:bidi="ar"/>
        </w:rPr>
        <w:t>，即</w:t>
      </w:r>
      <w:r>
        <w:rPr>
          <w:rFonts w:cs="Times New Roman" w:hint="eastAsia"/>
          <w:kern w:val="2"/>
          <w:szCs w:val="32"/>
          <w:lang w:bidi="ar"/>
        </w:rPr>
        <w:t>本工程</w:t>
      </w:r>
      <w:r>
        <w:rPr>
          <w:rFonts w:cs="Times New Roman"/>
          <w:kern w:val="2"/>
          <w:szCs w:val="32"/>
          <w:lang w:bidi="ar"/>
        </w:rPr>
        <w:t>所在区域属于土壤盐化地区，</w:t>
      </w:r>
      <w:r>
        <w:rPr>
          <w:rFonts w:cs="Times New Roman"/>
          <w:kern w:val="2"/>
          <w:szCs w:val="32"/>
          <w:lang w:bidi="ar"/>
        </w:rPr>
        <w:t>本</w:t>
      </w:r>
      <w:r>
        <w:rPr>
          <w:rFonts w:cs="Times New Roman" w:hint="eastAsia"/>
          <w:kern w:val="2"/>
          <w:szCs w:val="32"/>
          <w:lang w:bidi="ar"/>
        </w:rPr>
        <w:t>工程项目类别</w:t>
      </w:r>
      <w:r>
        <w:rPr>
          <w:rFonts w:cs="Times New Roman"/>
          <w:kern w:val="2"/>
          <w:szCs w:val="32"/>
          <w:lang w:bidi="ar"/>
        </w:rPr>
        <w:t>应按照土壤污染影响型和生态影响型考虑，并根据不同项目类别分别判定评价等级。</w:t>
      </w:r>
      <w:r>
        <w:rPr>
          <w:rFonts w:cs="Times New Roman" w:hint="eastAsia"/>
          <w:kern w:val="2"/>
          <w:szCs w:val="32"/>
          <w:lang w:bidi="ar"/>
        </w:rPr>
        <w:t>本工程</w:t>
      </w:r>
      <w:r>
        <w:rPr>
          <w:rFonts w:cs="Times New Roman" w:hint="eastAsia"/>
          <w:kern w:val="2"/>
          <w:szCs w:val="32"/>
          <w:lang w:bidi="ar"/>
        </w:rPr>
        <w:t>属于</w:t>
      </w:r>
      <w:r>
        <w:rPr>
          <w:rFonts w:cs="Times New Roman"/>
          <w:kern w:val="2"/>
          <w:szCs w:val="32"/>
          <w:lang w:bidi="ar"/>
        </w:rPr>
        <w:t>天然气开采</w:t>
      </w:r>
      <w:r>
        <w:rPr>
          <w:rFonts w:cs="Times New Roman" w:hint="eastAsia"/>
          <w:kern w:val="2"/>
          <w:szCs w:val="32"/>
          <w:lang w:bidi="ar"/>
        </w:rPr>
        <w:t>项目</w:t>
      </w:r>
      <w:r>
        <w:rPr>
          <w:rFonts w:cs="Times New Roman"/>
          <w:kern w:val="2"/>
          <w:szCs w:val="32"/>
          <w:lang w:bidi="ar"/>
        </w:rPr>
        <w:t>，按照</w:t>
      </w:r>
      <w:bookmarkStart w:id="285" w:name="OLE_LINK141"/>
      <w:r>
        <w:rPr>
          <w:rFonts w:cs="Times New Roman"/>
          <w:kern w:val="2"/>
          <w:szCs w:val="32"/>
          <w:lang w:bidi="ar"/>
        </w:rPr>
        <w:t>Ⅱ</w:t>
      </w:r>
      <w:r>
        <w:rPr>
          <w:rFonts w:cs="Times New Roman"/>
          <w:kern w:val="2"/>
          <w:szCs w:val="32"/>
          <w:lang w:bidi="ar"/>
        </w:rPr>
        <w:t>类建设项目</w:t>
      </w:r>
      <w:bookmarkEnd w:id="285"/>
      <w:r>
        <w:rPr>
          <w:rFonts w:cs="Times New Roman"/>
          <w:kern w:val="2"/>
          <w:szCs w:val="32"/>
          <w:lang w:bidi="ar"/>
        </w:rPr>
        <w:t>开展土壤环境影响评价。</w:t>
      </w:r>
    </w:p>
    <w:p w:rsidR="00C645C9" w:rsidRDefault="00F955D9">
      <w:pPr>
        <w:keepLines/>
        <w:adjustRightInd w:val="0"/>
        <w:snapToGrid w:val="0"/>
        <w:spacing w:line="360" w:lineRule="auto"/>
        <w:ind w:firstLineChars="200" w:firstLine="480"/>
        <w:outlineLvl w:val="3"/>
        <w:rPr>
          <w:rFonts w:cs="Times New Roman"/>
        </w:rPr>
      </w:pPr>
      <w:r>
        <w:rPr>
          <w:rFonts w:cs="Times New Roman"/>
        </w:rPr>
        <w:t>（</w:t>
      </w:r>
      <w:r>
        <w:rPr>
          <w:rFonts w:cs="Times New Roman" w:hint="eastAsia"/>
        </w:rPr>
        <w:t>2</w:t>
      </w:r>
      <w:r>
        <w:rPr>
          <w:rFonts w:cs="Times New Roman"/>
        </w:rPr>
        <w:t>）评价等级</w:t>
      </w:r>
    </w:p>
    <w:p w:rsidR="00C645C9" w:rsidRDefault="00F955D9">
      <w:pPr>
        <w:adjustRightInd w:val="0"/>
        <w:snapToGrid w:val="0"/>
        <w:spacing w:line="360" w:lineRule="auto"/>
        <w:ind w:firstLineChars="200" w:firstLine="480"/>
        <w:rPr>
          <w:rFonts w:cs="Times New Roman"/>
        </w:rPr>
      </w:pPr>
      <w:r>
        <w:rPr>
          <w:rFonts w:cs="Times New Roman"/>
        </w:rPr>
        <w:t>①</w:t>
      </w:r>
      <w:bookmarkStart w:id="286" w:name="OLE_LINK137"/>
      <w:r>
        <w:rPr>
          <w:rFonts w:cs="Times New Roman"/>
        </w:rPr>
        <w:t>生态影响型</w:t>
      </w:r>
      <w:bookmarkEnd w:id="286"/>
    </w:p>
    <w:p w:rsidR="00C645C9" w:rsidRDefault="00F955D9">
      <w:pPr>
        <w:adjustRightInd w:val="0"/>
        <w:snapToGrid w:val="0"/>
        <w:spacing w:line="360" w:lineRule="auto"/>
        <w:ind w:firstLineChars="200" w:firstLine="480"/>
        <w:rPr>
          <w:rFonts w:cs="Times New Roman"/>
          <w:kern w:val="2"/>
          <w:szCs w:val="32"/>
          <w:lang w:bidi="ar"/>
        </w:rPr>
      </w:pPr>
      <w:r>
        <w:rPr>
          <w:rFonts w:cs="Times New Roman"/>
          <w:kern w:val="2"/>
          <w:szCs w:val="32"/>
          <w:lang w:bidi="ar"/>
        </w:rPr>
        <w:t>根据</w:t>
      </w:r>
      <w:bookmarkStart w:id="287" w:name="OLE_LINK135"/>
      <w:r>
        <w:rPr>
          <w:rFonts w:cs="Times New Roman"/>
          <w:kern w:val="2"/>
          <w:szCs w:val="32"/>
          <w:lang w:bidi="ar"/>
        </w:rPr>
        <w:t>《</w:t>
      </w:r>
      <w:bookmarkStart w:id="288" w:name="OLE_LINK1170"/>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土壤环境（试行）</w:t>
      </w:r>
      <w:bookmarkEnd w:id="288"/>
      <w:r>
        <w:rPr>
          <w:rFonts w:cs="Times New Roman"/>
          <w:kern w:val="2"/>
          <w:szCs w:val="32"/>
          <w:lang w:bidi="ar"/>
        </w:rPr>
        <w:t>》（</w:t>
      </w:r>
      <w:r>
        <w:rPr>
          <w:rFonts w:cs="Times New Roman"/>
          <w:kern w:val="2"/>
          <w:szCs w:val="32"/>
          <w:lang w:bidi="ar"/>
        </w:rPr>
        <w:t>HJ964-2018</w:t>
      </w:r>
      <w:r>
        <w:rPr>
          <w:rFonts w:cs="Times New Roman"/>
          <w:kern w:val="2"/>
          <w:szCs w:val="32"/>
          <w:lang w:bidi="ar"/>
        </w:rPr>
        <w:t>）</w:t>
      </w:r>
      <w:bookmarkEnd w:id="287"/>
      <w:r>
        <w:rPr>
          <w:rFonts w:cs="Times New Roman" w:hint="eastAsia"/>
          <w:kern w:val="2"/>
          <w:szCs w:val="32"/>
          <w:lang w:bidi="ar"/>
        </w:rPr>
        <w:t>，“建设项目所在地土壤环境敏感程度分为敏感、较敏感、不敏感；同一建设项目涉及两个或两个以上场地或地区，应分别判定其敏感程度；产生两种或两种以上生态影响后果的，敏感程度按相对最高级别判定”，生态影响型判别依据见表</w:t>
      </w:r>
      <w:r>
        <w:rPr>
          <w:rFonts w:cs="Times New Roman" w:hint="eastAsia"/>
          <w:kern w:val="2"/>
          <w:szCs w:val="32"/>
          <w:lang w:bidi="ar"/>
        </w:rPr>
        <w:t>2.5-6</w:t>
      </w:r>
      <w:r>
        <w:rPr>
          <w:rFonts w:cs="Times New Roman" w:hint="eastAsia"/>
          <w:kern w:val="2"/>
          <w:szCs w:val="32"/>
          <w:lang w:bidi="ar"/>
        </w:rPr>
        <w:t>。</w:t>
      </w:r>
      <w:bookmarkStart w:id="289" w:name="OLE_LINK145"/>
      <w:r>
        <w:rPr>
          <w:rFonts w:cs="Times New Roman"/>
          <w:kern w:val="2"/>
          <w:szCs w:val="32"/>
          <w:lang w:bidi="ar"/>
        </w:rPr>
        <w:t>土壤</w:t>
      </w:r>
      <w:r>
        <w:rPr>
          <w:rFonts w:cs="Times New Roman" w:hint="eastAsia"/>
          <w:kern w:val="2"/>
          <w:szCs w:val="32"/>
          <w:lang w:bidi="ar"/>
        </w:rPr>
        <w:t>环境</w:t>
      </w:r>
      <w:bookmarkStart w:id="290" w:name="OLE_LINK1171"/>
      <w:r>
        <w:rPr>
          <w:rFonts w:cs="Times New Roman"/>
          <w:kern w:val="2"/>
          <w:szCs w:val="32"/>
          <w:lang w:bidi="ar"/>
        </w:rPr>
        <w:t>生态影响</w:t>
      </w:r>
      <w:bookmarkEnd w:id="290"/>
      <w:r>
        <w:rPr>
          <w:rFonts w:cs="Times New Roman"/>
          <w:kern w:val="2"/>
          <w:szCs w:val="32"/>
          <w:lang w:bidi="ar"/>
        </w:rPr>
        <w:t>型评价工作等级划分</w:t>
      </w:r>
      <w:r>
        <w:rPr>
          <w:rFonts w:cs="Times New Roman" w:hint="eastAsia"/>
          <w:kern w:val="2"/>
          <w:szCs w:val="32"/>
          <w:lang w:bidi="ar"/>
        </w:rPr>
        <w:t>见表</w:t>
      </w:r>
      <w:bookmarkEnd w:id="289"/>
      <w:r>
        <w:rPr>
          <w:rFonts w:cs="Times New Roman" w:hint="eastAsia"/>
          <w:kern w:val="2"/>
          <w:szCs w:val="32"/>
          <w:lang w:bidi="ar"/>
        </w:rPr>
        <w:t>2.5-7</w:t>
      </w:r>
      <w:r>
        <w:rPr>
          <w:rFonts w:cs="Times New Roman" w:hint="eastAsia"/>
          <w:kern w:val="2"/>
          <w:szCs w:val="32"/>
          <w:lang w:bidi="ar"/>
        </w:rPr>
        <w:t>。</w:t>
      </w:r>
    </w:p>
    <w:p w:rsidR="00C645C9" w:rsidRDefault="00F955D9">
      <w:pPr>
        <w:pStyle w:val="af9"/>
        <w:adjustRightInd w:val="0"/>
        <w:snapToGrid w:val="0"/>
        <w:spacing w:line="240" w:lineRule="auto"/>
        <w:rPr>
          <w:rFonts w:eastAsia="黑体"/>
          <w:b w:val="0"/>
          <w:bCs/>
        </w:rPr>
      </w:pPr>
      <w:bookmarkStart w:id="291" w:name="OLE_LINK139"/>
      <w:r>
        <w:rPr>
          <w:rFonts w:eastAsia="黑体"/>
          <w:b w:val="0"/>
          <w:bCs/>
        </w:rPr>
        <w:t>表</w:t>
      </w:r>
      <w:r>
        <w:rPr>
          <w:rFonts w:eastAsia="黑体"/>
          <w:b w:val="0"/>
          <w:bCs/>
        </w:rPr>
        <w:t>2.</w:t>
      </w:r>
      <w:r>
        <w:rPr>
          <w:rFonts w:eastAsia="黑体" w:hint="eastAsia"/>
          <w:b w:val="0"/>
          <w:bCs/>
        </w:rPr>
        <w:t>5-6</w:t>
      </w:r>
      <w:r>
        <w:rPr>
          <w:rFonts w:eastAsia="黑体"/>
          <w:b w:val="0"/>
          <w:bCs/>
        </w:rPr>
        <w:t xml:space="preserve">   </w:t>
      </w:r>
      <w:r>
        <w:rPr>
          <w:rFonts w:eastAsia="黑体"/>
          <w:b w:val="0"/>
          <w:bCs/>
        </w:rPr>
        <w:t>生态影响型敏感程度分级表</w:t>
      </w:r>
    </w:p>
    <w:tbl>
      <w:tblPr>
        <w:tblW w:w="5195"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5223"/>
        <w:gridCol w:w="1258"/>
        <w:gridCol w:w="1279"/>
      </w:tblGrid>
      <w:tr w:rsidR="00C645C9">
        <w:trPr>
          <w:trHeight w:val="23"/>
        </w:trPr>
        <w:tc>
          <w:tcPr>
            <w:tcW w:w="509" w:type="pct"/>
            <w:vMerge w:val="restart"/>
            <w:vAlign w:val="center"/>
          </w:tcPr>
          <w:bookmarkEnd w:id="291"/>
          <w:p w:rsidR="00C645C9" w:rsidRDefault="00F955D9">
            <w:pPr>
              <w:adjustRightInd w:val="0"/>
              <w:snapToGrid w:val="0"/>
              <w:jc w:val="center"/>
              <w:rPr>
                <w:rFonts w:cs="Times New Roman"/>
                <w:sz w:val="21"/>
                <w:szCs w:val="21"/>
                <w:lang w:eastAsia="en-US"/>
              </w:rPr>
            </w:pPr>
            <w:r>
              <w:rPr>
                <w:rFonts w:cs="Times New Roman"/>
                <w:sz w:val="21"/>
                <w:szCs w:val="21"/>
                <w:lang w:eastAsia="en-US"/>
              </w:rPr>
              <w:t>敏感程度</w:t>
            </w:r>
          </w:p>
        </w:tc>
        <w:tc>
          <w:tcPr>
            <w:tcW w:w="4490" w:type="pct"/>
            <w:gridSpan w:val="3"/>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判别依据</w:t>
            </w:r>
          </w:p>
        </w:tc>
      </w:tr>
      <w:tr w:rsidR="00C645C9">
        <w:trPr>
          <w:trHeight w:val="23"/>
        </w:trPr>
        <w:tc>
          <w:tcPr>
            <w:tcW w:w="509" w:type="pct"/>
            <w:vMerge/>
            <w:vAlign w:val="center"/>
          </w:tcPr>
          <w:p w:rsidR="00C645C9" w:rsidRDefault="00C645C9">
            <w:pPr>
              <w:adjustRightInd w:val="0"/>
              <w:snapToGrid w:val="0"/>
              <w:jc w:val="center"/>
              <w:rPr>
                <w:rFonts w:cs="Times New Roman"/>
                <w:sz w:val="21"/>
                <w:szCs w:val="21"/>
                <w:lang w:eastAsia="en-US"/>
              </w:rPr>
            </w:pPr>
          </w:p>
        </w:tc>
        <w:tc>
          <w:tcPr>
            <w:tcW w:w="3023"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盐化</w:t>
            </w:r>
          </w:p>
        </w:tc>
        <w:tc>
          <w:tcPr>
            <w:tcW w:w="72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酸化</w:t>
            </w:r>
          </w:p>
        </w:tc>
        <w:tc>
          <w:tcPr>
            <w:tcW w:w="73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碱化</w:t>
            </w:r>
          </w:p>
        </w:tc>
      </w:tr>
      <w:tr w:rsidR="00C645C9">
        <w:trPr>
          <w:trHeight w:val="23"/>
        </w:trPr>
        <w:tc>
          <w:tcPr>
            <w:tcW w:w="509"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敏感</w:t>
            </w:r>
          </w:p>
        </w:tc>
        <w:tc>
          <w:tcPr>
            <w:tcW w:w="3023" w:type="pct"/>
            <w:vAlign w:val="center"/>
          </w:tcPr>
          <w:p w:rsidR="00C645C9" w:rsidRDefault="00F955D9">
            <w:pPr>
              <w:adjustRightInd w:val="0"/>
              <w:snapToGrid w:val="0"/>
              <w:jc w:val="both"/>
              <w:rPr>
                <w:rFonts w:cs="Times New Roman"/>
                <w:sz w:val="21"/>
                <w:szCs w:val="21"/>
              </w:rPr>
            </w:pPr>
            <w:r>
              <w:rPr>
                <w:rFonts w:cs="Times New Roman"/>
                <w:sz w:val="21"/>
                <w:szCs w:val="21"/>
              </w:rPr>
              <w:t>建设项目所在地干燥度</w:t>
            </w:r>
            <w:r>
              <w:rPr>
                <w:rFonts w:cs="Times New Roman"/>
                <w:sz w:val="21"/>
                <w:szCs w:val="21"/>
                <w:vertAlign w:val="superscript"/>
              </w:rPr>
              <w:t>a</w:t>
            </w:r>
            <w:r>
              <w:rPr>
                <w:rFonts w:cs="Times New Roman"/>
                <w:sz w:val="21"/>
                <w:szCs w:val="21"/>
              </w:rPr>
              <w:t>＞</w:t>
            </w:r>
            <w:r>
              <w:rPr>
                <w:rFonts w:cs="Times New Roman"/>
                <w:sz w:val="21"/>
                <w:szCs w:val="21"/>
              </w:rPr>
              <w:t>2.5</w:t>
            </w:r>
            <w:r>
              <w:rPr>
                <w:rFonts w:cs="Times New Roman"/>
                <w:sz w:val="21"/>
                <w:szCs w:val="21"/>
              </w:rPr>
              <w:t>且常年地下水位平均埋深＜</w:t>
            </w:r>
            <w:r>
              <w:rPr>
                <w:rFonts w:cs="Times New Roman"/>
                <w:sz w:val="21"/>
                <w:szCs w:val="21"/>
              </w:rPr>
              <w:t>1.5m</w:t>
            </w:r>
            <w:r>
              <w:rPr>
                <w:rFonts w:cs="Times New Roman"/>
                <w:sz w:val="21"/>
                <w:szCs w:val="21"/>
              </w:rPr>
              <w:t>的地势平坦区域；或土壤含盐量＞</w:t>
            </w:r>
            <w:r>
              <w:rPr>
                <w:rFonts w:cs="Times New Roman"/>
                <w:sz w:val="21"/>
                <w:szCs w:val="21"/>
              </w:rPr>
              <w:t>4 g/kg</w:t>
            </w:r>
            <w:r>
              <w:rPr>
                <w:rFonts w:cs="Times New Roman"/>
                <w:sz w:val="21"/>
                <w:szCs w:val="21"/>
              </w:rPr>
              <w:t>的区域</w:t>
            </w:r>
          </w:p>
        </w:tc>
        <w:tc>
          <w:tcPr>
            <w:tcW w:w="72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pH</w:t>
            </w:r>
            <w:r>
              <w:rPr>
                <w:rFonts w:ascii="宋体" w:hAnsi="宋体" w:hint="eastAsia"/>
                <w:sz w:val="21"/>
                <w:szCs w:val="21"/>
              </w:rPr>
              <w:t>≤</w:t>
            </w:r>
            <w:r>
              <w:rPr>
                <w:rFonts w:cs="Times New Roman"/>
                <w:sz w:val="21"/>
                <w:szCs w:val="21"/>
                <w:lang w:eastAsia="en-US"/>
              </w:rPr>
              <w:t>4.5</w:t>
            </w:r>
          </w:p>
        </w:tc>
        <w:tc>
          <w:tcPr>
            <w:tcW w:w="73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pH</w:t>
            </w:r>
            <w:bookmarkStart w:id="292" w:name="OLE_LINK143"/>
            <w:r>
              <w:rPr>
                <w:rFonts w:ascii="宋体" w:hAnsi="宋体" w:hint="eastAsia"/>
                <w:sz w:val="21"/>
                <w:szCs w:val="21"/>
              </w:rPr>
              <w:t>≥</w:t>
            </w:r>
            <w:bookmarkEnd w:id="292"/>
            <w:r>
              <w:rPr>
                <w:rFonts w:cs="Times New Roman"/>
                <w:sz w:val="21"/>
                <w:szCs w:val="21"/>
                <w:lang w:eastAsia="en-US"/>
              </w:rPr>
              <w:t>9.0</w:t>
            </w:r>
          </w:p>
        </w:tc>
      </w:tr>
      <w:tr w:rsidR="00C645C9">
        <w:trPr>
          <w:trHeight w:val="23"/>
        </w:trPr>
        <w:tc>
          <w:tcPr>
            <w:tcW w:w="509"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较敏感</w:t>
            </w:r>
          </w:p>
        </w:tc>
        <w:tc>
          <w:tcPr>
            <w:tcW w:w="3023" w:type="pct"/>
            <w:vAlign w:val="center"/>
          </w:tcPr>
          <w:p w:rsidR="00C645C9" w:rsidRDefault="00F955D9">
            <w:pPr>
              <w:adjustRightInd w:val="0"/>
              <w:snapToGrid w:val="0"/>
              <w:jc w:val="both"/>
              <w:rPr>
                <w:rFonts w:cs="Times New Roman"/>
                <w:sz w:val="21"/>
                <w:szCs w:val="21"/>
              </w:rPr>
            </w:pPr>
            <w:r>
              <w:rPr>
                <w:rFonts w:cs="Times New Roman"/>
                <w:sz w:val="21"/>
                <w:szCs w:val="21"/>
              </w:rPr>
              <w:t>建设项目所在地干燥度＞</w:t>
            </w:r>
            <w:r>
              <w:rPr>
                <w:rFonts w:cs="Times New Roman"/>
                <w:sz w:val="21"/>
                <w:szCs w:val="21"/>
              </w:rPr>
              <w:t>2.5</w:t>
            </w:r>
            <w:r>
              <w:rPr>
                <w:rFonts w:cs="Times New Roman"/>
                <w:sz w:val="21"/>
                <w:szCs w:val="21"/>
              </w:rPr>
              <w:t>且常年地下水位平均埋深</w:t>
            </w:r>
            <w:r>
              <w:rPr>
                <w:rFonts w:ascii="宋体" w:hAnsi="宋体" w:hint="eastAsia"/>
                <w:sz w:val="21"/>
                <w:szCs w:val="21"/>
              </w:rPr>
              <w:t>≥</w:t>
            </w:r>
            <w:r>
              <w:rPr>
                <w:rFonts w:cs="Times New Roman"/>
                <w:sz w:val="21"/>
                <w:szCs w:val="21"/>
              </w:rPr>
              <w:t>1.5 m</w:t>
            </w:r>
            <w:r>
              <w:rPr>
                <w:rFonts w:cs="Times New Roman"/>
                <w:sz w:val="21"/>
                <w:szCs w:val="21"/>
              </w:rPr>
              <w:t>的，或</w:t>
            </w:r>
            <w:r>
              <w:rPr>
                <w:rFonts w:cs="Times New Roman"/>
                <w:sz w:val="21"/>
                <w:szCs w:val="21"/>
              </w:rPr>
              <w:t>1.8</w:t>
            </w:r>
            <w:r>
              <w:rPr>
                <w:rFonts w:cs="Times New Roman"/>
                <w:sz w:val="21"/>
                <w:szCs w:val="21"/>
              </w:rPr>
              <w:t>＜干燥度</w:t>
            </w:r>
            <w:r>
              <w:rPr>
                <w:rFonts w:ascii="宋体" w:hAnsi="宋体" w:hint="eastAsia"/>
                <w:sz w:val="21"/>
                <w:szCs w:val="21"/>
              </w:rPr>
              <w:t>≤</w:t>
            </w:r>
            <w:r>
              <w:rPr>
                <w:rFonts w:cs="Times New Roman"/>
                <w:sz w:val="21"/>
                <w:szCs w:val="21"/>
              </w:rPr>
              <w:t>2.5</w:t>
            </w:r>
            <w:r>
              <w:rPr>
                <w:rFonts w:cs="Times New Roman"/>
                <w:sz w:val="21"/>
                <w:szCs w:val="21"/>
              </w:rPr>
              <w:t>且常年地下水位平均埋深＜</w:t>
            </w:r>
            <w:r>
              <w:rPr>
                <w:rFonts w:cs="Times New Roman"/>
                <w:sz w:val="21"/>
                <w:szCs w:val="21"/>
              </w:rPr>
              <w:t xml:space="preserve">1.8 m </w:t>
            </w:r>
            <w:r>
              <w:rPr>
                <w:rFonts w:cs="Times New Roman"/>
                <w:sz w:val="21"/>
                <w:szCs w:val="21"/>
              </w:rPr>
              <w:t>的地势平坦区域；建设项目所在地干燥度＞</w:t>
            </w:r>
            <w:r>
              <w:rPr>
                <w:rFonts w:cs="Times New Roman"/>
                <w:sz w:val="21"/>
                <w:szCs w:val="21"/>
              </w:rPr>
              <w:t>2.5</w:t>
            </w:r>
            <w:r>
              <w:rPr>
                <w:rFonts w:cs="Times New Roman"/>
                <w:sz w:val="21"/>
                <w:szCs w:val="21"/>
              </w:rPr>
              <w:t>或常年地下水位平均埋深＜</w:t>
            </w:r>
            <w:r>
              <w:rPr>
                <w:rFonts w:cs="Times New Roman"/>
                <w:sz w:val="21"/>
                <w:szCs w:val="21"/>
              </w:rPr>
              <w:t>1.5 m</w:t>
            </w:r>
            <w:r>
              <w:rPr>
                <w:rFonts w:cs="Times New Roman"/>
                <w:sz w:val="21"/>
                <w:szCs w:val="21"/>
              </w:rPr>
              <w:t>的平原区；或</w:t>
            </w:r>
            <w:r>
              <w:rPr>
                <w:rFonts w:cs="Times New Roman"/>
                <w:sz w:val="21"/>
                <w:szCs w:val="21"/>
              </w:rPr>
              <w:t>2g/kg</w:t>
            </w:r>
            <w:r>
              <w:rPr>
                <w:rFonts w:cs="Times New Roman"/>
                <w:sz w:val="21"/>
                <w:szCs w:val="21"/>
              </w:rPr>
              <w:t>＜土壤含盐量</w:t>
            </w:r>
            <w:r>
              <w:rPr>
                <w:rFonts w:ascii="宋体" w:hAnsi="宋体" w:hint="eastAsia"/>
                <w:sz w:val="21"/>
                <w:szCs w:val="21"/>
              </w:rPr>
              <w:t>≤</w:t>
            </w:r>
            <w:r>
              <w:rPr>
                <w:rFonts w:cs="Times New Roman"/>
                <w:sz w:val="21"/>
                <w:szCs w:val="21"/>
              </w:rPr>
              <w:t>4g/kg</w:t>
            </w:r>
            <w:r>
              <w:rPr>
                <w:rFonts w:cs="Times New Roman"/>
                <w:sz w:val="21"/>
                <w:szCs w:val="21"/>
              </w:rPr>
              <w:t>的区域</w:t>
            </w:r>
          </w:p>
        </w:tc>
        <w:tc>
          <w:tcPr>
            <w:tcW w:w="72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4.5</w:t>
            </w:r>
            <w:r>
              <w:rPr>
                <w:rFonts w:cs="Times New Roman" w:hint="eastAsia"/>
                <w:sz w:val="21"/>
                <w:szCs w:val="21"/>
              </w:rPr>
              <w:t>&lt;</w:t>
            </w:r>
            <w:r>
              <w:rPr>
                <w:rFonts w:cs="Times New Roman"/>
                <w:sz w:val="21"/>
                <w:szCs w:val="21"/>
                <w:lang w:eastAsia="en-US"/>
              </w:rPr>
              <w:t>pH</w:t>
            </w:r>
            <w:r>
              <w:rPr>
                <w:rFonts w:ascii="宋体" w:hAnsi="宋体" w:hint="eastAsia"/>
                <w:sz w:val="21"/>
                <w:szCs w:val="21"/>
              </w:rPr>
              <w:t>≤</w:t>
            </w:r>
            <w:r>
              <w:rPr>
                <w:rFonts w:cs="Times New Roman"/>
                <w:sz w:val="21"/>
                <w:szCs w:val="21"/>
                <w:lang w:eastAsia="en-US"/>
              </w:rPr>
              <w:t>5.5</w:t>
            </w:r>
          </w:p>
        </w:tc>
        <w:tc>
          <w:tcPr>
            <w:tcW w:w="738"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8.5</w:t>
            </w:r>
            <w:bookmarkStart w:id="293" w:name="OLE_LINK144"/>
            <w:r>
              <w:rPr>
                <w:rFonts w:ascii="宋体" w:hAnsi="宋体" w:hint="eastAsia"/>
                <w:sz w:val="21"/>
                <w:szCs w:val="21"/>
              </w:rPr>
              <w:t>≤</w:t>
            </w:r>
            <w:bookmarkEnd w:id="293"/>
            <w:r>
              <w:rPr>
                <w:rFonts w:cs="Times New Roman"/>
                <w:sz w:val="21"/>
                <w:szCs w:val="21"/>
                <w:lang w:eastAsia="en-US"/>
              </w:rPr>
              <w:t>pH</w:t>
            </w:r>
            <w:r>
              <w:rPr>
                <w:rFonts w:cs="Times New Roman" w:hint="eastAsia"/>
                <w:sz w:val="21"/>
                <w:szCs w:val="21"/>
              </w:rPr>
              <w:t>&lt;</w:t>
            </w:r>
            <w:r>
              <w:rPr>
                <w:rFonts w:cs="Times New Roman"/>
                <w:sz w:val="21"/>
                <w:szCs w:val="21"/>
                <w:lang w:eastAsia="en-US"/>
              </w:rPr>
              <w:t>9.0</w:t>
            </w:r>
          </w:p>
        </w:tc>
      </w:tr>
      <w:tr w:rsidR="00C645C9">
        <w:trPr>
          <w:trHeight w:val="23"/>
        </w:trPr>
        <w:tc>
          <w:tcPr>
            <w:tcW w:w="509"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不敏感</w:t>
            </w:r>
          </w:p>
        </w:tc>
        <w:tc>
          <w:tcPr>
            <w:tcW w:w="3023"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其他</w:t>
            </w:r>
          </w:p>
        </w:tc>
        <w:tc>
          <w:tcPr>
            <w:tcW w:w="1467" w:type="pct"/>
            <w:gridSpan w:val="2"/>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5.5</w:t>
            </w:r>
            <w:r>
              <w:rPr>
                <w:rFonts w:cs="Times New Roman" w:hint="eastAsia"/>
                <w:sz w:val="21"/>
                <w:szCs w:val="21"/>
              </w:rPr>
              <w:t>&lt;</w:t>
            </w:r>
            <w:r>
              <w:rPr>
                <w:rFonts w:cs="Times New Roman"/>
                <w:sz w:val="21"/>
                <w:szCs w:val="21"/>
                <w:lang w:eastAsia="en-US"/>
              </w:rPr>
              <w:t>pH</w:t>
            </w:r>
            <w:r>
              <w:rPr>
                <w:rFonts w:cs="Times New Roman" w:hint="eastAsia"/>
                <w:sz w:val="21"/>
                <w:szCs w:val="21"/>
              </w:rPr>
              <w:t>&lt;</w:t>
            </w:r>
            <w:r>
              <w:rPr>
                <w:rFonts w:cs="Times New Roman"/>
                <w:sz w:val="21"/>
                <w:szCs w:val="21"/>
                <w:lang w:eastAsia="en-US"/>
              </w:rPr>
              <w:t>8.5</w:t>
            </w:r>
          </w:p>
        </w:tc>
      </w:tr>
      <w:tr w:rsidR="00C645C9">
        <w:trPr>
          <w:trHeight w:val="23"/>
        </w:trPr>
        <w:tc>
          <w:tcPr>
            <w:tcW w:w="5000" w:type="pct"/>
            <w:gridSpan w:val="4"/>
            <w:vAlign w:val="center"/>
          </w:tcPr>
          <w:p w:rsidR="00C645C9" w:rsidRDefault="00F955D9">
            <w:pPr>
              <w:adjustRightInd w:val="0"/>
              <w:snapToGrid w:val="0"/>
              <w:jc w:val="center"/>
              <w:rPr>
                <w:rFonts w:cs="Times New Roman"/>
                <w:sz w:val="21"/>
                <w:szCs w:val="21"/>
              </w:rPr>
            </w:pPr>
            <w:r>
              <w:rPr>
                <w:rFonts w:cs="Times New Roman"/>
                <w:sz w:val="21"/>
                <w:szCs w:val="21"/>
                <w:vertAlign w:val="superscript"/>
              </w:rPr>
              <w:lastRenderedPageBreak/>
              <w:t>a</w:t>
            </w:r>
            <w:r>
              <w:rPr>
                <w:rFonts w:cs="Times New Roman"/>
                <w:sz w:val="21"/>
                <w:szCs w:val="21"/>
              </w:rPr>
              <w:t>是指采用</w:t>
            </w:r>
            <w:r>
              <w:rPr>
                <w:rFonts w:cs="Times New Roman"/>
                <w:sz w:val="21"/>
                <w:szCs w:val="21"/>
              </w:rPr>
              <w:t>E601</w:t>
            </w:r>
            <w:r>
              <w:rPr>
                <w:rFonts w:cs="Times New Roman"/>
                <w:sz w:val="21"/>
                <w:szCs w:val="21"/>
              </w:rPr>
              <w:t>观测的多年平均水面蒸发量与降水量的比值，即蒸降比值。</w:t>
            </w:r>
          </w:p>
        </w:tc>
      </w:tr>
    </w:tbl>
    <w:p w:rsidR="00C645C9" w:rsidRDefault="00F955D9">
      <w:pPr>
        <w:pStyle w:val="af9"/>
        <w:adjustRightInd w:val="0"/>
        <w:snapToGrid w:val="0"/>
        <w:spacing w:line="240" w:lineRule="auto"/>
        <w:rPr>
          <w:rFonts w:eastAsia="黑体"/>
          <w:b w:val="0"/>
          <w:bCs/>
        </w:rPr>
      </w:pPr>
      <w:bookmarkStart w:id="294" w:name="OLE_LINK147"/>
      <w:r>
        <w:rPr>
          <w:rFonts w:eastAsia="黑体"/>
          <w:b w:val="0"/>
          <w:bCs/>
        </w:rPr>
        <w:t>表</w:t>
      </w:r>
      <w:bookmarkStart w:id="295" w:name="OLE_LINK140"/>
      <w:r>
        <w:rPr>
          <w:rFonts w:eastAsia="黑体"/>
          <w:b w:val="0"/>
          <w:bCs/>
        </w:rPr>
        <w:t>2.</w:t>
      </w:r>
      <w:bookmarkEnd w:id="295"/>
      <w:r>
        <w:rPr>
          <w:rFonts w:eastAsia="黑体" w:hint="eastAsia"/>
          <w:b w:val="0"/>
          <w:bCs/>
        </w:rPr>
        <w:t>5-7</w:t>
      </w:r>
      <w:r>
        <w:rPr>
          <w:rFonts w:eastAsia="黑体"/>
          <w:b w:val="0"/>
          <w:bCs/>
        </w:rPr>
        <w:t xml:space="preserve">   </w:t>
      </w:r>
      <w:r>
        <w:rPr>
          <w:rFonts w:eastAsia="黑体"/>
          <w:b w:val="0"/>
          <w:bCs/>
        </w:rPr>
        <w:t>生态</w:t>
      </w:r>
      <w:bookmarkStart w:id="296" w:name="OLE_LINK149"/>
      <w:r>
        <w:rPr>
          <w:rFonts w:eastAsia="黑体"/>
          <w:b w:val="0"/>
          <w:bCs/>
        </w:rPr>
        <w:t>影响型</w:t>
      </w:r>
      <w:r>
        <w:rPr>
          <w:rFonts w:eastAsia="黑体" w:hint="eastAsia"/>
          <w:b w:val="0"/>
          <w:bCs/>
        </w:rPr>
        <w:t>评价工作等级划分</w:t>
      </w:r>
      <w:r>
        <w:rPr>
          <w:rFonts w:eastAsia="黑体"/>
          <w:b w:val="0"/>
          <w:bCs/>
        </w:rPr>
        <w:t>表</w:t>
      </w:r>
      <w:bookmarkEnd w:id="296"/>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7"/>
        <w:gridCol w:w="2147"/>
        <w:gridCol w:w="2147"/>
        <w:gridCol w:w="2153"/>
      </w:tblGrid>
      <w:tr w:rsidR="00C645C9">
        <w:trPr>
          <w:trHeight w:val="710"/>
          <w:jc w:val="center"/>
        </w:trPr>
        <w:tc>
          <w:tcPr>
            <w:tcW w:w="1292" w:type="pct"/>
            <w:vAlign w:val="center"/>
          </w:tcPr>
          <w:bookmarkEnd w:id="294"/>
          <w:p w:rsidR="00C645C9" w:rsidRDefault="00F955D9">
            <w:pPr>
              <w:adjustRightInd w:val="0"/>
              <w:snapToGrid w:val="0"/>
              <w:jc w:val="center"/>
              <w:rPr>
                <w:rFonts w:cs="Times New Roman"/>
                <w:sz w:val="21"/>
                <w:szCs w:val="21"/>
              </w:rPr>
            </w:pPr>
            <w:r>
              <w:rPr>
                <w:rFonts w:cs="Times New Roman"/>
                <w:b/>
                <w:noProof/>
                <w:sz w:val="20"/>
                <w:szCs w:val="16"/>
              </w:rPr>
              <mc:AlternateContent>
                <mc:Choice Requires="wps">
                  <w:drawing>
                    <wp:anchor distT="0" distB="0" distL="114300" distR="114300" simplePos="0" relativeHeight="251663872" behindDoc="0" locked="0" layoutInCell="1" allowOverlap="1">
                      <wp:simplePos x="0" y="0"/>
                      <wp:positionH relativeFrom="column">
                        <wp:posOffset>678180</wp:posOffset>
                      </wp:positionH>
                      <wp:positionV relativeFrom="paragraph">
                        <wp:posOffset>6350</wp:posOffset>
                      </wp:positionV>
                      <wp:extent cx="736600" cy="512445"/>
                      <wp:effectExtent l="2540" t="3810" r="3810" b="17145"/>
                      <wp:wrapNone/>
                      <wp:docPr id="115" name="直接箭头连接符 115"/>
                      <wp:cNvGraphicFramePr/>
                      <a:graphic xmlns:a="http://schemas.openxmlformats.org/drawingml/2006/main">
                        <a:graphicData uri="http://schemas.microsoft.com/office/word/2010/wordprocessingShape">
                          <wps:wsp>
                            <wps:cNvCnPr/>
                            <wps:spPr>
                              <a:xfrm>
                                <a:off x="0" y="0"/>
                                <a:ext cx="736600" cy="51244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3.4pt;margin-top:0.5pt;height:40.35pt;width:58pt;z-index:251683840;mso-width-relative:page;mso-height-relative:page;" filled="f" stroked="t" coordsize="21600,21600" o:gfxdata="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SjWn1gAAAAgBAAAPAAAAAAAAAAEAIAAAACIAAABkcnMv&#10;ZG93bnJldi54bWxQSwECFAAUAAAACACHTuJA8iDMvAUCAAD0AwAADgAAAAAAAAABACAAAAAlAQAA&#10;ZHJzL2Uyb0RvYy54bWxQSwUGAAAAAAYABgBZAQAAnAUAAAAA&#10;">
                      <v:fill on="f" focussize="0,0"/>
                      <v:stroke weight="0.5pt" color="#0D0D0D" joinstyle="round"/>
                      <v:imagedata o:title=""/>
                      <o:lock v:ext="edit" aspectratio="f"/>
                    </v:shape>
                  </w:pict>
                </mc:Fallback>
              </mc:AlternateContent>
            </w:r>
            <w:r>
              <w:rPr>
                <w:rFonts w:cs="Times New Roman"/>
                <w:sz w:val="21"/>
                <w:szCs w:val="21"/>
              </w:rPr>
              <w:t xml:space="preserve">            </w:t>
            </w:r>
            <w:r>
              <w:rPr>
                <w:rFonts w:cs="Times New Roman"/>
                <w:sz w:val="21"/>
                <w:szCs w:val="21"/>
              </w:rPr>
              <w:t>项目类别</w:t>
            </w:r>
          </w:p>
          <w:p w:rsidR="00C645C9" w:rsidRDefault="00F955D9">
            <w:pPr>
              <w:adjustRightInd w:val="0"/>
              <w:snapToGrid w:val="0"/>
              <w:ind w:firstLineChars="100" w:firstLine="210"/>
              <w:jc w:val="both"/>
              <w:rPr>
                <w:rFonts w:cs="Times New Roman"/>
                <w:sz w:val="21"/>
                <w:szCs w:val="21"/>
              </w:rPr>
            </w:pPr>
            <w:r>
              <w:rPr>
                <w:rFonts w:cs="Times New Roman"/>
                <w:noProof/>
                <w:sz w:val="21"/>
                <w:szCs w:val="21"/>
              </w:rPr>
              <mc:AlternateContent>
                <mc:Choice Requires="wps">
                  <w:drawing>
                    <wp:anchor distT="0" distB="0" distL="114300" distR="114300" simplePos="0" relativeHeight="251664896" behindDoc="0" locked="0" layoutInCell="1" allowOverlap="1">
                      <wp:simplePos x="0" y="0"/>
                      <wp:positionH relativeFrom="column">
                        <wp:posOffset>-1270</wp:posOffset>
                      </wp:positionH>
                      <wp:positionV relativeFrom="paragraph">
                        <wp:posOffset>130175</wp:posOffset>
                      </wp:positionV>
                      <wp:extent cx="1422400" cy="215900"/>
                      <wp:effectExtent l="635" t="4445" r="5715" b="8255"/>
                      <wp:wrapNone/>
                      <wp:docPr id="116" name="直接箭头连接符 116"/>
                      <wp:cNvGraphicFramePr/>
                      <a:graphic xmlns:a="http://schemas.openxmlformats.org/drawingml/2006/main">
                        <a:graphicData uri="http://schemas.microsoft.com/office/word/2010/wordprocessingShape">
                          <wps:wsp>
                            <wps:cNvCnPr/>
                            <wps:spPr>
                              <a:xfrm>
                                <a:off x="0" y="0"/>
                                <a:ext cx="1422400" cy="21590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0.1pt;margin-top:10.25pt;height:17pt;width:112pt;z-index:251684864;mso-width-relative:page;mso-height-relative:page;" filled="f" stroked="t" coordsize="21600,21600" o:gfxdata="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jblTYAAAABwEAAA8AAAAAAAAAAQAgAAAAIgAAAGRycy9k&#10;b3ducmV2LnhtbFBLAQIUABQAAAAIAIdO4kCCFzmSAgIAAPUDAAAOAAAAAAAAAAEAIAAAACcBAABk&#10;cnMvZTJvRG9jLnhtbFBLBQYAAAAABgAGAFkBAACbBQAAAAA=&#10;">
                      <v:fill on="f" focussize="0,0"/>
                      <v:stroke weight="0.5pt" color="#0D0D0D" joinstyle="round"/>
                      <v:imagedata o:title=""/>
                      <o:lock v:ext="edit" aspectratio="f"/>
                    </v:shape>
                  </w:pict>
                </mc:Fallback>
              </mc:AlternateContent>
            </w:r>
            <w:r>
              <w:rPr>
                <w:rFonts w:cs="Times New Roman"/>
                <w:sz w:val="21"/>
                <w:szCs w:val="21"/>
              </w:rPr>
              <w:t>评价</w:t>
            </w:r>
            <w:r>
              <w:rPr>
                <w:rFonts w:cs="Times New Roman" w:hint="eastAsia"/>
                <w:sz w:val="21"/>
                <w:szCs w:val="21"/>
              </w:rPr>
              <w:t>工作</w:t>
            </w:r>
            <w:r>
              <w:rPr>
                <w:rFonts w:cs="Times New Roman"/>
                <w:sz w:val="21"/>
                <w:szCs w:val="21"/>
              </w:rPr>
              <w:t>等级</w:t>
            </w:r>
          </w:p>
          <w:p w:rsidR="00C645C9" w:rsidRDefault="00F955D9">
            <w:pPr>
              <w:adjustRightInd w:val="0"/>
              <w:snapToGrid w:val="0"/>
              <w:jc w:val="both"/>
              <w:rPr>
                <w:rFonts w:cs="Times New Roman"/>
                <w:sz w:val="21"/>
                <w:szCs w:val="21"/>
              </w:rPr>
            </w:pPr>
            <w:r>
              <w:rPr>
                <w:rFonts w:cs="Times New Roman"/>
                <w:sz w:val="21"/>
                <w:szCs w:val="21"/>
              </w:rPr>
              <w:t>敏感程度</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Ⅰ</w:t>
            </w:r>
            <w:r>
              <w:rPr>
                <w:rFonts w:cs="Times New Roman"/>
                <w:sz w:val="21"/>
                <w:szCs w:val="21"/>
                <w:lang w:eastAsia="en-US"/>
              </w:rPr>
              <w:t>类</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Ⅱ</w:t>
            </w:r>
            <w:r>
              <w:rPr>
                <w:rFonts w:cs="Times New Roman"/>
                <w:sz w:val="21"/>
                <w:szCs w:val="21"/>
                <w:lang w:eastAsia="en-US"/>
              </w:rPr>
              <w:t>类</w:t>
            </w:r>
          </w:p>
        </w:tc>
        <w:tc>
          <w:tcPr>
            <w:tcW w:w="1236"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Ⅲ</w:t>
            </w:r>
            <w:r>
              <w:rPr>
                <w:rFonts w:cs="Times New Roman"/>
                <w:sz w:val="21"/>
                <w:szCs w:val="21"/>
                <w:lang w:eastAsia="en-US"/>
              </w:rPr>
              <w:t>类</w:t>
            </w:r>
          </w:p>
        </w:tc>
      </w:tr>
      <w:tr w:rsidR="00C645C9">
        <w:trPr>
          <w:trHeight w:val="23"/>
          <w:jc w:val="center"/>
        </w:trPr>
        <w:tc>
          <w:tcPr>
            <w:tcW w:w="1292"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敏感</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一级</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二级</w:t>
            </w:r>
          </w:p>
        </w:tc>
        <w:tc>
          <w:tcPr>
            <w:tcW w:w="1236"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三级</w:t>
            </w:r>
          </w:p>
        </w:tc>
      </w:tr>
      <w:tr w:rsidR="00C645C9">
        <w:trPr>
          <w:trHeight w:val="23"/>
          <w:jc w:val="center"/>
        </w:trPr>
        <w:tc>
          <w:tcPr>
            <w:tcW w:w="1292"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较敏感</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二级</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二级</w:t>
            </w:r>
          </w:p>
        </w:tc>
        <w:tc>
          <w:tcPr>
            <w:tcW w:w="1236"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三级</w:t>
            </w:r>
          </w:p>
        </w:tc>
      </w:tr>
      <w:tr w:rsidR="00C645C9">
        <w:trPr>
          <w:trHeight w:val="23"/>
          <w:jc w:val="center"/>
        </w:trPr>
        <w:tc>
          <w:tcPr>
            <w:tcW w:w="1292"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不敏感</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二级</w:t>
            </w:r>
          </w:p>
        </w:tc>
        <w:tc>
          <w:tcPr>
            <w:tcW w:w="1235"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三级</w:t>
            </w:r>
          </w:p>
        </w:tc>
        <w:tc>
          <w:tcPr>
            <w:tcW w:w="1236" w:type="pct"/>
            <w:vAlign w:val="center"/>
          </w:tcPr>
          <w:p w:rsidR="00C645C9" w:rsidRDefault="00F955D9">
            <w:pPr>
              <w:adjustRightInd w:val="0"/>
              <w:snapToGrid w:val="0"/>
              <w:jc w:val="center"/>
              <w:rPr>
                <w:rFonts w:cs="Times New Roman"/>
                <w:sz w:val="21"/>
                <w:szCs w:val="21"/>
                <w:lang w:eastAsia="en-US"/>
              </w:rPr>
            </w:pPr>
            <w:r>
              <w:rPr>
                <w:rFonts w:cs="Times New Roman"/>
                <w:sz w:val="21"/>
                <w:szCs w:val="21"/>
                <w:lang w:eastAsia="en-US"/>
              </w:rPr>
              <w:t>-</w:t>
            </w:r>
          </w:p>
        </w:tc>
      </w:tr>
      <w:tr w:rsidR="00C645C9">
        <w:trPr>
          <w:trHeight w:val="23"/>
          <w:jc w:val="center"/>
        </w:trPr>
        <w:tc>
          <w:tcPr>
            <w:tcW w:w="5000" w:type="pct"/>
            <w:gridSpan w:val="4"/>
            <w:vAlign w:val="center"/>
          </w:tcPr>
          <w:p w:rsidR="00C645C9" w:rsidRDefault="00F955D9">
            <w:pPr>
              <w:adjustRightInd w:val="0"/>
              <w:snapToGrid w:val="0"/>
              <w:rPr>
                <w:rFonts w:cs="Times New Roman"/>
                <w:sz w:val="21"/>
                <w:szCs w:val="21"/>
              </w:rPr>
            </w:pPr>
            <w:bookmarkStart w:id="297" w:name="OLE_LINK150"/>
            <w:r>
              <w:rPr>
                <w:rFonts w:cs="Times New Roman"/>
                <w:sz w:val="21"/>
                <w:szCs w:val="21"/>
              </w:rPr>
              <w:t>注：</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表示可不开展土壤环境影响评价工作。</w:t>
            </w:r>
            <w:bookmarkEnd w:id="297"/>
          </w:p>
        </w:tc>
      </w:tr>
    </w:tbl>
    <w:p w:rsidR="00C645C9" w:rsidRDefault="00F955D9" w:rsidP="005718BB">
      <w:pPr>
        <w:widowControl w:val="0"/>
        <w:spacing w:beforeLines="100" w:before="240" w:line="360" w:lineRule="auto"/>
        <w:ind w:firstLineChars="200" w:firstLine="480"/>
        <w:jc w:val="both"/>
      </w:pPr>
      <w:r>
        <w:rPr>
          <w:rFonts w:hint="eastAsia"/>
        </w:rPr>
        <w:t>根据本次现状监测</w:t>
      </w:r>
      <w:r>
        <w:rPr>
          <w:rFonts w:cs="Times New Roman"/>
          <w:kern w:val="2"/>
          <w:szCs w:val="32"/>
          <w:lang w:bidi="ar"/>
        </w:rPr>
        <w:t>，</w:t>
      </w:r>
      <w:r>
        <w:rPr>
          <w:rFonts w:cs="Times New Roman" w:hint="eastAsia"/>
          <w:kern w:val="2"/>
          <w:szCs w:val="32"/>
          <w:lang w:bidi="ar"/>
        </w:rPr>
        <w:t>本工程所在</w:t>
      </w:r>
      <w:r>
        <w:rPr>
          <w:rFonts w:cs="Times New Roman"/>
          <w:kern w:val="2"/>
          <w:szCs w:val="32"/>
          <w:lang w:bidi="ar"/>
        </w:rPr>
        <w:t>区域土壤含盐量大于</w:t>
      </w:r>
      <w:r>
        <w:rPr>
          <w:rFonts w:cs="Times New Roman"/>
          <w:kern w:val="2"/>
          <w:szCs w:val="32"/>
          <w:lang w:bidi="ar"/>
        </w:rPr>
        <w:t>4g/kg</w:t>
      </w:r>
      <w:r>
        <w:rPr>
          <w:rFonts w:cs="Times New Roman"/>
          <w:kern w:val="2"/>
          <w:szCs w:val="32"/>
          <w:lang w:bidi="ar"/>
        </w:rPr>
        <w:t>，</w:t>
      </w:r>
      <w:r>
        <w:rPr>
          <w:rFonts w:hint="eastAsia"/>
        </w:rPr>
        <w:t>判定</w:t>
      </w:r>
      <w:r>
        <w:rPr>
          <w:rFonts w:cs="Times New Roman"/>
          <w:kern w:val="2"/>
          <w:szCs w:val="32"/>
          <w:lang w:bidi="ar"/>
        </w:rPr>
        <w:t>生态影响型土壤敏感程度为</w:t>
      </w:r>
      <w:r>
        <w:rPr>
          <w:rFonts w:cs="Times New Roman" w:hint="eastAsia"/>
          <w:kern w:val="2"/>
          <w:szCs w:val="32"/>
          <w:lang w:bidi="ar"/>
        </w:rPr>
        <w:t>“</w:t>
      </w:r>
      <w:r>
        <w:rPr>
          <w:rFonts w:cs="Times New Roman"/>
          <w:kern w:val="2"/>
          <w:szCs w:val="32"/>
          <w:lang w:bidi="ar"/>
        </w:rPr>
        <w:t>敏感</w:t>
      </w:r>
      <w:r>
        <w:rPr>
          <w:rFonts w:cs="Times New Roman" w:hint="eastAsia"/>
          <w:kern w:val="2"/>
          <w:szCs w:val="32"/>
          <w:lang w:bidi="ar"/>
        </w:rPr>
        <w:t>”</w:t>
      </w:r>
      <w:r>
        <w:rPr>
          <w:rFonts w:cs="Times New Roman"/>
          <w:kern w:val="2"/>
          <w:szCs w:val="32"/>
          <w:lang w:bidi="ar"/>
        </w:rPr>
        <w:t>。</w:t>
      </w:r>
      <w:bookmarkStart w:id="298" w:name="OLE_LINK153"/>
      <w:r>
        <w:rPr>
          <w:rFonts w:hint="eastAsia"/>
        </w:rPr>
        <w:t>本工程为</w:t>
      </w:r>
      <w:r>
        <w:rPr>
          <w:rFonts w:hint="eastAsia"/>
        </w:rPr>
        <w:t>天然气</w:t>
      </w:r>
      <w:r>
        <w:rPr>
          <w:rFonts w:hint="eastAsia"/>
        </w:rPr>
        <w:t>开采项目，</w:t>
      </w:r>
      <w:bookmarkStart w:id="299" w:name="OLE_LINK152"/>
      <w:r>
        <w:rPr>
          <w:rFonts w:hint="eastAsia"/>
        </w:rPr>
        <w:t>属于</w:t>
      </w:r>
      <w:r>
        <w:rPr>
          <w:rFonts w:hint="eastAsia"/>
        </w:rPr>
        <w:t>Ⅱ类建设项目</w:t>
      </w:r>
      <w:bookmarkEnd w:id="299"/>
      <w:r>
        <w:rPr>
          <w:rFonts w:hint="eastAsia"/>
        </w:rPr>
        <w:t>，</w:t>
      </w:r>
      <w:bookmarkStart w:id="300" w:name="OLE_LINK154"/>
      <w:bookmarkEnd w:id="298"/>
      <w:r>
        <w:rPr>
          <w:rFonts w:hint="eastAsia"/>
        </w:rPr>
        <w:t>土壤生态影响型评价等级划分为</w:t>
      </w:r>
      <w:r>
        <w:rPr>
          <w:rFonts w:hint="eastAsia"/>
        </w:rPr>
        <w:t>二</w:t>
      </w:r>
      <w:r>
        <w:rPr>
          <w:rFonts w:hint="eastAsia"/>
        </w:rPr>
        <w:t>级</w:t>
      </w:r>
      <w:bookmarkEnd w:id="300"/>
      <w:r>
        <w:rPr>
          <w:rFonts w:cs="Times New Roman"/>
          <w:kern w:val="2"/>
          <w:szCs w:val="32"/>
          <w:lang w:bidi="ar"/>
        </w:rPr>
        <w:t>评价</w:t>
      </w:r>
      <w:r>
        <w:rPr>
          <w:rFonts w:hint="eastAsia"/>
        </w:rPr>
        <w:t>。</w:t>
      </w:r>
    </w:p>
    <w:p w:rsidR="00C645C9" w:rsidRDefault="00F955D9">
      <w:pPr>
        <w:adjustRightInd w:val="0"/>
        <w:snapToGrid w:val="0"/>
        <w:spacing w:line="360" w:lineRule="auto"/>
        <w:ind w:firstLine="480"/>
        <w:rPr>
          <w:rFonts w:cs="Times New Roman"/>
          <w:kern w:val="2"/>
          <w:szCs w:val="32"/>
          <w:lang w:bidi="ar"/>
        </w:rPr>
      </w:pPr>
      <w:r>
        <w:rPr>
          <w:rFonts w:cs="Times New Roman"/>
          <w:kern w:val="2"/>
          <w:szCs w:val="32"/>
          <w:lang w:bidi="ar"/>
        </w:rPr>
        <w:t>②</w:t>
      </w:r>
      <w:r>
        <w:rPr>
          <w:rFonts w:cs="Times New Roman"/>
          <w:kern w:val="2"/>
          <w:szCs w:val="32"/>
          <w:lang w:bidi="ar"/>
        </w:rPr>
        <w:t>污染影响型</w:t>
      </w:r>
    </w:p>
    <w:p w:rsidR="00C645C9" w:rsidRDefault="00F955D9">
      <w:pPr>
        <w:adjustRightInd w:val="0"/>
        <w:snapToGrid w:val="0"/>
        <w:spacing w:line="360" w:lineRule="auto"/>
        <w:ind w:firstLine="480"/>
        <w:rPr>
          <w:rFonts w:cs="Times New Roman"/>
          <w:kern w:val="2"/>
          <w:szCs w:val="32"/>
          <w:lang w:bidi="ar"/>
        </w:rPr>
      </w:pPr>
      <w:r>
        <w:rPr>
          <w:rFonts w:cs="Times New Roman"/>
          <w:kern w:val="2"/>
          <w:szCs w:val="32"/>
          <w:lang w:bidi="ar"/>
        </w:rPr>
        <w:t>根据</w:t>
      </w:r>
      <w:bookmarkStart w:id="301" w:name="OLE_LINK133"/>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土壤环境（试行）》（</w:t>
      </w:r>
      <w:r>
        <w:rPr>
          <w:rFonts w:cs="Times New Roman"/>
          <w:kern w:val="2"/>
          <w:szCs w:val="32"/>
          <w:lang w:bidi="ar"/>
        </w:rPr>
        <w:t>HJ964-2018</w:t>
      </w:r>
      <w:r>
        <w:rPr>
          <w:rFonts w:cs="Times New Roman"/>
          <w:kern w:val="2"/>
          <w:szCs w:val="32"/>
          <w:lang w:bidi="ar"/>
        </w:rPr>
        <w:t>）</w:t>
      </w:r>
      <w:bookmarkEnd w:id="301"/>
      <w:r>
        <w:rPr>
          <w:rFonts w:cs="Times New Roman" w:hint="eastAsia"/>
          <w:kern w:val="2"/>
          <w:szCs w:val="32"/>
          <w:lang w:bidi="ar"/>
        </w:rPr>
        <w:t>，“将</w:t>
      </w:r>
      <w:r>
        <w:rPr>
          <w:rFonts w:cs="Times New Roman"/>
          <w:kern w:val="2"/>
          <w:szCs w:val="32"/>
          <w:lang w:bidi="ar"/>
        </w:rPr>
        <w:t>建设项目占地规模分为大</w:t>
      </w:r>
      <w:r>
        <w:rPr>
          <w:rFonts w:cs="Times New Roman"/>
          <w:kern w:val="2"/>
          <w:lang w:bidi="ar"/>
        </w:rPr>
        <w:t>型（</w:t>
      </w:r>
      <w:r>
        <w:rPr>
          <w:rFonts w:ascii="宋体" w:hAnsi="宋体" w:hint="eastAsia"/>
        </w:rPr>
        <w:t>≥</w:t>
      </w:r>
      <w:r>
        <w:rPr>
          <w:rFonts w:cs="Times New Roman"/>
          <w:kern w:val="2"/>
          <w:lang w:bidi="ar"/>
        </w:rPr>
        <w:t>50hm</w:t>
      </w:r>
      <w:r>
        <w:rPr>
          <w:rFonts w:cs="Times New Roman"/>
          <w:kern w:val="2"/>
          <w:vertAlign w:val="superscript"/>
          <w:lang w:bidi="ar"/>
        </w:rPr>
        <w:t>2</w:t>
      </w:r>
      <w:r>
        <w:rPr>
          <w:rFonts w:cs="Times New Roman"/>
          <w:kern w:val="2"/>
          <w:lang w:bidi="ar"/>
        </w:rPr>
        <w:t>）、中型（</w:t>
      </w:r>
      <w:r>
        <w:rPr>
          <w:rFonts w:cs="Times New Roman"/>
          <w:kern w:val="2"/>
          <w:lang w:bidi="ar"/>
        </w:rPr>
        <w:t>5</w:t>
      </w:r>
      <w:r>
        <w:rPr>
          <w:rFonts w:cs="Times New Roman"/>
          <w:kern w:val="2"/>
          <w:lang w:bidi="ar"/>
        </w:rPr>
        <w:t>～</w:t>
      </w:r>
      <w:r>
        <w:rPr>
          <w:rFonts w:cs="Times New Roman"/>
          <w:kern w:val="2"/>
          <w:lang w:bidi="ar"/>
        </w:rPr>
        <w:t>50hm</w:t>
      </w:r>
      <w:r>
        <w:rPr>
          <w:rFonts w:cs="Times New Roman"/>
          <w:kern w:val="2"/>
          <w:vertAlign w:val="superscript"/>
          <w:lang w:bidi="ar"/>
        </w:rPr>
        <w:t>2</w:t>
      </w:r>
      <w:r>
        <w:rPr>
          <w:rFonts w:cs="Times New Roman"/>
          <w:kern w:val="2"/>
          <w:lang w:bidi="ar"/>
        </w:rPr>
        <w:t>）</w:t>
      </w:r>
      <w:r>
        <w:rPr>
          <w:rFonts w:cs="Times New Roman" w:hint="eastAsia"/>
          <w:kern w:val="2"/>
          <w:lang w:bidi="ar"/>
        </w:rPr>
        <w:t>、</w:t>
      </w:r>
      <w:r>
        <w:rPr>
          <w:rFonts w:cs="Times New Roman"/>
          <w:kern w:val="2"/>
          <w:lang w:bidi="ar"/>
        </w:rPr>
        <w:t>小型（</w:t>
      </w:r>
      <w:r>
        <w:rPr>
          <w:rFonts w:ascii="宋体" w:hAnsi="宋体" w:hint="eastAsia"/>
        </w:rPr>
        <w:t>≤</w:t>
      </w:r>
      <w:r>
        <w:rPr>
          <w:rFonts w:cs="Times New Roman"/>
          <w:kern w:val="2"/>
          <w:lang w:bidi="ar"/>
        </w:rPr>
        <w:t>5hm</w:t>
      </w:r>
      <w:r>
        <w:rPr>
          <w:rFonts w:cs="Times New Roman"/>
          <w:kern w:val="2"/>
          <w:vertAlign w:val="superscript"/>
          <w:lang w:bidi="ar"/>
        </w:rPr>
        <w:t>2</w:t>
      </w:r>
      <w:r>
        <w:rPr>
          <w:rFonts w:cs="Times New Roman"/>
          <w:kern w:val="2"/>
          <w:lang w:bidi="ar"/>
        </w:rPr>
        <w:t>），</w:t>
      </w:r>
      <w:r>
        <w:rPr>
          <w:rFonts w:cs="Times New Roman" w:hint="eastAsia"/>
          <w:kern w:val="2"/>
          <w:lang w:bidi="ar"/>
        </w:rPr>
        <w:t>建设项目占地主要为永久占地”</w:t>
      </w:r>
      <w:r>
        <w:rPr>
          <w:rFonts w:cs="Times New Roman"/>
          <w:kern w:val="2"/>
          <w:lang w:bidi="ar"/>
        </w:rPr>
        <w:t>本</w:t>
      </w:r>
      <w:r>
        <w:rPr>
          <w:rFonts w:cs="Times New Roman" w:hint="eastAsia"/>
          <w:kern w:val="2"/>
          <w:lang w:bidi="ar"/>
        </w:rPr>
        <w:t>工程</w:t>
      </w:r>
      <w:r>
        <w:rPr>
          <w:rFonts w:cs="Times New Roman"/>
          <w:kern w:val="2"/>
          <w:lang w:bidi="ar"/>
        </w:rPr>
        <w:t>永久占地面积</w:t>
      </w:r>
      <w:r>
        <w:rPr>
          <w:rFonts w:cs="Times New Roman"/>
          <w:snapToGrid w:val="0"/>
        </w:rPr>
        <w:t>为</w:t>
      </w:r>
      <w:bookmarkStart w:id="302" w:name="OLE_LINK151"/>
      <w:r>
        <w:rPr>
          <w:rFonts w:cs="Times New Roman" w:hint="eastAsia"/>
          <w:snapToGrid w:val="0"/>
        </w:rPr>
        <w:t>4.09</w:t>
      </w:r>
      <w:r>
        <w:rPr>
          <w:rFonts w:cs="Times New Roman"/>
          <w:snapToGrid w:val="0"/>
        </w:rPr>
        <w:t>hm</w:t>
      </w:r>
      <w:r>
        <w:rPr>
          <w:rFonts w:cs="Times New Roman"/>
          <w:snapToGrid w:val="0"/>
          <w:vertAlign w:val="superscript"/>
        </w:rPr>
        <w:t>2</w:t>
      </w:r>
      <w:bookmarkEnd w:id="302"/>
      <w:r>
        <w:rPr>
          <w:rFonts w:cs="Times New Roman"/>
          <w:snapToGrid w:val="0"/>
        </w:rPr>
        <w:t>（</w:t>
      </w:r>
      <w:r>
        <w:rPr>
          <w:rFonts w:cs="Times New Roman"/>
          <w:kern w:val="2"/>
          <w:lang w:bidi="ar"/>
        </w:rPr>
        <w:t>≤5hm</w:t>
      </w:r>
      <w:r>
        <w:rPr>
          <w:rFonts w:cs="Times New Roman"/>
          <w:kern w:val="2"/>
          <w:vertAlign w:val="superscript"/>
          <w:lang w:bidi="ar"/>
        </w:rPr>
        <w:t>2</w:t>
      </w:r>
      <w:r>
        <w:rPr>
          <w:rFonts w:cs="Times New Roman"/>
          <w:snapToGrid w:val="0"/>
        </w:rPr>
        <w:t>）</w:t>
      </w:r>
      <w:r>
        <w:rPr>
          <w:rFonts w:cs="Times New Roman"/>
          <w:kern w:val="2"/>
          <w:szCs w:val="32"/>
          <w:lang w:bidi="ar"/>
        </w:rPr>
        <w:t>，</w:t>
      </w:r>
      <w:r>
        <w:rPr>
          <w:rFonts w:cs="Times New Roman"/>
          <w:kern w:val="2"/>
          <w:szCs w:val="32"/>
          <w:lang w:bidi="ar"/>
        </w:rPr>
        <w:t>占地规模为小型。建设项目所在地周边的土壤环境敏感程度分为敏感、较敏感、不敏感，判别依据见表</w:t>
      </w:r>
      <w:bookmarkStart w:id="303" w:name="OLE_LINK146"/>
      <w:r>
        <w:rPr>
          <w:rFonts w:cs="Times New Roman"/>
          <w:kern w:val="2"/>
          <w:szCs w:val="32"/>
          <w:lang w:bidi="ar"/>
        </w:rPr>
        <w:t>2.</w:t>
      </w:r>
      <w:bookmarkEnd w:id="303"/>
      <w:r>
        <w:rPr>
          <w:rFonts w:cs="Times New Roman" w:hint="eastAsia"/>
          <w:kern w:val="2"/>
          <w:szCs w:val="32"/>
          <w:lang w:bidi="ar"/>
        </w:rPr>
        <w:t>5-8</w:t>
      </w:r>
      <w:r>
        <w:rPr>
          <w:rFonts w:cs="Times New Roman" w:hint="eastAsia"/>
          <w:kern w:val="2"/>
          <w:szCs w:val="32"/>
          <w:lang w:bidi="ar"/>
        </w:rPr>
        <w:t>。</w:t>
      </w:r>
      <w:r>
        <w:rPr>
          <w:rFonts w:cs="Times New Roman"/>
          <w:kern w:val="2"/>
          <w:szCs w:val="32"/>
          <w:lang w:bidi="ar"/>
        </w:rPr>
        <w:t>土壤</w:t>
      </w:r>
      <w:r>
        <w:rPr>
          <w:rFonts w:cs="Times New Roman" w:hint="eastAsia"/>
          <w:kern w:val="2"/>
          <w:szCs w:val="32"/>
          <w:lang w:bidi="ar"/>
        </w:rPr>
        <w:t>环境污染</w:t>
      </w:r>
      <w:r>
        <w:rPr>
          <w:rFonts w:cs="Times New Roman"/>
          <w:kern w:val="2"/>
          <w:szCs w:val="32"/>
          <w:lang w:bidi="ar"/>
        </w:rPr>
        <w:t>影响型评价工作等级划分</w:t>
      </w:r>
      <w:r>
        <w:rPr>
          <w:rFonts w:cs="Times New Roman" w:hint="eastAsia"/>
          <w:kern w:val="2"/>
          <w:szCs w:val="32"/>
          <w:lang w:bidi="ar"/>
        </w:rPr>
        <w:t>见表</w:t>
      </w:r>
      <w:r>
        <w:rPr>
          <w:rFonts w:cs="Times New Roman"/>
          <w:kern w:val="2"/>
          <w:szCs w:val="32"/>
          <w:lang w:bidi="ar"/>
        </w:rPr>
        <w:t>2.</w:t>
      </w:r>
      <w:r>
        <w:rPr>
          <w:rFonts w:cs="Times New Roman" w:hint="eastAsia"/>
          <w:kern w:val="2"/>
          <w:szCs w:val="32"/>
          <w:lang w:bidi="ar"/>
        </w:rPr>
        <w:t>5-9</w:t>
      </w:r>
      <w:r>
        <w:rPr>
          <w:rFonts w:cs="Times New Roman" w:hint="eastAsia"/>
          <w:kern w:val="2"/>
          <w:szCs w:val="32"/>
          <w:lang w:bidi="ar"/>
        </w:rPr>
        <w:t>。</w:t>
      </w:r>
    </w:p>
    <w:p w:rsidR="00C645C9" w:rsidRDefault="00F955D9">
      <w:pPr>
        <w:pStyle w:val="af9"/>
        <w:adjustRightInd w:val="0"/>
        <w:snapToGrid w:val="0"/>
        <w:spacing w:line="240" w:lineRule="auto"/>
        <w:rPr>
          <w:rFonts w:eastAsia="黑体"/>
          <w:b w:val="0"/>
          <w:bCs/>
        </w:rPr>
      </w:pPr>
      <w:r>
        <w:rPr>
          <w:rFonts w:eastAsia="黑体"/>
          <w:b w:val="0"/>
          <w:bCs/>
        </w:rPr>
        <w:t>表</w:t>
      </w:r>
      <w:r>
        <w:rPr>
          <w:rFonts w:eastAsia="黑体"/>
          <w:b w:val="0"/>
          <w:bCs/>
        </w:rPr>
        <w:t>2.</w:t>
      </w:r>
      <w:r>
        <w:rPr>
          <w:rFonts w:eastAsia="黑体" w:hint="eastAsia"/>
          <w:b w:val="0"/>
          <w:bCs/>
        </w:rPr>
        <w:t>5-8</w:t>
      </w:r>
      <w:r>
        <w:rPr>
          <w:rFonts w:eastAsia="黑体"/>
          <w:b w:val="0"/>
          <w:bCs/>
        </w:rPr>
        <w:t xml:space="preserve">   </w:t>
      </w:r>
      <w:bookmarkStart w:id="304" w:name="OLE_LINK148"/>
      <w:r>
        <w:rPr>
          <w:rFonts w:eastAsia="黑体" w:hint="eastAsia"/>
          <w:b w:val="0"/>
          <w:bCs/>
        </w:rPr>
        <w:t>污染</w:t>
      </w:r>
      <w:bookmarkEnd w:id="304"/>
      <w:r>
        <w:rPr>
          <w:rFonts w:eastAsia="黑体"/>
          <w:b w:val="0"/>
          <w:bCs/>
        </w:rPr>
        <w:t>影响型敏感程度分级表</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8"/>
        <w:gridCol w:w="6333"/>
      </w:tblGrid>
      <w:tr w:rsidR="00C645C9">
        <w:trPr>
          <w:trHeight w:val="544"/>
          <w:jc w:val="center"/>
        </w:trPr>
        <w:tc>
          <w:tcPr>
            <w:tcW w:w="1369" w:type="pct"/>
            <w:vAlign w:val="center"/>
          </w:tcPr>
          <w:p w:rsidR="00C645C9" w:rsidRDefault="00F955D9">
            <w:pPr>
              <w:widowControl w:val="0"/>
              <w:adjustRightInd w:val="0"/>
              <w:snapToGrid w:val="0"/>
              <w:jc w:val="center"/>
              <w:rPr>
                <w:sz w:val="21"/>
                <w:szCs w:val="21"/>
                <w:lang w:eastAsia="en-US"/>
              </w:rPr>
            </w:pPr>
            <w:r>
              <w:rPr>
                <w:sz w:val="21"/>
                <w:szCs w:val="21"/>
                <w:lang w:eastAsia="en-US"/>
              </w:rPr>
              <w:t>敏感程度</w:t>
            </w:r>
          </w:p>
        </w:tc>
        <w:tc>
          <w:tcPr>
            <w:tcW w:w="3630" w:type="pct"/>
            <w:vAlign w:val="center"/>
          </w:tcPr>
          <w:p w:rsidR="00C645C9" w:rsidRDefault="00F955D9">
            <w:pPr>
              <w:widowControl w:val="0"/>
              <w:adjustRightInd w:val="0"/>
              <w:snapToGrid w:val="0"/>
              <w:jc w:val="center"/>
              <w:rPr>
                <w:sz w:val="21"/>
                <w:szCs w:val="21"/>
                <w:lang w:eastAsia="en-US"/>
              </w:rPr>
            </w:pPr>
            <w:r>
              <w:rPr>
                <w:sz w:val="21"/>
                <w:szCs w:val="21"/>
                <w:lang w:eastAsia="en-US"/>
              </w:rPr>
              <w:t>判别依据</w:t>
            </w:r>
          </w:p>
        </w:tc>
      </w:tr>
      <w:tr w:rsidR="00C645C9">
        <w:trPr>
          <w:trHeight w:val="544"/>
          <w:jc w:val="center"/>
        </w:trPr>
        <w:tc>
          <w:tcPr>
            <w:tcW w:w="1369" w:type="pct"/>
            <w:vAlign w:val="center"/>
          </w:tcPr>
          <w:p w:rsidR="00C645C9" w:rsidRDefault="00F955D9">
            <w:pPr>
              <w:widowControl w:val="0"/>
              <w:adjustRightInd w:val="0"/>
              <w:snapToGrid w:val="0"/>
              <w:jc w:val="center"/>
              <w:rPr>
                <w:sz w:val="21"/>
                <w:szCs w:val="21"/>
                <w:lang w:eastAsia="en-US"/>
              </w:rPr>
            </w:pPr>
            <w:r>
              <w:rPr>
                <w:sz w:val="21"/>
                <w:szCs w:val="21"/>
                <w:lang w:eastAsia="en-US"/>
              </w:rPr>
              <w:t>敏感</w:t>
            </w:r>
          </w:p>
        </w:tc>
        <w:tc>
          <w:tcPr>
            <w:tcW w:w="3630" w:type="pct"/>
            <w:vAlign w:val="center"/>
          </w:tcPr>
          <w:p w:rsidR="00C645C9" w:rsidRDefault="00F955D9">
            <w:pPr>
              <w:widowControl w:val="0"/>
              <w:adjustRightInd w:val="0"/>
              <w:snapToGrid w:val="0"/>
              <w:rPr>
                <w:sz w:val="21"/>
                <w:szCs w:val="21"/>
              </w:rPr>
            </w:pPr>
            <w:r>
              <w:rPr>
                <w:sz w:val="21"/>
                <w:szCs w:val="21"/>
              </w:rPr>
              <w:t>建设项目周边存在耕地、园地、牧草地、饮用水水源地或居民区、学校、医院、疗养院、养老院等土壤环境敏感目标的</w:t>
            </w:r>
          </w:p>
        </w:tc>
      </w:tr>
      <w:tr w:rsidR="00C645C9">
        <w:trPr>
          <w:trHeight w:val="544"/>
          <w:jc w:val="center"/>
        </w:trPr>
        <w:tc>
          <w:tcPr>
            <w:tcW w:w="1369" w:type="pct"/>
            <w:vAlign w:val="center"/>
          </w:tcPr>
          <w:p w:rsidR="00C645C9" w:rsidRDefault="00F955D9">
            <w:pPr>
              <w:widowControl w:val="0"/>
              <w:adjustRightInd w:val="0"/>
              <w:snapToGrid w:val="0"/>
              <w:jc w:val="center"/>
              <w:rPr>
                <w:sz w:val="21"/>
                <w:szCs w:val="21"/>
                <w:lang w:eastAsia="en-US"/>
              </w:rPr>
            </w:pPr>
            <w:r>
              <w:rPr>
                <w:sz w:val="21"/>
                <w:szCs w:val="21"/>
                <w:lang w:eastAsia="en-US"/>
              </w:rPr>
              <w:t>较敏感</w:t>
            </w:r>
          </w:p>
        </w:tc>
        <w:tc>
          <w:tcPr>
            <w:tcW w:w="3630" w:type="pct"/>
            <w:vAlign w:val="center"/>
          </w:tcPr>
          <w:p w:rsidR="00C645C9" w:rsidRDefault="00F955D9">
            <w:pPr>
              <w:widowControl w:val="0"/>
              <w:adjustRightInd w:val="0"/>
              <w:snapToGrid w:val="0"/>
              <w:rPr>
                <w:sz w:val="21"/>
                <w:szCs w:val="21"/>
              </w:rPr>
            </w:pPr>
            <w:r>
              <w:rPr>
                <w:sz w:val="21"/>
                <w:szCs w:val="21"/>
              </w:rPr>
              <w:t>建设项目周边存在其他土壤环境敏感目标的</w:t>
            </w:r>
          </w:p>
        </w:tc>
      </w:tr>
      <w:tr w:rsidR="00C645C9">
        <w:trPr>
          <w:trHeight w:val="544"/>
          <w:jc w:val="center"/>
        </w:trPr>
        <w:tc>
          <w:tcPr>
            <w:tcW w:w="1369" w:type="pct"/>
            <w:vAlign w:val="center"/>
          </w:tcPr>
          <w:p w:rsidR="00C645C9" w:rsidRDefault="00F955D9">
            <w:pPr>
              <w:widowControl w:val="0"/>
              <w:adjustRightInd w:val="0"/>
              <w:snapToGrid w:val="0"/>
              <w:jc w:val="center"/>
              <w:rPr>
                <w:sz w:val="21"/>
                <w:szCs w:val="21"/>
                <w:lang w:eastAsia="en-US"/>
              </w:rPr>
            </w:pPr>
            <w:r>
              <w:rPr>
                <w:sz w:val="21"/>
                <w:szCs w:val="21"/>
                <w:lang w:eastAsia="en-US"/>
              </w:rPr>
              <w:t>不敏感</w:t>
            </w:r>
          </w:p>
        </w:tc>
        <w:tc>
          <w:tcPr>
            <w:tcW w:w="3630" w:type="pct"/>
            <w:vAlign w:val="center"/>
          </w:tcPr>
          <w:p w:rsidR="00C645C9" w:rsidRDefault="00F955D9">
            <w:pPr>
              <w:widowControl w:val="0"/>
              <w:adjustRightInd w:val="0"/>
              <w:snapToGrid w:val="0"/>
              <w:rPr>
                <w:sz w:val="21"/>
                <w:szCs w:val="21"/>
                <w:lang w:eastAsia="en-US"/>
              </w:rPr>
            </w:pPr>
            <w:r>
              <w:rPr>
                <w:sz w:val="21"/>
                <w:szCs w:val="21"/>
                <w:lang w:eastAsia="en-US"/>
              </w:rPr>
              <w:t>其他情况</w:t>
            </w:r>
          </w:p>
        </w:tc>
      </w:tr>
    </w:tbl>
    <w:p w:rsidR="00C645C9" w:rsidRDefault="00F955D9">
      <w:pPr>
        <w:pStyle w:val="af9"/>
        <w:adjustRightInd w:val="0"/>
        <w:snapToGrid w:val="0"/>
        <w:spacing w:line="240" w:lineRule="auto"/>
        <w:rPr>
          <w:rFonts w:eastAsia="黑体"/>
          <w:b w:val="0"/>
          <w:bCs/>
        </w:rPr>
      </w:pPr>
      <w:bookmarkStart w:id="305" w:name="OLE_LINK156"/>
      <w:r>
        <w:rPr>
          <w:rFonts w:eastAsia="黑体"/>
          <w:b w:val="0"/>
          <w:bCs/>
        </w:rPr>
        <w:t>表</w:t>
      </w:r>
      <w:r>
        <w:rPr>
          <w:rFonts w:eastAsia="黑体"/>
          <w:b w:val="0"/>
          <w:bCs/>
        </w:rPr>
        <w:t>2.</w:t>
      </w:r>
      <w:r>
        <w:rPr>
          <w:rFonts w:eastAsia="黑体" w:hint="eastAsia"/>
          <w:b w:val="0"/>
          <w:bCs/>
        </w:rPr>
        <w:t>5-9</w:t>
      </w:r>
      <w:r>
        <w:rPr>
          <w:rFonts w:eastAsia="黑体"/>
          <w:b w:val="0"/>
          <w:bCs/>
        </w:rPr>
        <w:t xml:space="preserve">   </w:t>
      </w:r>
      <w:r>
        <w:rPr>
          <w:rFonts w:eastAsia="黑体" w:hint="eastAsia"/>
          <w:b w:val="0"/>
          <w:bCs/>
        </w:rPr>
        <w:t>污染</w:t>
      </w:r>
      <w:r>
        <w:rPr>
          <w:rFonts w:eastAsia="黑体"/>
          <w:b w:val="0"/>
          <w:bCs/>
        </w:rPr>
        <w:t>影响型</w:t>
      </w:r>
      <w:r>
        <w:rPr>
          <w:rFonts w:eastAsia="黑体" w:hint="eastAsia"/>
          <w:b w:val="0"/>
          <w:bCs/>
        </w:rPr>
        <w:t>评价工作等级划分</w:t>
      </w:r>
      <w:r>
        <w:rPr>
          <w:rFonts w:eastAsia="黑体"/>
          <w:b w:val="0"/>
          <w:bCs/>
        </w:rPr>
        <w:t>表</w:t>
      </w:r>
      <w:bookmarkEnd w:id="305"/>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701"/>
        <w:gridCol w:w="703"/>
        <w:gridCol w:w="707"/>
        <w:gridCol w:w="703"/>
        <w:gridCol w:w="703"/>
        <w:gridCol w:w="707"/>
        <w:gridCol w:w="703"/>
        <w:gridCol w:w="703"/>
        <w:gridCol w:w="708"/>
      </w:tblGrid>
      <w:tr w:rsidR="00C645C9">
        <w:trPr>
          <w:trHeight w:val="443"/>
        </w:trPr>
        <w:tc>
          <w:tcPr>
            <w:tcW w:w="1331" w:type="pct"/>
            <w:vMerge w:val="restart"/>
            <w:tcBorders>
              <w:tl2br w:val="nil"/>
              <w:tr2bl w:val="nil"/>
            </w:tcBorders>
            <w:vAlign w:val="center"/>
          </w:tcPr>
          <w:p w:rsidR="00C645C9" w:rsidRDefault="00F955D9">
            <w:pPr>
              <w:adjustRightInd w:val="0"/>
              <w:snapToGrid w:val="0"/>
              <w:jc w:val="right"/>
              <w:rPr>
                <w:rFonts w:cs="Times New Roman"/>
                <w:sz w:val="20"/>
                <w:szCs w:val="16"/>
              </w:rPr>
            </w:pPr>
            <w:r>
              <w:rPr>
                <w:rFonts w:cs="Times New Roman"/>
                <w:b/>
                <w:noProof/>
                <w:sz w:val="20"/>
                <w:szCs w:val="16"/>
              </w:rPr>
              <mc:AlternateContent>
                <mc:Choice Requires="wps">
                  <w:drawing>
                    <wp:anchor distT="0" distB="0" distL="114300" distR="114300" simplePos="0" relativeHeight="251665920" behindDoc="0" locked="0" layoutInCell="1" allowOverlap="1">
                      <wp:simplePos x="0" y="0"/>
                      <wp:positionH relativeFrom="column">
                        <wp:posOffset>614680</wp:posOffset>
                      </wp:positionH>
                      <wp:positionV relativeFrom="paragraph">
                        <wp:posOffset>1270</wp:posOffset>
                      </wp:positionV>
                      <wp:extent cx="787400" cy="493395"/>
                      <wp:effectExtent l="2540" t="3810" r="10160" b="17145"/>
                      <wp:wrapNone/>
                      <wp:docPr id="142" name="直接箭头连接符 142"/>
                      <wp:cNvGraphicFramePr/>
                      <a:graphic xmlns:a="http://schemas.openxmlformats.org/drawingml/2006/main">
                        <a:graphicData uri="http://schemas.microsoft.com/office/word/2010/wordprocessingShape">
                          <wps:wsp>
                            <wps:cNvCnPr/>
                            <wps:spPr>
                              <a:xfrm>
                                <a:off x="0" y="0"/>
                                <a:ext cx="787400" cy="493395"/>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48.4pt;margin-top:0.1pt;height:38.85pt;width:62pt;z-index:251685888;mso-width-relative:page;mso-height-relative:page;" filled="f" stroked="t" coordsize="21600,21600" o:gfxdata="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h2CP1QAAAAYBAAAPAAAAAAAAAAEAIAAAACIAAABkcnMvZG93&#10;bnJldi54bWxQSwECFAAUAAAACACHTuJAmy1hVgMCAAD0AwAADgAAAAAAAAABACAAAAAkAQAAZHJz&#10;L2Uyb0RvYy54bWxQSwUGAAAAAAYABgBZAQAAmQUAAAAA&#10;">
                      <v:fill on="f" focussize="0,0"/>
                      <v:stroke weight="0.5pt" color="#0D0D0D" joinstyle="round"/>
                      <v:imagedata o:title=""/>
                      <o:lock v:ext="edit" aspectratio="f"/>
                    </v:shape>
                  </w:pict>
                </mc:Fallback>
              </mc:AlternateContent>
            </w:r>
            <w:r>
              <w:rPr>
                <w:rFonts w:cs="Times New Roman"/>
                <w:sz w:val="20"/>
                <w:szCs w:val="16"/>
              </w:rPr>
              <w:t>占地规模</w:t>
            </w:r>
          </w:p>
          <w:p w:rsidR="00C645C9" w:rsidRDefault="00F955D9">
            <w:pPr>
              <w:adjustRightInd w:val="0"/>
              <w:snapToGrid w:val="0"/>
              <w:ind w:firstLineChars="100" w:firstLine="200"/>
              <w:jc w:val="both"/>
              <w:rPr>
                <w:rFonts w:cs="Times New Roman"/>
                <w:sz w:val="20"/>
                <w:szCs w:val="16"/>
              </w:rPr>
            </w:pPr>
            <w:r>
              <w:rPr>
                <w:rFonts w:cs="Times New Roman" w:hint="eastAsia"/>
                <w:sz w:val="20"/>
                <w:szCs w:val="16"/>
              </w:rPr>
              <w:t>评价工作等级</w:t>
            </w:r>
            <w:r>
              <w:rPr>
                <w:rFonts w:cs="Times New Roman"/>
                <w:noProof/>
                <w:sz w:val="20"/>
                <w:szCs w:val="16"/>
              </w:rPr>
              <mc:AlternateContent>
                <mc:Choice Requires="wps">
                  <w:drawing>
                    <wp:anchor distT="0" distB="0" distL="114300" distR="114300" simplePos="0" relativeHeight="251666944" behindDoc="0" locked="0" layoutInCell="1" allowOverlap="1">
                      <wp:simplePos x="0" y="0"/>
                      <wp:positionH relativeFrom="column">
                        <wp:posOffset>-58420</wp:posOffset>
                      </wp:positionH>
                      <wp:positionV relativeFrom="paragraph">
                        <wp:posOffset>100330</wp:posOffset>
                      </wp:positionV>
                      <wp:extent cx="1452880" cy="229870"/>
                      <wp:effectExtent l="635" t="4445" r="13335" b="13335"/>
                      <wp:wrapNone/>
                      <wp:docPr id="144" name="直接箭头连接符 144"/>
                      <wp:cNvGraphicFramePr/>
                      <a:graphic xmlns:a="http://schemas.openxmlformats.org/drawingml/2006/main">
                        <a:graphicData uri="http://schemas.microsoft.com/office/word/2010/wordprocessingShape">
                          <wps:wsp>
                            <wps:cNvCnPr/>
                            <wps:spPr>
                              <a:xfrm>
                                <a:off x="0" y="0"/>
                                <a:ext cx="1452880" cy="229870"/>
                              </a:xfrm>
                              <a:prstGeom prst="straightConnector1">
                                <a:avLst/>
                              </a:prstGeom>
                              <a:ln w="6350" cap="flat" cmpd="sng">
                                <a:solidFill>
                                  <a:srgbClr val="0D0D0D"/>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4.6pt;margin-top:7.9pt;height:18.1pt;width:114.4pt;z-index:251686912;mso-width-relative:page;mso-height-relative:page;" filled="f" stroked="t" coordsize="21600,21600" o:gfxdata="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ujtkAAAAIAQAADwAAAAAAAAABACAAAAAiAAAA&#10;ZHJzL2Rvd25yZXYueG1sUEsBAhQAFAAAAAgAh07iQCj94h4GAgAA9QMAAA4AAAAAAAAAAQAgAAAA&#10;KAEAAGRycy9lMm9Eb2MueG1sUEsFBgAAAAAGAAYAWQEAAKAFAAAAAA==&#10;">
                      <v:fill on="f" focussize="0,0"/>
                      <v:stroke weight="0.5pt" color="#0D0D0D" joinstyle="round"/>
                      <v:imagedata o:title=""/>
                      <o:lock v:ext="edit" aspectratio="f"/>
                    </v:shape>
                  </w:pict>
                </mc:Fallback>
              </mc:AlternateContent>
            </w:r>
          </w:p>
          <w:p w:rsidR="00C645C9" w:rsidRDefault="00F955D9">
            <w:pPr>
              <w:adjustRightInd w:val="0"/>
              <w:snapToGrid w:val="0"/>
              <w:rPr>
                <w:rFonts w:cs="Times New Roman"/>
                <w:sz w:val="20"/>
                <w:szCs w:val="16"/>
              </w:rPr>
            </w:pPr>
            <w:r>
              <w:rPr>
                <w:rFonts w:cs="Times New Roman" w:hint="eastAsia"/>
                <w:sz w:val="20"/>
                <w:szCs w:val="16"/>
              </w:rPr>
              <w:t>敏感程度</w:t>
            </w:r>
          </w:p>
        </w:tc>
        <w:tc>
          <w:tcPr>
            <w:tcW w:w="1222" w:type="pct"/>
            <w:gridSpan w:val="3"/>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Ⅰ</w:t>
            </w:r>
            <w:r>
              <w:rPr>
                <w:rFonts w:cs="Times New Roman"/>
                <w:sz w:val="20"/>
                <w:szCs w:val="16"/>
              </w:rPr>
              <w:t>类</w:t>
            </w:r>
          </w:p>
        </w:tc>
        <w:tc>
          <w:tcPr>
            <w:tcW w:w="1223" w:type="pct"/>
            <w:gridSpan w:val="3"/>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Ⅱ</w:t>
            </w:r>
            <w:r>
              <w:rPr>
                <w:rFonts w:cs="Times New Roman"/>
                <w:sz w:val="20"/>
                <w:szCs w:val="16"/>
              </w:rPr>
              <w:t>类</w:t>
            </w:r>
          </w:p>
        </w:tc>
        <w:tc>
          <w:tcPr>
            <w:tcW w:w="1222" w:type="pct"/>
            <w:gridSpan w:val="3"/>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Ⅲ</w:t>
            </w:r>
            <w:r>
              <w:rPr>
                <w:rFonts w:cs="Times New Roman"/>
                <w:sz w:val="20"/>
                <w:szCs w:val="16"/>
              </w:rPr>
              <w:t>类</w:t>
            </w:r>
          </w:p>
        </w:tc>
      </w:tr>
      <w:tr w:rsidR="00C645C9">
        <w:trPr>
          <w:trHeight w:val="340"/>
        </w:trPr>
        <w:tc>
          <w:tcPr>
            <w:tcW w:w="1331" w:type="pct"/>
            <w:vMerge/>
            <w:tcBorders>
              <w:tl2br w:val="nil"/>
              <w:tr2bl w:val="nil"/>
            </w:tcBorders>
            <w:vAlign w:val="center"/>
          </w:tcPr>
          <w:p w:rsidR="00C645C9" w:rsidRDefault="00C645C9">
            <w:pPr>
              <w:adjustRightInd w:val="0"/>
              <w:snapToGrid w:val="0"/>
              <w:jc w:val="center"/>
              <w:rPr>
                <w:rFonts w:cs="Times New Roman"/>
                <w:sz w:val="20"/>
                <w:szCs w:val="16"/>
              </w:rPr>
            </w:pPr>
          </w:p>
        </w:tc>
        <w:tc>
          <w:tcPr>
            <w:tcW w:w="406"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中</w:t>
            </w:r>
          </w:p>
        </w:tc>
        <w:tc>
          <w:tcPr>
            <w:tcW w:w="408"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小</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中</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小</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中</w:t>
            </w:r>
          </w:p>
        </w:tc>
        <w:tc>
          <w:tcPr>
            <w:tcW w:w="409"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小</w:t>
            </w:r>
          </w:p>
        </w:tc>
      </w:tr>
      <w:tr w:rsidR="00C645C9">
        <w:trPr>
          <w:trHeight w:val="340"/>
        </w:trPr>
        <w:tc>
          <w:tcPr>
            <w:tcW w:w="1331" w:type="pct"/>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敏感</w:t>
            </w:r>
          </w:p>
        </w:tc>
        <w:tc>
          <w:tcPr>
            <w:tcW w:w="406"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8"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9"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r>
      <w:tr w:rsidR="00C645C9">
        <w:trPr>
          <w:trHeight w:val="340"/>
        </w:trPr>
        <w:tc>
          <w:tcPr>
            <w:tcW w:w="1331" w:type="pct"/>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较敏感</w:t>
            </w:r>
          </w:p>
        </w:tc>
        <w:tc>
          <w:tcPr>
            <w:tcW w:w="406"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8"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9"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w:t>
            </w:r>
          </w:p>
        </w:tc>
      </w:tr>
      <w:tr w:rsidR="00C645C9">
        <w:trPr>
          <w:trHeight w:val="340"/>
        </w:trPr>
        <w:tc>
          <w:tcPr>
            <w:tcW w:w="1331" w:type="pct"/>
            <w:tcBorders>
              <w:tl2br w:val="nil"/>
              <w:tr2bl w:val="nil"/>
            </w:tcBorders>
            <w:vAlign w:val="center"/>
          </w:tcPr>
          <w:p w:rsidR="00C645C9" w:rsidRDefault="00F955D9">
            <w:pPr>
              <w:adjustRightInd w:val="0"/>
              <w:snapToGrid w:val="0"/>
              <w:jc w:val="center"/>
              <w:rPr>
                <w:rFonts w:cs="Times New Roman"/>
                <w:sz w:val="20"/>
                <w:szCs w:val="16"/>
              </w:rPr>
            </w:pPr>
            <w:r>
              <w:rPr>
                <w:rFonts w:cs="Times New Roman"/>
                <w:sz w:val="20"/>
                <w:szCs w:val="16"/>
              </w:rPr>
              <w:t>不敏感</w:t>
            </w:r>
          </w:p>
        </w:tc>
        <w:tc>
          <w:tcPr>
            <w:tcW w:w="406"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一级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8"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二级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三级</w:t>
            </w:r>
          </w:p>
        </w:tc>
        <w:tc>
          <w:tcPr>
            <w:tcW w:w="407"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w:t>
            </w:r>
          </w:p>
        </w:tc>
        <w:tc>
          <w:tcPr>
            <w:tcW w:w="409" w:type="pct"/>
            <w:tcBorders>
              <w:tl2br w:val="nil"/>
              <w:tr2bl w:val="nil"/>
            </w:tcBorders>
            <w:vAlign w:val="center"/>
          </w:tcPr>
          <w:p w:rsidR="00C645C9" w:rsidRDefault="00F955D9">
            <w:pPr>
              <w:adjustRightInd w:val="0"/>
              <w:snapToGrid w:val="0"/>
              <w:jc w:val="center"/>
              <w:rPr>
                <w:rFonts w:cs="Times New Roman"/>
                <w:sz w:val="21"/>
                <w:szCs w:val="18"/>
              </w:rPr>
            </w:pPr>
            <w:r>
              <w:rPr>
                <w:rFonts w:cs="Times New Roman"/>
                <w:sz w:val="21"/>
                <w:szCs w:val="18"/>
              </w:rPr>
              <w:t>-</w:t>
            </w:r>
          </w:p>
        </w:tc>
      </w:tr>
      <w:tr w:rsidR="00C645C9">
        <w:trPr>
          <w:trHeight w:val="340"/>
        </w:trPr>
        <w:tc>
          <w:tcPr>
            <w:tcW w:w="5000" w:type="pct"/>
            <w:gridSpan w:val="10"/>
            <w:tcBorders>
              <w:tl2br w:val="nil"/>
              <w:tr2bl w:val="nil"/>
            </w:tcBorders>
            <w:vAlign w:val="center"/>
          </w:tcPr>
          <w:p w:rsidR="00C645C9" w:rsidRDefault="00F955D9">
            <w:pPr>
              <w:adjustRightInd w:val="0"/>
              <w:snapToGrid w:val="0"/>
              <w:rPr>
                <w:rFonts w:cs="Times New Roman"/>
                <w:sz w:val="21"/>
                <w:szCs w:val="18"/>
              </w:rPr>
            </w:pPr>
            <w:r>
              <w:rPr>
                <w:rFonts w:cs="Times New Roman"/>
                <w:sz w:val="21"/>
                <w:szCs w:val="21"/>
              </w:rPr>
              <w:t>注：</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表示可不开展土壤环境影响评价工作。</w:t>
            </w:r>
          </w:p>
        </w:tc>
      </w:tr>
    </w:tbl>
    <w:p w:rsidR="00C645C9" w:rsidRDefault="00F955D9">
      <w:pPr>
        <w:widowControl w:val="0"/>
        <w:topLinePunct/>
        <w:autoSpaceDE w:val="0"/>
        <w:adjustRightInd w:val="0"/>
        <w:snapToGrid w:val="0"/>
        <w:spacing w:line="360" w:lineRule="auto"/>
        <w:ind w:firstLineChars="200" w:firstLine="480"/>
        <w:jc w:val="both"/>
        <w:rPr>
          <w:rFonts w:cs="Times New Roman"/>
          <w:kern w:val="2"/>
          <w:szCs w:val="32"/>
          <w:lang w:bidi="ar"/>
        </w:rPr>
      </w:pPr>
      <w:r>
        <w:rPr>
          <w:rFonts w:cs="Times New Roman"/>
          <w:kern w:val="2"/>
          <w:szCs w:val="32"/>
          <w:lang w:bidi="ar"/>
        </w:rPr>
        <w:t>根据工程分析，本工程属于小型项目（永久占地</w:t>
      </w:r>
      <w:r>
        <w:rPr>
          <w:rFonts w:cs="Times New Roman" w:hint="eastAsia"/>
          <w:snapToGrid w:val="0"/>
        </w:rPr>
        <w:t>3.43</w:t>
      </w:r>
      <w:r>
        <w:rPr>
          <w:rFonts w:cs="Times New Roman"/>
          <w:snapToGrid w:val="0"/>
        </w:rPr>
        <w:t>hm</w:t>
      </w:r>
      <w:r>
        <w:rPr>
          <w:rFonts w:cs="Times New Roman"/>
          <w:snapToGrid w:val="0"/>
          <w:vertAlign w:val="superscript"/>
        </w:rPr>
        <w:t>2</w:t>
      </w:r>
      <w:r>
        <w:rPr>
          <w:rFonts w:cs="Times New Roman"/>
          <w:kern w:val="2"/>
          <w:szCs w:val="32"/>
          <w:lang w:bidi="ar"/>
        </w:rPr>
        <w:t>），占地类型为</w:t>
      </w:r>
      <w:r>
        <w:rPr>
          <w:rFonts w:cs="Times New Roman" w:hint="eastAsia"/>
          <w:kern w:val="2"/>
          <w:szCs w:val="32"/>
          <w:lang w:bidi="ar"/>
        </w:rPr>
        <w:t>果园、水浇地、农村道路和采矿用地</w:t>
      </w:r>
      <w:r>
        <w:rPr>
          <w:rFonts w:cs="Times New Roman"/>
          <w:kern w:val="2"/>
          <w:szCs w:val="32"/>
          <w:lang w:bidi="ar"/>
        </w:rPr>
        <w:t>，土壤敏感程度为</w:t>
      </w:r>
      <w:r>
        <w:rPr>
          <w:rFonts w:cs="Times New Roman" w:hint="eastAsia"/>
          <w:kern w:val="2"/>
          <w:szCs w:val="32"/>
          <w:lang w:bidi="ar"/>
        </w:rPr>
        <w:t>“</w:t>
      </w:r>
      <w:r>
        <w:rPr>
          <w:rFonts w:cs="Times New Roman"/>
          <w:kern w:val="2"/>
          <w:szCs w:val="32"/>
          <w:lang w:bidi="ar"/>
        </w:rPr>
        <w:t>敏感</w:t>
      </w:r>
      <w:r>
        <w:rPr>
          <w:rFonts w:cs="Times New Roman" w:hint="eastAsia"/>
          <w:kern w:val="2"/>
          <w:szCs w:val="32"/>
          <w:lang w:bidi="ar"/>
        </w:rPr>
        <w:t>”</w:t>
      </w:r>
      <w:r>
        <w:rPr>
          <w:rFonts w:cs="Times New Roman"/>
          <w:kern w:val="2"/>
          <w:szCs w:val="32"/>
          <w:lang w:bidi="ar"/>
        </w:rPr>
        <w:t>，</w:t>
      </w:r>
      <w:r>
        <w:rPr>
          <w:rFonts w:hint="eastAsia"/>
        </w:rPr>
        <w:t>本工程为</w:t>
      </w:r>
      <w:r>
        <w:rPr>
          <w:rFonts w:hint="eastAsia"/>
        </w:rPr>
        <w:t>天然气</w:t>
      </w:r>
      <w:r>
        <w:rPr>
          <w:rFonts w:hint="eastAsia"/>
        </w:rPr>
        <w:t>开采项目，属于</w:t>
      </w:r>
      <w:r>
        <w:rPr>
          <w:rFonts w:hint="eastAsia"/>
        </w:rPr>
        <w:t>Ⅱ类建设项目</w:t>
      </w:r>
      <w:r>
        <w:rPr>
          <w:rFonts w:hint="eastAsia"/>
        </w:rPr>
        <w:t>，</w:t>
      </w:r>
      <w:r>
        <w:rPr>
          <w:rFonts w:hint="eastAsia"/>
        </w:rPr>
        <w:t>土壤</w:t>
      </w:r>
      <w:r>
        <w:rPr>
          <w:rFonts w:cs="Times New Roman"/>
          <w:kern w:val="2"/>
          <w:szCs w:val="32"/>
          <w:lang w:bidi="ar"/>
        </w:rPr>
        <w:t>污染</w:t>
      </w:r>
      <w:r>
        <w:rPr>
          <w:rFonts w:hint="eastAsia"/>
        </w:rPr>
        <w:t>影响型评价等级划分为</w:t>
      </w:r>
      <w:r>
        <w:rPr>
          <w:rFonts w:hint="eastAsia"/>
        </w:rPr>
        <w:t>二</w:t>
      </w:r>
      <w:r>
        <w:rPr>
          <w:rFonts w:hint="eastAsia"/>
        </w:rPr>
        <w:t>级</w:t>
      </w:r>
      <w:r>
        <w:rPr>
          <w:rFonts w:cs="Times New Roman"/>
          <w:kern w:val="2"/>
          <w:szCs w:val="32"/>
          <w:lang w:bidi="ar"/>
        </w:rPr>
        <w:t>评价</w:t>
      </w:r>
      <w:r>
        <w:rPr>
          <w:rFonts w:hint="eastAsia"/>
        </w:rPr>
        <w:t>。</w:t>
      </w:r>
    </w:p>
    <w:p w:rsidR="00C645C9" w:rsidRDefault="00F955D9">
      <w:pPr>
        <w:adjustRightInd w:val="0"/>
        <w:snapToGrid w:val="0"/>
        <w:spacing w:line="360" w:lineRule="auto"/>
        <w:ind w:firstLine="480"/>
        <w:jc w:val="both"/>
        <w:rPr>
          <w:rFonts w:cs="Times New Roman"/>
        </w:rPr>
      </w:pPr>
      <w:r>
        <w:rPr>
          <w:rFonts w:cs="Times New Roman"/>
          <w:kern w:val="2"/>
          <w:szCs w:val="32"/>
          <w:lang w:bidi="ar"/>
        </w:rPr>
        <w:t>综合</w:t>
      </w:r>
      <w:r>
        <w:rPr>
          <w:rFonts w:cs="Times New Roman" w:hint="eastAsia"/>
          <w:kern w:val="2"/>
          <w:szCs w:val="32"/>
          <w:lang w:bidi="ar"/>
        </w:rPr>
        <w:t>土壤</w:t>
      </w:r>
      <w:r>
        <w:rPr>
          <w:rFonts w:cs="Times New Roman"/>
          <w:kern w:val="2"/>
          <w:szCs w:val="32"/>
          <w:lang w:bidi="ar"/>
        </w:rPr>
        <w:t>生态影响类</w:t>
      </w:r>
      <w:r>
        <w:rPr>
          <w:rFonts w:cs="Times New Roman" w:hint="eastAsia"/>
          <w:kern w:val="2"/>
          <w:szCs w:val="32"/>
          <w:lang w:bidi="ar"/>
        </w:rPr>
        <w:t>以及</w:t>
      </w:r>
      <w:r>
        <w:rPr>
          <w:rFonts w:cs="Times New Roman"/>
          <w:kern w:val="2"/>
          <w:szCs w:val="32"/>
          <w:lang w:bidi="ar"/>
        </w:rPr>
        <w:t>污染影响类，本次工程</w:t>
      </w:r>
      <w:r>
        <w:rPr>
          <w:rFonts w:cs="Times New Roman"/>
          <w:kern w:val="2"/>
          <w:szCs w:val="32"/>
          <w:lang w:bidi="ar"/>
        </w:rPr>
        <w:t>土壤评价等级为</w:t>
      </w:r>
      <w:r>
        <w:rPr>
          <w:rFonts w:cs="Times New Roman" w:hint="eastAsia"/>
          <w:kern w:val="2"/>
          <w:szCs w:val="32"/>
          <w:lang w:bidi="ar"/>
        </w:rPr>
        <w:t>二</w:t>
      </w:r>
      <w:r>
        <w:rPr>
          <w:rFonts w:cs="Times New Roman"/>
          <w:kern w:val="2"/>
          <w:szCs w:val="32"/>
          <w:lang w:bidi="ar"/>
        </w:rPr>
        <w:t>级</w:t>
      </w:r>
      <w:bookmarkStart w:id="306" w:name="OLE_LINK155"/>
      <w:r>
        <w:rPr>
          <w:rFonts w:cs="Times New Roman"/>
          <w:kern w:val="2"/>
          <w:szCs w:val="32"/>
          <w:lang w:bidi="ar"/>
        </w:rPr>
        <w:t>评价</w:t>
      </w:r>
      <w:bookmarkEnd w:id="306"/>
      <w:r>
        <w:rPr>
          <w:rFonts w:cs="Times New Roman"/>
          <w:kern w:val="2"/>
          <w:szCs w:val="32"/>
          <w:lang w:bidi="ar"/>
        </w:rPr>
        <w:t>。</w:t>
      </w:r>
    </w:p>
    <w:p w:rsidR="00C645C9" w:rsidRDefault="00F955D9">
      <w:pPr>
        <w:keepLines/>
        <w:adjustRightInd w:val="0"/>
        <w:snapToGrid w:val="0"/>
        <w:spacing w:line="360" w:lineRule="auto"/>
        <w:ind w:firstLineChars="200" w:firstLine="480"/>
        <w:outlineLvl w:val="3"/>
        <w:rPr>
          <w:rFonts w:cs="Times New Roman"/>
        </w:rPr>
      </w:pPr>
      <w:r>
        <w:rPr>
          <w:rFonts w:cs="Times New Roman" w:hint="eastAsia"/>
        </w:rPr>
        <w:lastRenderedPageBreak/>
        <w:t>（</w:t>
      </w:r>
      <w:r>
        <w:rPr>
          <w:rFonts w:cs="Times New Roman" w:hint="eastAsia"/>
        </w:rPr>
        <w:t>3</w:t>
      </w:r>
      <w:r>
        <w:rPr>
          <w:rFonts w:cs="Times New Roman" w:hint="eastAsia"/>
        </w:rPr>
        <w:t>）</w:t>
      </w:r>
      <w:r>
        <w:rPr>
          <w:rFonts w:cs="Times New Roman"/>
        </w:rPr>
        <w:t>评价范围</w:t>
      </w:r>
    </w:p>
    <w:p w:rsidR="00C645C9" w:rsidRDefault="00F955D9">
      <w:pPr>
        <w:adjustRightInd w:val="0"/>
        <w:snapToGrid w:val="0"/>
        <w:spacing w:line="360" w:lineRule="auto"/>
        <w:ind w:firstLine="480"/>
        <w:jc w:val="both"/>
        <w:rPr>
          <w:rFonts w:cs="Times New Roman"/>
        </w:rPr>
      </w:pPr>
      <w:r>
        <w:rPr>
          <w:rFonts w:cs="Times New Roman"/>
          <w:spacing w:val="2"/>
          <w:lang w:bidi="ar"/>
        </w:rPr>
        <w:t>根据</w:t>
      </w:r>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土壤环境（试行）》（</w:t>
      </w:r>
      <w:r>
        <w:rPr>
          <w:rFonts w:cs="Times New Roman"/>
          <w:kern w:val="2"/>
          <w:szCs w:val="32"/>
          <w:lang w:bidi="ar"/>
        </w:rPr>
        <w:t>HJ964-2018</w:t>
      </w:r>
      <w:r>
        <w:rPr>
          <w:rFonts w:cs="Times New Roman"/>
          <w:kern w:val="2"/>
          <w:szCs w:val="32"/>
          <w:lang w:bidi="ar"/>
        </w:rPr>
        <w:t>）</w:t>
      </w:r>
      <w:r>
        <w:rPr>
          <w:rFonts w:cs="Times New Roman"/>
          <w:spacing w:val="2"/>
          <w:lang w:bidi="ar"/>
        </w:rPr>
        <w:t>，结合本</w:t>
      </w:r>
      <w:r>
        <w:rPr>
          <w:rFonts w:cs="Times New Roman" w:hint="eastAsia"/>
          <w:spacing w:val="2"/>
          <w:lang w:bidi="ar"/>
        </w:rPr>
        <w:t>工程</w:t>
      </w:r>
      <w:r>
        <w:rPr>
          <w:rFonts w:cs="Times New Roman"/>
          <w:spacing w:val="2"/>
          <w:lang w:bidi="ar"/>
        </w:rPr>
        <w:t>特点，考虑油田整体开发对区域的影响，确定土壤评价范围为：（</w:t>
      </w:r>
      <w:r>
        <w:rPr>
          <w:rFonts w:cs="Times New Roman" w:hint="eastAsia"/>
          <w:spacing w:val="2"/>
          <w:lang w:bidi="ar"/>
        </w:rPr>
        <w:t>1</w:t>
      </w:r>
      <w:r>
        <w:rPr>
          <w:rFonts w:cs="Times New Roman"/>
          <w:spacing w:val="2"/>
          <w:lang w:bidi="ar"/>
        </w:rPr>
        <w:t>）土壤生态影响型现状调查范围为</w:t>
      </w:r>
      <w:r>
        <w:rPr>
          <w:rFonts w:cs="Times New Roman"/>
          <w:spacing w:val="2"/>
          <w:lang w:bidi="ar"/>
        </w:rPr>
        <w:t>井场外扩</w:t>
      </w:r>
      <w:r>
        <w:rPr>
          <w:rFonts w:cs="Times New Roman" w:hint="eastAsia"/>
          <w:spacing w:val="2"/>
          <w:lang w:bidi="ar"/>
        </w:rPr>
        <w:t>2</w:t>
      </w:r>
      <w:r>
        <w:rPr>
          <w:rFonts w:cs="Times New Roman"/>
          <w:spacing w:val="2"/>
          <w:lang w:bidi="ar"/>
        </w:rPr>
        <w:t>km</w:t>
      </w:r>
      <w:r>
        <w:rPr>
          <w:rFonts w:cs="Times New Roman"/>
          <w:spacing w:val="2"/>
          <w:lang w:bidi="ar"/>
        </w:rPr>
        <w:t>范围。（</w:t>
      </w:r>
      <w:r>
        <w:rPr>
          <w:rFonts w:cs="Times New Roman" w:hint="eastAsia"/>
          <w:spacing w:val="2"/>
          <w:lang w:bidi="ar"/>
        </w:rPr>
        <w:t>2</w:t>
      </w:r>
      <w:r>
        <w:rPr>
          <w:rFonts w:cs="Times New Roman"/>
          <w:spacing w:val="2"/>
          <w:lang w:bidi="ar"/>
        </w:rPr>
        <w:t>）</w:t>
      </w:r>
      <w:bookmarkStart w:id="307" w:name="OLE_LINK142"/>
      <w:r>
        <w:rPr>
          <w:rFonts w:cs="Times New Roman"/>
          <w:spacing w:val="2"/>
          <w:lang w:bidi="ar"/>
        </w:rPr>
        <w:t>土壤污染影响型</w:t>
      </w:r>
      <w:bookmarkEnd w:id="307"/>
      <w:r>
        <w:rPr>
          <w:rFonts w:cs="Times New Roman"/>
          <w:spacing w:val="2"/>
          <w:lang w:bidi="ar"/>
        </w:rPr>
        <w:t>现状调查范围为</w:t>
      </w:r>
      <w:r>
        <w:rPr>
          <w:rFonts w:cs="Times New Roman"/>
          <w:spacing w:val="2"/>
          <w:lang w:bidi="ar"/>
        </w:rPr>
        <w:t>井场外扩</w:t>
      </w:r>
      <w:r>
        <w:rPr>
          <w:rFonts w:cs="Times New Roman" w:hint="eastAsia"/>
          <w:spacing w:val="2"/>
          <w:lang w:bidi="ar"/>
        </w:rPr>
        <w:t>0.2</w:t>
      </w:r>
      <w:r>
        <w:rPr>
          <w:rFonts w:cs="Times New Roman"/>
          <w:spacing w:val="2"/>
          <w:lang w:bidi="ar"/>
        </w:rPr>
        <w:t>km</w:t>
      </w:r>
      <w:r>
        <w:rPr>
          <w:rFonts w:cs="Times New Roman"/>
          <w:spacing w:val="2"/>
          <w:lang w:bidi="ar"/>
        </w:rPr>
        <w:t>范围</w:t>
      </w:r>
      <w:bookmarkEnd w:id="280"/>
      <w:r>
        <w:rPr>
          <w:rFonts w:cs="Times New Roman" w:hint="eastAsia"/>
          <w:spacing w:val="2"/>
          <w:lang w:bidi="ar"/>
        </w:rPr>
        <w:t>。</w:t>
      </w:r>
      <w:r>
        <w:rPr>
          <w:rFonts w:cs="Times New Roman"/>
        </w:rPr>
        <w:t>评价范围见图</w:t>
      </w:r>
      <w:r>
        <w:rPr>
          <w:rFonts w:cs="Times New Roman"/>
        </w:rPr>
        <w:t>2.</w:t>
      </w:r>
      <w:r>
        <w:rPr>
          <w:rFonts w:cs="Times New Roman" w:hint="eastAsia"/>
        </w:rPr>
        <w:t>5</w:t>
      </w:r>
      <w:r>
        <w:rPr>
          <w:rFonts w:cs="Times New Roman"/>
        </w:rPr>
        <w:t>-1</w:t>
      </w:r>
      <w:r>
        <w:rPr>
          <w:rFonts w:cs="Times New Roman"/>
        </w:rPr>
        <w:t>。</w:t>
      </w:r>
    </w:p>
    <w:p w:rsidR="00C645C9" w:rsidRDefault="00F955D9">
      <w:pPr>
        <w:jc w:val="center"/>
        <w:rPr>
          <w:rFonts w:eastAsia="黑体" w:cs="Times New Roman"/>
          <w:bCs/>
          <w:sz w:val="21"/>
          <w:szCs w:val="21"/>
        </w:rPr>
      </w:pPr>
      <w:bookmarkStart w:id="308" w:name="OLE_LINK158"/>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5-10</w:t>
      </w:r>
      <w:r>
        <w:rPr>
          <w:rFonts w:eastAsia="黑体" w:cs="Times New Roman"/>
          <w:bCs/>
          <w:sz w:val="21"/>
          <w:szCs w:val="21"/>
        </w:rPr>
        <w:t xml:space="preserve">   </w:t>
      </w:r>
      <w:r>
        <w:rPr>
          <w:rFonts w:eastAsia="黑体" w:cs="Times New Roman" w:hint="eastAsia"/>
          <w:bCs/>
          <w:sz w:val="21"/>
          <w:szCs w:val="21"/>
        </w:rPr>
        <w:t>本工程土壤评价等级及评价范围一览表</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029"/>
        <w:gridCol w:w="1759"/>
        <w:gridCol w:w="1759"/>
        <w:gridCol w:w="1759"/>
        <w:gridCol w:w="1763"/>
      </w:tblGrid>
      <w:tr w:rsidR="00C645C9">
        <w:trPr>
          <w:jc w:val="center"/>
        </w:trPr>
        <w:tc>
          <w:tcPr>
            <w:tcW w:w="372" w:type="pct"/>
            <w:vAlign w:val="center"/>
          </w:tcPr>
          <w:bookmarkEnd w:id="308"/>
          <w:p w:rsidR="00C645C9" w:rsidRDefault="00F955D9">
            <w:pPr>
              <w:adjustRightInd w:val="0"/>
              <w:snapToGrid w:val="0"/>
              <w:jc w:val="center"/>
              <w:rPr>
                <w:rFonts w:cs="Times New Roman"/>
                <w:sz w:val="20"/>
                <w:szCs w:val="16"/>
              </w:rPr>
            </w:pPr>
            <w:r>
              <w:rPr>
                <w:rFonts w:cs="Times New Roman"/>
                <w:sz w:val="20"/>
                <w:szCs w:val="16"/>
              </w:rPr>
              <w:t>序号</w:t>
            </w:r>
          </w:p>
        </w:tc>
        <w:tc>
          <w:tcPr>
            <w:tcW w:w="590" w:type="pct"/>
            <w:vAlign w:val="center"/>
          </w:tcPr>
          <w:p w:rsidR="00C645C9" w:rsidRDefault="00F955D9">
            <w:pPr>
              <w:adjustRightInd w:val="0"/>
              <w:snapToGrid w:val="0"/>
              <w:jc w:val="center"/>
              <w:rPr>
                <w:rFonts w:cs="Times New Roman"/>
                <w:sz w:val="20"/>
                <w:szCs w:val="16"/>
              </w:rPr>
            </w:pPr>
            <w:r>
              <w:rPr>
                <w:rFonts w:cs="Times New Roman"/>
                <w:sz w:val="20"/>
                <w:szCs w:val="16"/>
              </w:rPr>
              <w:t>建设内容</w:t>
            </w:r>
          </w:p>
        </w:tc>
        <w:tc>
          <w:tcPr>
            <w:tcW w:w="1008" w:type="pct"/>
            <w:vAlign w:val="center"/>
          </w:tcPr>
          <w:p w:rsidR="00C645C9" w:rsidRDefault="00F955D9">
            <w:pPr>
              <w:adjustRightInd w:val="0"/>
              <w:snapToGrid w:val="0"/>
              <w:jc w:val="center"/>
              <w:rPr>
                <w:rFonts w:cs="Times New Roman"/>
                <w:sz w:val="20"/>
                <w:szCs w:val="16"/>
              </w:rPr>
            </w:pPr>
            <w:r>
              <w:rPr>
                <w:rFonts w:cs="Times New Roman"/>
                <w:sz w:val="20"/>
                <w:szCs w:val="16"/>
              </w:rPr>
              <w:t>生态影响型</w:t>
            </w:r>
          </w:p>
          <w:p w:rsidR="00C645C9" w:rsidRDefault="00F955D9">
            <w:pPr>
              <w:adjustRightInd w:val="0"/>
              <w:snapToGrid w:val="0"/>
              <w:jc w:val="center"/>
              <w:rPr>
                <w:rFonts w:cs="Times New Roman"/>
                <w:sz w:val="20"/>
                <w:szCs w:val="16"/>
              </w:rPr>
            </w:pPr>
            <w:r>
              <w:rPr>
                <w:rFonts w:cs="Times New Roman"/>
                <w:sz w:val="20"/>
                <w:szCs w:val="16"/>
              </w:rPr>
              <w:t>评价等级</w:t>
            </w:r>
          </w:p>
        </w:tc>
        <w:tc>
          <w:tcPr>
            <w:tcW w:w="1008" w:type="pct"/>
            <w:vAlign w:val="center"/>
          </w:tcPr>
          <w:p w:rsidR="00C645C9" w:rsidRDefault="00F955D9">
            <w:pPr>
              <w:adjustRightInd w:val="0"/>
              <w:snapToGrid w:val="0"/>
              <w:jc w:val="center"/>
              <w:rPr>
                <w:rFonts w:cs="Times New Roman"/>
                <w:sz w:val="20"/>
                <w:szCs w:val="16"/>
              </w:rPr>
            </w:pPr>
            <w:r>
              <w:rPr>
                <w:rFonts w:cs="Times New Roman"/>
                <w:sz w:val="20"/>
                <w:szCs w:val="16"/>
              </w:rPr>
              <w:t>调查范围</w:t>
            </w:r>
          </w:p>
        </w:tc>
        <w:tc>
          <w:tcPr>
            <w:tcW w:w="1008" w:type="pct"/>
            <w:vAlign w:val="center"/>
          </w:tcPr>
          <w:p w:rsidR="00C645C9" w:rsidRDefault="00F955D9">
            <w:pPr>
              <w:adjustRightInd w:val="0"/>
              <w:snapToGrid w:val="0"/>
              <w:jc w:val="center"/>
              <w:rPr>
                <w:rFonts w:cs="Times New Roman"/>
                <w:sz w:val="20"/>
                <w:szCs w:val="16"/>
              </w:rPr>
            </w:pPr>
            <w:r>
              <w:rPr>
                <w:rFonts w:cs="Times New Roman"/>
                <w:sz w:val="20"/>
                <w:szCs w:val="16"/>
              </w:rPr>
              <w:t>污染影响型</w:t>
            </w:r>
          </w:p>
          <w:p w:rsidR="00C645C9" w:rsidRDefault="00F955D9">
            <w:pPr>
              <w:adjustRightInd w:val="0"/>
              <w:snapToGrid w:val="0"/>
              <w:jc w:val="center"/>
              <w:rPr>
                <w:rFonts w:cs="Times New Roman"/>
                <w:sz w:val="20"/>
                <w:szCs w:val="16"/>
              </w:rPr>
            </w:pPr>
            <w:r>
              <w:rPr>
                <w:rFonts w:cs="Times New Roman"/>
                <w:sz w:val="20"/>
                <w:szCs w:val="16"/>
              </w:rPr>
              <w:t>评价等级</w:t>
            </w:r>
          </w:p>
        </w:tc>
        <w:tc>
          <w:tcPr>
            <w:tcW w:w="1010" w:type="pct"/>
            <w:vAlign w:val="center"/>
          </w:tcPr>
          <w:p w:rsidR="00C645C9" w:rsidRDefault="00F955D9">
            <w:pPr>
              <w:adjustRightInd w:val="0"/>
              <w:snapToGrid w:val="0"/>
              <w:jc w:val="center"/>
              <w:rPr>
                <w:rFonts w:cs="Times New Roman"/>
                <w:sz w:val="20"/>
                <w:szCs w:val="16"/>
              </w:rPr>
            </w:pPr>
            <w:r>
              <w:rPr>
                <w:rFonts w:cs="Times New Roman"/>
                <w:sz w:val="20"/>
                <w:szCs w:val="16"/>
              </w:rPr>
              <w:t>调查评价范围</w:t>
            </w:r>
          </w:p>
        </w:tc>
      </w:tr>
      <w:tr w:rsidR="00C645C9">
        <w:trPr>
          <w:jc w:val="center"/>
        </w:trPr>
        <w:tc>
          <w:tcPr>
            <w:tcW w:w="372" w:type="pct"/>
            <w:vAlign w:val="center"/>
          </w:tcPr>
          <w:p w:rsidR="00C645C9" w:rsidRDefault="00F955D9">
            <w:pPr>
              <w:adjustRightInd w:val="0"/>
              <w:snapToGrid w:val="0"/>
              <w:jc w:val="center"/>
              <w:rPr>
                <w:rFonts w:cs="Times New Roman"/>
                <w:sz w:val="20"/>
                <w:szCs w:val="16"/>
              </w:rPr>
            </w:pPr>
            <w:r>
              <w:rPr>
                <w:rFonts w:cs="Times New Roman"/>
                <w:sz w:val="20"/>
                <w:szCs w:val="16"/>
              </w:rPr>
              <w:t>1</w:t>
            </w:r>
          </w:p>
        </w:tc>
        <w:tc>
          <w:tcPr>
            <w:tcW w:w="590" w:type="pct"/>
            <w:vAlign w:val="center"/>
          </w:tcPr>
          <w:p w:rsidR="00C645C9" w:rsidRDefault="00F955D9">
            <w:pPr>
              <w:adjustRightInd w:val="0"/>
              <w:snapToGrid w:val="0"/>
              <w:jc w:val="center"/>
              <w:rPr>
                <w:rFonts w:cs="Times New Roman"/>
                <w:sz w:val="20"/>
                <w:szCs w:val="16"/>
              </w:rPr>
            </w:pPr>
            <w:r>
              <w:rPr>
                <w:rFonts w:cs="Times New Roman" w:hint="eastAsia"/>
                <w:sz w:val="20"/>
                <w:szCs w:val="16"/>
              </w:rPr>
              <w:t>井场</w:t>
            </w:r>
          </w:p>
        </w:tc>
        <w:tc>
          <w:tcPr>
            <w:tcW w:w="1008" w:type="pct"/>
            <w:vAlign w:val="center"/>
          </w:tcPr>
          <w:p w:rsidR="00C645C9" w:rsidRDefault="00F955D9">
            <w:pPr>
              <w:adjustRightInd w:val="0"/>
              <w:snapToGrid w:val="0"/>
              <w:jc w:val="center"/>
              <w:rPr>
                <w:rFonts w:cs="Times New Roman"/>
                <w:sz w:val="20"/>
                <w:szCs w:val="16"/>
              </w:rPr>
            </w:pPr>
            <w:r>
              <w:rPr>
                <w:rFonts w:cs="Times New Roman" w:hint="eastAsia"/>
                <w:sz w:val="20"/>
                <w:szCs w:val="16"/>
              </w:rPr>
              <w:t>二</w:t>
            </w:r>
            <w:r>
              <w:rPr>
                <w:rFonts w:cs="Times New Roman"/>
                <w:sz w:val="20"/>
                <w:szCs w:val="16"/>
              </w:rPr>
              <w:t>级</w:t>
            </w:r>
          </w:p>
        </w:tc>
        <w:tc>
          <w:tcPr>
            <w:tcW w:w="1008" w:type="pct"/>
            <w:vAlign w:val="center"/>
          </w:tcPr>
          <w:p w:rsidR="00C645C9" w:rsidRDefault="00F955D9">
            <w:pPr>
              <w:adjustRightInd w:val="0"/>
              <w:snapToGrid w:val="0"/>
              <w:jc w:val="center"/>
              <w:rPr>
                <w:rFonts w:cs="Times New Roman"/>
                <w:sz w:val="20"/>
                <w:szCs w:val="16"/>
              </w:rPr>
            </w:pPr>
            <w:r>
              <w:rPr>
                <w:rFonts w:cs="Times New Roman"/>
                <w:sz w:val="20"/>
                <w:szCs w:val="16"/>
              </w:rPr>
              <w:t>占地范围外</w:t>
            </w:r>
            <w:r>
              <w:rPr>
                <w:rFonts w:cs="Times New Roman" w:hint="eastAsia"/>
                <w:sz w:val="20"/>
                <w:szCs w:val="16"/>
              </w:rPr>
              <w:t>2</w:t>
            </w:r>
            <w:r>
              <w:rPr>
                <w:rFonts w:cs="Times New Roman"/>
                <w:sz w:val="20"/>
                <w:szCs w:val="16"/>
              </w:rPr>
              <w:t>km</w:t>
            </w:r>
            <w:bookmarkStart w:id="309" w:name="OLE_LINK157"/>
            <w:r>
              <w:rPr>
                <w:rFonts w:cs="Times New Roman" w:hint="eastAsia"/>
                <w:sz w:val="20"/>
                <w:szCs w:val="16"/>
              </w:rPr>
              <w:t>范围内</w:t>
            </w:r>
            <w:bookmarkEnd w:id="309"/>
          </w:p>
        </w:tc>
        <w:tc>
          <w:tcPr>
            <w:tcW w:w="1008" w:type="pct"/>
            <w:vAlign w:val="center"/>
          </w:tcPr>
          <w:p w:rsidR="00C645C9" w:rsidRDefault="00F955D9">
            <w:pPr>
              <w:adjustRightInd w:val="0"/>
              <w:snapToGrid w:val="0"/>
              <w:jc w:val="center"/>
              <w:rPr>
                <w:rFonts w:cs="Times New Roman"/>
                <w:sz w:val="20"/>
                <w:szCs w:val="16"/>
              </w:rPr>
            </w:pPr>
            <w:r>
              <w:rPr>
                <w:rFonts w:cs="Times New Roman" w:hint="eastAsia"/>
                <w:sz w:val="20"/>
                <w:szCs w:val="16"/>
              </w:rPr>
              <w:t>二</w:t>
            </w:r>
            <w:r>
              <w:rPr>
                <w:rFonts w:cs="Times New Roman"/>
                <w:sz w:val="20"/>
                <w:szCs w:val="16"/>
              </w:rPr>
              <w:t>级</w:t>
            </w:r>
          </w:p>
        </w:tc>
        <w:tc>
          <w:tcPr>
            <w:tcW w:w="1010" w:type="pct"/>
            <w:vAlign w:val="center"/>
          </w:tcPr>
          <w:p w:rsidR="00C645C9" w:rsidRDefault="00F955D9">
            <w:pPr>
              <w:adjustRightInd w:val="0"/>
              <w:snapToGrid w:val="0"/>
              <w:jc w:val="center"/>
              <w:rPr>
                <w:rFonts w:cs="Times New Roman"/>
                <w:sz w:val="20"/>
                <w:szCs w:val="16"/>
              </w:rPr>
            </w:pPr>
            <w:r>
              <w:rPr>
                <w:rFonts w:cs="Times New Roman"/>
                <w:sz w:val="20"/>
                <w:szCs w:val="16"/>
              </w:rPr>
              <w:t>占地范围外</w:t>
            </w:r>
            <w:r>
              <w:rPr>
                <w:rFonts w:cs="Times New Roman" w:hint="eastAsia"/>
                <w:sz w:val="20"/>
                <w:szCs w:val="16"/>
              </w:rPr>
              <w:t>0</w:t>
            </w:r>
            <w:r>
              <w:rPr>
                <w:rFonts w:cs="Times New Roman"/>
                <w:sz w:val="20"/>
                <w:szCs w:val="16"/>
              </w:rPr>
              <w:t>.2km</w:t>
            </w:r>
            <w:r>
              <w:rPr>
                <w:rFonts w:cs="Times New Roman" w:hint="eastAsia"/>
                <w:sz w:val="20"/>
                <w:szCs w:val="16"/>
              </w:rPr>
              <w:t>范围内</w:t>
            </w:r>
          </w:p>
        </w:tc>
      </w:tr>
    </w:tbl>
    <w:p w:rsidR="00C645C9" w:rsidRDefault="00F955D9">
      <w:pPr>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5-11</w:t>
      </w:r>
      <w:r>
        <w:rPr>
          <w:rFonts w:eastAsia="黑体" w:cs="Times New Roman"/>
          <w:bCs/>
          <w:sz w:val="21"/>
          <w:szCs w:val="21"/>
        </w:rPr>
        <w:t xml:space="preserve">   </w:t>
      </w:r>
      <w:r>
        <w:rPr>
          <w:rFonts w:eastAsia="黑体" w:cs="Times New Roman" w:hint="eastAsia"/>
          <w:bCs/>
          <w:sz w:val="21"/>
          <w:szCs w:val="21"/>
        </w:rPr>
        <w:t>各环境要素评价范围一览表</w:t>
      </w:r>
    </w:p>
    <w:tbl>
      <w:tblPr>
        <w:tblStyle w:val="af3"/>
        <w:tblW w:w="5106" w:type="pct"/>
        <w:jc w:val="center"/>
        <w:tblLayout w:type="fixed"/>
        <w:tblLook w:val="04A0" w:firstRow="1" w:lastRow="0" w:firstColumn="1" w:lastColumn="0" w:noHBand="0" w:noVBand="1"/>
      </w:tblPr>
      <w:tblGrid>
        <w:gridCol w:w="641"/>
        <w:gridCol w:w="722"/>
        <w:gridCol w:w="1422"/>
        <w:gridCol w:w="1173"/>
        <w:gridCol w:w="4744"/>
      </w:tblGrid>
      <w:tr w:rsidR="00C645C9">
        <w:trPr>
          <w:trHeight w:val="283"/>
          <w:jc w:val="center"/>
        </w:trPr>
        <w:tc>
          <w:tcPr>
            <w:tcW w:w="368" w:type="pct"/>
            <w:vAlign w:val="center"/>
          </w:tcPr>
          <w:p w:rsidR="00C645C9" w:rsidRDefault="00F955D9">
            <w:pPr>
              <w:pStyle w:val="afb"/>
            </w:pPr>
            <w:r>
              <w:rPr>
                <w:rFonts w:hint="eastAsia"/>
              </w:rPr>
              <w:t>序号</w:t>
            </w:r>
          </w:p>
        </w:tc>
        <w:tc>
          <w:tcPr>
            <w:tcW w:w="1231" w:type="pct"/>
            <w:gridSpan w:val="2"/>
            <w:vAlign w:val="center"/>
          </w:tcPr>
          <w:p w:rsidR="00C645C9" w:rsidRDefault="00F955D9">
            <w:pPr>
              <w:pStyle w:val="afb"/>
            </w:pPr>
            <w:r>
              <w:rPr>
                <w:rFonts w:hint="eastAsia"/>
              </w:rPr>
              <w:t>环境要素</w:t>
            </w:r>
          </w:p>
        </w:tc>
        <w:tc>
          <w:tcPr>
            <w:tcW w:w="674" w:type="pct"/>
            <w:vAlign w:val="center"/>
          </w:tcPr>
          <w:p w:rsidR="00C645C9" w:rsidRDefault="00F955D9">
            <w:pPr>
              <w:pStyle w:val="afb"/>
            </w:pPr>
            <w:r>
              <w:rPr>
                <w:rFonts w:hint="eastAsia"/>
              </w:rPr>
              <w:t>评价等级</w:t>
            </w:r>
          </w:p>
        </w:tc>
        <w:tc>
          <w:tcPr>
            <w:tcW w:w="2725" w:type="pct"/>
            <w:vAlign w:val="center"/>
          </w:tcPr>
          <w:p w:rsidR="00C645C9" w:rsidRDefault="00F955D9">
            <w:pPr>
              <w:pStyle w:val="afb"/>
            </w:pPr>
            <w:r>
              <w:rPr>
                <w:rFonts w:hint="eastAsia"/>
              </w:rPr>
              <w:t>评价范围</w:t>
            </w:r>
          </w:p>
        </w:tc>
      </w:tr>
      <w:tr w:rsidR="00C645C9">
        <w:trPr>
          <w:trHeight w:val="283"/>
          <w:jc w:val="center"/>
        </w:trPr>
        <w:tc>
          <w:tcPr>
            <w:tcW w:w="368" w:type="pct"/>
            <w:vAlign w:val="center"/>
          </w:tcPr>
          <w:p w:rsidR="00C645C9" w:rsidRDefault="00F955D9">
            <w:pPr>
              <w:pStyle w:val="afb"/>
            </w:pPr>
            <w:r>
              <w:rPr>
                <w:rFonts w:hint="eastAsia"/>
              </w:rPr>
              <w:t>1</w:t>
            </w:r>
          </w:p>
        </w:tc>
        <w:tc>
          <w:tcPr>
            <w:tcW w:w="1231" w:type="pct"/>
            <w:gridSpan w:val="2"/>
            <w:vAlign w:val="center"/>
          </w:tcPr>
          <w:p w:rsidR="00C645C9" w:rsidRDefault="00F955D9">
            <w:pPr>
              <w:pStyle w:val="afb"/>
            </w:pPr>
            <w:r>
              <w:rPr>
                <w:rFonts w:hint="eastAsia"/>
              </w:rPr>
              <w:t>环境空气</w:t>
            </w:r>
          </w:p>
        </w:tc>
        <w:tc>
          <w:tcPr>
            <w:tcW w:w="674" w:type="pct"/>
            <w:vAlign w:val="center"/>
          </w:tcPr>
          <w:p w:rsidR="00C645C9" w:rsidRDefault="00F955D9">
            <w:pPr>
              <w:pStyle w:val="afb"/>
            </w:pPr>
            <w:r>
              <w:rPr>
                <w:rFonts w:hint="eastAsia"/>
              </w:rPr>
              <w:t>二级</w:t>
            </w:r>
          </w:p>
        </w:tc>
        <w:tc>
          <w:tcPr>
            <w:tcW w:w="2725" w:type="pct"/>
            <w:vAlign w:val="center"/>
          </w:tcPr>
          <w:p w:rsidR="00C645C9" w:rsidRDefault="00F955D9">
            <w:pPr>
              <w:pStyle w:val="afb"/>
              <w:jc w:val="both"/>
            </w:pPr>
            <w:r>
              <w:rPr>
                <w:rFonts w:hint="eastAsia"/>
              </w:rPr>
              <w:t>以井场为中心，边长</w:t>
            </w:r>
            <w:r>
              <w:rPr>
                <w:rFonts w:hint="eastAsia"/>
              </w:rPr>
              <w:t>5km</w:t>
            </w:r>
            <w:r>
              <w:rPr>
                <w:rFonts w:hint="eastAsia"/>
              </w:rPr>
              <w:t>的矩形区域</w:t>
            </w:r>
          </w:p>
        </w:tc>
      </w:tr>
      <w:tr w:rsidR="00C645C9">
        <w:trPr>
          <w:trHeight w:val="283"/>
          <w:jc w:val="center"/>
        </w:trPr>
        <w:tc>
          <w:tcPr>
            <w:tcW w:w="368" w:type="pct"/>
            <w:vAlign w:val="center"/>
          </w:tcPr>
          <w:p w:rsidR="00C645C9" w:rsidRDefault="00F955D9">
            <w:pPr>
              <w:pStyle w:val="afb"/>
            </w:pPr>
            <w:r>
              <w:rPr>
                <w:rFonts w:hint="eastAsia"/>
              </w:rPr>
              <w:t>2</w:t>
            </w:r>
          </w:p>
        </w:tc>
        <w:tc>
          <w:tcPr>
            <w:tcW w:w="1231" w:type="pct"/>
            <w:gridSpan w:val="2"/>
            <w:vAlign w:val="center"/>
          </w:tcPr>
          <w:p w:rsidR="00C645C9" w:rsidRDefault="00F955D9">
            <w:pPr>
              <w:pStyle w:val="afb"/>
            </w:pPr>
            <w:r>
              <w:rPr>
                <w:rFonts w:hint="eastAsia"/>
              </w:rPr>
              <w:t>地下水</w:t>
            </w:r>
          </w:p>
        </w:tc>
        <w:tc>
          <w:tcPr>
            <w:tcW w:w="674" w:type="pct"/>
            <w:vAlign w:val="center"/>
          </w:tcPr>
          <w:p w:rsidR="00C645C9" w:rsidRDefault="00F955D9">
            <w:pPr>
              <w:pStyle w:val="afb"/>
            </w:pPr>
            <w:r>
              <w:rPr>
                <w:rFonts w:hint="eastAsia"/>
              </w:rPr>
              <w:t>三</w:t>
            </w:r>
            <w:r>
              <w:rPr>
                <w:rFonts w:hint="eastAsia"/>
              </w:rPr>
              <w:t>级</w:t>
            </w:r>
          </w:p>
        </w:tc>
        <w:tc>
          <w:tcPr>
            <w:tcW w:w="2725" w:type="pct"/>
            <w:vAlign w:val="center"/>
          </w:tcPr>
          <w:p w:rsidR="00C645C9" w:rsidRDefault="00F955D9">
            <w:pPr>
              <w:pStyle w:val="afb"/>
              <w:jc w:val="both"/>
            </w:pPr>
            <w:r>
              <w:rPr>
                <w:rFonts w:hint="eastAsia"/>
              </w:rPr>
              <w:t>本工程井场上游</w:t>
            </w:r>
            <w:r>
              <w:rPr>
                <w:rFonts w:hint="eastAsia"/>
              </w:rPr>
              <w:t>1km</w:t>
            </w:r>
            <w:r>
              <w:rPr>
                <w:rFonts w:hint="eastAsia"/>
              </w:rPr>
              <w:t>，下游</w:t>
            </w:r>
            <w:r>
              <w:rPr>
                <w:rFonts w:hint="eastAsia"/>
              </w:rPr>
              <w:t>2km</w:t>
            </w:r>
            <w:r>
              <w:rPr>
                <w:rFonts w:hint="eastAsia"/>
              </w:rPr>
              <w:t>，两侧</w:t>
            </w:r>
            <w:r>
              <w:rPr>
                <w:rFonts w:hint="eastAsia"/>
              </w:rPr>
              <w:t>1km</w:t>
            </w:r>
            <w:r>
              <w:rPr>
                <w:rFonts w:hint="eastAsia"/>
              </w:rPr>
              <w:t>的矩形区域作为评价范围，评价区面积约</w:t>
            </w:r>
            <w:r>
              <w:rPr>
                <w:rFonts w:hint="eastAsia"/>
              </w:rPr>
              <w:t>6</w:t>
            </w:r>
            <w:r>
              <w:rPr>
                <w:rFonts w:hint="eastAsia"/>
              </w:rPr>
              <w:t>km</w:t>
            </w:r>
            <w:r>
              <w:rPr>
                <w:rFonts w:hint="eastAsia"/>
                <w:vertAlign w:val="superscript"/>
              </w:rPr>
              <w:t>2</w:t>
            </w:r>
          </w:p>
        </w:tc>
      </w:tr>
      <w:tr w:rsidR="00C645C9">
        <w:trPr>
          <w:trHeight w:val="283"/>
          <w:jc w:val="center"/>
        </w:trPr>
        <w:tc>
          <w:tcPr>
            <w:tcW w:w="368" w:type="pct"/>
            <w:vAlign w:val="center"/>
          </w:tcPr>
          <w:p w:rsidR="00C645C9" w:rsidRDefault="00F955D9">
            <w:pPr>
              <w:pStyle w:val="afb"/>
            </w:pPr>
            <w:r>
              <w:rPr>
                <w:rFonts w:hint="eastAsia"/>
              </w:rPr>
              <w:t>3</w:t>
            </w:r>
          </w:p>
        </w:tc>
        <w:tc>
          <w:tcPr>
            <w:tcW w:w="1231" w:type="pct"/>
            <w:gridSpan w:val="2"/>
            <w:vAlign w:val="center"/>
          </w:tcPr>
          <w:p w:rsidR="00C645C9" w:rsidRDefault="00F955D9">
            <w:pPr>
              <w:pStyle w:val="afb"/>
            </w:pPr>
            <w:r>
              <w:rPr>
                <w:rFonts w:hint="eastAsia"/>
              </w:rPr>
              <w:t>地表水环境</w:t>
            </w:r>
          </w:p>
        </w:tc>
        <w:tc>
          <w:tcPr>
            <w:tcW w:w="674" w:type="pct"/>
            <w:vAlign w:val="center"/>
          </w:tcPr>
          <w:p w:rsidR="00C645C9" w:rsidRDefault="00F955D9">
            <w:pPr>
              <w:pStyle w:val="afb"/>
            </w:pPr>
            <w:r>
              <w:rPr>
                <w:rFonts w:hint="eastAsia"/>
              </w:rPr>
              <w:t>三级</w:t>
            </w:r>
            <w:r>
              <w:rPr>
                <w:rFonts w:hint="eastAsia"/>
              </w:rPr>
              <w:t>B</w:t>
            </w:r>
          </w:p>
        </w:tc>
        <w:tc>
          <w:tcPr>
            <w:tcW w:w="2725" w:type="pct"/>
            <w:vAlign w:val="center"/>
          </w:tcPr>
          <w:p w:rsidR="00C645C9" w:rsidRDefault="00F955D9">
            <w:pPr>
              <w:pStyle w:val="afb"/>
            </w:pPr>
            <w:r>
              <w:rPr>
                <w:rFonts w:hint="eastAsia"/>
              </w:rPr>
              <w:t>-</w:t>
            </w:r>
          </w:p>
        </w:tc>
      </w:tr>
      <w:tr w:rsidR="00C645C9">
        <w:trPr>
          <w:trHeight w:val="283"/>
          <w:jc w:val="center"/>
        </w:trPr>
        <w:tc>
          <w:tcPr>
            <w:tcW w:w="368" w:type="pct"/>
            <w:vAlign w:val="center"/>
          </w:tcPr>
          <w:p w:rsidR="00C645C9" w:rsidRDefault="00F955D9">
            <w:pPr>
              <w:pStyle w:val="afb"/>
            </w:pPr>
            <w:r>
              <w:rPr>
                <w:rFonts w:hint="eastAsia"/>
              </w:rPr>
              <w:t>4</w:t>
            </w:r>
          </w:p>
        </w:tc>
        <w:tc>
          <w:tcPr>
            <w:tcW w:w="1231" w:type="pct"/>
            <w:gridSpan w:val="2"/>
            <w:vAlign w:val="center"/>
          </w:tcPr>
          <w:p w:rsidR="00C645C9" w:rsidRDefault="00F955D9">
            <w:pPr>
              <w:pStyle w:val="afb"/>
            </w:pPr>
            <w:r>
              <w:rPr>
                <w:rFonts w:hint="eastAsia"/>
              </w:rPr>
              <w:t>生态环境</w:t>
            </w:r>
          </w:p>
        </w:tc>
        <w:tc>
          <w:tcPr>
            <w:tcW w:w="674" w:type="pct"/>
            <w:vAlign w:val="center"/>
          </w:tcPr>
          <w:p w:rsidR="00C645C9" w:rsidRDefault="00F955D9">
            <w:pPr>
              <w:pStyle w:val="afb"/>
            </w:pPr>
            <w:r>
              <w:rPr>
                <w:rFonts w:hint="eastAsia"/>
              </w:rPr>
              <w:t>三</w:t>
            </w:r>
            <w:r>
              <w:rPr>
                <w:rFonts w:hint="eastAsia"/>
              </w:rPr>
              <w:t>级</w:t>
            </w:r>
          </w:p>
        </w:tc>
        <w:tc>
          <w:tcPr>
            <w:tcW w:w="2725" w:type="pct"/>
            <w:vAlign w:val="center"/>
          </w:tcPr>
          <w:p w:rsidR="00C645C9" w:rsidRDefault="00F955D9">
            <w:pPr>
              <w:pStyle w:val="afb"/>
              <w:jc w:val="both"/>
            </w:pPr>
            <w:r>
              <w:rPr>
                <w:rFonts w:hint="eastAsia"/>
              </w:rPr>
              <w:t>井场场界周围</w:t>
            </w:r>
            <w:r>
              <w:rPr>
                <w:rFonts w:hint="eastAsia"/>
              </w:rPr>
              <w:t>50</w:t>
            </w:r>
            <w:r>
              <w:rPr>
                <w:rFonts w:hint="eastAsia"/>
              </w:rPr>
              <w:t>米范围</w:t>
            </w:r>
          </w:p>
        </w:tc>
      </w:tr>
      <w:tr w:rsidR="00C645C9">
        <w:trPr>
          <w:trHeight w:val="283"/>
          <w:jc w:val="center"/>
        </w:trPr>
        <w:tc>
          <w:tcPr>
            <w:tcW w:w="368" w:type="pct"/>
            <w:vAlign w:val="center"/>
          </w:tcPr>
          <w:p w:rsidR="00C645C9" w:rsidRDefault="00F955D9">
            <w:pPr>
              <w:pStyle w:val="afb"/>
            </w:pPr>
            <w:r>
              <w:rPr>
                <w:rFonts w:hint="eastAsia"/>
              </w:rPr>
              <w:t>5</w:t>
            </w:r>
          </w:p>
        </w:tc>
        <w:tc>
          <w:tcPr>
            <w:tcW w:w="1231" w:type="pct"/>
            <w:gridSpan w:val="2"/>
            <w:vAlign w:val="center"/>
          </w:tcPr>
          <w:p w:rsidR="00C645C9" w:rsidRDefault="00F955D9">
            <w:pPr>
              <w:pStyle w:val="afb"/>
            </w:pPr>
            <w:r>
              <w:rPr>
                <w:rFonts w:hint="eastAsia"/>
              </w:rPr>
              <w:t>声环境</w:t>
            </w:r>
          </w:p>
        </w:tc>
        <w:tc>
          <w:tcPr>
            <w:tcW w:w="674" w:type="pct"/>
            <w:vAlign w:val="center"/>
          </w:tcPr>
          <w:p w:rsidR="00C645C9" w:rsidRDefault="00F955D9">
            <w:pPr>
              <w:pStyle w:val="afb"/>
            </w:pPr>
            <w:r>
              <w:rPr>
                <w:rFonts w:hint="eastAsia"/>
              </w:rPr>
              <w:t>二级</w:t>
            </w:r>
          </w:p>
        </w:tc>
        <w:tc>
          <w:tcPr>
            <w:tcW w:w="2725" w:type="pct"/>
            <w:vAlign w:val="center"/>
          </w:tcPr>
          <w:p w:rsidR="00C645C9" w:rsidRDefault="00F955D9">
            <w:pPr>
              <w:pStyle w:val="afb"/>
              <w:jc w:val="both"/>
            </w:pPr>
            <w:r>
              <w:rPr>
                <w:rFonts w:hint="eastAsia"/>
              </w:rPr>
              <w:t>井场边界向外</w:t>
            </w:r>
            <w:r>
              <w:rPr>
                <w:rFonts w:hint="eastAsia"/>
              </w:rPr>
              <w:t>200m</w:t>
            </w:r>
            <w:r>
              <w:rPr>
                <w:rFonts w:hint="eastAsia"/>
              </w:rPr>
              <w:t>评价范围</w:t>
            </w:r>
          </w:p>
        </w:tc>
      </w:tr>
      <w:tr w:rsidR="00C645C9">
        <w:trPr>
          <w:trHeight w:val="283"/>
          <w:jc w:val="center"/>
        </w:trPr>
        <w:tc>
          <w:tcPr>
            <w:tcW w:w="368" w:type="pct"/>
            <w:vMerge w:val="restart"/>
            <w:vAlign w:val="center"/>
          </w:tcPr>
          <w:p w:rsidR="00C645C9" w:rsidRDefault="00F955D9">
            <w:pPr>
              <w:pStyle w:val="afb"/>
            </w:pPr>
            <w:r>
              <w:rPr>
                <w:rFonts w:hint="eastAsia"/>
              </w:rPr>
              <w:t>6</w:t>
            </w:r>
          </w:p>
        </w:tc>
        <w:tc>
          <w:tcPr>
            <w:tcW w:w="414" w:type="pct"/>
            <w:vMerge w:val="restart"/>
            <w:vAlign w:val="center"/>
          </w:tcPr>
          <w:p w:rsidR="00C645C9" w:rsidRDefault="00F955D9">
            <w:pPr>
              <w:pStyle w:val="afb"/>
            </w:pPr>
            <w:r>
              <w:rPr>
                <w:rFonts w:hint="eastAsia"/>
              </w:rPr>
              <w:t>土壤环境</w:t>
            </w:r>
          </w:p>
        </w:tc>
        <w:tc>
          <w:tcPr>
            <w:tcW w:w="817" w:type="pct"/>
            <w:vAlign w:val="center"/>
          </w:tcPr>
          <w:p w:rsidR="00C645C9" w:rsidRDefault="00F955D9">
            <w:pPr>
              <w:pStyle w:val="afb"/>
            </w:pPr>
            <w:r>
              <w:rPr>
                <w:rFonts w:hint="eastAsia"/>
              </w:rPr>
              <w:t>生态影响型</w:t>
            </w:r>
          </w:p>
        </w:tc>
        <w:tc>
          <w:tcPr>
            <w:tcW w:w="674" w:type="pct"/>
            <w:vAlign w:val="center"/>
          </w:tcPr>
          <w:p w:rsidR="00C645C9" w:rsidRDefault="00F955D9">
            <w:pPr>
              <w:pStyle w:val="afb"/>
            </w:pPr>
            <w:r>
              <w:rPr>
                <w:rFonts w:hint="eastAsia"/>
              </w:rPr>
              <w:t>二</w:t>
            </w:r>
            <w:r>
              <w:rPr>
                <w:rFonts w:hint="eastAsia"/>
              </w:rPr>
              <w:t>级</w:t>
            </w:r>
          </w:p>
        </w:tc>
        <w:tc>
          <w:tcPr>
            <w:tcW w:w="2725" w:type="pct"/>
            <w:vAlign w:val="center"/>
          </w:tcPr>
          <w:p w:rsidR="00C645C9" w:rsidRDefault="00F955D9">
            <w:pPr>
              <w:pStyle w:val="afb"/>
              <w:jc w:val="both"/>
            </w:pPr>
            <w:r>
              <w:rPr>
                <w:rFonts w:hint="eastAsia"/>
              </w:rPr>
              <w:t>井场占地范围内全部以及占地范围外</w:t>
            </w:r>
            <w:r>
              <w:rPr>
                <w:rFonts w:hint="eastAsia"/>
                <w:sz w:val="20"/>
                <w:szCs w:val="16"/>
              </w:rPr>
              <w:t>2</w:t>
            </w:r>
            <w:r>
              <w:rPr>
                <w:sz w:val="20"/>
                <w:szCs w:val="16"/>
              </w:rPr>
              <w:t>km</w:t>
            </w:r>
            <w:r>
              <w:rPr>
                <w:rFonts w:hint="eastAsia"/>
                <w:sz w:val="20"/>
                <w:szCs w:val="16"/>
              </w:rPr>
              <w:t>范围内</w:t>
            </w:r>
          </w:p>
        </w:tc>
      </w:tr>
      <w:tr w:rsidR="00C645C9">
        <w:trPr>
          <w:trHeight w:val="283"/>
          <w:jc w:val="center"/>
        </w:trPr>
        <w:tc>
          <w:tcPr>
            <w:tcW w:w="368" w:type="pct"/>
            <w:vMerge/>
            <w:vAlign w:val="center"/>
          </w:tcPr>
          <w:p w:rsidR="00C645C9" w:rsidRDefault="00C645C9">
            <w:pPr>
              <w:pStyle w:val="afb"/>
            </w:pPr>
          </w:p>
        </w:tc>
        <w:tc>
          <w:tcPr>
            <w:tcW w:w="414" w:type="pct"/>
            <w:vMerge/>
            <w:vAlign w:val="center"/>
          </w:tcPr>
          <w:p w:rsidR="00C645C9" w:rsidRDefault="00C645C9">
            <w:pPr>
              <w:pStyle w:val="afb"/>
            </w:pPr>
          </w:p>
        </w:tc>
        <w:tc>
          <w:tcPr>
            <w:tcW w:w="817" w:type="pct"/>
            <w:vAlign w:val="center"/>
          </w:tcPr>
          <w:p w:rsidR="00C645C9" w:rsidRDefault="00F955D9">
            <w:pPr>
              <w:pStyle w:val="afb"/>
            </w:pPr>
            <w:r>
              <w:rPr>
                <w:rFonts w:hint="eastAsia"/>
              </w:rPr>
              <w:t>污染影响型</w:t>
            </w:r>
          </w:p>
        </w:tc>
        <w:tc>
          <w:tcPr>
            <w:tcW w:w="674" w:type="pct"/>
            <w:vAlign w:val="center"/>
          </w:tcPr>
          <w:p w:rsidR="00C645C9" w:rsidRDefault="00F955D9">
            <w:pPr>
              <w:pStyle w:val="afb"/>
            </w:pPr>
            <w:r>
              <w:rPr>
                <w:rFonts w:hint="eastAsia"/>
              </w:rPr>
              <w:t>二级</w:t>
            </w:r>
          </w:p>
        </w:tc>
        <w:tc>
          <w:tcPr>
            <w:tcW w:w="2725" w:type="pct"/>
            <w:vAlign w:val="center"/>
          </w:tcPr>
          <w:p w:rsidR="00C645C9" w:rsidRDefault="00F955D9">
            <w:pPr>
              <w:pStyle w:val="afb"/>
              <w:jc w:val="both"/>
            </w:pPr>
            <w:r>
              <w:rPr>
                <w:rFonts w:hint="eastAsia"/>
              </w:rPr>
              <w:t>井场占地范围内全部以及</w:t>
            </w:r>
            <w:r>
              <w:rPr>
                <w:sz w:val="20"/>
                <w:szCs w:val="16"/>
              </w:rPr>
              <w:t>占地范围外</w:t>
            </w:r>
            <w:r>
              <w:rPr>
                <w:rFonts w:hint="eastAsia"/>
                <w:sz w:val="20"/>
                <w:szCs w:val="16"/>
              </w:rPr>
              <w:t>0</w:t>
            </w:r>
            <w:r>
              <w:rPr>
                <w:sz w:val="20"/>
                <w:szCs w:val="16"/>
              </w:rPr>
              <w:t>.2km</w:t>
            </w:r>
            <w:r>
              <w:rPr>
                <w:rFonts w:hint="eastAsia"/>
                <w:sz w:val="20"/>
                <w:szCs w:val="16"/>
              </w:rPr>
              <w:t>范围内</w:t>
            </w:r>
          </w:p>
        </w:tc>
      </w:tr>
      <w:tr w:rsidR="00C645C9">
        <w:trPr>
          <w:trHeight w:val="283"/>
          <w:jc w:val="center"/>
        </w:trPr>
        <w:tc>
          <w:tcPr>
            <w:tcW w:w="368" w:type="pct"/>
            <w:vAlign w:val="center"/>
          </w:tcPr>
          <w:p w:rsidR="00C645C9" w:rsidRDefault="00F955D9">
            <w:pPr>
              <w:pStyle w:val="afb"/>
            </w:pPr>
            <w:r>
              <w:rPr>
                <w:rFonts w:hint="eastAsia"/>
              </w:rPr>
              <w:t>7</w:t>
            </w:r>
          </w:p>
        </w:tc>
        <w:tc>
          <w:tcPr>
            <w:tcW w:w="1231" w:type="pct"/>
            <w:gridSpan w:val="2"/>
            <w:vAlign w:val="center"/>
          </w:tcPr>
          <w:p w:rsidR="00C645C9" w:rsidRDefault="00F955D9">
            <w:pPr>
              <w:pStyle w:val="afb"/>
            </w:pPr>
            <w:r>
              <w:rPr>
                <w:rFonts w:hint="eastAsia"/>
              </w:rPr>
              <w:t>环境风险</w:t>
            </w:r>
          </w:p>
        </w:tc>
        <w:tc>
          <w:tcPr>
            <w:tcW w:w="674" w:type="pct"/>
            <w:vAlign w:val="center"/>
          </w:tcPr>
          <w:p w:rsidR="00C645C9" w:rsidRDefault="00F955D9">
            <w:pPr>
              <w:pStyle w:val="afb"/>
            </w:pPr>
            <w:r>
              <w:rPr>
                <w:rFonts w:hint="eastAsia"/>
              </w:rPr>
              <w:t>简单分析</w:t>
            </w:r>
          </w:p>
        </w:tc>
        <w:tc>
          <w:tcPr>
            <w:tcW w:w="2725" w:type="pct"/>
            <w:vAlign w:val="center"/>
          </w:tcPr>
          <w:p w:rsidR="00C645C9" w:rsidRDefault="00F955D9">
            <w:pPr>
              <w:pStyle w:val="afb"/>
            </w:pPr>
            <w:r>
              <w:rPr>
                <w:rFonts w:hint="eastAsia"/>
              </w:rPr>
              <w:t>-</w:t>
            </w:r>
          </w:p>
        </w:tc>
      </w:tr>
    </w:tbl>
    <w:p w:rsidR="00C645C9" w:rsidRDefault="00C645C9">
      <w:pPr>
        <w:sectPr w:rsidR="00C645C9">
          <w:pgSz w:w="11905" w:h="16838"/>
          <w:pgMar w:top="1440" w:right="1800" w:bottom="1440" w:left="1800" w:header="935" w:footer="1134" w:gutter="0"/>
          <w:cols w:space="720"/>
          <w:docGrid w:linePitch="312"/>
        </w:sectPr>
      </w:pPr>
    </w:p>
    <w:p w:rsidR="00C645C9" w:rsidRDefault="00F955D9">
      <w:pPr>
        <w:pStyle w:val="32"/>
        <w:adjustRightInd w:val="0"/>
        <w:snapToGrid w:val="0"/>
        <w:spacing w:before="0" w:after="0"/>
        <w:rPr>
          <w:color w:val="auto"/>
          <w:lang w:eastAsia="zh-CN"/>
        </w:rPr>
      </w:pPr>
      <w:r>
        <w:rPr>
          <w:color w:val="auto"/>
          <w:lang w:eastAsia="zh-CN"/>
        </w:rPr>
        <w:lastRenderedPageBreak/>
        <w:t>2.</w:t>
      </w:r>
      <w:r>
        <w:rPr>
          <w:rFonts w:hint="eastAsia"/>
          <w:color w:val="auto"/>
          <w:lang w:eastAsia="zh-CN"/>
        </w:rPr>
        <w:t>5.5</w:t>
      </w:r>
      <w:r>
        <w:rPr>
          <w:color w:val="auto"/>
          <w:lang w:eastAsia="zh-CN"/>
        </w:rPr>
        <w:t>大气环境影响评价等级和评价范围</w:t>
      </w:r>
    </w:p>
    <w:bookmarkEnd w:id="246"/>
    <w:p w:rsidR="00C645C9" w:rsidRDefault="00F955D9">
      <w:pPr>
        <w:spacing w:line="360" w:lineRule="auto"/>
        <w:ind w:firstLineChars="200" w:firstLine="480"/>
        <w:jc w:val="both"/>
        <w:rPr>
          <w:rFonts w:cs="Times New Roman"/>
          <w:szCs w:val="20"/>
        </w:rPr>
      </w:pPr>
      <w:r>
        <w:rPr>
          <w:rFonts w:cs="Times New Roman"/>
          <w:szCs w:val="20"/>
        </w:rPr>
        <w:t>（</w:t>
      </w:r>
      <w:r>
        <w:rPr>
          <w:rFonts w:cs="Times New Roman"/>
          <w:szCs w:val="20"/>
        </w:rPr>
        <w:t>1</w:t>
      </w:r>
      <w:r>
        <w:rPr>
          <w:rFonts w:cs="Times New Roman"/>
          <w:szCs w:val="20"/>
        </w:rPr>
        <w:t>）</w:t>
      </w:r>
      <w:r>
        <w:rPr>
          <w:rFonts w:cs="Times New Roman"/>
          <w:szCs w:val="20"/>
        </w:rPr>
        <w:t>评价等级</w:t>
      </w:r>
    </w:p>
    <w:p w:rsidR="00C645C9" w:rsidRDefault="00F955D9">
      <w:pPr>
        <w:spacing w:line="360" w:lineRule="auto"/>
        <w:ind w:firstLineChars="200" w:firstLine="480"/>
        <w:jc w:val="both"/>
        <w:rPr>
          <w:rFonts w:cs="Times New Roman"/>
          <w:szCs w:val="20"/>
        </w:rPr>
      </w:pPr>
      <w:r>
        <w:rPr>
          <w:rFonts w:cs="Times New Roman"/>
          <w:szCs w:val="20"/>
        </w:rPr>
        <w:t>本</w:t>
      </w:r>
      <w:r>
        <w:rPr>
          <w:rFonts w:cs="Times New Roman" w:hint="eastAsia"/>
          <w:szCs w:val="20"/>
        </w:rPr>
        <w:t>工程</w:t>
      </w:r>
      <w:r>
        <w:rPr>
          <w:rFonts w:cs="Times New Roman"/>
          <w:szCs w:val="20"/>
        </w:rPr>
        <w:t>废气排放源主要为</w:t>
      </w:r>
      <w:r>
        <w:rPr>
          <w:rFonts w:cs="Times New Roman" w:hint="eastAsia"/>
          <w:szCs w:val="20"/>
        </w:rPr>
        <w:t>2</w:t>
      </w:r>
      <w:r>
        <w:rPr>
          <w:rFonts w:cs="Times New Roman"/>
          <w:szCs w:val="20"/>
        </w:rPr>
        <w:t>台井场加热炉燃烧排放的燃烧废气以及井场无组织排放的非甲烷总烃。根据工程特点、污染特征及周围环境状况，采用</w:t>
      </w:r>
      <w:r>
        <w:rPr>
          <w:rFonts w:cs="Times New Roman"/>
          <w:szCs w:val="20"/>
        </w:rPr>
        <w:t>《</w:t>
      </w:r>
      <w:bookmarkStart w:id="310" w:name="OLE_LINK96"/>
      <w:r>
        <w:rPr>
          <w:rFonts w:cs="Times New Roman"/>
          <w:szCs w:val="20"/>
        </w:rPr>
        <w:t>环境影响评价技术导则</w:t>
      </w:r>
      <w:r>
        <w:rPr>
          <w:rFonts w:cs="Times New Roman"/>
          <w:szCs w:val="20"/>
        </w:rPr>
        <w:t xml:space="preserve"> </w:t>
      </w:r>
      <w:r>
        <w:rPr>
          <w:rFonts w:cs="Times New Roman"/>
          <w:szCs w:val="20"/>
        </w:rPr>
        <w:t>大气环境</w:t>
      </w:r>
      <w:bookmarkEnd w:id="310"/>
      <w:r>
        <w:rPr>
          <w:rFonts w:cs="Times New Roman"/>
          <w:szCs w:val="20"/>
        </w:rPr>
        <w:t>》（</w:t>
      </w:r>
      <w:r>
        <w:rPr>
          <w:rFonts w:cs="Times New Roman"/>
          <w:szCs w:val="20"/>
        </w:rPr>
        <w:t>HJ2.2-2018</w:t>
      </w:r>
      <w:r>
        <w:rPr>
          <w:rFonts w:cs="Times New Roman"/>
          <w:szCs w:val="20"/>
        </w:rPr>
        <w:t>）</w:t>
      </w:r>
      <w:r>
        <w:rPr>
          <w:rFonts w:cs="Times New Roman"/>
          <w:szCs w:val="20"/>
        </w:rPr>
        <w:t>附录</w:t>
      </w:r>
      <w:r>
        <w:rPr>
          <w:rFonts w:cs="Times New Roman"/>
          <w:szCs w:val="20"/>
        </w:rPr>
        <w:t>A</w:t>
      </w:r>
      <w:r>
        <w:rPr>
          <w:rFonts w:cs="Times New Roman"/>
          <w:szCs w:val="20"/>
        </w:rPr>
        <w:t>推荐的估算模型</w:t>
      </w:r>
      <w:r>
        <w:rPr>
          <w:rFonts w:cs="Times New Roman"/>
          <w:szCs w:val="20"/>
        </w:rPr>
        <w:t>AERSCREEN</w:t>
      </w:r>
      <w:r>
        <w:rPr>
          <w:rFonts w:cs="Times New Roman"/>
          <w:szCs w:val="20"/>
        </w:rPr>
        <w:t>计算项目污染源的最大环境影响，选取</w:t>
      </w:r>
      <w:r>
        <w:rPr>
          <w:rFonts w:cs="Times New Roman"/>
          <w:szCs w:val="20"/>
        </w:rPr>
        <w:t>SO</w:t>
      </w:r>
      <w:r>
        <w:rPr>
          <w:rFonts w:cs="Times New Roman"/>
          <w:szCs w:val="20"/>
          <w:vertAlign w:val="subscript"/>
        </w:rPr>
        <w:t>2</w:t>
      </w:r>
      <w:r>
        <w:rPr>
          <w:rFonts w:cs="Times New Roman"/>
          <w:szCs w:val="20"/>
        </w:rPr>
        <w:t>、</w:t>
      </w:r>
      <w:r>
        <w:rPr>
          <w:rFonts w:cs="Times New Roman"/>
          <w:szCs w:val="20"/>
        </w:rPr>
        <w:t>NO</w:t>
      </w:r>
      <w:r>
        <w:rPr>
          <w:rFonts w:cs="Times New Roman"/>
          <w:szCs w:val="20"/>
          <w:vertAlign w:val="subscript"/>
        </w:rPr>
        <w:t>X</w:t>
      </w:r>
      <w:r>
        <w:rPr>
          <w:rFonts w:cs="Times New Roman"/>
          <w:szCs w:val="20"/>
        </w:rPr>
        <w:t>、</w:t>
      </w:r>
      <w:r>
        <w:rPr>
          <w:rFonts w:cs="Times New Roman"/>
          <w:szCs w:val="20"/>
        </w:rPr>
        <w:t>PM</w:t>
      </w:r>
      <w:r>
        <w:rPr>
          <w:rFonts w:cs="Times New Roman"/>
          <w:szCs w:val="20"/>
          <w:vertAlign w:val="subscript"/>
        </w:rPr>
        <w:t>10</w:t>
      </w:r>
      <w:r>
        <w:rPr>
          <w:rFonts w:cs="Times New Roman"/>
          <w:szCs w:val="20"/>
        </w:rPr>
        <w:t>、非甲烷总烃</w:t>
      </w:r>
      <w:r>
        <w:rPr>
          <w:rFonts w:cs="Times New Roman"/>
          <w:szCs w:val="20"/>
        </w:rPr>
        <w:t>（</w:t>
      </w:r>
      <w:r>
        <w:rPr>
          <w:rFonts w:cs="Times New Roman"/>
          <w:szCs w:val="20"/>
        </w:rPr>
        <w:t>NMHC</w:t>
      </w:r>
      <w:r>
        <w:rPr>
          <w:rFonts w:cs="Times New Roman"/>
          <w:szCs w:val="20"/>
        </w:rPr>
        <w:t>）、</w:t>
      </w:r>
      <w:r>
        <w:rPr>
          <w:rFonts w:cs="Times New Roman"/>
          <w:szCs w:val="20"/>
        </w:rPr>
        <w:t>硫化氢（</w:t>
      </w:r>
      <w:r>
        <w:rPr>
          <w:rFonts w:cs="Times New Roman"/>
          <w:szCs w:val="20"/>
        </w:rPr>
        <w:t>H</w:t>
      </w:r>
      <w:r>
        <w:rPr>
          <w:rFonts w:cs="Times New Roman"/>
          <w:szCs w:val="20"/>
          <w:vertAlign w:val="subscript"/>
        </w:rPr>
        <w:t>2</w:t>
      </w:r>
      <w:r>
        <w:rPr>
          <w:rFonts w:cs="Times New Roman"/>
          <w:szCs w:val="20"/>
        </w:rPr>
        <w:t>S</w:t>
      </w:r>
      <w:r>
        <w:rPr>
          <w:rFonts w:cs="Times New Roman"/>
          <w:szCs w:val="20"/>
        </w:rPr>
        <w:t>）</w:t>
      </w:r>
      <w:r>
        <w:rPr>
          <w:rFonts w:cs="Times New Roman" w:hint="eastAsia"/>
          <w:szCs w:val="20"/>
        </w:rPr>
        <w:t>作为</w:t>
      </w:r>
      <w:r>
        <w:rPr>
          <w:rFonts w:cs="Times New Roman"/>
          <w:szCs w:val="20"/>
        </w:rPr>
        <w:t>候选因子核算，计算出其最大地面浓度占标率</w:t>
      </w:r>
      <w:r>
        <w:rPr>
          <w:rFonts w:cs="Times New Roman"/>
          <w:szCs w:val="20"/>
        </w:rPr>
        <w:t>Pi</w:t>
      </w:r>
      <w:r>
        <w:rPr>
          <w:rFonts w:cs="Times New Roman"/>
          <w:szCs w:val="20"/>
        </w:rPr>
        <w:t>（第</w:t>
      </w:r>
      <w:r>
        <w:rPr>
          <w:rFonts w:cs="Times New Roman"/>
          <w:szCs w:val="20"/>
        </w:rPr>
        <w:t>i</w:t>
      </w:r>
      <w:r>
        <w:rPr>
          <w:rFonts w:cs="Times New Roman"/>
          <w:szCs w:val="20"/>
        </w:rPr>
        <w:t>个污染物，简称</w:t>
      </w:r>
      <w:r>
        <w:rPr>
          <w:rFonts w:cs="Times New Roman" w:hint="eastAsia"/>
          <w:szCs w:val="20"/>
        </w:rPr>
        <w:t>“</w:t>
      </w:r>
      <w:r>
        <w:rPr>
          <w:rFonts w:cs="Times New Roman"/>
          <w:szCs w:val="20"/>
        </w:rPr>
        <w:t>最大浓度占标率</w:t>
      </w:r>
      <w:r>
        <w:rPr>
          <w:rFonts w:cs="Times New Roman" w:hint="eastAsia"/>
          <w:szCs w:val="20"/>
        </w:rPr>
        <w:t>”</w:t>
      </w:r>
      <w:r>
        <w:rPr>
          <w:rFonts w:cs="Times New Roman"/>
          <w:szCs w:val="20"/>
        </w:rPr>
        <w:t>）及其地面浓度达标准值</w:t>
      </w:r>
      <w:r>
        <w:rPr>
          <w:rFonts w:cs="Times New Roman"/>
          <w:szCs w:val="20"/>
        </w:rPr>
        <w:t>10%</w:t>
      </w:r>
      <w:r>
        <w:rPr>
          <w:rFonts w:cs="Times New Roman"/>
          <w:szCs w:val="20"/>
        </w:rPr>
        <w:t>时所对应的最远距离</w:t>
      </w:r>
      <w:r>
        <w:rPr>
          <w:rFonts w:cs="Times New Roman"/>
          <w:szCs w:val="20"/>
        </w:rPr>
        <w:t>D10%</w:t>
      </w:r>
      <w:r>
        <w:rPr>
          <w:rFonts w:cs="Times New Roman"/>
          <w:szCs w:val="20"/>
        </w:rPr>
        <w:t>。其中</w:t>
      </w:r>
      <w:r>
        <w:rPr>
          <w:rFonts w:cs="Times New Roman"/>
          <w:szCs w:val="20"/>
        </w:rPr>
        <w:t>Pi</w:t>
      </w:r>
      <w:r>
        <w:rPr>
          <w:rFonts w:cs="Times New Roman"/>
          <w:szCs w:val="20"/>
        </w:rPr>
        <w:t>定义为：</w:t>
      </w:r>
    </w:p>
    <w:p w:rsidR="00C645C9" w:rsidRDefault="00F955D9">
      <w:pPr>
        <w:widowControl w:val="0"/>
        <w:adjustRightInd w:val="0"/>
        <w:snapToGrid w:val="0"/>
        <w:ind w:firstLine="200"/>
        <w:jc w:val="center"/>
        <w:rPr>
          <w:rFonts w:cs="Times New Roman"/>
        </w:rPr>
      </w:pPr>
      <w:r>
        <w:rPr>
          <w:rFonts w:cs="Times New Roman"/>
        </w:rPr>
        <w:fldChar w:fldCharType="begin"/>
      </w:r>
      <w:r>
        <w:rPr>
          <w:rFonts w:cs="Times New Roman"/>
        </w:rPr>
        <w:instrText xml:space="preserve"> INCLUDEPICTURE  "D:\\ADMINI~1.DES\\AppData\\Local\\Temp\\ksohtml\\wps226.tmp.jpg" \* MERGEFORMA</w:instrText>
      </w:r>
      <w:r>
        <w:rPr>
          <w:rFonts w:cs="Times New Roman"/>
        </w:rPr>
        <w:instrText xml:space="preserve">TINET </w:instrText>
      </w:r>
      <w:r>
        <w:rPr>
          <w:rFonts w:cs="Times New Roman"/>
        </w:rPr>
        <w:fldChar w:fldCharType="separate"/>
      </w:r>
      <w:r>
        <w:rPr>
          <w:rFonts w:cs="Times New Roman"/>
          <w:noProof/>
        </w:rPr>
        <w:drawing>
          <wp:inline distT="0" distB="0" distL="114300" distR="114300">
            <wp:extent cx="1095375" cy="361315"/>
            <wp:effectExtent l="0" t="0" r="9525" b="635"/>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pic:cNvPicPr>
                  </pic:nvPicPr>
                  <pic:blipFill>
                    <a:blip r:embed="rId17" r:link="rId18"/>
                    <a:stretch>
                      <a:fillRect/>
                    </a:stretch>
                  </pic:blipFill>
                  <pic:spPr>
                    <a:xfrm>
                      <a:off x="0" y="0"/>
                      <a:ext cx="1095375" cy="361315"/>
                    </a:xfrm>
                    <a:prstGeom prst="rect">
                      <a:avLst/>
                    </a:prstGeom>
                    <a:noFill/>
                    <a:ln>
                      <a:noFill/>
                    </a:ln>
                  </pic:spPr>
                </pic:pic>
              </a:graphicData>
            </a:graphic>
          </wp:inline>
        </w:drawing>
      </w:r>
      <w:r>
        <w:rPr>
          <w:rFonts w:cs="Times New Roman"/>
        </w:rPr>
        <w:fldChar w:fldCharType="end"/>
      </w:r>
    </w:p>
    <w:p w:rsidR="00C645C9" w:rsidRDefault="00F955D9">
      <w:pPr>
        <w:spacing w:line="360" w:lineRule="auto"/>
        <w:ind w:firstLineChars="200" w:firstLine="480"/>
        <w:jc w:val="both"/>
        <w:rPr>
          <w:rFonts w:cs="Times New Roman"/>
          <w:szCs w:val="20"/>
        </w:rPr>
      </w:pPr>
      <w:r>
        <w:rPr>
          <w:rFonts w:cs="Times New Roman"/>
          <w:szCs w:val="20"/>
        </w:rPr>
        <w:t>式中：</w:t>
      </w:r>
      <w:r>
        <w:rPr>
          <w:i/>
        </w:rPr>
        <w:t>P</w:t>
      </w:r>
      <w:r>
        <w:rPr>
          <w:vertAlign w:val="subscript"/>
        </w:rPr>
        <w:t>i</w:t>
      </w:r>
      <w:bookmarkStart w:id="311" w:name="OLE_LINK116"/>
      <w:r>
        <w:rPr>
          <w:rFonts w:cs="Times New Roman"/>
          <w:szCs w:val="20"/>
        </w:rPr>
        <w:t>——</w:t>
      </w:r>
      <w:bookmarkEnd w:id="311"/>
      <w:r>
        <w:t>第</w:t>
      </w:r>
      <w:r>
        <w:rPr>
          <w:i/>
        </w:rPr>
        <w:t>i</w:t>
      </w:r>
      <w:r>
        <w:t>个污染物的最大地面空气质量浓度占标率</w:t>
      </w:r>
      <w:r>
        <w:rPr>
          <w:rFonts w:cs="Times New Roman"/>
          <w:szCs w:val="20"/>
        </w:rPr>
        <w:t>，</w:t>
      </w:r>
      <w:r>
        <w:rPr>
          <w:rFonts w:cs="Times New Roman"/>
          <w:szCs w:val="20"/>
        </w:rPr>
        <w:t>%</w:t>
      </w:r>
      <w:r>
        <w:rPr>
          <w:rFonts w:cs="Times New Roman"/>
          <w:szCs w:val="20"/>
        </w:rPr>
        <w:t>；</w:t>
      </w:r>
    </w:p>
    <w:p w:rsidR="00C645C9" w:rsidRDefault="00F955D9">
      <w:pPr>
        <w:adjustRightInd w:val="0"/>
        <w:snapToGrid w:val="0"/>
        <w:spacing w:line="360" w:lineRule="auto"/>
        <w:ind w:firstLineChars="500" w:firstLine="1200"/>
        <w:jc w:val="both"/>
        <w:rPr>
          <w:rFonts w:cs="Times New Roman"/>
          <w:szCs w:val="20"/>
        </w:rPr>
      </w:pPr>
      <w:r>
        <w:rPr>
          <w:i/>
          <w:iCs/>
        </w:rPr>
        <w:t>ρ</w:t>
      </w:r>
      <w:r>
        <w:rPr>
          <w:i/>
          <w:iCs/>
          <w:vertAlign w:val="subscript"/>
        </w:rPr>
        <w:t>i</w:t>
      </w:r>
      <w:r>
        <w:rPr>
          <w:rFonts w:cs="Times New Roman"/>
          <w:szCs w:val="20"/>
        </w:rPr>
        <w:t>——</w:t>
      </w:r>
      <w:r>
        <w:t>采用估算模式计算出的第</w:t>
      </w:r>
      <w:r>
        <w:rPr>
          <w:i/>
          <w:iCs/>
        </w:rPr>
        <w:t>i</w:t>
      </w:r>
      <w:r>
        <w:t>个污染物的最大</w:t>
      </w:r>
      <w:r>
        <w:t>1h</w:t>
      </w:r>
      <w:r>
        <w:t>地面空气质量浓度</w:t>
      </w:r>
      <w:r>
        <w:rPr>
          <w:rFonts w:cs="Times New Roman"/>
          <w:szCs w:val="20"/>
        </w:rPr>
        <w:t>，</w:t>
      </w:r>
      <w:r>
        <w:rPr>
          <w:rFonts w:cs="Times New Roman"/>
          <w:szCs w:val="20"/>
        </w:rPr>
        <w:t>µg/m</w:t>
      </w:r>
      <w:r>
        <w:rPr>
          <w:rFonts w:cs="Times New Roman"/>
          <w:szCs w:val="20"/>
          <w:vertAlign w:val="superscript"/>
        </w:rPr>
        <w:t>3</w:t>
      </w:r>
      <w:r>
        <w:rPr>
          <w:rFonts w:cs="Times New Roman"/>
          <w:szCs w:val="20"/>
        </w:rPr>
        <w:t>；</w:t>
      </w:r>
    </w:p>
    <w:p w:rsidR="00C645C9" w:rsidRDefault="00F955D9">
      <w:pPr>
        <w:adjustRightInd w:val="0"/>
        <w:snapToGrid w:val="0"/>
        <w:spacing w:line="360" w:lineRule="auto"/>
        <w:ind w:firstLineChars="500" w:firstLine="1200"/>
        <w:jc w:val="both"/>
        <w:rPr>
          <w:rFonts w:cs="Times New Roman"/>
          <w:szCs w:val="20"/>
        </w:rPr>
      </w:pPr>
      <w:r>
        <w:rPr>
          <w:i/>
          <w:iCs/>
        </w:rPr>
        <w:t>ρ</w:t>
      </w:r>
      <w:r>
        <w:rPr>
          <w:i/>
          <w:iCs/>
          <w:vertAlign w:val="subscript"/>
        </w:rPr>
        <w:t>0i</w:t>
      </w:r>
      <w:r>
        <w:rPr>
          <w:rFonts w:cs="Times New Roman"/>
          <w:szCs w:val="20"/>
        </w:rPr>
        <w:t>——</w:t>
      </w:r>
      <w:r>
        <w:t>第</w:t>
      </w:r>
      <w:r>
        <w:rPr>
          <w:i/>
          <w:iCs/>
        </w:rPr>
        <w:t>i</w:t>
      </w:r>
      <w:r>
        <w:t>个污染物的环境空气质量标准</w:t>
      </w:r>
      <w:r>
        <w:rPr>
          <w:rFonts w:cs="Times New Roman"/>
          <w:szCs w:val="20"/>
        </w:rPr>
        <w:t>，</w:t>
      </w:r>
      <w:r>
        <w:rPr>
          <w:rFonts w:cs="Times New Roman"/>
          <w:szCs w:val="20"/>
        </w:rPr>
        <w:t>µg/m</w:t>
      </w:r>
      <w:r>
        <w:rPr>
          <w:rFonts w:cs="Times New Roman"/>
          <w:szCs w:val="20"/>
          <w:vertAlign w:val="superscript"/>
        </w:rPr>
        <w:t>3</w:t>
      </w:r>
      <w:r>
        <w:rPr>
          <w:rFonts w:cs="Times New Roman"/>
          <w:szCs w:val="20"/>
        </w:rPr>
        <w:t>。</w:t>
      </w:r>
      <w:r>
        <w:t>一般选用</w:t>
      </w:r>
      <w:r>
        <w:t>GB3095</w:t>
      </w:r>
      <w:r>
        <w:t>中</w:t>
      </w:r>
      <w:r>
        <w:t>1h</w:t>
      </w:r>
      <w:r>
        <w:t>平均质量浓度的二级浓度限值，如项目位于一类环境空气功能区，应选择相应的一级浓度限值</w:t>
      </w:r>
      <w:r>
        <w:rPr>
          <w:rFonts w:cs="Times New Roman"/>
          <w:szCs w:val="20"/>
        </w:rPr>
        <w:t>；</w:t>
      </w:r>
      <w:r>
        <w:t>对该标准中未包含的污染物</w:t>
      </w:r>
      <w:r>
        <w:rPr>
          <w:rFonts w:cs="Times New Roman"/>
          <w:szCs w:val="20"/>
        </w:rPr>
        <w:t>，使用</w:t>
      </w:r>
      <w:r>
        <w:rPr>
          <w:rFonts w:cs="Times New Roman"/>
          <w:szCs w:val="20"/>
        </w:rPr>
        <w:t>2.5.1</w:t>
      </w:r>
      <w:r>
        <w:rPr>
          <w:rFonts w:cs="Times New Roman"/>
          <w:szCs w:val="20"/>
        </w:rPr>
        <w:t>章节</w:t>
      </w:r>
      <w:r>
        <w:rPr>
          <w:rFonts w:cs="Times New Roman"/>
          <w:szCs w:val="20"/>
        </w:rPr>
        <w:t>确定的各评价因子</w:t>
      </w:r>
      <w:r>
        <w:rPr>
          <w:rFonts w:cs="Times New Roman"/>
          <w:szCs w:val="20"/>
        </w:rPr>
        <w:t>1h</w:t>
      </w:r>
      <w:r>
        <w:rPr>
          <w:rFonts w:cs="Times New Roman"/>
          <w:szCs w:val="20"/>
        </w:rPr>
        <w:t>平均质量浓度限值。</w:t>
      </w:r>
      <w:r>
        <w:t>对仅有</w:t>
      </w:r>
      <w:r>
        <w:t>8h</w:t>
      </w:r>
      <w:r>
        <w:t>平均质量浓度限值、日平均质量浓度限值或年平均质量浓度限值的，可分别按</w:t>
      </w:r>
      <w:r>
        <w:t>2</w:t>
      </w:r>
      <w:r>
        <w:t>倍、</w:t>
      </w:r>
      <w:r>
        <w:t>3</w:t>
      </w:r>
      <w:r>
        <w:t>倍、</w:t>
      </w:r>
      <w:r>
        <w:t>6</w:t>
      </w:r>
      <w:r>
        <w:t>倍折算为</w:t>
      </w:r>
      <w:r>
        <w:t>1h</w:t>
      </w:r>
      <w:r>
        <w:t>平均质量浓度限值</w:t>
      </w:r>
      <w:r>
        <w:rPr>
          <w:rFonts w:cs="Times New Roman"/>
          <w:szCs w:val="20"/>
        </w:rPr>
        <w:t>。</w:t>
      </w:r>
    </w:p>
    <w:p w:rsidR="00C645C9" w:rsidRDefault="00F955D9">
      <w:pPr>
        <w:spacing w:line="360" w:lineRule="auto"/>
        <w:ind w:firstLineChars="200" w:firstLine="480"/>
        <w:jc w:val="both"/>
        <w:rPr>
          <w:rFonts w:cs="Times New Roman"/>
          <w:szCs w:val="20"/>
        </w:rPr>
      </w:pPr>
      <w:r>
        <w:rPr>
          <w:rFonts w:cs="Times New Roman"/>
          <w:szCs w:val="20"/>
        </w:rPr>
        <w:t>大气评价工作级别详见表</w:t>
      </w:r>
      <w:r>
        <w:rPr>
          <w:rFonts w:cs="Times New Roman"/>
          <w:szCs w:val="20"/>
        </w:rPr>
        <w:t>2.</w:t>
      </w:r>
      <w:r>
        <w:rPr>
          <w:rFonts w:cs="Times New Roman" w:hint="eastAsia"/>
          <w:szCs w:val="20"/>
        </w:rPr>
        <w:t>5-12</w:t>
      </w:r>
      <w:r>
        <w:rPr>
          <w:rFonts w:cs="Times New Roman"/>
          <w:szCs w:val="20"/>
        </w:rPr>
        <w:t>。</w:t>
      </w:r>
    </w:p>
    <w:p w:rsidR="00C645C9" w:rsidRDefault="00F955D9">
      <w:pPr>
        <w:widowControl w:val="0"/>
        <w:jc w:val="center"/>
        <w:rPr>
          <w:rFonts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5-12</w:t>
      </w:r>
      <w:r>
        <w:rPr>
          <w:rFonts w:eastAsia="黑体" w:cs="Times New Roman"/>
          <w:bCs/>
          <w:sz w:val="21"/>
          <w:szCs w:val="21"/>
        </w:rPr>
        <w:t xml:space="preserve">   </w:t>
      </w:r>
      <w:r>
        <w:rPr>
          <w:rFonts w:eastAsia="黑体" w:cs="Times New Roman"/>
          <w:bCs/>
          <w:sz w:val="21"/>
          <w:szCs w:val="21"/>
        </w:rPr>
        <w:t>评价工作等级</w:t>
      </w:r>
    </w:p>
    <w:tbl>
      <w:tblPr>
        <w:tblW w:w="5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546"/>
      </w:tblGrid>
      <w:tr w:rsidR="00C645C9">
        <w:trPr>
          <w:jc w:val="center"/>
        </w:trPr>
        <w:tc>
          <w:tcPr>
            <w:tcW w:w="1293" w:type="pct"/>
            <w:vAlign w:val="center"/>
          </w:tcPr>
          <w:p w:rsidR="00C645C9" w:rsidRDefault="00F955D9">
            <w:pPr>
              <w:widowControl w:val="0"/>
              <w:jc w:val="center"/>
              <w:rPr>
                <w:rFonts w:cs="Times New Roman"/>
                <w:sz w:val="21"/>
                <w:szCs w:val="21"/>
              </w:rPr>
            </w:pPr>
            <w:r>
              <w:rPr>
                <w:rFonts w:cs="Times New Roman"/>
                <w:sz w:val="21"/>
                <w:szCs w:val="21"/>
              </w:rPr>
              <w:t>评价工作等级</w:t>
            </w:r>
          </w:p>
        </w:tc>
        <w:tc>
          <w:tcPr>
            <w:tcW w:w="3706" w:type="pct"/>
            <w:vAlign w:val="center"/>
          </w:tcPr>
          <w:p w:rsidR="00C645C9" w:rsidRDefault="00F955D9">
            <w:pPr>
              <w:widowControl w:val="0"/>
              <w:jc w:val="center"/>
              <w:rPr>
                <w:rFonts w:cs="Times New Roman"/>
                <w:sz w:val="21"/>
                <w:szCs w:val="21"/>
              </w:rPr>
            </w:pPr>
            <w:r>
              <w:rPr>
                <w:rFonts w:cs="Times New Roman"/>
                <w:sz w:val="21"/>
                <w:szCs w:val="21"/>
              </w:rPr>
              <w:t>评价工作分级判据</w:t>
            </w:r>
          </w:p>
        </w:tc>
      </w:tr>
      <w:tr w:rsidR="00C645C9">
        <w:trPr>
          <w:jc w:val="center"/>
        </w:trPr>
        <w:tc>
          <w:tcPr>
            <w:tcW w:w="1293" w:type="pct"/>
            <w:vAlign w:val="center"/>
          </w:tcPr>
          <w:p w:rsidR="00C645C9" w:rsidRDefault="00F955D9">
            <w:pPr>
              <w:widowControl w:val="0"/>
              <w:jc w:val="center"/>
              <w:rPr>
                <w:rFonts w:cs="Times New Roman"/>
                <w:sz w:val="21"/>
                <w:szCs w:val="21"/>
              </w:rPr>
            </w:pPr>
            <w:r>
              <w:rPr>
                <w:rFonts w:cs="Times New Roman"/>
                <w:sz w:val="21"/>
                <w:szCs w:val="21"/>
              </w:rPr>
              <w:t>一级评价</w:t>
            </w:r>
          </w:p>
        </w:tc>
        <w:tc>
          <w:tcPr>
            <w:tcW w:w="3706" w:type="pct"/>
            <w:vAlign w:val="center"/>
          </w:tcPr>
          <w:p w:rsidR="00C645C9" w:rsidRDefault="00F955D9">
            <w:pPr>
              <w:widowControl w:val="0"/>
              <w:jc w:val="center"/>
              <w:rPr>
                <w:rFonts w:cs="Times New Roman"/>
                <w:sz w:val="21"/>
                <w:szCs w:val="21"/>
              </w:rPr>
            </w:pPr>
            <w:r>
              <w:rPr>
                <w:rFonts w:cs="Times New Roman"/>
                <w:i/>
                <w:iCs/>
                <w:sz w:val="21"/>
                <w:szCs w:val="21"/>
              </w:rPr>
              <w:t>P</w:t>
            </w:r>
            <w:r>
              <w:rPr>
                <w:rFonts w:cs="Times New Roman"/>
                <w:sz w:val="21"/>
                <w:szCs w:val="21"/>
                <w:vertAlign w:val="subscript"/>
              </w:rPr>
              <w:t>max</w:t>
            </w:r>
            <w:r>
              <w:rPr>
                <w:rFonts w:ascii="宋体" w:hAnsi="宋体" w:hint="eastAsia"/>
                <w:sz w:val="21"/>
                <w:szCs w:val="21"/>
              </w:rPr>
              <w:t>≥</w:t>
            </w:r>
            <w:r>
              <w:rPr>
                <w:rFonts w:cs="Times New Roman"/>
                <w:sz w:val="21"/>
                <w:szCs w:val="21"/>
              </w:rPr>
              <w:t>10%</w:t>
            </w:r>
          </w:p>
        </w:tc>
      </w:tr>
      <w:tr w:rsidR="00C645C9">
        <w:trPr>
          <w:jc w:val="center"/>
        </w:trPr>
        <w:tc>
          <w:tcPr>
            <w:tcW w:w="1293" w:type="pct"/>
            <w:vAlign w:val="center"/>
          </w:tcPr>
          <w:p w:rsidR="00C645C9" w:rsidRDefault="00F955D9">
            <w:pPr>
              <w:widowControl w:val="0"/>
              <w:jc w:val="center"/>
              <w:rPr>
                <w:rFonts w:cs="Times New Roman"/>
                <w:sz w:val="21"/>
                <w:szCs w:val="21"/>
              </w:rPr>
            </w:pPr>
            <w:r>
              <w:rPr>
                <w:rFonts w:cs="Times New Roman"/>
                <w:sz w:val="21"/>
                <w:szCs w:val="21"/>
              </w:rPr>
              <w:t>二级评价</w:t>
            </w:r>
          </w:p>
        </w:tc>
        <w:tc>
          <w:tcPr>
            <w:tcW w:w="3706" w:type="pct"/>
            <w:vAlign w:val="center"/>
          </w:tcPr>
          <w:p w:rsidR="00C645C9" w:rsidRDefault="00F955D9">
            <w:pPr>
              <w:widowControl w:val="0"/>
              <w:jc w:val="center"/>
              <w:rPr>
                <w:rFonts w:cs="Times New Roman"/>
                <w:sz w:val="21"/>
                <w:szCs w:val="21"/>
              </w:rPr>
            </w:pPr>
            <w:bookmarkStart w:id="312" w:name="OLE_LINK1207"/>
            <w:r>
              <w:rPr>
                <w:rFonts w:cs="Times New Roman"/>
                <w:sz w:val="21"/>
                <w:szCs w:val="21"/>
              </w:rPr>
              <w:t>1%</w:t>
            </w:r>
            <w:r>
              <w:rPr>
                <w:rFonts w:ascii="宋体" w:hAnsi="宋体" w:hint="eastAsia"/>
                <w:sz w:val="21"/>
                <w:szCs w:val="21"/>
              </w:rPr>
              <w:t>≤</w:t>
            </w:r>
            <w:r>
              <w:rPr>
                <w:rFonts w:cs="Times New Roman"/>
                <w:i/>
                <w:iCs/>
                <w:sz w:val="21"/>
                <w:szCs w:val="21"/>
              </w:rPr>
              <w:t>P</w:t>
            </w:r>
            <w:r>
              <w:rPr>
                <w:rFonts w:cs="Times New Roman"/>
                <w:sz w:val="21"/>
                <w:szCs w:val="21"/>
                <w:vertAlign w:val="subscript"/>
              </w:rPr>
              <w:t>max</w:t>
            </w:r>
            <w:r>
              <w:rPr>
                <w:rFonts w:cs="Times New Roman"/>
                <w:sz w:val="21"/>
                <w:szCs w:val="21"/>
              </w:rPr>
              <w:t>＜</w:t>
            </w:r>
            <w:r>
              <w:rPr>
                <w:rFonts w:cs="Times New Roman"/>
                <w:sz w:val="21"/>
                <w:szCs w:val="21"/>
              </w:rPr>
              <w:t>10%</w:t>
            </w:r>
            <w:bookmarkEnd w:id="312"/>
          </w:p>
        </w:tc>
      </w:tr>
      <w:tr w:rsidR="00C645C9">
        <w:trPr>
          <w:jc w:val="center"/>
        </w:trPr>
        <w:tc>
          <w:tcPr>
            <w:tcW w:w="1293" w:type="pct"/>
            <w:vAlign w:val="center"/>
          </w:tcPr>
          <w:p w:rsidR="00C645C9" w:rsidRDefault="00F955D9">
            <w:pPr>
              <w:widowControl w:val="0"/>
              <w:jc w:val="center"/>
              <w:rPr>
                <w:rFonts w:cs="Times New Roman"/>
                <w:sz w:val="21"/>
                <w:szCs w:val="21"/>
              </w:rPr>
            </w:pPr>
            <w:r>
              <w:rPr>
                <w:rFonts w:cs="Times New Roman"/>
                <w:sz w:val="21"/>
                <w:szCs w:val="21"/>
              </w:rPr>
              <w:t>三级评价</w:t>
            </w:r>
          </w:p>
        </w:tc>
        <w:tc>
          <w:tcPr>
            <w:tcW w:w="3706" w:type="pct"/>
            <w:vAlign w:val="center"/>
          </w:tcPr>
          <w:p w:rsidR="00C645C9" w:rsidRDefault="00F955D9">
            <w:pPr>
              <w:widowControl w:val="0"/>
              <w:jc w:val="center"/>
              <w:rPr>
                <w:rFonts w:cs="Times New Roman"/>
                <w:sz w:val="21"/>
                <w:szCs w:val="21"/>
              </w:rPr>
            </w:pPr>
            <w:bookmarkStart w:id="313" w:name="OLE_LINK1192"/>
            <w:r>
              <w:rPr>
                <w:rFonts w:cs="Times New Roman"/>
                <w:i/>
                <w:iCs/>
                <w:sz w:val="21"/>
                <w:szCs w:val="21"/>
              </w:rPr>
              <w:t>P</w:t>
            </w:r>
            <w:r>
              <w:rPr>
                <w:rFonts w:cs="Times New Roman"/>
                <w:sz w:val="21"/>
                <w:szCs w:val="21"/>
                <w:vertAlign w:val="subscript"/>
              </w:rPr>
              <w:t>max</w:t>
            </w:r>
            <w:r>
              <w:rPr>
                <w:rFonts w:cs="Times New Roman"/>
                <w:sz w:val="21"/>
                <w:szCs w:val="21"/>
              </w:rPr>
              <w:t>＜</w:t>
            </w:r>
            <w:r>
              <w:rPr>
                <w:rFonts w:cs="Times New Roman"/>
                <w:sz w:val="21"/>
                <w:szCs w:val="21"/>
              </w:rPr>
              <w:t>1%</w:t>
            </w:r>
            <w:bookmarkEnd w:id="313"/>
          </w:p>
        </w:tc>
      </w:tr>
    </w:tbl>
    <w:p w:rsidR="00C645C9" w:rsidRDefault="00F955D9">
      <w:pPr>
        <w:widowControl w:val="0"/>
        <w:adjustRightInd w:val="0"/>
        <w:snapToGrid w:val="0"/>
        <w:spacing w:line="360" w:lineRule="auto"/>
        <w:ind w:firstLineChars="200" w:firstLine="480"/>
        <w:rPr>
          <w:rFonts w:cs="Times New Roman"/>
        </w:rPr>
      </w:pPr>
      <w:r>
        <w:rPr>
          <w:rFonts w:cs="Times New Roman"/>
        </w:rPr>
        <w:t>估算模式所用参数见表</w:t>
      </w:r>
      <w:r>
        <w:rPr>
          <w:rFonts w:cs="Times New Roman"/>
        </w:rPr>
        <w:t>2.</w:t>
      </w:r>
      <w:r>
        <w:rPr>
          <w:rFonts w:cs="Times New Roman" w:hint="eastAsia"/>
        </w:rPr>
        <w:t>5-13</w:t>
      </w:r>
      <w:r>
        <w:rPr>
          <w:rFonts w:cs="Times New Roman"/>
        </w:rPr>
        <w:t>。</w:t>
      </w:r>
    </w:p>
    <w:p w:rsidR="00C645C9" w:rsidRDefault="00F955D9">
      <w:pPr>
        <w:widowControl w:val="0"/>
        <w:jc w:val="center"/>
        <w:rPr>
          <w:rFonts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5-13</w:t>
      </w:r>
      <w:r>
        <w:rPr>
          <w:rFonts w:eastAsia="黑体" w:cs="Times New Roman"/>
          <w:bCs/>
          <w:sz w:val="21"/>
          <w:szCs w:val="21"/>
        </w:rPr>
        <w:t xml:space="preserve">   </w:t>
      </w:r>
      <w:r>
        <w:rPr>
          <w:rFonts w:eastAsia="黑体" w:cs="Times New Roman"/>
          <w:bCs/>
          <w:sz w:val="21"/>
          <w:szCs w:val="21"/>
        </w:rPr>
        <w:t>估算模型参数表</w:t>
      </w:r>
    </w:p>
    <w:tbl>
      <w:tblPr>
        <w:tblW w:w="8850"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2922"/>
        <w:gridCol w:w="3644"/>
      </w:tblGrid>
      <w:tr w:rsidR="00C645C9">
        <w:trPr>
          <w:tblHeader/>
        </w:trPr>
        <w:tc>
          <w:tcPr>
            <w:tcW w:w="5206" w:type="dxa"/>
            <w:gridSpan w:val="2"/>
            <w:vAlign w:val="center"/>
          </w:tcPr>
          <w:p w:rsidR="00C645C9" w:rsidRDefault="00F955D9">
            <w:pPr>
              <w:pStyle w:val="afe"/>
              <w:widowControl w:val="0"/>
              <w:spacing w:line="240" w:lineRule="auto"/>
              <w:ind w:firstLine="420"/>
              <w:rPr>
                <w:rFonts w:ascii="Times New Roman" w:hAnsi="Times New Roman"/>
                <w:sz w:val="21"/>
                <w:szCs w:val="21"/>
              </w:rPr>
            </w:pPr>
            <w:bookmarkStart w:id="314" w:name="OLE_LINK1"/>
            <w:r>
              <w:rPr>
                <w:rFonts w:ascii="Times New Roman" w:hAnsi="Times New Roman"/>
                <w:sz w:val="21"/>
                <w:szCs w:val="21"/>
              </w:rPr>
              <w:t>参数</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取值</w:t>
            </w:r>
          </w:p>
        </w:tc>
      </w:tr>
      <w:tr w:rsidR="00C645C9">
        <w:tc>
          <w:tcPr>
            <w:tcW w:w="2284"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城市</w:t>
            </w:r>
            <w:r>
              <w:rPr>
                <w:rFonts w:ascii="Times New Roman" w:hAnsi="Times New Roman"/>
                <w:sz w:val="21"/>
                <w:szCs w:val="21"/>
              </w:rPr>
              <w:t>/</w:t>
            </w:r>
            <w:r>
              <w:rPr>
                <w:rFonts w:ascii="Times New Roman" w:hAnsi="Times New Roman"/>
                <w:sz w:val="21"/>
                <w:szCs w:val="21"/>
              </w:rPr>
              <w:t>农村选项</w:t>
            </w: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城市</w:t>
            </w:r>
            <w:r>
              <w:rPr>
                <w:rFonts w:ascii="Times New Roman" w:hAnsi="Times New Roman"/>
                <w:sz w:val="21"/>
                <w:szCs w:val="21"/>
              </w:rPr>
              <w:t>/</w:t>
            </w:r>
            <w:r>
              <w:rPr>
                <w:rFonts w:ascii="Times New Roman" w:hAnsi="Times New Roman"/>
                <w:sz w:val="21"/>
                <w:szCs w:val="21"/>
              </w:rPr>
              <w:t>农村</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农村</w:t>
            </w:r>
          </w:p>
        </w:tc>
      </w:tr>
      <w:tr w:rsidR="00C645C9">
        <w:tc>
          <w:tcPr>
            <w:tcW w:w="2284" w:type="dxa"/>
            <w:vMerge/>
            <w:vAlign w:val="center"/>
          </w:tcPr>
          <w:p w:rsidR="00C645C9" w:rsidRDefault="00C645C9">
            <w:pPr>
              <w:widowControl w:val="0"/>
              <w:jc w:val="center"/>
              <w:rPr>
                <w:rFonts w:cs="Times New Roman"/>
                <w:bCs/>
                <w:sz w:val="21"/>
                <w:szCs w:val="21"/>
              </w:rPr>
            </w:pPr>
          </w:p>
        </w:tc>
        <w:tc>
          <w:tcPr>
            <w:tcW w:w="2922" w:type="dxa"/>
            <w:vAlign w:val="center"/>
          </w:tcPr>
          <w:p w:rsidR="00C645C9" w:rsidRDefault="00F955D9">
            <w:pPr>
              <w:pStyle w:val="afe"/>
              <w:widowControl w:val="0"/>
              <w:spacing w:line="240" w:lineRule="auto"/>
              <w:ind w:firstLine="420"/>
              <w:rPr>
                <w:rFonts w:ascii="Times New Roman" w:hAnsi="Times New Roman"/>
                <w:sz w:val="21"/>
                <w:szCs w:val="21"/>
              </w:rPr>
            </w:pPr>
            <w:r>
              <w:rPr>
                <w:rFonts w:ascii="Times New Roman" w:hAnsi="Times New Roman"/>
                <w:sz w:val="21"/>
                <w:szCs w:val="21"/>
              </w:rPr>
              <w:t>人口数</w:t>
            </w:r>
            <w:r>
              <w:rPr>
                <w:rFonts w:ascii="Times New Roman" w:hAnsi="Times New Roman"/>
                <w:sz w:val="21"/>
                <w:szCs w:val="21"/>
              </w:rPr>
              <w:t>（</w:t>
            </w:r>
            <w:r>
              <w:rPr>
                <w:rFonts w:ascii="Times New Roman" w:hAnsi="Times New Roman"/>
                <w:sz w:val="21"/>
                <w:szCs w:val="21"/>
              </w:rPr>
              <w:t>城市选项时</w:t>
            </w:r>
            <w:r>
              <w:rPr>
                <w:rFonts w:ascii="Times New Roman" w:hAnsi="Times New Roman"/>
                <w:sz w:val="21"/>
                <w:szCs w:val="21"/>
              </w:rPr>
              <w:t>）</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w:t>
            </w:r>
          </w:p>
        </w:tc>
      </w:tr>
      <w:tr w:rsidR="00C645C9">
        <w:tc>
          <w:tcPr>
            <w:tcW w:w="5206" w:type="dxa"/>
            <w:gridSpan w:val="2"/>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最高环境温度</w:t>
            </w:r>
            <w:r>
              <w:rPr>
                <w:rFonts w:ascii="Times New Roman" w:hAnsi="Times New Roman"/>
                <w:sz w:val="21"/>
                <w:szCs w:val="21"/>
              </w:rPr>
              <w:t>/℃</w:t>
            </w:r>
          </w:p>
        </w:tc>
        <w:tc>
          <w:tcPr>
            <w:tcW w:w="3644" w:type="dxa"/>
            <w:vAlign w:val="center"/>
          </w:tcPr>
          <w:p w:rsidR="00C645C9" w:rsidRDefault="00F955D9">
            <w:pPr>
              <w:pStyle w:val="affff1"/>
              <w:widowControl w:val="0"/>
              <w:adjustRightInd/>
              <w:snapToGrid w:val="0"/>
              <w:rPr>
                <w:rFonts w:cs="Times New Roman"/>
                <w:snapToGrid w:val="0"/>
                <w:szCs w:val="21"/>
              </w:rPr>
            </w:pPr>
            <w:r>
              <w:rPr>
                <w:rFonts w:cs="Times New Roman" w:hint="eastAsia"/>
                <w:szCs w:val="21"/>
              </w:rPr>
              <w:t>25.2</w:t>
            </w:r>
          </w:p>
        </w:tc>
      </w:tr>
      <w:tr w:rsidR="00C645C9">
        <w:tc>
          <w:tcPr>
            <w:tcW w:w="5206" w:type="dxa"/>
            <w:gridSpan w:val="2"/>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最低环境温度</w:t>
            </w:r>
            <w:r>
              <w:rPr>
                <w:rFonts w:ascii="Times New Roman" w:hAnsi="Times New Roman"/>
                <w:sz w:val="21"/>
                <w:szCs w:val="21"/>
              </w:rPr>
              <w:t>/℃</w:t>
            </w:r>
          </w:p>
        </w:tc>
        <w:tc>
          <w:tcPr>
            <w:tcW w:w="3644" w:type="dxa"/>
            <w:vAlign w:val="center"/>
          </w:tcPr>
          <w:p w:rsidR="00C645C9" w:rsidRDefault="00F955D9">
            <w:pPr>
              <w:pStyle w:val="affff1"/>
              <w:widowControl w:val="0"/>
              <w:adjustRightInd/>
              <w:snapToGrid w:val="0"/>
              <w:rPr>
                <w:rFonts w:cs="Times New Roman"/>
                <w:snapToGrid w:val="0"/>
                <w:szCs w:val="21"/>
              </w:rPr>
            </w:pPr>
            <w:r>
              <w:rPr>
                <w:rFonts w:cs="Times New Roman"/>
                <w:szCs w:val="21"/>
              </w:rPr>
              <w:t>-</w:t>
            </w:r>
            <w:r>
              <w:rPr>
                <w:rFonts w:cs="Times New Roman" w:hint="eastAsia"/>
                <w:szCs w:val="21"/>
              </w:rPr>
              <w:t>7.4</w:t>
            </w:r>
          </w:p>
        </w:tc>
      </w:tr>
      <w:tr w:rsidR="00C645C9">
        <w:tc>
          <w:tcPr>
            <w:tcW w:w="5206" w:type="dxa"/>
            <w:gridSpan w:val="2"/>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土地</w:t>
            </w:r>
            <w:bookmarkStart w:id="315" w:name="OLE_LINK1107"/>
            <w:r>
              <w:rPr>
                <w:rFonts w:ascii="Times New Roman" w:hAnsi="Times New Roman"/>
                <w:sz w:val="21"/>
                <w:szCs w:val="21"/>
              </w:rPr>
              <w:t>利用类型</w:t>
            </w:r>
            <w:bookmarkEnd w:id="315"/>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hint="eastAsia"/>
                <w:sz w:val="21"/>
                <w:szCs w:val="21"/>
              </w:rPr>
              <w:t>果园、水浇地、农村道路和采矿用地</w:t>
            </w:r>
          </w:p>
        </w:tc>
      </w:tr>
      <w:tr w:rsidR="00C645C9">
        <w:tc>
          <w:tcPr>
            <w:tcW w:w="5206" w:type="dxa"/>
            <w:gridSpan w:val="2"/>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lastRenderedPageBreak/>
              <w:t>区域湿度条件</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干燥</w:t>
            </w:r>
          </w:p>
        </w:tc>
      </w:tr>
      <w:tr w:rsidR="00C645C9">
        <w:tc>
          <w:tcPr>
            <w:tcW w:w="2284"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是否考虑地形</w:t>
            </w: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考虑地形</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hint="eastAsia"/>
                <w:spacing w:val="1"/>
                <w:sz w:val="21"/>
                <w:szCs w:val="21"/>
              </w:rPr>
              <w:t>☑</w:t>
            </w:r>
            <w:r>
              <w:rPr>
                <w:rFonts w:ascii="Times New Roman" w:hAnsi="Times New Roman"/>
                <w:spacing w:val="1"/>
                <w:sz w:val="21"/>
                <w:szCs w:val="21"/>
              </w:rPr>
              <w:t>是</w:t>
            </w:r>
            <w:bookmarkStart w:id="316" w:name="OLE_LINK97"/>
            <w:r>
              <w:rPr>
                <w:rFonts w:ascii="Times New Roman" w:hAnsi="Times New Roman" w:hint="eastAsia"/>
                <w:spacing w:val="1"/>
                <w:sz w:val="21"/>
                <w:szCs w:val="21"/>
              </w:rPr>
              <w:t>□</w:t>
            </w:r>
            <w:bookmarkEnd w:id="316"/>
            <w:r>
              <w:rPr>
                <w:rFonts w:ascii="Times New Roman" w:hAnsi="Times New Roman"/>
                <w:spacing w:val="1"/>
                <w:sz w:val="21"/>
                <w:szCs w:val="21"/>
              </w:rPr>
              <w:t>否</w:t>
            </w:r>
          </w:p>
        </w:tc>
      </w:tr>
      <w:tr w:rsidR="00C645C9">
        <w:tc>
          <w:tcPr>
            <w:tcW w:w="2284" w:type="dxa"/>
            <w:vMerge/>
            <w:vAlign w:val="center"/>
          </w:tcPr>
          <w:p w:rsidR="00C645C9" w:rsidRDefault="00C645C9">
            <w:pPr>
              <w:widowControl w:val="0"/>
              <w:jc w:val="center"/>
              <w:rPr>
                <w:rFonts w:cs="Times New Roman"/>
                <w:bCs/>
                <w:sz w:val="21"/>
                <w:szCs w:val="21"/>
              </w:rPr>
            </w:pP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地形数据分辨率</w:t>
            </w:r>
            <w:r>
              <w:rPr>
                <w:rFonts w:ascii="Times New Roman" w:hAnsi="Times New Roman"/>
                <w:sz w:val="21"/>
                <w:szCs w:val="21"/>
              </w:rPr>
              <w:t>/m</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90</w:t>
            </w:r>
          </w:p>
        </w:tc>
      </w:tr>
      <w:tr w:rsidR="00C645C9">
        <w:tc>
          <w:tcPr>
            <w:tcW w:w="2284" w:type="dxa"/>
            <w:vMerge w:val="restart"/>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是否考虑岸线熏烟</w:t>
            </w: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考虑岸线熏烟</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bookmarkStart w:id="317" w:name="OLE_LINK98"/>
            <w:r>
              <w:rPr>
                <w:rFonts w:ascii="Times New Roman" w:hAnsi="Times New Roman" w:hint="eastAsia"/>
                <w:spacing w:val="1"/>
                <w:sz w:val="21"/>
                <w:szCs w:val="21"/>
              </w:rPr>
              <w:t>□</w:t>
            </w:r>
            <w:bookmarkEnd w:id="317"/>
            <w:r>
              <w:rPr>
                <w:rFonts w:ascii="Times New Roman" w:hAnsi="Times New Roman"/>
                <w:spacing w:val="1"/>
                <w:sz w:val="21"/>
                <w:szCs w:val="21"/>
              </w:rPr>
              <w:t>是</w:t>
            </w:r>
            <w:r>
              <w:rPr>
                <w:rFonts w:ascii="Times New Roman" w:hAnsi="Times New Roman" w:hint="eastAsia"/>
                <w:spacing w:val="1"/>
                <w:sz w:val="21"/>
                <w:szCs w:val="21"/>
              </w:rPr>
              <w:t>☑</w:t>
            </w:r>
            <w:r>
              <w:rPr>
                <w:rFonts w:ascii="Times New Roman" w:hAnsi="Times New Roman"/>
                <w:spacing w:val="1"/>
                <w:sz w:val="21"/>
                <w:szCs w:val="21"/>
              </w:rPr>
              <w:t>否</w:t>
            </w:r>
          </w:p>
        </w:tc>
      </w:tr>
      <w:tr w:rsidR="00C645C9">
        <w:tc>
          <w:tcPr>
            <w:tcW w:w="2284" w:type="dxa"/>
            <w:vMerge/>
            <w:vAlign w:val="center"/>
          </w:tcPr>
          <w:p w:rsidR="00C645C9" w:rsidRDefault="00C645C9">
            <w:pPr>
              <w:widowControl w:val="0"/>
              <w:jc w:val="center"/>
              <w:rPr>
                <w:rFonts w:cs="Times New Roman"/>
                <w:bCs/>
                <w:sz w:val="21"/>
                <w:szCs w:val="21"/>
              </w:rPr>
            </w:pP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岸线距离</w:t>
            </w:r>
            <w:r>
              <w:rPr>
                <w:rFonts w:ascii="Times New Roman" w:hAnsi="Times New Roman"/>
                <w:sz w:val="21"/>
                <w:szCs w:val="21"/>
              </w:rPr>
              <w:t>/</w:t>
            </w:r>
            <w:r>
              <w:rPr>
                <w:rFonts w:ascii="Times New Roman" w:hAnsi="Times New Roman"/>
                <w:spacing w:val="-2"/>
                <w:sz w:val="21"/>
                <w:szCs w:val="21"/>
              </w:rPr>
              <w:t>km</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w:t>
            </w:r>
          </w:p>
        </w:tc>
      </w:tr>
      <w:tr w:rsidR="00C645C9">
        <w:tc>
          <w:tcPr>
            <w:tcW w:w="2284" w:type="dxa"/>
            <w:vMerge/>
            <w:vAlign w:val="center"/>
          </w:tcPr>
          <w:p w:rsidR="00C645C9" w:rsidRDefault="00C645C9">
            <w:pPr>
              <w:widowControl w:val="0"/>
              <w:jc w:val="center"/>
              <w:rPr>
                <w:rFonts w:cs="Times New Roman"/>
                <w:bCs/>
                <w:sz w:val="21"/>
                <w:szCs w:val="21"/>
              </w:rPr>
            </w:pPr>
          </w:p>
        </w:tc>
        <w:tc>
          <w:tcPr>
            <w:tcW w:w="2922"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岸线方向</w:t>
            </w:r>
            <w:r>
              <w:rPr>
                <w:rFonts w:ascii="Times New Roman" w:hAnsi="Times New Roman"/>
                <w:sz w:val="21"/>
                <w:szCs w:val="21"/>
              </w:rPr>
              <w:t>/°</w:t>
            </w:r>
          </w:p>
        </w:tc>
        <w:tc>
          <w:tcPr>
            <w:tcW w:w="3644" w:type="dxa"/>
            <w:vAlign w:val="center"/>
          </w:tcPr>
          <w:p w:rsidR="00C645C9" w:rsidRDefault="00F955D9">
            <w:pPr>
              <w:pStyle w:val="afe"/>
              <w:widowControl w:val="0"/>
              <w:spacing w:line="240" w:lineRule="auto"/>
              <w:ind w:firstLineChars="0" w:firstLine="0"/>
              <w:rPr>
                <w:rFonts w:ascii="Times New Roman" w:hAnsi="Times New Roman"/>
                <w:sz w:val="21"/>
                <w:szCs w:val="21"/>
              </w:rPr>
            </w:pPr>
            <w:r>
              <w:rPr>
                <w:rFonts w:ascii="Times New Roman" w:hAnsi="Times New Roman"/>
                <w:sz w:val="21"/>
                <w:szCs w:val="21"/>
              </w:rPr>
              <w:t>/</w:t>
            </w:r>
          </w:p>
        </w:tc>
      </w:tr>
    </w:tbl>
    <w:bookmarkEnd w:id="314"/>
    <w:p w:rsidR="00C645C9" w:rsidRDefault="00F955D9">
      <w:pPr>
        <w:spacing w:line="360" w:lineRule="auto"/>
        <w:ind w:firstLineChars="200" w:firstLine="480"/>
        <w:jc w:val="both"/>
        <w:rPr>
          <w:rFonts w:cs="Times New Roman"/>
          <w:szCs w:val="20"/>
        </w:rPr>
      </w:pPr>
      <w:r>
        <w:rPr>
          <w:rFonts w:cs="Times New Roman"/>
          <w:szCs w:val="20"/>
        </w:rPr>
        <w:t>本</w:t>
      </w:r>
      <w:r>
        <w:rPr>
          <w:rFonts w:cs="Times New Roman" w:hint="eastAsia"/>
          <w:szCs w:val="20"/>
        </w:rPr>
        <w:t>工程</w:t>
      </w:r>
      <w:r>
        <w:rPr>
          <w:rFonts w:cs="Times New Roman"/>
          <w:szCs w:val="20"/>
        </w:rPr>
        <w:t>井场加热炉</w:t>
      </w:r>
      <w:r>
        <w:rPr>
          <w:rFonts w:cs="Times New Roman"/>
          <w:szCs w:val="20"/>
        </w:rPr>
        <w:t>共</w:t>
      </w:r>
      <w:r>
        <w:rPr>
          <w:rFonts w:cs="Times New Roman" w:hint="eastAsia"/>
          <w:szCs w:val="20"/>
        </w:rPr>
        <w:t>2</w:t>
      </w:r>
      <w:r>
        <w:rPr>
          <w:rFonts w:cs="Times New Roman"/>
          <w:szCs w:val="20"/>
        </w:rPr>
        <w:t>台，</w:t>
      </w:r>
      <w:r>
        <w:rPr>
          <w:rFonts w:cs="Times New Roman" w:hint="eastAsia"/>
          <w:szCs w:val="20"/>
        </w:rPr>
        <w:t>均</w:t>
      </w:r>
      <w:r>
        <w:rPr>
          <w:rFonts w:cs="Times New Roman"/>
          <w:szCs w:val="20"/>
        </w:rPr>
        <w:t>为</w:t>
      </w:r>
      <w:r>
        <w:rPr>
          <w:rFonts w:cs="Times New Roman"/>
          <w:szCs w:val="20"/>
        </w:rPr>
        <w:t>200</w:t>
      </w:r>
      <w:bookmarkStart w:id="318" w:name="OLE_LINK100"/>
      <w:r>
        <w:rPr>
          <w:rFonts w:cs="Times New Roman" w:hint="eastAsia"/>
          <w:szCs w:val="20"/>
        </w:rPr>
        <w:t>k</w:t>
      </w:r>
      <w:r>
        <w:rPr>
          <w:rFonts w:cs="Times New Roman"/>
          <w:szCs w:val="20"/>
        </w:rPr>
        <w:t>W</w:t>
      </w:r>
      <w:bookmarkStart w:id="319" w:name="OLE_LINK99"/>
      <w:bookmarkEnd w:id="318"/>
      <w:r>
        <w:rPr>
          <w:rFonts w:cs="Times New Roman"/>
          <w:szCs w:val="20"/>
        </w:rPr>
        <w:t>加热炉</w:t>
      </w:r>
      <w:bookmarkEnd w:id="319"/>
      <w:r>
        <w:rPr>
          <w:rFonts w:cs="Times New Roman"/>
          <w:szCs w:val="20"/>
        </w:rPr>
        <w:t>，燃料均为天然气处理</w:t>
      </w:r>
      <w:r>
        <w:rPr>
          <w:rFonts w:cs="Times New Roman" w:hint="eastAsia"/>
          <w:szCs w:val="20"/>
        </w:rPr>
        <w:t>装置</w:t>
      </w:r>
      <w:r>
        <w:rPr>
          <w:rFonts w:cs="Times New Roman"/>
          <w:szCs w:val="20"/>
        </w:rPr>
        <w:t>处理后的返输干气</w:t>
      </w:r>
      <w:r>
        <w:rPr>
          <w:rFonts w:cs="Times New Roman"/>
          <w:szCs w:val="20"/>
        </w:rPr>
        <w:t>。</w:t>
      </w:r>
    </w:p>
    <w:p w:rsidR="00C645C9" w:rsidRDefault="00F955D9">
      <w:pPr>
        <w:spacing w:line="360" w:lineRule="auto"/>
        <w:ind w:firstLineChars="200" w:firstLine="480"/>
        <w:jc w:val="both"/>
        <w:rPr>
          <w:rFonts w:cs="Times New Roman"/>
          <w:szCs w:val="20"/>
        </w:rPr>
      </w:pPr>
      <w:r>
        <w:rPr>
          <w:rFonts w:cs="Times New Roman" w:hint="eastAsia"/>
          <w:szCs w:val="20"/>
        </w:rPr>
        <w:t>本工程</w:t>
      </w:r>
      <w:r>
        <w:rPr>
          <w:rFonts w:cs="Times New Roman"/>
          <w:szCs w:val="20"/>
        </w:rPr>
        <w:t>有组织估算模式预测污染物扩散结果</w:t>
      </w:r>
      <w:bookmarkStart w:id="320" w:name="OLE_LINK101"/>
      <w:r>
        <w:rPr>
          <w:rFonts w:cs="Times New Roman"/>
          <w:szCs w:val="20"/>
        </w:rPr>
        <w:t>详见表</w:t>
      </w:r>
      <w:bookmarkEnd w:id="320"/>
      <w:r>
        <w:rPr>
          <w:rFonts w:cs="Times New Roman"/>
          <w:szCs w:val="20"/>
        </w:rPr>
        <w:t>2.</w:t>
      </w:r>
      <w:r>
        <w:rPr>
          <w:rFonts w:cs="Times New Roman" w:hint="eastAsia"/>
          <w:szCs w:val="20"/>
        </w:rPr>
        <w:t>5-14</w:t>
      </w:r>
      <w:r>
        <w:rPr>
          <w:rFonts w:cs="Times New Roman" w:hint="eastAsia"/>
          <w:szCs w:val="20"/>
        </w:rPr>
        <w:t>、无组织估算模式预测污染物扩散结果</w:t>
      </w:r>
      <w:r>
        <w:rPr>
          <w:rFonts w:cs="Times New Roman"/>
          <w:szCs w:val="20"/>
        </w:rPr>
        <w:t>详见表</w:t>
      </w:r>
      <w:r>
        <w:rPr>
          <w:rFonts w:cs="Times New Roman" w:hint="eastAsia"/>
          <w:szCs w:val="20"/>
        </w:rPr>
        <w:t>2.5-15</w:t>
      </w:r>
      <w:r>
        <w:rPr>
          <w:rFonts w:cs="Times New Roman"/>
          <w:szCs w:val="20"/>
        </w:rPr>
        <w:t>。</w:t>
      </w:r>
    </w:p>
    <w:p w:rsidR="00C645C9" w:rsidRDefault="00F955D9">
      <w:pPr>
        <w:widowControl w:val="0"/>
        <w:jc w:val="center"/>
        <w:rPr>
          <w:rFonts w:eastAsia="黑体" w:cs="Times New Roman"/>
          <w:bCs/>
          <w:sz w:val="21"/>
          <w:szCs w:val="21"/>
        </w:rPr>
      </w:pPr>
      <w:bookmarkStart w:id="321" w:name="OLE_LINK102"/>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5-14</w:t>
      </w:r>
      <w:r>
        <w:rPr>
          <w:rFonts w:eastAsia="黑体" w:cs="Times New Roman"/>
          <w:bCs/>
          <w:sz w:val="21"/>
          <w:szCs w:val="21"/>
        </w:rPr>
        <w:t xml:space="preserve">   </w:t>
      </w:r>
      <w:bookmarkStart w:id="322" w:name="OLE_LINK1001"/>
      <w:r>
        <w:rPr>
          <w:rFonts w:eastAsia="黑体" w:cs="Times New Roman"/>
          <w:bCs/>
          <w:sz w:val="21"/>
          <w:szCs w:val="21"/>
        </w:rPr>
        <w:t>有组织估算模式预测污染物扩散结果</w:t>
      </w:r>
      <w:bookmarkEnd w:id="322"/>
    </w:p>
    <w:tbl>
      <w:tblPr>
        <w:tblW w:w="530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47"/>
        <w:gridCol w:w="950"/>
        <w:gridCol w:w="1187"/>
        <w:gridCol w:w="1038"/>
        <w:gridCol w:w="1637"/>
        <w:gridCol w:w="688"/>
        <w:gridCol w:w="800"/>
        <w:gridCol w:w="2122"/>
      </w:tblGrid>
      <w:tr w:rsidR="00C645C9">
        <w:trPr>
          <w:trHeight w:val="397"/>
          <w:jc w:val="center"/>
        </w:trPr>
        <w:tc>
          <w:tcPr>
            <w:tcW w:w="448" w:type="dxa"/>
            <w:tcBorders>
              <w:tl2br w:val="nil"/>
              <w:tr2bl w:val="nil"/>
            </w:tcBorders>
            <w:vAlign w:val="center"/>
          </w:tcPr>
          <w:p w:rsidR="00C645C9" w:rsidRDefault="00F955D9">
            <w:pPr>
              <w:widowControl w:val="0"/>
              <w:wordWrap w:val="0"/>
              <w:adjustRightInd w:val="0"/>
              <w:snapToGrid w:val="0"/>
              <w:jc w:val="center"/>
              <w:rPr>
                <w:rFonts w:cs="Times New Roman"/>
              </w:rPr>
            </w:pPr>
            <w:r>
              <w:rPr>
                <w:rFonts w:cs="Times New Roman"/>
                <w:spacing w:val="-10"/>
                <w:sz w:val="21"/>
                <w:szCs w:val="21"/>
              </w:rPr>
              <w:t>序号</w:t>
            </w:r>
          </w:p>
        </w:tc>
        <w:tc>
          <w:tcPr>
            <w:tcW w:w="950" w:type="dxa"/>
            <w:tcBorders>
              <w:tl2br w:val="nil"/>
              <w:tr2bl w:val="nil"/>
            </w:tcBorders>
            <w:vAlign w:val="center"/>
          </w:tcPr>
          <w:p w:rsidR="00C645C9" w:rsidRDefault="00F955D9">
            <w:pPr>
              <w:pStyle w:val="afb"/>
            </w:pPr>
            <w:r>
              <w:t>名称</w:t>
            </w:r>
          </w:p>
        </w:tc>
        <w:tc>
          <w:tcPr>
            <w:tcW w:w="1187" w:type="dxa"/>
            <w:tcBorders>
              <w:tl2br w:val="nil"/>
              <w:tr2bl w:val="nil"/>
            </w:tcBorders>
            <w:vAlign w:val="center"/>
          </w:tcPr>
          <w:p w:rsidR="00C645C9" w:rsidRDefault="00F955D9">
            <w:pPr>
              <w:pStyle w:val="afb"/>
            </w:pPr>
            <w:r>
              <w:t>评价因子</w:t>
            </w:r>
          </w:p>
        </w:tc>
        <w:tc>
          <w:tcPr>
            <w:tcW w:w="1038" w:type="dxa"/>
            <w:tcBorders>
              <w:tl2br w:val="nil"/>
              <w:tr2bl w:val="nil"/>
            </w:tcBorders>
            <w:vAlign w:val="center"/>
          </w:tcPr>
          <w:p w:rsidR="00C645C9" w:rsidRDefault="00F955D9">
            <w:pPr>
              <w:pStyle w:val="afb"/>
            </w:pPr>
            <w:r>
              <w:t>C</w:t>
            </w:r>
            <w:r>
              <w:rPr>
                <w:vertAlign w:val="subscript"/>
              </w:rPr>
              <w:t>i</w:t>
            </w:r>
            <w:r>
              <w:rPr>
                <w:rFonts w:hint="eastAsia"/>
              </w:rPr>
              <w:t>（</w:t>
            </w:r>
            <w:r>
              <w:t>μg/m</w:t>
            </w:r>
            <w:r>
              <w:rPr>
                <w:vertAlign w:val="superscript"/>
              </w:rPr>
              <w:t>3</w:t>
            </w:r>
            <w:r>
              <w:rPr>
                <w:rFonts w:hint="eastAsia"/>
              </w:rPr>
              <w:t>）</w:t>
            </w:r>
          </w:p>
        </w:tc>
        <w:tc>
          <w:tcPr>
            <w:tcW w:w="1637" w:type="dxa"/>
            <w:tcBorders>
              <w:tl2br w:val="nil"/>
              <w:tr2bl w:val="nil"/>
            </w:tcBorders>
            <w:vAlign w:val="center"/>
          </w:tcPr>
          <w:p w:rsidR="00C645C9" w:rsidRDefault="00F955D9">
            <w:pPr>
              <w:pStyle w:val="afb"/>
            </w:pPr>
            <w:r>
              <w:t>评价标准</w:t>
            </w:r>
            <w:r>
              <w:rPr>
                <w:rFonts w:hint="eastAsia"/>
              </w:rPr>
              <w:t>（</w:t>
            </w:r>
            <w:r>
              <w:t>μg/m</w:t>
            </w:r>
            <w:r>
              <w:rPr>
                <w:vertAlign w:val="superscript"/>
              </w:rPr>
              <w:t>3</w:t>
            </w:r>
            <w:r>
              <w:rPr>
                <w:rFonts w:hint="eastAsia"/>
              </w:rPr>
              <w:t>）</w:t>
            </w:r>
          </w:p>
        </w:tc>
        <w:tc>
          <w:tcPr>
            <w:tcW w:w="688" w:type="dxa"/>
            <w:tcBorders>
              <w:tl2br w:val="nil"/>
              <w:tr2bl w:val="nil"/>
            </w:tcBorders>
            <w:vAlign w:val="center"/>
          </w:tcPr>
          <w:p w:rsidR="00C645C9" w:rsidRDefault="00F955D9">
            <w:pPr>
              <w:pStyle w:val="afb"/>
            </w:pPr>
            <w:r>
              <w:t>P</w:t>
            </w:r>
            <w:r>
              <w:rPr>
                <w:vertAlign w:val="subscript"/>
              </w:rPr>
              <w:t>i</w:t>
            </w:r>
            <w:r>
              <w:rPr>
                <w:rFonts w:hint="eastAsia"/>
              </w:rPr>
              <w:t>（</w:t>
            </w:r>
            <w:r>
              <w:t>%</w:t>
            </w:r>
            <w:r>
              <w:rPr>
                <w:rFonts w:hint="eastAsia"/>
              </w:rPr>
              <w:t>）</w:t>
            </w:r>
          </w:p>
        </w:tc>
        <w:tc>
          <w:tcPr>
            <w:tcW w:w="800" w:type="dxa"/>
            <w:tcBorders>
              <w:tl2br w:val="nil"/>
              <w:tr2bl w:val="nil"/>
            </w:tcBorders>
            <w:vAlign w:val="center"/>
          </w:tcPr>
          <w:p w:rsidR="00C645C9" w:rsidRDefault="00F955D9">
            <w:pPr>
              <w:pStyle w:val="afb"/>
            </w:pPr>
            <w:r>
              <w:t>P</w:t>
            </w:r>
            <w:r>
              <w:rPr>
                <w:vertAlign w:val="subscript"/>
              </w:rPr>
              <w:t>max</w:t>
            </w:r>
            <w:r>
              <w:rPr>
                <w:rFonts w:hint="eastAsia"/>
              </w:rPr>
              <w:t>（</w:t>
            </w:r>
            <w:r>
              <w:t>%</w:t>
            </w:r>
            <w:r>
              <w:rPr>
                <w:rFonts w:hint="eastAsia"/>
              </w:rPr>
              <w:t>）</w:t>
            </w:r>
          </w:p>
        </w:tc>
        <w:tc>
          <w:tcPr>
            <w:tcW w:w="2122" w:type="dxa"/>
            <w:tcBorders>
              <w:tl2br w:val="nil"/>
              <w:tr2bl w:val="nil"/>
            </w:tcBorders>
            <w:vAlign w:val="center"/>
          </w:tcPr>
          <w:p w:rsidR="00C645C9" w:rsidRDefault="00F955D9">
            <w:pPr>
              <w:pStyle w:val="afb"/>
            </w:pPr>
            <w:r>
              <w:t>最大浓度出现距离</w:t>
            </w:r>
            <w:r>
              <w:rPr>
                <w:snapToGrid w:val="0"/>
                <w:spacing w:val="-10"/>
                <w:szCs w:val="21"/>
              </w:rPr>
              <w:t>（</w:t>
            </w:r>
            <w:r>
              <w:rPr>
                <w:snapToGrid w:val="0"/>
                <w:spacing w:val="-10"/>
                <w:szCs w:val="21"/>
              </w:rPr>
              <w:t>m</w:t>
            </w:r>
            <w:r>
              <w:rPr>
                <w:snapToGrid w:val="0"/>
                <w:spacing w:val="-10"/>
                <w:szCs w:val="21"/>
              </w:rPr>
              <w:t>）</w:t>
            </w:r>
          </w:p>
        </w:tc>
      </w:tr>
      <w:tr w:rsidR="00C645C9">
        <w:trPr>
          <w:trHeight w:val="397"/>
          <w:jc w:val="center"/>
        </w:trPr>
        <w:tc>
          <w:tcPr>
            <w:tcW w:w="448" w:type="dxa"/>
            <w:vMerge w:val="restart"/>
            <w:tcBorders>
              <w:tl2br w:val="nil"/>
              <w:tr2bl w:val="nil"/>
            </w:tcBorders>
            <w:vAlign w:val="center"/>
          </w:tcPr>
          <w:p w:rsidR="00C645C9" w:rsidRDefault="00F955D9">
            <w:pPr>
              <w:widowControl w:val="0"/>
              <w:wordWrap w:val="0"/>
              <w:jc w:val="center"/>
              <w:rPr>
                <w:rFonts w:cs="Times New Roman"/>
              </w:rPr>
            </w:pPr>
            <w:r>
              <w:rPr>
                <w:rFonts w:cs="Times New Roman"/>
                <w:spacing w:val="-10"/>
                <w:sz w:val="21"/>
                <w:szCs w:val="21"/>
              </w:rPr>
              <w:t>1</w:t>
            </w:r>
          </w:p>
        </w:tc>
        <w:tc>
          <w:tcPr>
            <w:tcW w:w="950" w:type="dxa"/>
            <w:vMerge w:val="restart"/>
            <w:tcBorders>
              <w:tl2br w:val="nil"/>
              <w:tr2bl w:val="nil"/>
            </w:tcBorders>
            <w:vAlign w:val="center"/>
          </w:tcPr>
          <w:p w:rsidR="00C645C9" w:rsidRDefault="00F955D9">
            <w:pPr>
              <w:pStyle w:val="afb"/>
            </w:pPr>
            <w:r>
              <w:t>新北</w:t>
            </w:r>
            <w:r>
              <w:t>1X</w:t>
            </w:r>
            <w:r>
              <w:t>井井场加热炉烟气</w:t>
            </w:r>
          </w:p>
        </w:tc>
        <w:tc>
          <w:tcPr>
            <w:tcW w:w="1187" w:type="dxa"/>
            <w:tcBorders>
              <w:tl2br w:val="nil"/>
              <w:tr2bl w:val="nil"/>
            </w:tcBorders>
            <w:vAlign w:val="center"/>
          </w:tcPr>
          <w:p w:rsidR="00C645C9" w:rsidRDefault="00F955D9">
            <w:pPr>
              <w:pStyle w:val="afb"/>
            </w:pPr>
            <w:r>
              <w:t>PM</w:t>
            </w:r>
            <w:r>
              <w:rPr>
                <w:vertAlign w:val="subscript"/>
              </w:rPr>
              <w:t>10</w:t>
            </w:r>
          </w:p>
        </w:tc>
        <w:tc>
          <w:tcPr>
            <w:tcW w:w="1038" w:type="dxa"/>
            <w:tcBorders>
              <w:tl2br w:val="nil"/>
              <w:tr2bl w:val="nil"/>
            </w:tcBorders>
            <w:vAlign w:val="center"/>
          </w:tcPr>
          <w:p w:rsidR="00C645C9" w:rsidRDefault="00F955D9">
            <w:pPr>
              <w:pStyle w:val="afb"/>
            </w:pPr>
            <w:r>
              <w:t>1.</w:t>
            </w:r>
            <w:r>
              <w:t>3402</w:t>
            </w:r>
          </w:p>
        </w:tc>
        <w:tc>
          <w:tcPr>
            <w:tcW w:w="1637" w:type="dxa"/>
            <w:tcBorders>
              <w:tl2br w:val="nil"/>
              <w:tr2bl w:val="nil"/>
            </w:tcBorders>
            <w:vAlign w:val="center"/>
          </w:tcPr>
          <w:p w:rsidR="00C645C9" w:rsidRDefault="00F955D9">
            <w:pPr>
              <w:pStyle w:val="afb"/>
            </w:pPr>
            <w:r>
              <w:t>450</w:t>
            </w:r>
          </w:p>
        </w:tc>
        <w:tc>
          <w:tcPr>
            <w:tcW w:w="688" w:type="dxa"/>
            <w:tcBorders>
              <w:tl2br w:val="nil"/>
              <w:tr2bl w:val="nil"/>
            </w:tcBorders>
            <w:vAlign w:val="center"/>
          </w:tcPr>
          <w:p w:rsidR="00C645C9" w:rsidRDefault="00F955D9">
            <w:pPr>
              <w:pStyle w:val="afb"/>
            </w:pPr>
            <w:r>
              <w:t>0.</w:t>
            </w:r>
            <w:r>
              <w:t>30</w:t>
            </w:r>
          </w:p>
        </w:tc>
        <w:tc>
          <w:tcPr>
            <w:tcW w:w="800" w:type="dxa"/>
            <w:vMerge w:val="restart"/>
            <w:tcBorders>
              <w:tl2br w:val="nil"/>
              <w:tr2bl w:val="nil"/>
            </w:tcBorders>
            <w:vAlign w:val="center"/>
          </w:tcPr>
          <w:p w:rsidR="00C645C9" w:rsidRDefault="00F955D9">
            <w:pPr>
              <w:pStyle w:val="afb"/>
            </w:pPr>
            <w:r>
              <w:t>0.54</w:t>
            </w:r>
          </w:p>
        </w:tc>
        <w:tc>
          <w:tcPr>
            <w:tcW w:w="2122" w:type="dxa"/>
            <w:vMerge w:val="restart"/>
            <w:tcBorders>
              <w:tl2br w:val="nil"/>
              <w:tr2bl w:val="nil"/>
            </w:tcBorders>
            <w:vAlign w:val="center"/>
          </w:tcPr>
          <w:p w:rsidR="00C645C9" w:rsidRDefault="00F955D9">
            <w:pPr>
              <w:pStyle w:val="afb"/>
            </w:pPr>
            <w:r>
              <w:t>99</w:t>
            </w:r>
          </w:p>
        </w:tc>
      </w:tr>
      <w:tr w:rsidR="00C645C9">
        <w:trPr>
          <w:trHeight w:val="397"/>
          <w:jc w:val="center"/>
        </w:trPr>
        <w:tc>
          <w:tcPr>
            <w:tcW w:w="448" w:type="dxa"/>
            <w:vMerge/>
            <w:tcBorders>
              <w:tl2br w:val="nil"/>
              <w:tr2bl w:val="nil"/>
            </w:tcBorders>
            <w:vAlign w:val="center"/>
          </w:tcPr>
          <w:p w:rsidR="00C645C9" w:rsidRDefault="00C645C9">
            <w:pPr>
              <w:pStyle w:val="afb"/>
            </w:pPr>
          </w:p>
        </w:tc>
        <w:tc>
          <w:tcPr>
            <w:tcW w:w="950" w:type="dxa"/>
            <w:vMerge/>
            <w:tcBorders>
              <w:tl2br w:val="nil"/>
              <w:tr2bl w:val="nil"/>
            </w:tcBorders>
            <w:vAlign w:val="center"/>
          </w:tcPr>
          <w:p w:rsidR="00C645C9" w:rsidRDefault="00C645C9">
            <w:pPr>
              <w:pStyle w:val="afb"/>
            </w:pPr>
          </w:p>
        </w:tc>
        <w:tc>
          <w:tcPr>
            <w:tcW w:w="1187" w:type="dxa"/>
            <w:tcBorders>
              <w:tl2br w:val="nil"/>
              <w:tr2bl w:val="nil"/>
            </w:tcBorders>
            <w:vAlign w:val="center"/>
          </w:tcPr>
          <w:p w:rsidR="00C645C9" w:rsidRDefault="00F955D9">
            <w:pPr>
              <w:pStyle w:val="afb"/>
            </w:pPr>
            <w:r>
              <w:t>SO</w:t>
            </w:r>
            <w:r>
              <w:rPr>
                <w:vertAlign w:val="subscript"/>
              </w:rPr>
              <w:t>2</w:t>
            </w:r>
          </w:p>
        </w:tc>
        <w:tc>
          <w:tcPr>
            <w:tcW w:w="1038" w:type="dxa"/>
            <w:tcBorders>
              <w:tl2br w:val="nil"/>
              <w:tr2bl w:val="nil"/>
            </w:tcBorders>
            <w:vAlign w:val="center"/>
          </w:tcPr>
          <w:p w:rsidR="00C645C9" w:rsidRDefault="00F955D9">
            <w:pPr>
              <w:pStyle w:val="afb"/>
            </w:pPr>
            <w:r>
              <w:t>1.</w:t>
            </w:r>
            <w:r>
              <w:t>1794</w:t>
            </w:r>
          </w:p>
        </w:tc>
        <w:tc>
          <w:tcPr>
            <w:tcW w:w="1637" w:type="dxa"/>
            <w:tcBorders>
              <w:tl2br w:val="nil"/>
              <w:tr2bl w:val="nil"/>
            </w:tcBorders>
            <w:vAlign w:val="center"/>
          </w:tcPr>
          <w:p w:rsidR="00C645C9" w:rsidRDefault="00F955D9">
            <w:pPr>
              <w:pStyle w:val="afb"/>
            </w:pPr>
            <w:r>
              <w:t>500</w:t>
            </w:r>
          </w:p>
        </w:tc>
        <w:tc>
          <w:tcPr>
            <w:tcW w:w="688" w:type="dxa"/>
            <w:tcBorders>
              <w:tl2br w:val="nil"/>
              <w:tr2bl w:val="nil"/>
            </w:tcBorders>
            <w:vAlign w:val="center"/>
          </w:tcPr>
          <w:p w:rsidR="00C645C9" w:rsidRDefault="00F955D9">
            <w:pPr>
              <w:pStyle w:val="afb"/>
            </w:pPr>
            <w:r>
              <w:t>0.2</w:t>
            </w:r>
            <w:r>
              <w:t>4</w:t>
            </w:r>
          </w:p>
        </w:tc>
        <w:tc>
          <w:tcPr>
            <w:tcW w:w="800" w:type="dxa"/>
            <w:vMerge/>
            <w:tcBorders>
              <w:tl2br w:val="nil"/>
              <w:tr2bl w:val="nil"/>
            </w:tcBorders>
            <w:vAlign w:val="center"/>
          </w:tcPr>
          <w:p w:rsidR="00C645C9" w:rsidRDefault="00C645C9">
            <w:pPr>
              <w:pStyle w:val="afb"/>
            </w:pPr>
          </w:p>
        </w:tc>
        <w:tc>
          <w:tcPr>
            <w:tcW w:w="2122" w:type="dxa"/>
            <w:vMerge/>
            <w:tcBorders>
              <w:tl2br w:val="nil"/>
              <w:tr2bl w:val="nil"/>
            </w:tcBorders>
            <w:vAlign w:val="center"/>
          </w:tcPr>
          <w:p w:rsidR="00C645C9" w:rsidRDefault="00C645C9">
            <w:pPr>
              <w:pStyle w:val="afb"/>
            </w:pPr>
          </w:p>
        </w:tc>
      </w:tr>
      <w:tr w:rsidR="00C645C9">
        <w:trPr>
          <w:trHeight w:val="397"/>
          <w:jc w:val="center"/>
        </w:trPr>
        <w:tc>
          <w:tcPr>
            <w:tcW w:w="448" w:type="dxa"/>
            <w:vMerge/>
            <w:tcBorders>
              <w:tl2br w:val="nil"/>
              <w:tr2bl w:val="nil"/>
            </w:tcBorders>
            <w:vAlign w:val="center"/>
          </w:tcPr>
          <w:p w:rsidR="00C645C9" w:rsidRDefault="00C645C9">
            <w:pPr>
              <w:pStyle w:val="afb"/>
            </w:pPr>
          </w:p>
        </w:tc>
        <w:tc>
          <w:tcPr>
            <w:tcW w:w="950" w:type="dxa"/>
            <w:vMerge/>
            <w:tcBorders>
              <w:tl2br w:val="nil"/>
              <w:tr2bl w:val="nil"/>
            </w:tcBorders>
            <w:vAlign w:val="center"/>
          </w:tcPr>
          <w:p w:rsidR="00C645C9" w:rsidRDefault="00C645C9">
            <w:pPr>
              <w:pStyle w:val="afb"/>
            </w:pPr>
          </w:p>
        </w:tc>
        <w:tc>
          <w:tcPr>
            <w:tcW w:w="1187" w:type="dxa"/>
            <w:tcBorders>
              <w:tl2br w:val="nil"/>
              <w:tr2bl w:val="nil"/>
            </w:tcBorders>
            <w:vAlign w:val="center"/>
          </w:tcPr>
          <w:p w:rsidR="00C645C9" w:rsidRDefault="00F955D9">
            <w:pPr>
              <w:pStyle w:val="afb"/>
            </w:pPr>
            <w:r>
              <w:t>NOx</w:t>
            </w:r>
          </w:p>
        </w:tc>
        <w:tc>
          <w:tcPr>
            <w:tcW w:w="1038" w:type="dxa"/>
            <w:tcBorders>
              <w:tl2br w:val="nil"/>
              <w:tr2bl w:val="nil"/>
            </w:tcBorders>
            <w:vAlign w:val="center"/>
          </w:tcPr>
          <w:p w:rsidR="00C645C9" w:rsidRDefault="00F955D9">
            <w:pPr>
              <w:pStyle w:val="afb"/>
            </w:pPr>
            <w:r>
              <w:t>1.3402</w:t>
            </w:r>
          </w:p>
        </w:tc>
        <w:tc>
          <w:tcPr>
            <w:tcW w:w="1637" w:type="dxa"/>
            <w:tcBorders>
              <w:tl2br w:val="nil"/>
              <w:tr2bl w:val="nil"/>
            </w:tcBorders>
            <w:vAlign w:val="center"/>
          </w:tcPr>
          <w:p w:rsidR="00C645C9" w:rsidRDefault="00F955D9">
            <w:pPr>
              <w:pStyle w:val="afb"/>
            </w:pPr>
            <w:r>
              <w:t>2</w:t>
            </w:r>
            <w:r>
              <w:t>5</w:t>
            </w:r>
            <w:r>
              <w:t>0</w:t>
            </w:r>
          </w:p>
        </w:tc>
        <w:tc>
          <w:tcPr>
            <w:tcW w:w="688" w:type="dxa"/>
            <w:tcBorders>
              <w:tl2br w:val="nil"/>
              <w:tr2bl w:val="nil"/>
            </w:tcBorders>
            <w:vAlign w:val="center"/>
          </w:tcPr>
          <w:p w:rsidR="00C645C9" w:rsidRDefault="00F955D9">
            <w:pPr>
              <w:pStyle w:val="afb"/>
            </w:pPr>
            <w:r>
              <w:t>0.54</w:t>
            </w:r>
          </w:p>
        </w:tc>
        <w:tc>
          <w:tcPr>
            <w:tcW w:w="800" w:type="dxa"/>
            <w:vMerge/>
            <w:tcBorders>
              <w:tl2br w:val="nil"/>
              <w:tr2bl w:val="nil"/>
            </w:tcBorders>
            <w:vAlign w:val="center"/>
          </w:tcPr>
          <w:p w:rsidR="00C645C9" w:rsidRDefault="00C645C9">
            <w:pPr>
              <w:pStyle w:val="afb"/>
            </w:pPr>
          </w:p>
        </w:tc>
        <w:tc>
          <w:tcPr>
            <w:tcW w:w="2122" w:type="dxa"/>
            <w:vMerge/>
            <w:tcBorders>
              <w:tl2br w:val="nil"/>
              <w:tr2bl w:val="nil"/>
            </w:tcBorders>
            <w:vAlign w:val="center"/>
          </w:tcPr>
          <w:p w:rsidR="00C645C9" w:rsidRDefault="00C645C9">
            <w:pPr>
              <w:pStyle w:val="afb"/>
            </w:pPr>
          </w:p>
        </w:tc>
      </w:tr>
      <w:tr w:rsidR="00C645C9">
        <w:trPr>
          <w:trHeight w:val="397"/>
          <w:jc w:val="center"/>
        </w:trPr>
        <w:tc>
          <w:tcPr>
            <w:tcW w:w="448" w:type="dxa"/>
            <w:vMerge w:val="restart"/>
            <w:tcBorders>
              <w:tl2br w:val="nil"/>
              <w:tr2bl w:val="nil"/>
            </w:tcBorders>
            <w:vAlign w:val="center"/>
          </w:tcPr>
          <w:p w:rsidR="00C645C9" w:rsidRDefault="00F955D9">
            <w:pPr>
              <w:widowControl w:val="0"/>
              <w:wordWrap w:val="0"/>
              <w:jc w:val="center"/>
              <w:rPr>
                <w:rFonts w:cs="Times New Roman"/>
              </w:rPr>
            </w:pPr>
            <w:r>
              <w:rPr>
                <w:rFonts w:cs="Times New Roman"/>
                <w:spacing w:val="-10"/>
                <w:sz w:val="21"/>
                <w:szCs w:val="21"/>
              </w:rPr>
              <w:t>2</w:t>
            </w:r>
          </w:p>
        </w:tc>
        <w:tc>
          <w:tcPr>
            <w:tcW w:w="950" w:type="dxa"/>
            <w:vMerge w:val="restart"/>
            <w:tcBorders>
              <w:tl2br w:val="nil"/>
              <w:tr2bl w:val="nil"/>
            </w:tcBorders>
            <w:vAlign w:val="center"/>
          </w:tcPr>
          <w:p w:rsidR="00C645C9" w:rsidRDefault="00F955D9">
            <w:pPr>
              <w:pStyle w:val="afb"/>
            </w:pPr>
            <w:r>
              <w:t>新北</w:t>
            </w:r>
            <w:r>
              <w:t>7</w:t>
            </w:r>
            <w:r>
              <w:t>井</w:t>
            </w:r>
            <w:r>
              <w:t>井场加热炉烟气</w:t>
            </w:r>
          </w:p>
        </w:tc>
        <w:tc>
          <w:tcPr>
            <w:tcW w:w="1187" w:type="dxa"/>
            <w:tcBorders>
              <w:tl2br w:val="nil"/>
              <w:tr2bl w:val="nil"/>
            </w:tcBorders>
            <w:vAlign w:val="center"/>
          </w:tcPr>
          <w:p w:rsidR="00C645C9" w:rsidRDefault="00F955D9">
            <w:pPr>
              <w:pStyle w:val="afb"/>
            </w:pPr>
            <w:r>
              <w:t>PM</w:t>
            </w:r>
            <w:r>
              <w:rPr>
                <w:vertAlign w:val="subscript"/>
              </w:rPr>
              <w:t>10</w:t>
            </w:r>
          </w:p>
        </w:tc>
        <w:tc>
          <w:tcPr>
            <w:tcW w:w="1038" w:type="dxa"/>
            <w:tcBorders>
              <w:tl2br w:val="nil"/>
              <w:tr2bl w:val="nil"/>
            </w:tcBorders>
            <w:vAlign w:val="center"/>
          </w:tcPr>
          <w:p w:rsidR="00C645C9" w:rsidRDefault="00F955D9">
            <w:pPr>
              <w:pStyle w:val="afb"/>
            </w:pPr>
            <w:r>
              <w:t>1.</w:t>
            </w:r>
            <w:r>
              <w:t>3402</w:t>
            </w:r>
          </w:p>
        </w:tc>
        <w:tc>
          <w:tcPr>
            <w:tcW w:w="1637" w:type="dxa"/>
            <w:tcBorders>
              <w:tl2br w:val="nil"/>
              <w:tr2bl w:val="nil"/>
            </w:tcBorders>
            <w:vAlign w:val="center"/>
          </w:tcPr>
          <w:p w:rsidR="00C645C9" w:rsidRDefault="00F955D9">
            <w:pPr>
              <w:pStyle w:val="afb"/>
            </w:pPr>
            <w:r>
              <w:t>450</w:t>
            </w:r>
          </w:p>
        </w:tc>
        <w:tc>
          <w:tcPr>
            <w:tcW w:w="688" w:type="dxa"/>
            <w:tcBorders>
              <w:tl2br w:val="nil"/>
              <w:tr2bl w:val="nil"/>
            </w:tcBorders>
            <w:vAlign w:val="center"/>
          </w:tcPr>
          <w:p w:rsidR="00C645C9" w:rsidRDefault="00F955D9">
            <w:pPr>
              <w:pStyle w:val="afb"/>
            </w:pPr>
            <w:r>
              <w:t>0.</w:t>
            </w:r>
            <w:r>
              <w:t>30</w:t>
            </w:r>
          </w:p>
        </w:tc>
        <w:tc>
          <w:tcPr>
            <w:tcW w:w="800" w:type="dxa"/>
            <w:vMerge w:val="restart"/>
            <w:tcBorders>
              <w:tl2br w:val="nil"/>
              <w:tr2bl w:val="nil"/>
            </w:tcBorders>
            <w:vAlign w:val="center"/>
          </w:tcPr>
          <w:p w:rsidR="00C645C9" w:rsidRDefault="00F955D9">
            <w:pPr>
              <w:pStyle w:val="afb"/>
            </w:pPr>
            <w:r>
              <w:t>0.54</w:t>
            </w:r>
          </w:p>
        </w:tc>
        <w:tc>
          <w:tcPr>
            <w:tcW w:w="2122" w:type="dxa"/>
            <w:vMerge w:val="restart"/>
            <w:tcBorders>
              <w:tl2br w:val="nil"/>
              <w:tr2bl w:val="nil"/>
            </w:tcBorders>
            <w:vAlign w:val="center"/>
          </w:tcPr>
          <w:p w:rsidR="00C645C9" w:rsidRDefault="00F955D9">
            <w:pPr>
              <w:pStyle w:val="afb"/>
            </w:pPr>
            <w:r>
              <w:t>99</w:t>
            </w:r>
          </w:p>
        </w:tc>
      </w:tr>
      <w:tr w:rsidR="00C645C9">
        <w:trPr>
          <w:trHeight w:val="397"/>
          <w:jc w:val="center"/>
        </w:trPr>
        <w:tc>
          <w:tcPr>
            <w:tcW w:w="448"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950"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1187" w:type="dxa"/>
            <w:tcBorders>
              <w:tl2br w:val="nil"/>
              <w:tr2bl w:val="nil"/>
            </w:tcBorders>
            <w:vAlign w:val="center"/>
          </w:tcPr>
          <w:p w:rsidR="00C645C9" w:rsidRDefault="00F955D9">
            <w:pPr>
              <w:pStyle w:val="afb"/>
            </w:pPr>
            <w:r>
              <w:t>SO</w:t>
            </w:r>
            <w:r>
              <w:rPr>
                <w:vertAlign w:val="subscript"/>
              </w:rPr>
              <w:t>2</w:t>
            </w:r>
          </w:p>
        </w:tc>
        <w:tc>
          <w:tcPr>
            <w:tcW w:w="1038" w:type="dxa"/>
            <w:tcBorders>
              <w:tl2br w:val="nil"/>
              <w:tr2bl w:val="nil"/>
            </w:tcBorders>
            <w:vAlign w:val="center"/>
          </w:tcPr>
          <w:p w:rsidR="00C645C9" w:rsidRDefault="00F955D9">
            <w:pPr>
              <w:pStyle w:val="afb"/>
            </w:pPr>
            <w:r>
              <w:t>1.</w:t>
            </w:r>
            <w:r>
              <w:t>1794</w:t>
            </w:r>
          </w:p>
        </w:tc>
        <w:tc>
          <w:tcPr>
            <w:tcW w:w="1637" w:type="dxa"/>
            <w:tcBorders>
              <w:tl2br w:val="nil"/>
              <w:tr2bl w:val="nil"/>
            </w:tcBorders>
            <w:vAlign w:val="center"/>
          </w:tcPr>
          <w:p w:rsidR="00C645C9" w:rsidRDefault="00F955D9">
            <w:pPr>
              <w:pStyle w:val="afb"/>
            </w:pPr>
            <w:r>
              <w:t>500</w:t>
            </w:r>
          </w:p>
        </w:tc>
        <w:tc>
          <w:tcPr>
            <w:tcW w:w="688" w:type="dxa"/>
            <w:tcBorders>
              <w:tl2br w:val="nil"/>
              <w:tr2bl w:val="nil"/>
            </w:tcBorders>
            <w:vAlign w:val="center"/>
          </w:tcPr>
          <w:p w:rsidR="00C645C9" w:rsidRDefault="00F955D9">
            <w:pPr>
              <w:pStyle w:val="afb"/>
            </w:pPr>
            <w:r>
              <w:t>0.2</w:t>
            </w:r>
            <w:r>
              <w:t>4</w:t>
            </w:r>
          </w:p>
        </w:tc>
        <w:tc>
          <w:tcPr>
            <w:tcW w:w="800"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c>
          <w:tcPr>
            <w:tcW w:w="2122"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r>
      <w:tr w:rsidR="00C645C9">
        <w:trPr>
          <w:trHeight w:val="397"/>
          <w:jc w:val="center"/>
        </w:trPr>
        <w:tc>
          <w:tcPr>
            <w:tcW w:w="448"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950"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1187" w:type="dxa"/>
            <w:tcBorders>
              <w:tl2br w:val="nil"/>
              <w:tr2bl w:val="nil"/>
            </w:tcBorders>
            <w:vAlign w:val="center"/>
          </w:tcPr>
          <w:p w:rsidR="00C645C9" w:rsidRDefault="00F955D9">
            <w:pPr>
              <w:pStyle w:val="afb"/>
            </w:pPr>
            <w:r>
              <w:t>NOx</w:t>
            </w:r>
          </w:p>
        </w:tc>
        <w:tc>
          <w:tcPr>
            <w:tcW w:w="1038" w:type="dxa"/>
            <w:tcBorders>
              <w:tl2br w:val="nil"/>
              <w:tr2bl w:val="nil"/>
            </w:tcBorders>
            <w:vAlign w:val="center"/>
          </w:tcPr>
          <w:p w:rsidR="00C645C9" w:rsidRDefault="00F955D9">
            <w:pPr>
              <w:pStyle w:val="afb"/>
            </w:pPr>
            <w:r>
              <w:t>1.3402</w:t>
            </w:r>
          </w:p>
        </w:tc>
        <w:tc>
          <w:tcPr>
            <w:tcW w:w="1637" w:type="dxa"/>
            <w:tcBorders>
              <w:tl2br w:val="nil"/>
              <w:tr2bl w:val="nil"/>
            </w:tcBorders>
            <w:vAlign w:val="center"/>
          </w:tcPr>
          <w:p w:rsidR="00C645C9" w:rsidRDefault="00F955D9">
            <w:pPr>
              <w:pStyle w:val="afb"/>
            </w:pPr>
            <w:r>
              <w:t>2</w:t>
            </w:r>
            <w:r>
              <w:t>5</w:t>
            </w:r>
            <w:r>
              <w:t>0</w:t>
            </w:r>
          </w:p>
        </w:tc>
        <w:tc>
          <w:tcPr>
            <w:tcW w:w="688" w:type="dxa"/>
            <w:tcBorders>
              <w:tl2br w:val="nil"/>
              <w:tr2bl w:val="nil"/>
            </w:tcBorders>
            <w:vAlign w:val="center"/>
          </w:tcPr>
          <w:p w:rsidR="00C645C9" w:rsidRDefault="00F955D9">
            <w:pPr>
              <w:pStyle w:val="afb"/>
            </w:pPr>
            <w:r>
              <w:t>0.54</w:t>
            </w:r>
          </w:p>
        </w:tc>
        <w:tc>
          <w:tcPr>
            <w:tcW w:w="800"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c>
          <w:tcPr>
            <w:tcW w:w="2122"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r>
    </w:tbl>
    <w:bookmarkEnd w:id="321"/>
    <w:p w:rsidR="00C645C9" w:rsidRDefault="00F955D9">
      <w:pPr>
        <w:widowControl w:val="0"/>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2.</w:t>
      </w:r>
      <w:r>
        <w:rPr>
          <w:rFonts w:eastAsia="黑体" w:cs="Times New Roman" w:hint="eastAsia"/>
          <w:bCs/>
          <w:sz w:val="21"/>
          <w:szCs w:val="21"/>
        </w:rPr>
        <w:t>5-15</w:t>
      </w:r>
      <w:r>
        <w:rPr>
          <w:rFonts w:eastAsia="黑体" w:cs="Times New Roman"/>
          <w:bCs/>
          <w:sz w:val="21"/>
          <w:szCs w:val="21"/>
        </w:rPr>
        <w:t xml:space="preserve">   </w:t>
      </w:r>
      <w:r>
        <w:rPr>
          <w:rFonts w:eastAsia="黑体" w:cs="Times New Roman"/>
          <w:bCs/>
          <w:sz w:val="21"/>
          <w:szCs w:val="21"/>
        </w:rPr>
        <w:t>无组织估算模式预测污染物扩散结果</w:t>
      </w:r>
    </w:p>
    <w:tbl>
      <w:tblPr>
        <w:tblW w:w="51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00"/>
        <w:gridCol w:w="724"/>
        <w:gridCol w:w="726"/>
        <w:gridCol w:w="1249"/>
        <w:gridCol w:w="8"/>
        <w:gridCol w:w="926"/>
        <w:gridCol w:w="926"/>
        <w:gridCol w:w="838"/>
        <w:gridCol w:w="1884"/>
        <w:gridCol w:w="857"/>
      </w:tblGrid>
      <w:tr w:rsidR="00C645C9">
        <w:trPr>
          <w:trHeight w:val="283"/>
          <w:jc w:val="center"/>
        </w:trPr>
        <w:tc>
          <w:tcPr>
            <w:tcW w:w="50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序号</w:t>
            </w:r>
          </w:p>
        </w:tc>
        <w:tc>
          <w:tcPr>
            <w:tcW w:w="1453" w:type="dxa"/>
            <w:gridSpan w:val="2"/>
            <w:tcBorders>
              <w:tl2br w:val="nil"/>
              <w:tr2bl w:val="nil"/>
            </w:tcBorders>
            <w:tcMar>
              <w:top w:w="12" w:type="dxa"/>
              <w:left w:w="12" w:type="dxa"/>
              <w:bottom w:w="0" w:type="dxa"/>
              <w:right w:w="12" w:type="dxa"/>
            </w:tcMar>
            <w:vAlign w:val="center"/>
          </w:tcPr>
          <w:p w:rsidR="00C645C9" w:rsidRDefault="00F955D9">
            <w:pPr>
              <w:topLinePunct/>
              <w:adjustRightInd w:val="0"/>
              <w:snapToGrid w:val="0"/>
              <w:jc w:val="center"/>
              <w:rPr>
                <w:rFonts w:cs="Times New Roman"/>
                <w:spacing w:val="-10"/>
                <w:sz w:val="21"/>
                <w:szCs w:val="21"/>
              </w:rPr>
            </w:pPr>
            <w:r>
              <w:rPr>
                <w:rFonts w:cs="Times New Roman"/>
                <w:snapToGrid w:val="0"/>
                <w:spacing w:val="-10"/>
                <w:sz w:val="21"/>
                <w:szCs w:val="21"/>
              </w:rPr>
              <w:t>污染源名称</w:t>
            </w:r>
          </w:p>
        </w:tc>
        <w:tc>
          <w:tcPr>
            <w:tcW w:w="1260" w:type="dxa"/>
            <w:gridSpan w:val="2"/>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评价因子</w:t>
            </w:r>
          </w:p>
        </w:tc>
        <w:tc>
          <w:tcPr>
            <w:tcW w:w="928"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C</w:t>
            </w:r>
            <w:r>
              <w:rPr>
                <w:rFonts w:cs="Times New Roman"/>
                <w:snapToGrid w:val="0"/>
                <w:spacing w:val="-10"/>
                <w:sz w:val="21"/>
                <w:szCs w:val="21"/>
                <w:vertAlign w:val="subscript"/>
              </w:rPr>
              <w:t>i</w:t>
            </w:r>
            <w:r>
              <w:rPr>
                <w:rFonts w:cs="Times New Roman"/>
                <w:snapToGrid w:val="0"/>
                <w:spacing w:val="-10"/>
                <w:sz w:val="21"/>
                <w:szCs w:val="21"/>
              </w:rPr>
              <w:t>（</w:t>
            </w:r>
            <w:r>
              <w:rPr>
                <w:rFonts w:cs="Times New Roman"/>
                <w:snapToGrid w:val="0"/>
                <w:spacing w:val="-10"/>
                <w:sz w:val="21"/>
                <w:szCs w:val="21"/>
              </w:rPr>
              <w:t>μg/m</w:t>
            </w:r>
            <w:r>
              <w:rPr>
                <w:rFonts w:cs="Times New Roman"/>
                <w:bCs/>
                <w:snapToGrid w:val="0"/>
                <w:spacing w:val="-10"/>
                <w:sz w:val="21"/>
                <w:szCs w:val="21"/>
                <w:vertAlign w:val="superscript"/>
              </w:rPr>
              <w:t>3</w:t>
            </w:r>
            <w:r>
              <w:rPr>
                <w:rFonts w:cs="Times New Roman"/>
                <w:snapToGrid w:val="0"/>
                <w:spacing w:val="-10"/>
                <w:sz w:val="21"/>
                <w:szCs w:val="21"/>
              </w:rPr>
              <w:t>）</w:t>
            </w:r>
          </w:p>
        </w:tc>
        <w:tc>
          <w:tcPr>
            <w:tcW w:w="928"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P</w:t>
            </w:r>
            <w:r>
              <w:rPr>
                <w:rFonts w:cs="Times New Roman"/>
                <w:snapToGrid w:val="0"/>
                <w:spacing w:val="-10"/>
                <w:sz w:val="21"/>
                <w:szCs w:val="21"/>
                <w:vertAlign w:val="subscript"/>
              </w:rPr>
              <w:t>i</w:t>
            </w:r>
            <w:r>
              <w:rPr>
                <w:rFonts w:cs="Times New Roman"/>
                <w:snapToGrid w:val="0"/>
                <w:spacing w:val="-10"/>
                <w:sz w:val="21"/>
                <w:szCs w:val="21"/>
              </w:rPr>
              <w:t>（</w:t>
            </w:r>
            <w:r>
              <w:rPr>
                <w:rFonts w:cs="Times New Roman"/>
                <w:snapToGrid w:val="0"/>
                <w:spacing w:val="-10"/>
                <w:sz w:val="21"/>
                <w:szCs w:val="21"/>
              </w:rPr>
              <w:t>%</w:t>
            </w:r>
            <w:r>
              <w:rPr>
                <w:rFonts w:cs="Times New Roman"/>
                <w:snapToGrid w:val="0"/>
                <w:spacing w:val="-10"/>
                <w:sz w:val="21"/>
                <w:szCs w:val="21"/>
              </w:rPr>
              <w:t>）</w:t>
            </w:r>
          </w:p>
        </w:tc>
        <w:tc>
          <w:tcPr>
            <w:tcW w:w="840"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P</w:t>
            </w:r>
            <w:r>
              <w:rPr>
                <w:rFonts w:cs="Times New Roman"/>
                <w:snapToGrid w:val="0"/>
                <w:spacing w:val="-10"/>
                <w:sz w:val="21"/>
                <w:szCs w:val="21"/>
                <w:vertAlign w:val="subscript"/>
              </w:rPr>
              <w:t>max</w:t>
            </w:r>
            <w:r>
              <w:rPr>
                <w:rFonts w:cs="Times New Roman"/>
                <w:snapToGrid w:val="0"/>
                <w:spacing w:val="-10"/>
                <w:sz w:val="21"/>
                <w:szCs w:val="21"/>
              </w:rPr>
              <w:t>（</w:t>
            </w:r>
            <w:r>
              <w:rPr>
                <w:rFonts w:cs="Times New Roman"/>
                <w:snapToGrid w:val="0"/>
                <w:spacing w:val="-10"/>
                <w:sz w:val="21"/>
                <w:szCs w:val="21"/>
              </w:rPr>
              <w:t>%</w:t>
            </w:r>
            <w:r>
              <w:rPr>
                <w:rFonts w:cs="Times New Roman"/>
                <w:snapToGrid w:val="0"/>
                <w:spacing w:val="-10"/>
                <w:sz w:val="21"/>
                <w:szCs w:val="21"/>
              </w:rPr>
              <w:t>）</w:t>
            </w:r>
          </w:p>
        </w:tc>
        <w:tc>
          <w:tcPr>
            <w:tcW w:w="1888"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最大浓度出现距离</w:t>
            </w:r>
            <w:r>
              <w:rPr>
                <w:rFonts w:cs="Times New Roman"/>
                <w:snapToGrid w:val="0"/>
                <w:spacing w:val="-10"/>
                <w:sz w:val="21"/>
                <w:szCs w:val="21"/>
              </w:rPr>
              <w:t>（</w:t>
            </w:r>
            <w:r>
              <w:rPr>
                <w:rFonts w:cs="Times New Roman"/>
                <w:snapToGrid w:val="0"/>
                <w:spacing w:val="-10"/>
                <w:sz w:val="21"/>
                <w:szCs w:val="21"/>
              </w:rPr>
              <w:t>m</w:t>
            </w:r>
            <w:r>
              <w:rPr>
                <w:rFonts w:cs="Times New Roman"/>
                <w:snapToGrid w:val="0"/>
                <w:spacing w:val="-10"/>
                <w:sz w:val="21"/>
                <w:szCs w:val="21"/>
              </w:rPr>
              <w:t>）</w:t>
            </w:r>
          </w:p>
        </w:tc>
        <w:tc>
          <w:tcPr>
            <w:tcW w:w="859"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D</w:t>
            </w:r>
            <w:r>
              <w:rPr>
                <w:rFonts w:cs="Times New Roman"/>
                <w:snapToGrid w:val="0"/>
                <w:spacing w:val="-10"/>
                <w:sz w:val="21"/>
                <w:szCs w:val="21"/>
                <w:vertAlign w:val="subscript"/>
              </w:rPr>
              <w:t>10%</w:t>
            </w:r>
            <w:r>
              <w:rPr>
                <w:rFonts w:cs="Times New Roman"/>
                <w:snapToGrid w:val="0"/>
                <w:spacing w:val="-10"/>
                <w:sz w:val="21"/>
                <w:szCs w:val="21"/>
              </w:rPr>
              <w:t>（</w:t>
            </w:r>
            <w:r>
              <w:rPr>
                <w:rFonts w:cs="Times New Roman"/>
                <w:snapToGrid w:val="0"/>
                <w:spacing w:val="-10"/>
                <w:sz w:val="21"/>
                <w:szCs w:val="21"/>
              </w:rPr>
              <w:t>m</w:t>
            </w:r>
            <w:r>
              <w:rPr>
                <w:rFonts w:cs="Times New Roman"/>
                <w:snapToGrid w:val="0"/>
                <w:spacing w:val="-10"/>
                <w:sz w:val="21"/>
                <w:szCs w:val="21"/>
              </w:rPr>
              <w:t>）</w:t>
            </w:r>
          </w:p>
        </w:tc>
      </w:tr>
      <w:tr w:rsidR="00C645C9">
        <w:trPr>
          <w:trHeight w:val="145"/>
          <w:jc w:val="center"/>
        </w:trPr>
        <w:tc>
          <w:tcPr>
            <w:tcW w:w="500" w:type="dxa"/>
            <w:vMerge w:val="restart"/>
            <w:tcBorders>
              <w:tl2br w:val="nil"/>
              <w:tr2bl w:val="nil"/>
            </w:tcBorders>
            <w:vAlign w:val="center"/>
          </w:tcPr>
          <w:p w:rsidR="00C645C9" w:rsidRDefault="00F955D9">
            <w:pPr>
              <w:adjustRightInd w:val="0"/>
              <w:snapToGrid w:val="0"/>
              <w:jc w:val="center"/>
              <w:rPr>
                <w:rFonts w:cs="Times New Roman"/>
                <w:spacing w:val="-10"/>
                <w:kern w:val="2"/>
                <w:sz w:val="21"/>
                <w:szCs w:val="21"/>
              </w:rPr>
            </w:pPr>
            <w:r>
              <w:rPr>
                <w:rFonts w:cs="Times New Roman"/>
                <w:spacing w:val="-10"/>
                <w:sz w:val="21"/>
                <w:szCs w:val="21"/>
              </w:rPr>
              <w:t>1</w:t>
            </w:r>
          </w:p>
        </w:tc>
        <w:tc>
          <w:tcPr>
            <w:tcW w:w="726"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新北</w:t>
            </w:r>
            <w:r>
              <w:rPr>
                <w:rFonts w:cs="Times New Roman"/>
                <w:spacing w:val="-10"/>
                <w:sz w:val="21"/>
                <w:szCs w:val="21"/>
              </w:rPr>
              <w:t>1X</w:t>
            </w:r>
            <w:r>
              <w:rPr>
                <w:rFonts w:cs="Times New Roman"/>
                <w:spacing w:val="-10"/>
                <w:sz w:val="21"/>
                <w:szCs w:val="21"/>
              </w:rPr>
              <w:t>井</w:t>
            </w:r>
          </w:p>
        </w:tc>
        <w:tc>
          <w:tcPr>
            <w:tcW w:w="727"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bookmarkStart w:id="323" w:name="OLE_LINK1205"/>
            <w:bookmarkStart w:id="324" w:name="OLE_LINK1206"/>
            <w:r>
              <w:rPr>
                <w:rFonts w:cs="Times New Roman"/>
                <w:spacing w:val="-10"/>
                <w:sz w:val="21"/>
                <w:szCs w:val="21"/>
              </w:rPr>
              <w:t>井场无组织废气</w:t>
            </w:r>
            <w:bookmarkEnd w:id="323"/>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bookmarkEnd w:id="324"/>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102.3700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5.12</w:t>
            </w:r>
          </w:p>
        </w:tc>
        <w:tc>
          <w:tcPr>
            <w:tcW w:w="840"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kern w:val="2"/>
                <w:sz w:val="21"/>
                <w:szCs w:val="21"/>
              </w:rPr>
              <w:t>5.12</w:t>
            </w:r>
          </w:p>
        </w:tc>
        <w:tc>
          <w:tcPr>
            <w:tcW w:w="1888" w:type="dxa"/>
            <w:vMerge w:val="restart"/>
            <w:tcBorders>
              <w:tl2br w:val="nil"/>
              <w:tr2bl w:val="nil"/>
            </w:tcBorders>
            <w:tcMar>
              <w:top w:w="12" w:type="dxa"/>
              <w:left w:w="12" w:type="dxa"/>
              <w:bottom w:w="0" w:type="dxa"/>
              <w:right w:w="12" w:type="dxa"/>
            </w:tcMar>
            <w:vAlign w:val="center"/>
          </w:tcPr>
          <w:p w:rsidR="00C645C9" w:rsidRDefault="00F955D9">
            <w:pPr>
              <w:pStyle w:val="afb"/>
            </w:pPr>
            <w:r>
              <w:t>199</w:t>
            </w:r>
          </w:p>
        </w:tc>
        <w:tc>
          <w:tcPr>
            <w:tcW w:w="859"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727"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硫化氢</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0.0062</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0.06</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vMerge/>
            <w:tcBorders>
              <w:tl2br w:val="nil"/>
              <w:tr2bl w:val="nil"/>
            </w:tcBorders>
            <w:tcMar>
              <w:top w:w="12" w:type="dxa"/>
              <w:left w:w="12" w:type="dxa"/>
              <w:bottom w:w="0" w:type="dxa"/>
              <w:right w:w="12" w:type="dxa"/>
            </w:tcMar>
            <w:vAlign w:val="center"/>
          </w:tcPr>
          <w:p w:rsidR="00C645C9" w:rsidRDefault="00C645C9">
            <w:pPr>
              <w:pStyle w:val="afb"/>
            </w:pPr>
          </w:p>
        </w:tc>
        <w:tc>
          <w:tcPr>
            <w:tcW w:w="859"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r>
      <w:tr w:rsidR="00C645C9">
        <w:trPr>
          <w:trHeight w:val="145"/>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bookmarkStart w:id="325" w:name="OLE_LINK1503" w:colFirst="2" w:colLast="5"/>
          </w:p>
        </w:tc>
        <w:tc>
          <w:tcPr>
            <w:tcW w:w="72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727"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z w:val="21"/>
                <w:szCs w:val="21"/>
              </w:rPr>
              <w:t>多功能储集器</w:t>
            </w:r>
            <w:r>
              <w:rPr>
                <w:rFonts w:cs="Times New Roman" w:hint="eastAsia"/>
                <w:spacing w:val="-10"/>
                <w:sz w:val="21"/>
                <w:szCs w:val="21"/>
                <w:lang w:bidi="ar"/>
              </w:rPr>
              <w:t>小</w:t>
            </w:r>
            <w:r>
              <w:rPr>
                <w:rFonts w:cs="Times New Roman"/>
                <w:spacing w:val="-10"/>
                <w:sz w:val="21"/>
                <w:szCs w:val="21"/>
                <w:lang w:bidi="ar"/>
              </w:rPr>
              <w:t>呼吸废气</w:t>
            </w:r>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101.9800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5.10</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tcMar>
              <w:top w:w="12" w:type="dxa"/>
              <w:left w:w="12" w:type="dxa"/>
              <w:bottom w:w="0" w:type="dxa"/>
              <w:right w:w="12" w:type="dxa"/>
            </w:tcMar>
            <w:vAlign w:val="center"/>
          </w:tcPr>
          <w:p w:rsidR="00C645C9" w:rsidRDefault="00F955D9">
            <w:pPr>
              <w:pStyle w:val="afb"/>
            </w:pPr>
            <w:r>
              <w:t>199</w:t>
            </w:r>
          </w:p>
        </w:tc>
        <w:tc>
          <w:tcPr>
            <w:tcW w:w="859"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727"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z w:val="21"/>
                <w:szCs w:val="21"/>
              </w:rPr>
              <w:t>多功能储集器</w:t>
            </w:r>
            <w:r>
              <w:rPr>
                <w:rFonts w:cs="Times New Roman" w:hint="eastAsia"/>
                <w:sz w:val="21"/>
                <w:szCs w:val="21"/>
              </w:rPr>
              <w:t>大呼吸</w:t>
            </w:r>
            <w:r>
              <w:rPr>
                <w:rFonts w:cs="Times New Roman"/>
                <w:spacing w:val="-10"/>
                <w:sz w:val="21"/>
                <w:szCs w:val="21"/>
                <w:lang w:bidi="ar"/>
              </w:rPr>
              <w:t>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48.7200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2.44</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727" w:type="dxa"/>
            <w:tcBorders>
              <w:tl2br w:val="nil"/>
              <w:tr2bl w:val="nil"/>
            </w:tcBorders>
            <w:tcMar>
              <w:top w:w="12" w:type="dxa"/>
              <w:left w:w="12" w:type="dxa"/>
              <w:bottom w:w="0" w:type="dxa"/>
              <w:right w:w="12" w:type="dxa"/>
            </w:tcMar>
            <w:vAlign w:val="center"/>
          </w:tcPr>
          <w:p w:rsidR="00C645C9" w:rsidRDefault="00F955D9">
            <w:pPr>
              <w:jc w:val="center"/>
              <w:rPr>
                <w:rFonts w:cs="Times New Roman"/>
                <w:spacing w:val="-10"/>
                <w:sz w:val="21"/>
                <w:szCs w:val="21"/>
              </w:rPr>
            </w:pPr>
            <w:r>
              <w:rPr>
                <w:rFonts w:hint="eastAsia"/>
                <w:sz w:val="21"/>
                <w:szCs w:val="21"/>
              </w:rPr>
              <w:t>混烃储罐</w:t>
            </w:r>
            <w:r>
              <w:rPr>
                <w:rFonts w:cs="Times New Roman" w:hint="eastAsia"/>
                <w:spacing w:val="-10"/>
                <w:sz w:val="21"/>
                <w:szCs w:val="21"/>
                <w:lang w:bidi="ar"/>
              </w:rPr>
              <w:t>小</w:t>
            </w:r>
            <w:r>
              <w:rPr>
                <w:rFonts w:cs="Times New Roman"/>
                <w:spacing w:val="-10"/>
                <w:sz w:val="21"/>
                <w:szCs w:val="21"/>
                <w:lang w:bidi="ar"/>
              </w:rPr>
              <w:t>呼吸废气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30.9130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1.55</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727" w:type="dxa"/>
            <w:tcBorders>
              <w:tl2br w:val="nil"/>
              <w:tr2bl w:val="nil"/>
            </w:tcBorders>
            <w:tcMar>
              <w:top w:w="12" w:type="dxa"/>
              <w:left w:w="12" w:type="dxa"/>
              <w:bottom w:w="0" w:type="dxa"/>
              <w:right w:w="12" w:type="dxa"/>
            </w:tcMar>
            <w:vAlign w:val="center"/>
          </w:tcPr>
          <w:p w:rsidR="00C645C9" w:rsidRDefault="00F955D9">
            <w:pPr>
              <w:jc w:val="center"/>
              <w:rPr>
                <w:rFonts w:cs="Times New Roman"/>
                <w:spacing w:val="-10"/>
                <w:sz w:val="21"/>
                <w:szCs w:val="21"/>
              </w:rPr>
            </w:pPr>
            <w:r>
              <w:rPr>
                <w:rFonts w:hint="eastAsia"/>
                <w:sz w:val="21"/>
                <w:szCs w:val="21"/>
              </w:rPr>
              <w:t>混烃储罐</w:t>
            </w:r>
            <w:r>
              <w:rPr>
                <w:rFonts w:cs="Times New Roman" w:hint="eastAsia"/>
                <w:sz w:val="21"/>
                <w:szCs w:val="21"/>
              </w:rPr>
              <w:t>大呼吸</w:t>
            </w:r>
            <w:r>
              <w:rPr>
                <w:rFonts w:cs="Times New Roman"/>
                <w:spacing w:val="-10"/>
                <w:sz w:val="21"/>
                <w:szCs w:val="21"/>
                <w:lang w:bidi="ar"/>
              </w:rPr>
              <w:t>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36.9810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1.85</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bookmarkEnd w:id="325"/>
      <w:tr w:rsidR="00C645C9">
        <w:trPr>
          <w:trHeight w:val="145"/>
          <w:jc w:val="center"/>
        </w:trPr>
        <w:tc>
          <w:tcPr>
            <w:tcW w:w="500"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w:t>
            </w:r>
          </w:p>
        </w:tc>
        <w:tc>
          <w:tcPr>
            <w:tcW w:w="726"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z w:val="21"/>
                <w:szCs w:val="21"/>
              </w:rPr>
              <w:t>新北</w:t>
            </w:r>
            <w:r>
              <w:rPr>
                <w:rFonts w:cs="Times New Roman"/>
                <w:sz w:val="21"/>
                <w:szCs w:val="21"/>
              </w:rPr>
              <w:t>7</w:t>
            </w:r>
            <w:r>
              <w:rPr>
                <w:rFonts w:cs="Times New Roman"/>
                <w:sz w:val="21"/>
                <w:szCs w:val="21"/>
              </w:rPr>
              <w:t>井</w:t>
            </w:r>
          </w:p>
        </w:tc>
        <w:tc>
          <w:tcPr>
            <w:tcW w:w="727"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井场无组织废气</w:t>
            </w:r>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101.9800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5.10</w:t>
            </w:r>
          </w:p>
        </w:tc>
        <w:tc>
          <w:tcPr>
            <w:tcW w:w="840"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888" w:type="dxa"/>
            <w:vMerge w:val="restart"/>
            <w:tcBorders>
              <w:tl2br w:val="nil"/>
              <w:tr2bl w:val="nil"/>
            </w:tcBorders>
            <w:tcMar>
              <w:top w:w="12" w:type="dxa"/>
              <w:left w:w="12" w:type="dxa"/>
              <w:bottom w:w="0" w:type="dxa"/>
              <w:right w:w="12" w:type="dxa"/>
            </w:tcMar>
            <w:vAlign w:val="center"/>
          </w:tcPr>
          <w:p w:rsidR="00C645C9" w:rsidRDefault="00F955D9">
            <w:pPr>
              <w:pStyle w:val="afb"/>
            </w:pPr>
            <w:r>
              <w:t>199</w:t>
            </w:r>
          </w:p>
        </w:tc>
        <w:tc>
          <w:tcPr>
            <w:tcW w:w="859"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54"/>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727"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硫化氢</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0.0052</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0.05</w:t>
            </w:r>
          </w:p>
        </w:tc>
        <w:tc>
          <w:tcPr>
            <w:tcW w:w="840"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888"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859"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r>
      <w:tr w:rsidR="00C645C9">
        <w:trPr>
          <w:trHeight w:val="154"/>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727" w:type="dxa"/>
            <w:tcBorders>
              <w:tl2br w:val="nil"/>
              <w:tr2bl w:val="nil"/>
            </w:tcBorders>
            <w:vAlign w:val="center"/>
          </w:tcPr>
          <w:p w:rsidR="00C645C9" w:rsidRDefault="00F955D9">
            <w:pPr>
              <w:adjustRightInd w:val="0"/>
              <w:snapToGrid w:val="0"/>
              <w:jc w:val="center"/>
              <w:rPr>
                <w:rFonts w:cs="Times New Roman"/>
                <w:snapToGrid w:val="0"/>
                <w:spacing w:val="-10"/>
                <w:sz w:val="21"/>
                <w:szCs w:val="21"/>
              </w:rPr>
            </w:pPr>
            <w:r>
              <w:rPr>
                <w:rFonts w:cs="Times New Roman"/>
                <w:sz w:val="21"/>
                <w:szCs w:val="21"/>
              </w:rPr>
              <w:t>多功能储集器</w:t>
            </w:r>
            <w:r>
              <w:rPr>
                <w:rFonts w:cs="Times New Roman" w:hint="eastAsia"/>
                <w:spacing w:val="-10"/>
                <w:sz w:val="21"/>
                <w:szCs w:val="21"/>
                <w:lang w:bidi="ar"/>
              </w:rPr>
              <w:t>小</w:t>
            </w:r>
            <w:r>
              <w:rPr>
                <w:rFonts w:cs="Times New Roman"/>
                <w:spacing w:val="-10"/>
                <w:sz w:val="21"/>
                <w:szCs w:val="21"/>
                <w:lang w:bidi="ar"/>
              </w:rPr>
              <w:t>呼吸废气</w:t>
            </w:r>
          </w:p>
        </w:tc>
        <w:tc>
          <w:tcPr>
            <w:tcW w:w="125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t>101.9800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t>5.10</w:t>
            </w:r>
          </w:p>
        </w:tc>
        <w:tc>
          <w:tcPr>
            <w:tcW w:w="840" w:type="dxa"/>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vAlign w:val="center"/>
          </w:tcPr>
          <w:p w:rsidR="00C645C9" w:rsidRDefault="00F955D9">
            <w:pPr>
              <w:pStyle w:val="afb"/>
              <w:rPr>
                <w:snapToGrid w:val="0"/>
                <w:spacing w:val="-10"/>
                <w:szCs w:val="21"/>
              </w:rPr>
            </w:pPr>
            <w:r>
              <w:t>199</w:t>
            </w:r>
          </w:p>
        </w:tc>
        <w:tc>
          <w:tcPr>
            <w:tcW w:w="859"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54"/>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727" w:type="dxa"/>
            <w:tcBorders>
              <w:tl2br w:val="nil"/>
              <w:tr2bl w:val="nil"/>
            </w:tcBorders>
            <w:vAlign w:val="center"/>
          </w:tcPr>
          <w:p w:rsidR="00C645C9" w:rsidRDefault="00F955D9">
            <w:pPr>
              <w:adjustRightInd w:val="0"/>
              <w:snapToGrid w:val="0"/>
              <w:jc w:val="center"/>
              <w:rPr>
                <w:rFonts w:cs="Times New Roman"/>
                <w:snapToGrid w:val="0"/>
                <w:spacing w:val="-10"/>
                <w:sz w:val="21"/>
                <w:szCs w:val="21"/>
              </w:rPr>
            </w:pPr>
            <w:r>
              <w:rPr>
                <w:rFonts w:cs="Times New Roman"/>
                <w:sz w:val="21"/>
                <w:szCs w:val="21"/>
              </w:rPr>
              <w:t>多功能储集器</w:t>
            </w:r>
            <w:r>
              <w:rPr>
                <w:rFonts w:cs="Times New Roman" w:hint="eastAsia"/>
                <w:sz w:val="21"/>
                <w:szCs w:val="21"/>
              </w:rPr>
              <w:t>大呼吸</w:t>
            </w:r>
            <w:r>
              <w:rPr>
                <w:rFonts w:cs="Times New Roman"/>
                <w:spacing w:val="-10"/>
                <w:sz w:val="21"/>
                <w:szCs w:val="21"/>
                <w:lang w:bidi="ar"/>
              </w:rPr>
              <w:t>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48.7200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2.44</w:t>
            </w:r>
          </w:p>
        </w:tc>
        <w:tc>
          <w:tcPr>
            <w:tcW w:w="840" w:type="dxa"/>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vAlign w:val="center"/>
          </w:tcPr>
          <w:p w:rsidR="00C645C9" w:rsidRDefault="00F955D9">
            <w:pPr>
              <w:pStyle w:val="afb"/>
              <w:rPr>
                <w:snapToGrid w:val="0"/>
                <w:spacing w:val="-10"/>
                <w:szCs w:val="21"/>
              </w:rPr>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54"/>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727" w:type="dxa"/>
            <w:tcBorders>
              <w:tl2br w:val="nil"/>
              <w:tr2bl w:val="nil"/>
            </w:tcBorders>
            <w:vAlign w:val="center"/>
          </w:tcPr>
          <w:p w:rsidR="00C645C9" w:rsidRDefault="00F955D9">
            <w:pPr>
              <w:jc w:val="center"/>
              <w:rPr>
                <w:rFonts w:cs="Times New Roman"/>
                <w:snapToGrid w:val="0"/>
                <w:spacing w:val="-10"/>
                <w:sz w:val="21"/>
                <w:szCs w:val="21"/>
              </w:rPr>
            </w:pPr>
            <w:r>
              <w:rPr>
                <w:rFonts w:hint="eastAsia"/>
                <w:sz w:val="21"/>
                <w:szCs w:val="21"/>
              </w:rPr>
              <w:t>混烃储罐</w:t>
            </w:r>
            <w:r>
              <w:rPr>
                <w:rFonts w:cs="Times New Roman" w:hint="eastAsia"/>
                <w:spacing w:val="-10"/>
                <w:sz w:val="21"/>
                <w:szCs w:val="21"/>
                <w:lang w:bidi="ar"/>
              </w:rPr>
              <w:t>小</w:t>
            </w:r>
            <w:r>
              <w:rPr>
                <w:rFonts w:cs="Times New Roman"/>
                <w:spacing w:val="-10"/>
                <w:sz w:val="21"/>
                <w:szCs w:val="21"/>
                <w:lang w:bidi="ar"/>
              </w:rPr>
              <w:t>呼吸废气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30.9130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1.55</w:t>
            </w:r>
          </w:p>
        </w:tc>
        <w:tc>
          <w:tcPr>
            <w:tcW w:w="840" w:type="dxa"/>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vAlign w:val="center"/>
          </w:tcPr>
          <w:p w:rsidR="00C645C9" w:rsidRDefault="00F955D9">
            <w:pPr>
              <w:pStyle w:val="afb"/>
              <w:rPr>
                <w:snapToGrid w:val="0"/>
                <w:spacing w:val="-10"/>
                <w:szCs w:val="21"/>
              </w:rPr>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54"/>
          <w:jc w:val="center"/>
        </w:trPr>
        <w:tc>
          <w:tcPr>
            <w:tcW w:w="50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726" w:type="dxa"/>
            <w:vMerge/>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727" w:type="dxa"/>
            <w:tcBorders>
              <w:tl2br w:val="nil"/>
              <w:tr2bl w:val="nil"/>
            </w:tcBorders>
            <w:vAlign w:val="center"/>
          </w:tcPr>
          <w:p w:rsidR="00C645C9" w:rsidRDefault="00F955D9">
            <w:pPr>
              <w:jc w:val="center"/>
              <w:rPr>
                <w:rFonts w:cs="Times New Roman"/>
                <w:snapToGrid w:val="0"/>
                <w:spacing w:val="-10"/>
                <w:sz w:val="21"/>
                <w:szCs w:val="21"/>
              </w:rPr>
            </w:pPr>
            <w:r>
              <w:rPr>
                <w:rFonts w:hint="eastAsia"/>
                <w:sz w:val="21"/>
                <w:szCs w:val="21"/>
              </w:rPr>
              <w:t>混烃储罐</w:t>
            </w:r>
            <w:r>
              <w:rPr>
                <w:rFonts w:cs="Times New Roman" w:hint="eastAsia"/>
                <w:sz w:val="21"/>
                <w:szCs w:val="21"/>
              </w:rPr>
              <w:t>大呼吸</w:t>
            </w:r>
            <w:r>
              <w:rPr>
                <w:rFonts w:cs="Times New Roman"/>
                <w:spacing w:val="-10"/>
                <w:sz w:val="21"/>
                <w:szCs w:val="21"/>
                <w:lang w:bidi="ar"/>
              </w:rPr>
              <w:t>废气</w:t>
            </w:r>
          </w:p>
        </w:tc>
        <w:tc>
          <w:tcPr>
            <w:tcW w:w="1252"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36" w:type="dxa"/>
            <w:gridSpan w:val="2"/>
            <w:tcBorders>
              <w:tl2br w:val="nil"/>
              <w:tr2bl w:val="nil"/>
            </w:tcBorders>
            <w:tcMar>
              <w:top w:w="12" w:type="dxa"/>
              <w:left w:w="12" w:type="dxa"/>
              <w:bottom w:w="0" w:type="dxa"/>
              <w:right w:w="12" w:type="dxa"/>
            </w:tcMar>
            <w:vAlign w:val="center"/>
          </w:tcPr>
          <w:p w:rsidR="00C645C9" w:rsidRDefault="00F955D9">
            <w:pPr>
              <w:pStyle w:val="afb"/>
            </w:pPr>
            <w:r>
              <w:rPr>
                <w:rFonts w:hint="eastAsia"/>
              </w:rPr>
              <w:t>36.9810</w:t>
            </w:r>
          </w:p>
        </w:tc>
        <w:tc>
          <w:tcPr>
            <w:tcW w:w="928"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1.85</w:t>
            </w:r>
          </w:p>
        </w:tc>
        <w:tc>
          <w:tcPr>
            <w:tcW w:w="840" w:type="dxa"/>
            <w:tcBorders>
              <w:tl2br w:val="nil"/>
              <w:tr2bl w:val="nil"/>
            </w:tcBorders>
            <w:vAlign w:val="center"/>
          </w:tcPr>
          <w:p w:rsidR="00C645C9" w:rsidRDefault="00C645C9">
            <w:pPr>
              <w:adjustRightInd w:val="0"/>
              <w:snapToGrid w:val="0"/>
              <w:jc w:val="center"/>
              <w:rPr>
                <w:rFonts w:cs="Times New Roman"/>
                <w:snapToGrid w:val="0"/>
                <w:spacing w:val="-10"/>
                <w:sz w:val="21"/>
                <w:szCs w:val="21"/>
              </w:rPr>
            </w:pPr>
          </w:p>
        </w:tc>
        <w:tc>
          <w:tcPr>
            <w:tcW w:w="1888" w:type="dxa"/>
            <w:tcBorders>
              <w:tl2br w:val="nil"/>
              <w:tr2bl w:val="nil"/>
            </w:tcBorders>
            <w:vAlign w:val="center"/>
          </w:tcPr>
          <w:p w:rsidR="00C645C9" w:rsidRDefault="00F955D9">
            <w:pPr>
              <w:pStyle w:val="afb"/>
              <w:rPr>
                <w:snapToGrid w:val="0"/>
                <w:spacing w:val="-10"/>
                <w:szCs w:val="21"/>
              </w:rPr>
            </w:pPr>
            <w:r>
              <w:rPr>
                <w:rFonts w:hint="eastAsia"/>
              </w:rPr>
              <w:t>83</w:t>
            </w:r>
          </w:p>
        </w:tc>
        <w:tc>
          <w:tcPr>
            <w:tcW w:w="859"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bl>
    <w:p w:rsidR="00C645C9" w:rsidRDefault="00F955D9">
      <w:pPr>
        <w:spacing w:line="360" w:lineRule="auto"/>
        <w:ind w:firstLineChars="200" w:firstLine="480"/>
        <w:jc w:val="both"/>
        <w:rPr>
          <w:rFonts w:cs="Times New Roman"/>
          <w:szCs w:val="20"/>
        </w:rPr>
      </w:pPr>
      <w:r>
        <w:rPr>
          <w:rFonts w:cs="Times New Roman"/>
          <w:szCs w:val="20"/>
        </w:rPr>
        <w:t>经计算可知，</w:t>
      </w:r>
      <w:r>
        <w:rPr>
          <w:rFonts w:cs="Times New Roman"/>
          <w:szCs w:val="20"/>
        </w:rPr>
        <w:t>本</w:t>
      </w:r>
      <w:r>
        <w:rPr>
          <w:rFonts w:cs="Times New Roman" w:hint="eastAsia"/>
          <w:szCs w:val="20"/>
        </w:rPr>
        <w:t>工程</w:t>
      </w:r>
      <w:r>
        <w:rPr>
          <w:rFonts w:cs="Times New Roman"/>
          <w:szCs w:val="20"/>
        </w:rPr>
        <w:t>最大占标率为：</w:t>
      </w:r>
      <w:r>
        <w:rPr>
          <w:rFonts w:cs="Times New Roman" w:hint="eastAsia"/>
          <w:szCs w:val="20"/>
        </w:rPr>
        <w:t>5.12</w:t>
      </w:r>
      <w:r>
        <w:rPr>
          <w:rFonts w:cs="Times New Roman"/>
          <w:szCs w:val="20"/>
        </w:rPr>
        <w:t>%</w:t>
      </w:r>
      <w:r>
        <w:rPr>
          <w:rFonts w:cs="Times New Roman"/>
          <w:szCs w:val="20"/>
        </w:rPr>
        <w:t>（来自</w:t>
      </w:r>
      <w:r>
        <w:rPr>
          <w:rFonts w:cs="Times New Roman" w:hint="eastAsia"/>
          <w:szCs w:val="20"/>
        </w:rPr>
        <w:t>井场</w:t>
      </w:r>
      <w:r>
        <w:rPr>
          <w:rFonts w:cs="Times New Roman"/>
          <w:spacing w:val="4"/>
          <w:kern w:val="24"/>
        </w:rPr>
        <w:t>无组织排放的非甲烷总烃</w:t>
      </w:r>
      <w:r>
        <w:rPr>
          <w:rFonts w:cs="Times New Roman"/>
          <w:szCs w:val="20"/>
        </w:rPr>
        <w:t>）</w:t>
      </w:r>
      <w:r>
        <w:rPr>
          <w:rFonts w:cs="Times New Roman" w:hint="eastAsia"/>
          <w:szCs w:val="20"/>
        </w:rPr>
        <w:t>，</w:t>
      </w:r>
      <w:r>
        <w:rPr>
          <w:rFonts w:cs="Times New Roman"/>
          <w:szCs w:val="20"/>
        </w:rPr>
        <w:t>最大占标率</w:t>
      </w:r>
      <w:r>
        <w:rPr>
          <w:rFonts w:cs="Times New Roman"/>
        </w:rPr>
        <w:t>在</w:t>
      </w:r>
      <w:r>
        <w:rPr>
          <w:rFonts w:cs="Times New Roman"/>
        </w:rPr>
        <w:t>1%</w:t>
      </w:r>
      <w:r>
        <w:rPr>
          <w:rFonts w:ascii="宋体" w:hAnsi="宋体" w:hint="eastAsia"/>
        </w:rPr>
        <w:t>≤</w:t>
      </w:r>
      <w:r>
        <w:rPr>
          <w:rFonts w:cs="Times New Roman"/>
          <w:i/>
          <w:iCs/>
        </w:rPr>
        <w:t>P</w:t>
      </w:r>
      <w:r>
        <w:rPr>
          <w:rFonts w:cs="Times New Roman"/>
          <w:vertAlign w:val="subscript"/>
        </w:rPr>
        <w:t>max</w:t>
      </w:r>
      <w:r>
        <w:rPr>
          <w:rFonts w:cs="Times New Roman"/>
        </w:rPr>
        <w:t>＜</w:t>
      </w:r>
      <w:r>
        <w:rPr>
          <w:rFonts w:cs="Times New Roman"/>
        </w:rPr>
        <w:t>10%</w:t>
      </w:r>
      <w:r>
        <w:rPr>
          <w:rFonts w:cs="Times New Roman"/>
        </w:rPr>
        <w:t>，</w:t>
      </w:r>
      <w:r>
        <w:rPr>
          <w:rFonts w:cs="Times New Roman"/>
          <w:szCs w:val="20"/>
        </w:rPr>
        <w:t>根据《</w:t>
      </w:r>
      <w:bookmarkStart w:id="326" w:name="OLE_LINK103"/>
      <w:r>
        <w:rPr>
          <w:rFonts w:cs="Times New Roman"/>
          <w:szCs w:val="20"/>
        </w:rPr>
        <w:t>环境影响评价技术导则</w:t>
      </w:r>
      <w:r>
        <w:rPr>
          <w:rFonts w:cs="Times New Roman"/>
          <w:szCs w:val="20"/>
        </w:rPr>
        <w:t xml:space="preserve"> </w:t>
      </w:r>
      <w:r>
        <w:rPr>
          <w:rFonts w:cs="Times New Roman"/>
          <w:szCs w:val="20"/>
        </w:rPr>
        <w:t>大气环境</w:t>
      </w:r>
      <w:bookmarkEnd w:id="326"/>
      <w:r>
        <w:rPr>
          <w:rFonts w:cs="Times New Roman"/>
          <w:szCs w:val="20"/>
        </w:rPr>
        <w:t>》（</w:t>
      </w:r>
      <w:r>
        <w:rPr>
          <w:rFonts w:cs="Times New Roman"/>
          <w:szCs w:val="20"/>
        </w:rPr>
        <w:t>HJ2.2-2018</w:t>
      </w:r>
      <w:r>
        <w:rPr>
          <w:rFonts w:cs="Times New Roman"/>
          <w:szCs w:val="20"/>
        </w:rPr>
        <w:t>）中大气</w:t>
      </w:r>
      <w:bookmarkStart w:id="327" w:name="OLE_LINK104"/>
      <w:r>
        <w:rPr>
          <w:rFonts w:cs="Times New Roman"/>
          <w:szCs w:val="20"/>
        </w:rPr>
        <w:t>环境</w:t>
      </w:r>
      <w:bookmarkEnd w:id="327"/>
      <w:r>
        <w:rPr>
          <w:rFonts w:cs="Times New Roman"/>
          <w:szCs w:val="20"/>
        </w:rPr>
        <w:t>评价工作</w:t>
      </w:r>
      <w:r>
        <w:rPr>
          <w:rFonts w:cs="Times New Roman" w:hint="eastAsia"/>
          <w:szCs w:val="20"/>
        </w:rPr>
        <w:t>等级</w:t>
      </w:r>
      <w:r>
        <w:rPr>
          <w:rFonts w:cs="Times New Roman"/>
          <w:szCs w:val="20"/>
        </w:rPr>
        <w:t>判据判别，确定本次环评大气环境影响评价的工作等级为</w:t>
      </w:r>
      <w:r>
        <w:rPr>
          <w:rFonts w:cs="Times New Roman" w:hint="eastAsia"/>
          <w:szCs w:val="20"/>
        </w:rPr>
        <w:t>二</w:t>
      </w:r>
      <w:r>
        <w:rPr>
          <w:rFonts w:cs="Times New Roman"/>
          <w:szCs w:val="20"/>
        </w:rPr>
        <w:t>级</w:t>
      </w:r>
      <w:r>
        <w:rPr>
          <w:rFonts w:cs="Times New Roman" w:hint="eastAsia"/>
          <w:szCs w:val="20"/>
        </w:rPr>
        <w:t>评价</w:t>
      </w:r>
      <w:r>
        <w:rPr>
          <w:rFonts w:cs="Times New Roman"/>
          <w:szCs w:val="20"/>
        </w:rPr>
        <w:t>。</w:t>
      </w:r>
    </w:p>
    <w:p w:rsidR="00C645C9" w:rsidRDefault="00F955D9">
      <w:pPr>
        <w:spacing w:line="360" w:lineRule="auto"/>
        <w:ind w:firstLineChars="200" w:firstLine="480"/>
        <w:jc w:val="both"/>
        <w:rPr>
          <w:rFonts w:cs="Times New Roman"/>
          <w:szCs w:val="20"/>
        </w:rPr>
      </w:pPr>
      <w:r>
        <w:rPr>
          <w:rFonts w:cs="Times New Roman"/>
          <w:szCs w:val="20"/>
        </w:rPr>
        <w:t>（</w:t>
      </w:r>
      <w:r>
        <w:rPr>
          <w:rFonts w:cs="Times New Roman"/>
          <w:szCs w:val="20"/>
        </w:rPr>
        <w:t>2</w:t>
      </w:r>
      <w:r>
        <w:rPr>
          <w:rFonts w:cs="Times New Roman"/>
          <w:szCs w:val="20"/>
        </w:rPr>
        <w:t>）评价范围</w:t>
      </w:r>
    </w:p>
    <w:p w:rsidR="00C645C9" w:rsidRDefault="00F955D9">
      <w:pPr>
        <w:widowControl w:val="0"/>
        <w:adjustRightInd w:val="0"/>
        <w:snapToGrid w:val="0"/>
        <w:spacing w:line="360" w:lineRule="auto"/>
        <w:ind w:firstLineChars="200" w:firstLine="480"/>
        <w:jc w:val="both"/>
        <w:rPr>
          <w:rFonts w:cs="Times New Roman"/>
        </w:rPr>
      </w:pPr>
      <w:r>
        <w:rPr>
          <w:rFonts w:cs="Times New Roman"/>
          <w:szCs w:val="20"/>
        </w:rPr>
        <w:t>根据《环境影响评价技术导则</w:t>
      </w:r>
      <w:r>
        <w:rPr>
          <w:rFonts w:cs="Times New Roman"/>
          <w:szCs w:val="20"/>
        </w:rPr>
        <w:t xml:space="preserve"> </w:t>
      </w:r>
      <w:r>
        <w:rPr>
          <w:rFonts w:cs="Times New Roman"/>
          <w:szCs w:val="20"/>
        </w:rPr>
        <w:t>大气环境》（</w:t>
      </w:r>
      <w:r>
        <w:rPr>
          <w:rFonts w:cs="Times New Roman"/>
          <w:szCs w:val="20"/>
        </w:rPr>
        <w:t>HJ2.2-2018</w:t>
      </w:r>
      <w:r>
        <w:rPr>
          <w:rFonts w:cs="Times New Roman"/>
          <w:szCs w:val="20"/>
        </w:rPr>
        <w:t>）的规定，结合</w:t>
      </w:r>
      <w:r>
        <w:rPr>
          <w:rFonts w:cs="Times New Roman"/>
          <w:szCs w:val="20"/>
        </w:rPr>
        <w:t>本</w:t>
      </w:r>
      <w:r>
        <w:rPr>
          <w:rFonts w:cs="Times New Roman" w:hint="eastAsia"/>
          <w:szCs w:val="20"/>
        </w:rPr>
        <w:t>工程</w:t>
      </w:r>
      <w:r>
        <w:rPr>
          <w:rFonts w:cs="Times New Roman"/>
          <w:szCs w:val="20"/>
        </w:rPr>
        <w:t>特点，考虑油田整体开发对大气环境的区域影响，最终确定大气环境影响评价范围为以井场为中心，</w:t>
      </w:r>
      <w:r>
        <w:rPr>
          <w:rFonts w:cs="Times New Roman" w:hint="eastAsia"/>
          <w:szCs w:val="20"/>
        </w:rPr>
        <w:t>边长</w:t>
      </w:r>
      <w:r>
        <w:rPr>
          <w:rFonts w:cs="Times New Roman"/>
          <w:szCs w:val="20"/>
        </w:rPr>
        <w:t>5km</w:t>
      </w:r>
      <w:r>
        <w:rPr>
          <w:rFonts w:cs="Times New Roman"/>
          <w:szCs w:val="20"/>
        </w:rPr>
        <w:t>的矩形区域作为大气环境评价范围。评价范围图见图</w:t>
      </w:r>
      <w:r>
        <w:rPr>
          <w:rFonts w:cs="Times New Roman"/>
          <w:szCs w:val="20"/>
        </w:rPr>
        <w:t>2.</w:t>
      </w:r>
      <w:r>
        <w:rPr>
          <w:rFonts w:cs="Times New Roman" w:hint="eastAsia"/>
          <w:szCs w:val="20"/>
        </w:rPr>
        <w:t>5</w:t>
      </w:r>
      <w:r>
        <w:rPr>
          <w:rFonts w:cs="Times New Roman"/>
          <w:szCs w:val="20"/>
        </w:rPr>
        <w:t>-1</w:t>
      </w:r>
      <w:r>
        <w:rPr>
          <w:rFonts w:cs="Times New Roman"/>
        </w:rPr>
        <w:t>。</w:t>
      </w:r>
    </w:p>
    <w:p w:rsidR="00C645C9" w:rsidRDefault="00F955D9">
      <w:pPr>
        <w:pStyle w:val="32"/>
        <w:adjustRightInd w:val="0"/>
        <w:snapToGrid w:val="0"/>
        <w:spacing w:before="0" w:after="0"/>
        <w:rPr>
          <w:color w:val="auto"/>
          <w:lang w:eastAsia="zh-CN"/>
        </w:rPr>
      </w:pPr>
      <w:bookmarkStart w:id="328" w:name="OLE_LINK160"/>
      <w:bookmarkEnd w:id="243"/>
      <w:r>
        <w:rPr>
          <w:color w:val="auto"/>
          <w:lang w:eastAsia="zh-CN"/>
        </w:rPr>
        <w:t>2.</w:t>
      </w:r>
      <w:r>
        <w:rPr>
          <w:rFonts w:hint="eastAsia"/>
          <w:color w:val="auto"/>
          <w:lang w:eastAsia="zh-CN"/>
        </w:rPr>
        <w:t>5</w:t>
      </w:r>
      <w:r>
        <w:rPr>
          <w:color w:val="auto"/>
          <w:lang w:eastAsia="zh-CN"/>
        </w:rPr>
        <w:t>.</w:t>
      </w:r>
      <w:bookmarkStart w:id="329" w:name="OLE_LINK129"/>
      <w:r>
        <w:rPr>
          <w:rFonts w:hint="eastAsia"/>
          <w:color w:val="auto"/>
          <w:lang w:eastAsia="zh-CN"/>
        </w:rPr>
        <w:t>6</w:t>
      </w:r>
      <w:bookmarkEnd w:id="329"/>
      <w:r>
        <w:rPr>
          <w:color w:val="auto"/>
          <w:lang w:eastAsia="zh-CN"/>
        </w:rPr>
        <w:t>声环境影响</w:t>
      </w:r>
      <w:bookmarkStart w:id="330" w:name="OLE_LINK609"/>
      <w:r>
        <w:rPr>
          <w:color w:val="auto"/>
          <w:lang w:eastAsia="zh-CN"/>
        </w:rPr>
        <w:t>评价等级和评价范围</w:t>
      </w:r>
      <w:bookmarkEnd w:id="330"/>
    </w:p>
    <w:p w:rsidR="00C645C9" w:rsidRDefault="00F955D9">
      <w:pPr>
        <w:adjustRightInd w:val="0"/>
        <w:snapToGrid w:val="0"/>
        <w:spacing w:line="360" w:lineRule="auto"/>
        <w:ind w:firstLine="480"/>
        <w:jc w:val="both"/>
        <w:rPr>
          <w:rFonts w:cs="Times New Roman"/>
        </w:rPr>
      </w:pPr>
      <w:bookmarkStart w:id="331" w:name="OLE_LINK332"/>
      <w:r>
        <w:rPr>
          <w:rFonts w:cs="Times New Roman"/>
        </w:rPr>
        <w:t>（</w:t>
      </w:r>
      <w:r>
        <w:rPr>
          <w:rFonts w:cs="Times New Roman"/>
        </w:rPr>
        <w:t>1</w:t>
      </w:r>
      <w:r>
        <w:rPr>
          <w:rFonts w:cs="Times New Roman"/>
        </w:rPr>
        <w:t>）评价等级</w:t>
      </w:r>
    </w:p>
    <w:p w:rsidR="00C645C9" w:rsidRDefault="00F955D9">
      <w:pPr>
        <w:spacing w:line="360" w:lineRule="auto"/>
        <w:ind w:firstLineChars="200" w:firstLine="480"/>
        <w:rPr>
          <w:rFonts w:cs="Times New Roman"/>
        </w:rPr>
      </w:pPr>
      <w:r>
        <w:rPr>
          <w:rFonts w:cs="Times New Roman" w:hint="eastAsia"/>
        </w:rPr>
        <w:t>根据《声环境质量标准》（</w:t>
      </w:r>
      <w:r>
        <w:rPr>
          <w:rFonts w:cs="Times New Roman" w:hint="eastAsia"/>
        </w:rPr>
        <w:t>GB3096-2008</w:t>
      </w:r>
      <w:r>
        <w:rPr>
          <w:rFonts w:cs="Times New Roman" w:hint="eastAsia"/>
        </w:rPr>
        <w:t>），本工程所在区域为</w:t>
      </w:r>
      <w:r>
        <w:rPr>
          <w:rFonts w:cs="Times New Roman" w:hint="eastAsia"/>
        </w:rPr>
        <w:t>2</w:t>
      </w:r>
      <w:r>
        <w:rPr>
          <w:rFonts w:cs="Times New Roman" w:hint="eastAsia"/>
        </w:rPr>
        <w:t>类声环境功能区，依据</w:t>
      </w:r>
      <w:bookmarkStart w:id="332" w:name="OLE_LINK126"/>
      <w:r>
        <w:rPr>
          <w:rFonts w:cs="Times New Roman"/>
        </w:rPr>
        <w:t>《</w:t>
      </w:r>
      <w:bookmarkStart w:id="333" w:name="OLE_LINK122"/>
      <w:r>
        <w:rPr>
          <w:rFonts w:cs="Times New Roman"/>
        </w:rPr>
        <w:t>环境影响评价技术导则</w:t>
      </w:r>
      <w:r>
        <w:rPr>
          <w:rFonts w:cs="Times New Roman"/>
        </w:rPr>
        <w:t xml:space="preserve"> </w:t>
      </w:r>
      <w:r>
        <w:rPr>
          <w:rFonts w:cs="Times New Roman"/>
        </w:rPr>
        <w:t>声环境</w:t>
      </w:r>
      <w:bookmarkEnd w:id="333"/>
      <w:r>
        <w:rPr>
          <w:rFonts w:cs="Times New Roman"/>
        </w:rPr>
        <w:t>》（</w:t>
      </w:r>
      <w:r>
        <w:rPr>
          <w:rFonts w:cs="Times New Roman"/>
        </w:rPr>
        <w:t>HJ2.4-2021</w:t>
      </w:r>
      <w:r>
        <w:rPr>
          <w:rFonts w:cs="Times New Roman"/>
        </w:rPr>
        <w:t>）</w:t>
      </w:r>
      <w:bookmarkEnd w:id="332"/>
      <w:r>
        <w:rPr>
          <w:rFonts w:cs="Times New Roman"/>
        </w:rPr>
        <w:t>规定，</w:t>
      </w:r>
      <w:bookmarkStart w:id="334" w:name="OLE_LINK331"/>
      <w:r>
        <w:rPr>
          <w:rFonts w:cs="Times New Roman"/>
        </w:rPr>
        <w:t>本工程声环境影响评价工作等级为二级</w:t>
      </w:r>
      <w:r>
        <w:rPr>
          <w:rFonts w:cs="Times New Roman" w:hint="eastAsia"/>
        </w:rPr>
        <w:t>评价</w:t>
      </w:r>
      <w:r>
        <w:rPr>
          <w:rFonts w:cs="Times New Roman"/>
        </w:rPr>
        <w:t>。</w:t>
      </w:r>
    </w:p>
    <w:p w:rsidR="00C645C9" w:rsidRDefault="00F955D9">
      <w:pPr>
        <w:pStyle w:val="GB231226"/>
        <w:widowControl w:val="0"/>
        <w:adjustRightInd w:val="0"/>
        <w:snapToGrid w:val="0"/>
        <w:rPr>
          <w:rFonts w:cs="Times New Roman"/>
        </w:rPr>
      </w:pPr>
      <w:bookmarkStart w:id="335" w:name="OLE_LINK130"/>
      <w:bookmarkEnd w:id="331"/>
      <w:bookmarkEnd w:id="334"/>
      <w:r>
        <w:rPr>
          <w:rFonts w:cs="Times New Roman"/>
        </w:rPr>
        <w:t>（</w:t>
      </w:r>
      <w:r>
        <w:rPr>
          <w:rFonts w:cs="Times New Roman"/>
        </w:rPr>
        <w:t>2</w:t>
      </w:r>
      <w:r>
        <w:rPr>
          <w:rFonts w:cs="Times New Roman"/>
        </w:rPr>
        <w:t>）</w:t>
      </w:r>
      <w:r>
        <w:rPr>
          <w:rFonts w:cs="Times New Roman"/>
        </w:rPr>
        <w:t>评价范围</w:t>
      </w:r>
    </w:p>
    <w:p w:rsidR="00C645C9" w:rsidRDefault="00F955D9">
      <w:pPr>
        <w:pStyle w:val="GB231226"/>
        <w:widowControl w:val="0"/>
        <w:adjustRightInd w:val="0"/>
        <w:snapToGrid w:val="0"/>
        <w:jc w:val="both"/>
        <w:rPr>
          <w:rFonts w:cs="Times New Roman"/>
        </w:rPr>
      </w:pPr>
      <w:bookmarkStart w:id="336" w:name="OLE_LINK127"/>
      <w:bookmarkEnd w:id="335"/>
      <w:r>
        <w:rPr>
          <w:rFonts w:cs="Times New Roman" w:hint="eastAsia"/>
        </w:rPr>
        <w:t>根据</w:t>
      </w:r>
      <w:r>
        <w:rPr>
          <w:rFonts w:cs="Times New Roman"/>
        </w:rPr>
        <w:t>《环境影响评价技术导则</w:t>
      </w:r>
      <w:r>
        <w:rPr>
          <w:rFonts w:cs="Times New Roman"/>
        </w:rPr>
        <w:t xml:space="preserve"> </w:t>
      </w:r>
      <w:r>
        <w:rPr>
          <w:rFonts w:cs="Times New Roman"/>
        </w:rPr>
        <w:t>声环境》（</w:t>
      </w:r>
      <w:r>
        <w:rPr>
          <w:rFonts w:cs="Times New Roman"/>
        </w:rPr>
        <w:t>HJ2.4-2021</w:t>
      </w:r>
      <w:r>
        <w:rPr>
          <w:rFonts w:cs="Times New Roman"/>
        </w:rPr>
        <w:t>）</w:t>
      </w:r>
      <w:r>
        <w:rPr>
          <w:rFonts w:cs="Times New Roman" w:hint="eastAsia"/>
        </w:rPr>
        <w:t>要求</w:t>
      </w:r>
      <w:r>
        <w:rPr>
          <w:rFonts w:cs="Times New Roman" w:hint="eastAsia"/>
        </w:rPr>
        <w:t>，“</w:t>
      </w:r>
      <w:r>
        <w:rPr>
          <w:rFonts w:cs="Times New Roman" w:hint="eastAsia"/>
        </w:rPr>
        <w:t>a</w:t>
      </w:r>
      <w:r>
        <w:rPr>
          <w:rFonts w:cs="Times New Roman" w:hint="eastAsia"/>
        </w:rPr>
        <w:t>）满足一级评价的要求，一般以建设项目边界向外</w:t>
      </w:r>
      <w:r>
        <w:rPr>
          <w:rFonts w:cs="Times New Roman" w:hint="eastAsia"/>
        </w:rPr>
        <w:t>200m</w:t>
      </w:r>
      <w:r>
        <w:rPr>
          <w:rFonts w:cs="Times New Roman" w:hint="eastAsia"/>
        </w:rPr>
        <w:t>作为评价范围；</w:t>
      </w:r>
      <w:r>
        <w:rPr>
          <w:rFonts w:cs="Times New Roman" w:hint="eastAsia"/>
        </w:rPr>
        <w:t>b</w:t>
      </w:r>
      <w:r>
        <w:rPr>
          <w:rFonts w:cs="Times New Roman" w:hint="eastAsia"/>
        </w:rPr>
        <w:t>）二级、三级评价范围可根据建设项目所在区域和相邻区域的声环境功能区类别及声环境保护目标等实际情况适当缩小；</w:t>
      </w:r>
      <w:r>
        <w:rPr>
          <w:rFonts w:cs="Times New Roman" w:hint="eastAsia"/>
        </w:rPr>
        <w:t>c</w:t>
      </w:r>
      <w:r>
        <w:rPr>
          <w:rFonts w:cs="Times New Roman" w:hint="eastAsia"/>
        </w:rPr>
        <w:t>）如依据建设项目声源计算得到的贡献值到</w:t>
      </w:r>
      <w:r>
        <w:rPr>
          <w:rFonts w:cs="Times New Roman" w:hint="eastAsia"/>
        </w:rPr>
        <w:t>200m</w:t>
      </w:r>
      <w:r>
        <w:rPr>
          <w:rFonts w:cs="Times New Roman" w:hint="eastAsia"/>
        </w:rPr>
        <w:t>处，仍不能满足相应功能区标准值时，应将评价范围扩大到满足标准值的距离。”</w:t>
      </w:r>
      <w:bookmarkEnd w:id="336"/>
      <w:r>
        <w:rPr>
          <w:rFonts w:cs="Times New Roman"/>
        </w:rPr>
        <w:t>根据</w:t>
      </w:r>
      <w:r>
        <w:rPr>
          <w:rFonts w:cs="Times New Roman" w:hint="eastAsia"/>
        </w:rPr>
        <w:t>本工程</w:t>
      </w:r>
      <w:r>
        <w:rPr>
          <w:rFonts w:cs="Times New Roman"/>
        </w:rPr>
        <w:t>特点，本次声环境评价范围为井场边界向外</w:t>
      </w:r>
      <w:r>
        <w:rPr>
          <w:rFonts w:cs="Times New Roman"/>
        </w:rPr>
        <w:t>200m</w:t>
      </w:r>
      <w:r>
        <w:rPr>
          <w:rFonts w:cs="Times New Roman"/>
        </w:rPr>
        <w:t>评价范围。评价范</w:t>
      </w:r>
      <w:r>
        <w:rPr>
          <w:rFonts w:cs="Times New Roman"/>
        </w:rPr>
        <w:lastRenderedPageBreak/>
        <w:t>围见</w:t>
      </w:r>
      <w:r>
        <w:rPr>
          <w:rFonts w:cs="Times New Roman"/>
        </w:rPr>
        <w:t>图</w:t>
      </w:r>
      <w:r>
        <w:rPr>
          <w:rFonts w:cs="Times New Roman"/>
        </w:rPr>
        <w:t>2.</w:t>
      </w:r>
      <w:r>
        <w:rPr>
          <w:rFonts w:cs="Times New Roman" w:hint="eastAsia"/>
        </w:rPr>
        <w:t>5</w:t>
      </w:r>
      <w:r>
        <w:rPr>
          <w:rFonts w:cs="Times New Roman"/>
        </w:rPr>
        <w:t>-1</w:t>
      </w:r>
      <w:r>
        <w:rPr>
          <w:rFonts w:cs="Times New Roman"/>
        </w:rPr>
        <w:t>。</w:t>
      </w:r>
    </w:p>
    <w:bookmarkEnd w:id="328"/>
    <w:p w:rsidR="00C645C9" w:rsidRDefault="00F955D9">
      <w:pPr>
        <w:pStyle w:val="32"/>
        <w:adjustRightInd w:val="0"/>
        <w:snapToGrid w:val="0"/>
        <w:spacing w:before="0" w:after="0"/>
        <w:rPr>
          <w:color w:val="auto"/>
          <w:lang w:eastAsia="zh-CN"/>
        </w:rPr>
      </w:pPr>
      <w:r>
        <w:rPr>
          <w:color w:val="auto"/>
          <w:lang w:eastAsia="zh-CN"/>
        </w:rPr>
        <w:t>2.</w:t>
      </w:r>
      <w:r>
        <w:rPr>
          <w:rFonts w:hint="eastAsia"/>
          <w:color w:val="auto"/>
          <w:lang w:eastAsia="zh-CN"/>
        </w:rPr>
        <w:t>5.7</w:t>
      </w:r>
      <w:r>
        <w:rPr>
          <w:color w:val="auto"/>
          <w:lang w:eastAsia="zh-CN"/>
        </w:rPr>
        <w:t>环境风险评价等级和评价范围</w:t>
      </w:r>
      <w:r>
        <w:rPr>
          <w:color w:val="auto"/>
          <w:lang w:eastAsia="zh-CN"/>
        </w:rPr>
        <w:t xml:space="preserve">    </w:t>
      </w:r>
    </w:p>
    <w:p w:rsidR="00C645C9" w:rsidRDefault="00F955D9">
      <w:pPr>
        <w:spacing w:line="360" w:lineRule="auto"/>
        <w:ind w:firstLineChars="200" w:firstLine="480"/>
        <w:rPr>
          <w:rFonts w:cs="Times New Roman"/>
        </w:rPr>
      </w:pPr>
      <w:bookmarkStart w:id="337" w:name="OLE_LINK163"/>
      <w:r>
        <w:rPr>
          <w:rFonts w:cs="Times New Roman"/>
        </w:rPr>
        <w:t>根据</w:t>
      </w:r>
      <w:bookmarkStart w:id="338" w:name="OLE_LINK161"/>
      <w:r>
        <w:rPr>
          <w:rFonts w:cs="Times New Roman"/>
        </w:rPr>
        <w:t>《建设项目环境风险评价技术导则》（</w:t>
      </w:r>
      <w:r>
        <w:rPr>
          <w:rFonts w:cs="Times New Roman"/>
        </w:rPr>
        <w:t>HJ169-2018</w:t>
      </w:r>
      <w:r>
        <w:rPr>
          <w:rFonts w:cs="Times New Roman"/>
        </w:rPr>
        <w:t>）</w:t>
      </w:r>
      <w:bookmarkEnd w:id="338"/>
      <w:r>
        <w:rPr>
          <w:rFonts w:cs="Times New Roman" w:hint="eastAsia"/>
        </w:rPr>
        <w:t>，</w:t>
      </w:r>
      <w:r>
        <w:rPr>
          <w:rFonts w:cs="Times New Roman"/>
        </w:rPr>
        <w:t>本</w:t>
      </w:r>
      <w:r>
        <w:rPr>
          <w:rFonts w:cs="Times New Roman" w:hint="eastAsia"/>
        </w:rPr>
        <w:t>工程</w:t>
      </w:r>
      <w:r>
        <w:t>突发环境事件风险物质主要</w:t>
      </w:r>
      <w:r>
        <w:rPr>
          <w:rFonts w:cs="Times New Roman"/>
        </w:rPr>
        <w:t>为</w:t>
      </w:r>
      <w:bookmarkStart w:id="339" w:name="OLE_LINK165"/>
      <w:r>
        <w:rPr>
          <w:rFonts w:cs="Times New Roman" w:hint="eastAsia"/>
        </w:rPr>
        <w:t>天然气、</w:t>
      </w:r>
      <w:bookmarkEnd w:id="339"/>
      <w:r>
        <w:rPr>
          <w:rFonts w:cs="Times New Roman"/>
        </w:rPr>
        <w:t>凝析油、</w:t>
      </w:r>
      <w:bookmarkStart w:id="340" w:name="OLE_LINK166"/>
      <w:r>
        <w:rPr>
          <w:rFonts w:cs="Times New Roman"/>
        </w:rPr>
        <w:t>硫化氢</w:t>
      </w:r>
      <w:bookmarkEnd w:id="340"/>
      <w:r>
        <w:rPr>
          <w:rFonts w:cs="Times New Roman"/>
        </w:rPr>
        <w:t>，</w:t>
      </w:r>
      <w:r>
        <w:rPr>
          <w:rFonts w:hint="eastAsia"/>
        </w:rPr>
        <w:t>凝析油主要存在</w:t>
      </w:r>
      <w:r>
        <w:t>于</w:t>
      </w:r>
      <w:r>
        <w:rPr>
          <w:rFonts w:cs="Times New Roman" w:hint="eastAsia"/>
        </w:rPr>
        <w:t>井场储油罐内</w:t>
      </w:r>
      <w:r>
        <w:rPr>
          <w:rFonts w:cs="Times New Roman" w:hint="eastAsia"/>
        </w:rPr>
        <w:t>，</w:t>
      </w:r>
      <w:r>
        <w:rPr>
          <w:rFonts w:cs="Times New Roman" w:hint="eastAsia"/>
        </w:rPr>
        <w:t>天然气和</w:t>
      </w:r>
      <w:r>
        <w:rPr>
          <w:rFonts w:cs="Times New Roman"/>
        </w:rPr>
        <w:t>硫化氢</w:t>
      </w:r>
      <w:r>
        <w:rPr>
          <w:rFonts w:hint="eastAsia"/>
        </w:rPr>
        <w:t>主要存在于天然气处理</w:t>
      </w:r>
      <w:r>
        <w:rPr>
          <w:rFonts w:hint="eastAsia"/>
        </w:rPr>
        <w:t>装置内</w:t>
      </w:r>
      <w:r>
        <w:rPr>
          <w:rFonts w:cs="Times New Roman"/>
        </w:rPr>
        <w:t>。</w:t>
      </w:r>
    </w:p>
    <w:bookmarkEnd w:id="337"/>
    <w:p w:rsidR="00C645C9" w:rsidRDefault="00F955D9">
      <w:pPr>
        <w:pStyle w:val="a4"/>
        <w:adjustRightInd w:val="0"/>
        <w:snapToGrid w:val="0"/>
        <w:spacing w:line="360" w:lineRule="auto"/>
        <w:rPr>
          <w:rFonts w:ascii="Times New Roman" w:hAnsi="Times New Roman" w:cs="Times New Roman"/>
        </w:rPr>
        <w:sectPr w:rsidR="00C645C9">
          <w:pgSz w:w="11906" w:h="16838"/>
          <w:pgMar w:top="1440" w:right="1800" w:bottom="1440" w:left="1800" w:header="851" w:footer="992" w:gutter="0"/>
          <w:cols w:space="425"/>
          <w:docGrid w:type="lines" w:linePitch="312"/>
        </w:sectPr>
      </w:pPr>
      <w:r>
        <w:rPr>
          <w:rFonts w:ascii="Times New Roman" w:eastAsia="宋体" w:hAnsi="Times New Roman" w:cs="Times New Roman" w:hint="eastAsia"/>
        </w:rPr>
        <w:t>根据“章节</w:t>
      </w:r>
      <w:r>
        <w:rPr>
          <w:rFonts w:ascii="Times New Roman" w:eastAsia="宋体" w:hAnsi="Times New Roman" w:cs="Times New Roman" w:hint="eastAsia"/>
        </w:rPr>
        <w:t>5.8.2</w:t>
      </w:r>
      <w:r>
        <w:rPr>
          <w:rFonts w:ascii="Times New Roman" w:eastAsia="宋体" w:hAnsi="Times New Roman" w:cs="Times New Roman" w:hint="eastAsia"/>
        </w:rPr>
        <w:t>”</w:t>
      </w:r>
      <w:r>
        <w:rPr>
          <w:rFonts w:ascii="Times New Roman" w:eastAsia="宋体" w:hAnsi="Times New Roman" w:cs="Times New Roman"/>
        </w:rPr>
        <w:t>判断</w:t>
      </w:r>
      <w:r>
        <w:rPr>
          <w:rFonts w:ascii="Times New Roman" w:eastAsia="宋体" w:hAnsi="Times New Roman" w:cs="Times New Roman" w:hint="eastAsia"/>
        </w:rPr>
        <w:t>本工程</w:t>
      </w:r>
      <w:r>
        <w:rPr>
          <w:rFonts w:ascii="Times New Roman" w:eastAsia="宋体" w:hAnsi="Times New Roman" w:cs="Times New Roman"/>
        </w:rPr>
        <w:t>风险潜势为</w:t>
      </w:r>
      <w:r>
        <w:rPr>
          <w:rFonts w:ascii="Times New Roman" w:eastAsia="宋体" w:hAnsi="Times New Roman" w:cs="Times New Roman"/>
        </w:rPr>
        <w:t>Ⅰ</w:t>
      </w:r>
      <w:r>
        <w:rPr>
          <w:rFonts w:ascii="Times New Roman" w:eastAsia="宋体" w:hAnsi="Times New Roman" w:cs="Times New Roman"/>
        </w:rPr>
        <w:t>，根据</w:t>
      </w:r>
      <w:r>
        <w:rPr>
          <w:rFonts w:ascii="Times New Roman" w:eastAsia="宋体" w:hAnsi="Times New Roman" w:cs="Times New Roman"/>
        </w:rPr>
        <w:t>《建设项目环境风险评价技术导则》（</w:t>
      </w:r>
      <w:r>
        <w:rPr>
          <w:rFonts w:ascii="Times New Roman" w:eastAsia="宋体" w:hAnsi="Times New Roman" w:cs="Times New Roman"/>
        </w:rPr>
        <w:t>HJ169-2018</w:t>
      </w:r>
      <w:r>
        <w:rPr>
          <w:rFonts w:ascii="Times New Roman" w:eastAsia="宋体" w:hAnsi="Times New Roman" w:cs="Times New Roman"/>
        </w:rPr>
        <w:t>）</w:t>
      </w:r>
      <w:r>
        <w:rPr>
          <w:rFonts w:ascii="Times New Roman" w:eastAsia="宋体" w:hAnsi="Times New Roman" w:cs="Times New Roman"/>
        </w:rPr>
        <w:t>相关要求，本次评价环境风险评价为简单分析</w:t>
      </w:r>
      <w:r>
        <w:rPr>
          <w:rFonts w:ascii="Times New Roman" w:eastAsia="宋体" w:hAnsi="Times New Roman" w:cs="Times New Roman" w:hint="eastAsia"/>
        </w:rPr>
        <w:t>，</w:t>
      </w:r>
      <w:r>
        <w:rPr>
          <w:rFonts w:ascii="Times New Roman" w:eastAsia="宋体" w:hAnsi="Times New Roman" w:cs="Times New Roman"/>
        </w:rPr>
        <w:t>不设置环境风险评价范围</w:t>
      </w:r>
      <w:r>
        <w:rPr>
          <w:rFonts w:ascii="Times New Roman" w:hAnsi="Times New Roman" w:cs="Times New Roman"/>
        </w:rPr>
        <w:t>。</w:t>
      </w:r>
    </w:p>
    <w:p w:rsidR="00C645C9" w:rsidRDefault="00C645C9">
      <w:pPr>
        <w:pStyle w:val="af9"/>
        <w:adjustRightInd w:val="0"/>
        <w:snapToGrid w:val="0"/>
        <w:spacing w:line="240" w:lineRule="auto"/>
      </w:pPr>
    </w:p>
    <w:p w:rsidR="00C645C9" w:rsidRDefault="00F955D9">
      <w:pPr>
        <w:jc w:val="center"/>
        <w:rPr>
          <w:rFonts w:eastAsia="黑体" w:cs="Times New Roman"/>
          <w:bCs/>
          <w:sz w:val="21"/>
          <w:szCs w:val="21"/>
        </w:rPr>
        <w:sectPr w:rsidR="00C645C9">
          <w:pgSz w:w="16838" w:h="11905" w:orient="landscape"/>
          <w:pgMar w:top="1800" w:right="1440" w:bottom="1800" w:left="1440" w:header="935" w:footer="1134" w:gutter="0"/>
          <w:cols w:space="720"/>
          <w:docGrid w:linePitch="312"/>
        </w:sectPr>
      </w:pPr>
      <w:r>
        <w:rPr>
          <w:rFonts w:eastAsia="黑体" w:cs="Times New Roman"/>
          <w:bCs/>
          <w:sz w:val="21"/>
          <w:szCs w:val="21"/>
        </w:rPr>
        <w:t>图</w:t>
      </w:r>
      <w:r>
        <w:rPr>
          <w:rFonts w:eastAsia="黑体" w:cs="Times New Roman"/>
          <w:bCs/>
          <w:sz w:val="21"/>
          <w:szCs w:val="21"/>
        </w:rPr>
        <w:t>2.</w:t>
      </w:r>
      <w:r>
        <w:rPr>
          <w:rFonts w:eastAsia="黑体" w:cs="Times New Roman" w:hint="eastAsia"/>
          <w:bCs/>
          <w:sz w:val="21"/>
          <w:szCs w:val="21"/>
        </w:rPr>
        <w:t>5</w:t>
      </w:r>
      <w:r>
        <w:rPr>
          <w:rFonts w:eastAsia="黑体" w:cs="Times New Roman"/>
          <w:bCs/>
          <w:sz w:val="21"/>
          <w:szCs w:val="21"/>
        </w:rPr>
        <w:t xml:space="preserve">-1  </w:t>
      </w:r>
      <w:r>
        <w:rPr>
          <w:rFonts w:eastAsia="黑体" w:cs="Times New Roman"/>
          <w:bCs/>
          <w:sz w:val="21"/>
          <w:szCs w:val="21"/>
        </w:rPr>
        <w:t>本</w:t>
      </w:r>
      <w:r>
        <w:rPr>
          <w:rFonts w:eastAsia="黑体" w:cs="Times New Roman" w:hint="eastAsia"/>
          <w:bCs/>
          <w:sz w:val="21"/>
          <w:szCs w:val="21"/>
        </w:rPr>
        <w:t>工程</w:t>
      </w:r>
      <w:r>
        <w:rPr>
          <w:rFonts w:eastAsia="黑体" w:cs="Times New Roman"/>
          <w:bCs/>
          <w:sz w:val="21"/>
          <w:szCs w:val="21"/>
        </w:rPr>
        <w:t>各环境要素评价范围图</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341" w:name="_Toc297590927"/>
      <w:bookmarkStart w:id="342" w:name="_Toc161551980"/>
      <w:bookmarkStart w:id="343" w:name="_Toc361761824"/>
      <w:bookmarkStart w:id="344" w:name="_Toc508291877"/>
      <w:bookmarkStart w:id="345" w:name="_Toc297590774"/>
      <w:bookmarkStart w:id="346" w:name="_Toc149456024"/>
      <w:bookmarkStart w:id="347" w:name="_Toc280954982"/>
      <w:bookmarkStart w:id="348" w:name="_Toc280954905"/>
      <w:bookmarkStart w:id="349" w:name="_Toc255293765"/>
      <w:bookmarkStart w:id="350" w:name="_Toc42981100"/>
      <w:bookmarkStart w:id="351" w:name="_Toc9893"/>
      <w:bookmarkStart w:id="352" w:name="_Toc374724175"/>
      <w:bookmarkStart w:id="353" w:name="_Toc227650571"/>
      <w:bookmarkStart w:id="354" w:name="_Toc146540981"/>
      <w:bookmarkStart w:id="355" w:name="_Toc353966732"/>
      <w:bookmarkStart w:id="356" w:name="_Toc75438883"/>
      <w:bookmarkStart w:id="357" w:name="_Toc15871"/>
      <w:bookmarkStart w:id="358" w:name="OLE_LINK1399"/>
      <w:bookmarkStart w:id="359" w:name="_Toc146540982"/>
      <w:bookmarkStart w:id="360" w:name="_Toc42981099"/>
      <w:bookmarkStart w:id="361" w:name="_Toc353966733"/>
      <w:bookmarkStart w:id="362" w:name="_Toc255293766"/>
      <w:bookmarkStart w:id="363" w:name="_Toc280954983"/>
      <w:bookmarkStart w:id="364" w:name="_Toc227650572"/>
      <w:bookmarkStart w:id="365" w:name="_Toc161551981"/>
      <w:bookmarkStart w:id="366" w:name="_Toc20938"/>
      <w:bookmarkStart w:id="367" w:name="_Toc280954906"/>
      <w:bookmarkStart w:id="368" w:name="_Toc420492360"/>
      <w:bookmarkStart w:id="369" w:name="_Toc297590775"/>
      <w:bookmarkStart w:id="370" w:name="_Toc374724174"/>
      <w:bookmarkStart w:id="371" w:name="_Toc75438882"/>
      <w:bookmarkStart w:id="372" w:name="_Toc508291876"/>
      <w:bookmarkStart w:id="373" w:name="_Toc149456025"/>
      <w:bookmarkStart w:id="374" w:name="_Toc297590928"/>
      <w:bookmarkStart w:id="375" w:name="_Toc361761825"/>
      <w:bookmarkStart w:id="376" w:name="_Toc255293767"/>
      <w:r>
        <w:rPr>
          <w:rFonts w:ascii="Times New Roman" w:hAnsi="Times New Roman" w:cs="Times New Roman"/>
          <w:color w:val="auto"/>
          <w:lang w:eastAsia="zh-CN"/>
        </w:rPr>
        <w:lastRenderedPageBreak/>
        <w:t>2.</w:t>
      </w:r>
      <w:r>
        <w:rPr>
          <w:rFonts w:ascii="Times New Roman" w:hAnsi="Times New Roman" w:cs="Times New Roman" w:hint="eastAsia"/>
          <w:color w:val="auto"/>
          <w:lang w:eastAsia="zh-CN"/>
        </w:rPr>
        <w:t>6</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Fonts w:ascii="Times New Roman" w:hAnsi="Times New Roman" w:cs="Times New Roman"/>
          <w:color w:val="auto"/>
          <w:lang w:eastAsia="zh-CN"/>
        </w:rPr>
        <w:t>环境保护目标</w:t>
      </w:r>
      <w:bookmarkEnd w:id="357"/>
    </w:p>
    <w:p w:rsidR="00C645C9" w:rsidRDefault="00F955D9">
      <w:pPr>
        <w:pStyle w:val="3"/>
        <w:widowControl w:val="0"/>
        <w:adjustRightInd w:val="0"/>
        <w:snapToGrid w:val="0"/>
        <w:spacing w:before="0" w:after="0" w:line="360" w:lineRule="auto"/>
        <w:ind w:firstLineChars="200" w:firstLine="480"/>
        <w:rPr>
          <w:rFonts w:ascii="Times New Roman" w:hAnsi="Times New Roman" w:cs="Times New Roman"/>
          <w:b w:val="0"/>
          <w:snapToGrid/>
          <w:color w:val="auto"/>
          <w:sz w:val="24"/>
          <w:szCs w:val="24"/>
          <w:lang w:eastAsia="zh-CN"/>
        </w:rPr>
      </w:pPr>
      <w:bookmarkStart w:id="377" w:name="_Toc15552"/>
      <w:bookmarkStart w:id="378" w:name="_Toc693"/>
      <w:bookmarkStart w:id="379" w:name="_Toc12800"/>
      <w:r>
        <w:rPr>
          <w:rFonts w:ascii="Times New Roman" w:hAnsi="Times New Roman" w:cs="Times New Roman" w:hint="eastAsia"/>
          <w:b w:val="0"/>
          <w:snapToGrid/>
          <w:color w:val="auto"/>
          <w:sz w:val="24"/>
          <w:szCs w:val="24"/>
          <w:lang w:eastAsia="zh-CN"/>
        </w:rPr>
        <w:t>（</w:t>
      </w:r>
      <w:r>
        <w:rPr>
          <w:rFonts w:ascii="Times New Roman" w:hAnsi="Times New Roman" w:cs="Times New Roman" w:hint="eastAsia"/>
          <w:b w:val="0"/>
          <w:snapToGrid/>
          <w:color w:val="auto"/>
          <w:sz w:val="24"/>
          <w:szCs w:val="24"/>
          <w:lang w:eastAsia="zh-CN"/>
        </w:rPr>
        <w:t>1</w:t>
      </w:r>
      <w:r>
        <w:rPr>
          <w:rFonts w:ascii="Times New Roman" w:hAnsi="Times New Roman" w:cs="Times New Roman" w:hint="eastAsia"/>
          <w:b w:val="0"/>
          <w:snapToGrid/>
          <w:color w:val="auto"/>
          <w:sz w:val="24"/>
          <w:szCs w:val="24"/>
          <w:lang w:eastAsia="zh-CN"/>
        </w:rPr>
        <w:t>）</w:t>
      </w:r>
      <w:r>
        <w:rPr>
          <w:rFonts w:ascii="Times New Roman" w:hAnsi="Times New Roman" w:cs="Times New Roman"/>
          <w:b w:val="0"/>
          <w:snapToGrid/>
          <w:color w:val="auto"/>
          <w:sz w:val="24"/>
          <w:szCs w:val="24"/>
          <w:lang w:eastAsia="zh-CN"/>
        </w:rPr>
        <w:t>污染控制目标</w:t>
      </w:r>
      <w:bookmarkEnd w:id="377"/>
      <w:bookmarkEnd w:id="378"/>
      <w:bookmarkEnd w:id="379"/>
    </w:p>
    <w:p w:rsidR="00C645C9" w:rsidRDefault="00F955D9">
      <w:pPr>
        <w:widowControl w:val="0"/>
        <w:adjustRightInd w:val="0"/>
        <w:snapToGrid w:val="0"/>
        <w:spacing w:line="360" w:lineRule="auto"/>
        <w:ind w:firstLine="480"/>
        <w:jc w:val="both"/>
        <w:rPr>
          <w:rFonts w:cs="Times New Roman"/>
        </w:rPr>
      </w:pPr>
      <w:bookmarkStart w:id="380" w:name="_Hlk48603676"/>
      <w:r>
        <w:rPr>
          <w:rFonts w:cs="Times New Roman"/>
        </w:rPr>
        <w:t>根据工程排污特点和周围环境情况，确定本评价污染控制及保护环境的目标为：工程建设应符合清洁生产的原则，采取成熟可靠的工艺技术，保证</w:t>
      </w:r>
      <w:r>
        <w:rPr>
          <w:rFonts w:cs="Times New Roman" w:hint="eastAsia"/>
        </w:rPr>
        <w:t>本工程</w:t>
      </w:r>
      <w:r>
        <w:rPr>
          <w:rFonts w:cs="Times New Roman"/>
        </w:rPr>
        <w:t>污染物实现达标排放（符合相应标准要求，并使固体废物得到合理利用或无害化处置），使工程主要污染物排放总量符合国家和地方总量控制的要求。</w:t>
      </w:r>
      <w:r>
        <w:rPr>
          <w:rFonts w:cs="Times New Roman" w:hint="eastAsia"/>
        </w:rPr>
        <w:t>本工程</w:t>
      </w:r>
      <w:r>
        <w:rPr>
          <w:rFonts w:cs="Times New Roman"/>
        </w:rPr>
        <w:t>建成后，当地环境质量不发生较大改变，仍保持相应环境功能区划要求。</w:t>
      </w:r>
    </w:p>
    <w:p w:rsidR="00C645C9" w:rsidRDefault="00F955D9">
      <w:pPr>
        <w:pStyle w:val="3"/>
        <w:widowControl w:val="0"/>
        <w:adjustRightInd w:val="0"/>
        <w:snapToGrid w:val="0"/>
        <w:spacing w:before="0" w:after="0" w:line="360" w:lineRule="auto"/>
        <w:ind w:firstLineChars="200" w:firstLine="480"/>
        <w:rPr>
          <w:rFonts w:ascii="Times New Roman" w:hAnsi="Times New Roman" w:cs="Times New Roman"/>
          <w:b w:val="0"/>
          <w:snapToGrid/>
          <w:color w:val="auto"/>
          <w:sz w:val="24"/>
          <w:szCs w:val="24"/>
          <w:lang w:eastAsia="zh-CN"/>
        </w:rPr>
      </w:pPr>
      <w:bookmarkStart w:id="381" w:name="_Toc20437"/>
      <w:bookmarkStart w:id="382" w:name="_Toc3694"/>
      <w:bookmarkStart w:id="383" w:name="_Toc7354"/>
      <w:r>
        <w:rPr>
          <w:rFonts w:ascii="Times New Roman" w:hAnsi="Times New Roman" w:cs="Times New Roman" w:hint="eastAsia"/>
          <w:b w:val="0"/>
          <w:snapToGrid/>
          <w:color w:val="auto"/>
          <w:sz w:val="24"/>
          <w:szCs w:val="24"/>
          <w:lang w:eastAsia="zh-CN"/>
        </w:rPr>
        <w:t>（</w:t>
      </w:r>
      <w:r>
        <w:rPr>
          <w:rFonts w:ascii="Times New Roman" w:hAnsi="Times New Roman" w:cs="Times New Roman" w:hint="eastAsia"/>
          <w:b w:val="0"/>
          <w:snapToGrid/>
          <w:color w:val="auto"/>
          <w:sz w:val="24"/>
          <w:szCs w:val="24"/>
          <w:lang w:eastAsia="zh-CN"/>
        </w:rPr>
        <w:t>2</w:t>
      </w:r>
      <w:r>
        <w:rPr>
          <w:rFonts w:ascii="Times New Roman" w:hAnsi="Times New Roman" w:cs="Times New Roman" w:hint="eastAsia"/>
          <w:b w:val="0"/>
          <w:snapToGrid/>
          <w:color w:val="auto"/>
          <w:sz w:val="24"/>
          <w:szCs w:val="24"/>
          <w:lang w:eastAsia="zh-CN"/>
        </w:rPr>
        <w:t>）</w:t>
      </w:r>
      <w:r>
        <w:rPr>
          <w:rFonts w:ascii="Times New Roman" w:hAnsi="Times New Roman" w:cs="Times New Roman"/>
          <w:b w:val="0"/>
          <w:snapToGrid/>
          <w:color w:val="auto"/>
          <w:sz w:val="24"/>
          <w:szCs w:val="24"/>
          <w:lang w:eastAsia="zh-CN"/>
        </w:rPr>
        <w:t>环境保护目标</w:t>
      </w:r>
      <w:bookmarkEnd w:id="381"/>
      <w:bookmarkEnd w:id="382"/>
      <w:bookmarkEnd w:id="383"/>
    </w:p>
    <w:p w:rsidR="00C645C9" w:rsidRDefault="00F955D9">
      <w:pPr>
        <w:widowControl w:val="0"/>
        <w:adjustRightInd w:val="0"/>
        <w:snapToGrid w:val="0"/>
        <w:spacing w:line="360" w:lineRule="auto"/>
        <w:ind w:firstLineChars="200" w:firstLine="480"/>
        <w:rPr>
          <w:rFonts w:cs="Times New Roman"/>
        </w:rPr>
      </w:pPr>
      <w:r>
        <w:rPr>
          <w:rFonts w:cs="Times New Roman"/>
        </w:rPr>
        <w:t>根据</w:t>
      </w:r>
      <w:r>
        <w:rPr>
          <w:rFonts w:cs="Times New Roman"/>
        </w:rPr>
        <w:t>《</w:t>
      </w:r>
      <w:bookmarkStart w:id="384" w:name="OLE_LINK162"/>
      <w:r>
        <w:rPr>
          <w:rFonts w:cs="Times New Roman"/>
        </w:rPr>
        <w:t>环境影响评价技术导则</w:t>
      </w:r>
      <w:r>
        <w:rPr>
          <w:rFonts w:cs="Times New Roman"/>
        </w:rPr>
        <w:t xml:space="preserve"> </w:t>
      </w:r>
      <w:r>
        <w:rPr>
          <w:rFonts w:cs="Times New Roman"/>
        </w:rPr>
        <w:t>生态影响</w:t>
      </w:r>
      <w:bookmarkEnd w:id="384"/>
      <w:r>
        <w:rPr>
          <w:rFonts w:cs="Times New Roman"/>
        </w:rPr>
        <w:t>》（</w:t>
      </w:r>
      <w:r>
        <w:rPr>
          <w:rFonts w:cs="Times New Roman"/>
        </w:rPr>
        <w:t>HJ19-2022</w:t>
      </w:r>
      <w:r>
        <w:rPr>
          <w:rFonts w:cs="Times New Roman"/>
        </w:rPr>
        <w:t>）</w:t>
      </w:r>
      <w:r>
        <w:rPr>
          <w:rFonts w:cs="Times New Roman"/>
        </w:rPr>
        <w:t>，生态保护目标主要为受影响的重要物种、生态敏感区以及其他需要保护的物种、种群、生物群落及生态空</w:t>
      </w:r>
      <w:r>
        <w:rPr>
          <w:rFonts w:cs="Times New Roman"/>
        </w:rPr>
        <w:t>间等。结合现状调查，同时按照</w:t>
      </w:r>
      <w:bookmarkStart w:id="385" w:name="OLE_LINK167"/>
      <w:r>
        <w:rPr>
          <w:rFonts w:cs="Times New Roman"/>
        </w:rPr>
        <w:t>《</w:t>
      </w:r>
      <w:bookmarkStart w:id="386" w:name="OLE_LINK175"/>
      <w:bookmarkStart w:id="387" w:name="OLE_LINK1172"/>
      <w:r>
        <w:rPr>
          <w:rFonts w:cs="Times New Roman"/>
        </w:rPr>
        <w:t>建设项目环境影响评价分类管理名录</w:t>
      </w:r>
      <w:bookmarkEnd w:id="386"/>
      <w:r>
        <w:rPr>
          <w:rFonts w:cs="Times New Roman"/>
        </w:rPr>
        <w:t>（</w:t>
      </w:r>
      <w:r>
        <w:rPr>
          <w:rFonts w:cs="Times New Roman"/>
        </w:rPr>
        <w:t>2021</w:t>
      </w:r>
      <w:r>
        <w:rPr>
          <w:rFonts w:cs="Times New Roman"/>
        </w:rPr>
        <w:t>年版）</w:t>
      </w:r>
      <w:bookmarkEnd w:id="387"/>
      <w:r>
        <w:rPr>
          <w:rFonts w:cs="Times New Roman"/>
        </w:rPr>
        <w:t>》（生态环境部令第</w:t>
      </w:r>
      <w:r>
        <w:rPr>
          <w:rFonts w:cs="Times New Roman"/>
        </w:rPr>
        <w:t>16</w:t>
      </w:r>
      <w:r>
        <w:rPr>
          <w:rFonts w:cs="Times New Roman"/>
        </w:rPr>
        <w:t>号）</w:t>
      </w:r>
      <w:bookmarkEnd w:id="385"/>
      <w:r>
        <w:rPr>
          <w:rFonts w:cs="Times New Roman"/>
        </w:rPr>
        <w:t>，将</w:t>
      </w:r>
      <w:bookmarkStart w:id="388" w:name="OLE_LINK25"/>
      <w:r>
        <w:rPr>
          <w:rFonts w:cs="Times New Roman" w:hint="eastAsia"/>
        </w:rPr>
        <w:t>永久基本农田</w:t>
      </w:r>
      <w:bookmarkEnd w:id="388"/>
      <w:r>
        <w:rPr>
          <w:rFonts w:cs="Times New Roman" w:hint="eastAsia"/>
        </w:rPr>
        <w:t>、</w:t>
      </w:r>
      <w:r>
        <w:rPr>
          <w:rFonts w:cs="Times New Roman"/>
        </w:rPr>
        <w:t>水土流失重点治理区等环境敏感区加入生态保护目标。本工程不占用永久基本农田，评价范围涉及永久基本农田</w:t>
      </w:r>
      <w:r>
        <w:rPr>
          <w:rFonts w:cs="Times New Roman" w:hint="eastAsia"/>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根据</w:t>
      </w:r>
      <w:r>
        <w:rPr>
          <w:rFonts w:cs="Times New Roman"/>
          <w:szCs w:val="20"/>
        </w:rPr>
        <w:t>《</w:t>
      </w:r>
      <w:bookmarkStart w:id="389" w:name="OLE_LINK176"/>
      <w:r>
        <w:rPr>
          <w:rFonts w:cs="Times New Roman"/>
          <w:szCs w:val="20"/>
        </w:rPr>
        <w:t>环境影响评价技术导则</w:t>
      </w:r>
      <w:r>
        <w:rPr>
          <w:rFonts w:cs="Times New Roman"/>
          <w:szCs w:val="20"/>
        </w:rPr>
        <w:t xml:space="preserve"> </w:t>
      </w:r>
      <w:r>
        <w:rPr>
          <w:rFonts w:cs="Times New Roman"/>
          <w:szCs w:val="20"/>
        </w:rPr>
        <w:t>大气环境</w:t>
      </w:r>
      <w:bookmarkEnd w:id="389"/>
      <w:r>
        <w:rPr>
          <w:rFonts w:cs="Times New Roman"/>
          <w:szCs w:val="20"/>
        </w:rPr>
        <w:t>》（</w:t>
      </w:r>
      <w:r>
        <w:rPr>
          <w:rFonts w:cs="Times New Roman"/>
          <w:szCs w:val="20"/>
        </w:rPr>
        <w:t>HJ2.2-2018</w:t>
      </w:r>
      <w:r>
        <w:rPr>
          <w:rFonts w:cs="Times New Roman"/>
          <w:szCs w:val="20"/>
        </w:rPr>
        <w:t>）</w:t>
      </w:r>
      <w:r>
        <w:rPr>
          <w:rFonts w:cs="Times New Roman"/>
        </w:rPr>
        <w:t>，环境空气保护目标为一类区的自然保护区、风景名胜区和其他需要特殊保护的区域，二类区中的居住区、文化区和农村地区中人群较集中的区域。经调查，</w:t>
      </w:r>
      <w:bookmarkStart w:id="390" w:name="OLE_LINK1442"/>
      <w:r>
        <w:rPr>
          <w:rFonts w:cs="Times New Roman"/>
        </w:rPr>
        <w:t>本工程</w:t>
      </w:r>
      <w:r>
        <w:rPr>
          <w:rFonts w:cs="Times New Roman" w:hint="eastAsia"/>
        </w:rPr>
        <w:t>距离最近的</w:t>
      </w:r>
      <w:r>
        <w:rPr>
          <w:rFonts w:cs="Times New Roman"/>
        </w:rPr>
        <w:t>其兰村</w:t>
      </w:r>
      <w:r>
        <w:rPr>
          <w:rFonts w:cs="Times New Roman" w:hint="eastAsia"/>
        </w:rPr>
        <w:t>0.3km</w:t>
      </w:r>
      <w:r>
        <w:rPr>
          <w:rFonts w:cs="Times New Roman"/>
        </w:rPr>
        <w:t>。</w:t>
      </w:r>
    </w:p>
    <w:bookmarkEnd w:id="390"/>
    <w:p w:rsidR="00C645C9" w:rsidRDefault="00F955D9">
      <w:pPr>
        <w:widowControl w:val="0"/>
        <w:adjustRightInd w:val="0"/>
        <w:snapToGrid w:val="0"/>
        <w:spacing w:line="360" w:lineRule="auto"/>
        <w:ind w:firstLineChars="200" w:firstLine="480"/>
        <w:jc w:val="both"/>
        <w:rPr>
          <w:rFonts w:cs="Times New Roman"/>
        </w:rPr>
      </w:pPr>
      <w:r>
        <w:rPr>
          <w:rFonts w:cs="Times New Roman"/>
        </w:rPr>
        <w:t>根据</w:t>
      </w:r>
      <w:r>
        <w:rPr>
          <w:rFonts w:cs="Times New Roman"/>
        </w:rPr>
        <w:t>《</w:t>
      </w:r>
      <w:bookmarkStart w:id="391" w:name="OLE_LINK177"/>
      <w:r>
        <w:rPr>
          <w:rFonts w:cs="Times New Roman"/>
        </w:rPr>
        <w:t>环境影响评价技术导则</w:t>
      </w:r>
      <w:r>
        <w:rPr>
          <w:rFonts w:cs="Times New Roman"/>
        </w:rPr>
        <w:t xml:space="preserve"> </w:t>
      </w:r>
      <w:r>
        <w:rPr>
          <w:rFonts w:cs="Times New Roman"/>
        </w:rPr>
        <w:t>地下水环境</w:t>
      </w:r>
      <w:bookmarkEnd w:id="391"/>
      <w:r>
        <w:rPr>
          <w:rFonts w:cs="Times New Roman"/>
        </w:rPr>
        <w:t>》（</w:t>
      </w:r>
      <w:r>
        <w:rPr>
          <w:rFonts w:cs="Times New Roman"/>
        </w:rPr>
        <w:t>HJ610-2016</w:t>
      </w:r>
      <w:r>
        <w:rPr>
          <w:rFonts w:cs="Times New Roman"/>
        </w:rPr>
        <w:t>）</w:t>
      </w:r>
      <w:r>
        <w:rPr>
          <w:rFonts w:cs="Times New Roman"/>
        </w:rPr>
        <w:t>，地下水环境保护目标为潜水含水层和可能受建设项目影响且具有饮用水开发利用价值的含水层，集中式饮用水水源和分散式饮用水水源地，以及</w:t>
      </w:r>
      <w:r>
        <w:rPr>
          <w:rFonts w:cs="Times New Roman"/>
        </w:rPr>
        <w:t>《建设项目环境影响评价分类管理名录》</w:t>
      </w:r>
      <w:r>
        <w:rPr>
          <w:rFonts w:cs="Times New Roman"/>
        </w:rPr>
        <w:t>中所界定的涉及地下水的环境敏感区。根据调查，</w:t>
      </w:r>
      <w:r>
        <w:rPr>
          <w:rFonts w:cs="Times New Roman" w:hint="eastAsia"/>
        </w:rPr>
        <w:t>本工程不穿越水源保护区，评价范围涉及</w:t>
      </w:r>
      <w:r>
        <w:rPr>
          <w:rFonts w:cs="Times New Roman" w:hint="eastAsia"/>
        </w:rPr>
        <w:t>2</w:t>
      </w:r>
      <w:r>
        <w:rPr>
          <w:rFonts w:cs="Times New Roman" w:hint="eastAsia"/>
        </w:rPr>
        <w:t>处水源保护区。</w:t>
      </w:r>
      <w:r>
        <w:rPr>
          <w:rFonts w:cs="Times New Roman"/>
        </w:rPr>
        <w:t>本评价将评价范围内的区域潜水含水层</w:t>
      </w:r>
      <w:r>
        <w:rPr>
          <w:rFonts w:cs="Times New Roman" w:hint="eastAsia"/>
        </w:rPr>
        <w:t>、尤鲁都斯巴格镇饮用水</w:t>
      </w:r>
      <w:bookmarkStart w:id="392" w:name="OLE_LINK1532"/>
      <w:r>
        <w:rPr>
          <w:rFonts w:cs="Times New Roman" w:hint="eastAsia"/>
        </w:rPr>
        <w:t>水源一级保护区</w:t>
      </w:r>
      <w:bookmarkEnd w:id="392"/>
      <w:r>
        <w:rPr>
          <w:rFonts w:cs="Times New Roman" w:hint="eastAsia"/>
        </w:rPr>
        <w:t>、尤鲁都斯巴格镇饮用水水源一级保护区</w:t>
      </w:r>
      <w:r>
        <w:rPr>
          <w:rFonts w:cs="Times New Roman"/>
        </w:rPr>
        <w:t>作为地下水环境保护目标。</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根据</w:t>
      </w:r>
      <w:r>
        <w:rPr>
          <w:rFonts w:cs="Times New Roman"/>
        </w:rPr>
        <w:t>《</w:t>
      </w:r>
      <w:bookmarkStart w:id="393" w:name="OLE_LINK178"/>
      <w:r>
        <w:rPr>
          <w:rFonts w:cs="Times New Roman"/>
        </w:rPr>
        <w:t>环境影响评价技术导则</w:t>
      </w:r>
      <w:r>
        <w:rPr>
          <w:rFonts w:cs="Times New Roman"/>
        </w:rPr>
        <w:t xml:space="preserve"> </w:t>
      </w:r>
      <w:r>
        <w:rPr>
          <w:rFonts w:cs="Times New Roman"/>
        </w:rPr>
        <w:t>声环境</w:t>
      </w:r>
      <w:bookmarkEnd w:id="393"/>
      <w:r>
        <w:rPr>
          <w:rFonts w:cs="Times New Roman"/>
        </w:rPr>
        <w:t>》（</w:t>
      </w:r>
      <w:r>
        <w:rPr>
          <w:rFonts w:cs="Times New Roman"/>
        </w:rPr>
        <w:t>HJ2.4-2021</w:t>
      </w:r>
      <w:r>
        <w:rPr>
          <w:rFonts w:cs="Times New Roman"/>
        </w:rPr>
        <w:t>）</w:t>
      </w:r>
      <w:r>
        <w:rPr>
          <w:rFonts w:cs="Times New Roman"/>
        </w:rPr>
        <w:t>，声环境保护目标为依据</w:t>
      </w:r>
      <w:r>
        <w:rPr>
          <w:rFonts w:cs="Times New Roman" w:hint="eastAsia"/>
        </w:rPr>
        <w:t>法律法规</w:t>
      </w:r>
      <w:r>
        <w:rPr>
          <w:rFonts w:cs="Times New Roman"/>
        </w:rPr>
        <w:t>、标准政策等确定的需要保持安静的建筑物及建筑物集中区。经调查，本工程评价范围内不涉及。</w:t>
      </w:r>
    </w:p>
    <w:p w:rsidR="00C645C9" w:rsidRDefault="00F955D9">
      <w:pPr>
        <w:widowControl w:val="0"/>
        <w:adjustRightInd w:val="0"/>
        <w:snapToGrid w:val="0"/>
        <w:spacing w:line="360" w:lineRule="auto"/>
        <w:ind w:firstLineChars="200" w:firstLine="480"/>
        <w:rPr>
          <w:rFonts w:cs="Times New Roman"/>
        </w:rPr>
      </w:pPr>
      <w:r>
        <w:rPr>
          <w:rFonts w:cs="Times New Roman"/>
        </w:rPr>
        <w:t>根据</w:t>
      </w:r>
      <w:bookmarkStart w:id="394" w:name="OLE_LINK180"/>
      <w:r>
        <w:rPr>
          <w:rFonts w:cs="Times New Roman"/>
          <w:kern w:val="2"/>
          <w:szCs w:val="32"/>
          <w:lang w:bidi="ar"/>
        </w:rPr>
        <w:t>《</w:t>
      </w:r>
      <w:bookmarkStart w:id="395" w:name="OLE_LINK179"/>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bookmarkEnd w:id="395"/>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bookmarkEnd w:id="394"/>
      <w:r>
        <w:rPr>
          <w:rFonts w:cs="Times New Roman"/>
        </w:rPr>
        <w:t>和</w:t>
      </w:r>
      <w:r>
        <w:rPr>
          <w:rFonts w:cs="Times New Roman"/>
          <w:kern w:val="2"/>
          <w:szCs w:val="32"/>
          <w:lang w:bidi="ar"/>
        </w:rPr>
        <w:t>《环</w:t>
      </w:r>
      <w:r>
        <w:rPr>
          <w:rFonts w:cs="Times New Roman"/>
          <w:kern w:val="2"/>
          <w:szCs w:val="32"/>
          <w:lang w:bidi="ar"/>
        </w:rPr>
        <w:lastRenderedPageBreak/>
        <w:t>境影响评价技术导则</w:t>
      </w:r>
      <w:r>
        <w:rPr>
          <w:rFonts w:cs="Times New Roman"/>
          <w:kern w:val="2"/>
          <w:szCs w:val="32"/>
          <w:lang w:bidi="ar"/>
        </w:rPr>
        <w:t xml:space="preserve"> </w:t>
      </w:r>
      <w:r>
        <w:rPr>
          <w:rFonts w:cs="Times New Roman"/>
          <w:kern w:val="2"/>
          <w:szCs w:val="32"/>
          <w:lang w:bidi="ar"/>
        </w:rPr>
        <w:t>陆地石油天然气开发建设项目》</w:t>
      </w:r>
      <w:r>
        <w:rPr>
          <w:rFonts w:cs="Times New Roman"/>
          <w:kern w:val="2"/>
          <w:szCs w:val="32"/>
          <w:lang w:bidi="ar"/>
        </w:rPr>
        <w:t>（</w:t>
      </w:r>
      <w:r>
        <w:rPr>
          <w:rFonts w:cs="Times New Roman"/>
          <w:kern w:val="2"/>
          <w:szCs w:val="32"/>
          <w:lang w:bidi="ar"/>
        </w:rPr>
        <w:t>HJ349-2023</w:t>
      </w:r>
      <w:r>
        <w:rPr>
          <w:rFonts w:cs="Times New Roman"/>
          <w:kern w:val="2"/>
          <w:szCs w:val="32"/>
          <w:lang w:bidi="ar"/>
        </w:rPr>
        <w:t>）</w:t>
      </w:r>
      <w:r>
        <w:rPr>
          <w:rFonts w:cs="Times New Roman"/>
        </w:rPr>
        <w:t>以及区域历史监测数据，</w:t>
      </w:r>
      <w:r>
        <w:rPr>
          <w:rFonts w:cs="Times New Roman" w:hint="eastAsia"/>
        </w:rPr>
        <w:t>本</w:t>
      </w:r>
      <w:r>
        <w:rPr>
          <w:rFonts w:cs="Times New Roman"/>
        </w:rPr>
        <w:t>工程所在区域土壤盐分含量大于</w:t>
      </w:r>
      <w:r>
        <w:rPr>
          <w:rFonts w:cs="Times New Roman"/>
        </w:rPr>
        <w:t>4g/kg</w:t>
      </w:r>
      <w:r>
        <w:rPr>
          <w:rFonts w:cs="Times New Roman"/>
        </w:rPr>
        <w:t>，属于</w:t>
      </w:r>
      <w:r>
        <w:rPr>
          <w:rFonts w:cs="Times New Roman"/>
          <w:kern w:val="2"/>
          <w:szCs w:val="32"/>
          <w:lang w:bidi="ar"/>
        </w:rPr>
        <w:t>《</w:t>
      </w:r>
      <w:bookmarkStart w:id="396" w:name="OLE_LINK1109"/>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bookmarkEnd w:id="396"/>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r>
        <w:rPr>
          <w:rFonts w:cs="Times New Roman"/>
        </w:rPr>
        <w:t>附录</w:t>
      </w:r>
      <w:r>
        <w:rPr>
          <w:rFonts w:cs="Times New Roman"/>
        </w:rPr>
        <w:t>D.1</w:t>
      </w:r>
      <w:r>
        <w:rPr>
          <w:rFonts w:cs="Times New Roman"/>
        </w:rPr>
        <w:t>中度盐化及以上地区，</w:t>
      </w:r>
      <w:r>
        <w:rPr>
          <w:rFonts w:cs="Times New Roman"/>
        </w:rPr>
        <w:t>pH</w:t>
      </w:r>
      <w:r>
        <w:rPr>
          <w:rFonts w:cs="Times New Roman"/>
        </w:rPr>
        <w:t>介于</w:t>
      </w:r>
      <w:r>
        <w:rPr>
          <w:rFonts w:cs="Times New Roman" w:hint="eastAsia"/>
        </w:rPr>
        <w:t>6.8</w:t>
      </w:r>
      <w:r>
        <w:rPr>
          <w:rFonts w:cs="Times New Roman"/>
        </w:rPr>
        <w:t>~</w:t>
      </w:r>
      <w:r>
        <w:rPr>
          <w:rFonts w:cs="Times New Roman" w:hint="eastAsia"/>
        </w:rPr>
        <w:t>7.4</w:t>
      </w:r>
      <w:r>
        <w:rPr>
          <w:rFonts w:cs="Times New Roman"/>
        </w:rPr>
        <w:t>，即</w:t>
      </w:r>
      <w:r>
        <w:rPr>
          <w:rFonts w:cs="Times New Roman" w:hint="eastAsia"/>
        </w:rPr>
        <w:t>本工程</w:t>
      </w:r>
      <w:r>
        <w:rPr>
          <w:rFonts w:cs="Times New Roman"/>
        </w:rPr>
        <w:t>所在区域属于土壤盐化地区，本工程同时按照生态影响型项目和污染影响型项目考虑</w:t>
      </w:r>
      <w:r>
        <w:rPr>
          <w:rFonts w:cs="Times New Roman" w:hint="eastAsia"/>
        </w:rPr>
        <w:t>。</w:t>
      </w:r>
      <w:r>
        <w:rPr>
          <w:rFonts w:cs="Times New Roman"/>
        </w:rPr>
        <w:t>根据</w:t>
      </w:r>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r>
        <w:rPr>
          <w:rFonts w:cs="Times New Roman"/>
        </w:rPr>
        <w:t>，土壤环境敏感目标为可能受人为活动影响的、与土壤环境相关的敏感区或对象</w:t>
      </w:r>
      <w:r>
        <w:rPr>
          <w:rFonts w:cs="Times New Roman" w:hint="eastAsia"/>
        </w:rPr>
        <w:t>。</w:t>
      </w:r>
      <w:r>
        <w:rPr>
          <w:rFonts w:cs="Times New Roman"/>
        </w:rPr>
        <w:t>结合现状调查，本工程评价范围内不涉及。</w:t>
      </w:r>
    </w:p>
    <w:p w:rsidR="00C645C9" w:rsidRDefault="00F955D9">
      <w:pPr>
        <w:widowControl w:val="0"/>
        <w:adjustRightInd w:val="0"/>
        <w:snapToGrid w:val="0"/>
        <w:spacing w:line="360" w:lineRule="auto"/>
        <w:ind w:firstLineChars="200" w:firstLine="480"/>
        <w:rPr>
          <w:rFonts w:cs="Times New Roman"/>
        </w:rPr>
      </w:pPr>
      <w:r>
        <w:rPr>
          <w:rFonts w:cs="Times New Roman"/>
        </w:rPr>
        <w:t>综上，本</w:t>
      </w:r>
      <w:r>
        <w:rPr>
          <w:rFonts w:cs="Times New Roman" w:hint="eastAsia"/>
        </w:rPr>
        <w:t>工程</w:t>
      </w:r>
      <w:r>
        <w:rPr>
          <w:rFonts w:cs="Times New Roman"/>
        </w:rPr>
        <w:t>主要环境保护目标见表</w:t>
      </w:r>
      <w:r>
        <w:rPr>
          <w:rFonts w:cs="Times New Roman"/>
        </w:rPr>
        <w:t>2.</w:t>
      </w:r>
      <w:r>
        <w:rPr>
          <w:rFonts w:cs="Times New Roman" w:hint="eastAsia"/>
        </w:rPr>
        <w:t>6</w:t>
      </w:r>
      <w:r>
        <w:rPr>
          <w:rFonts w:cs="Times New Roman"/>
        </w:rPr>
        <w:t>-1</w:t>
      </w:r>
      <w:r>
        <w:rPr>
          <w:rFonts w:cs="Times New Roman" w:hint="eastAsia"/>
        </w:rPr>
        <w:t>~6</w:t>
      </w:r>
      <w:r>
        <w:rPr>
          <w:rFonts w:cs="Times New Roman" w:hint="eastAsia"/>
        </w:rPr>
        <w:t>，</w:t>
      </w:r>
      <w:r>
        <w:rPr>
          <w:rFonts w:cs="Times New Roman"/>
        </w:rPr>
        <w:t>图</w:t>
      </w:r>
      <w:r>
        <w:rPr>
          <w:rFonts w:cs="Times New Roman"/>
        </w:rPr>
        <w:t>2.</w:t>
      </w:r>
      <w:r>
        <w:rPr>
          <w:rFonts w:cs="Times New Roman" w:hint="eastAsia"/>
        </w:rPr>
        <w:t>6</w:t>
      </w:r>
      <w:r>
        <w:rPr>
          <w:rFonts w:cs="Times New Roman"/>
        </w:rPr>
        <w:t>-1</w:t>
      </w:r>
      <w:r>
        <w:rPr>
          <w:rFonts w:cs="Times New Roman" w:hint="eastAsia"/>
        </w:rPr>
        <w:t>~2</w:t>
      </w:r>
      <w:r>
        <w:rPr>
          <w:rFonts w:cs="Times New Roman" w:hint="eastAsia"/>
        </w:rPr>
        <w:t>。</w:t>
      </w:r>
    </w:p>
    <w:p w:rsidR="00C645C9" w:rsidRDefault="00F955D9">
      <w:pPr>
        <w:widowControl w:val="0"/>
        <w:jc w:val="center"/>
        <w:rPr>
          <w:rFonts w:eastAsia="黑体" w:cs="Times New Roman"/>
          <w:sz w:val="21"/>
          <w:szCs w:val="21"/>
        </w:rPr>
      </w:pPr>
      <w:bookmarkStart w:id="397" w:name="OLE_LINK181"/>
      <w:bookmarkStart w:id="398" w:name="OLE_LINK477"/>
      <w:bookmarkStart w:id="399" w:name="OLE_LINK1347"/>
      <w:bookmarkStart w:id="400" w:name="OLE_LINK1398"/>
      <w:r>
        <w:rPr>
          <w:rFonts w:eastAsia="黑体" w:cs="Times New Roman"/>
          <w:sz w:val="21"/>
          <w:szCs w:val="21"/>
        </w:rPr>
        <w:t>表</w:t>
      </w:r>
      <w:r>
        <w:rPr>
          <w:rFonts w:eastAsia="黑体" w:cs="Times New Roman"/>
          <w:sz w:val="21"/>
          <w:szCs w:val="21"/>
        </w:rPr>
        <w:t>2.</w:t>
      </w:r>
      <w:r>
        <w:rPr>
          <w:rFonts w:eastAsia="黑体" w:cs="Times New Roman"/>
          <w:sz w:val="21"/>
          <w:szCs w:val="21"/>
        </w:rPr>
        <w:t>6</w:t>
      </w:r>
      <w:r>
        <w:rPr>
          <w:rFonts w:eastAsia="黑体" w:cs="Times New Roman"/>
          <w:sz w:val="21"/>
          <w:szCs w:val="21"/>
        </w:rPr>
        <w:t>-1</w:t>
      </w:r>
      <w:bookmarkEnd w:id="397"/>
      <w:r>
        <w:rPr>
          <w:rFonts w:eastAsia="黑体" w:cs="Times New Roman"/>
          <w:sz w:val="21"/>
          <w:szCs w:val="21"/>
        </w:rPr>
        <w:t xml:space="preserve">   </w:t>
      </w:r>
      <w:bookmarkStart w:id="401" w:name="OLE_LINK182"/>
      <w:r>
        <w:rPr>
          <w:rFonts w:eastAsia="黑体" w:cs="Times New Roman"/>
          <w:sz w:val="21"/>
          <w:szCs w:val="21"/>
        </w:rPr>
        <w:t>生态</w:t>
      </w:r>
      <w:r>
        <w:rPr>
          <w:rFonts w:eastAsia="黑体" w:cs="Times New Roman"/>
          <w:sz w:val="21"/>
          <w:szCs w:val="21"/>
        </w:rPr>
        <w:t>环境保护目标一览表</w:t>
      </w:r>
      <w:bookmarkEnd w:id="401"/>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588"/>
        <w:gridCol w:w="1683"/>
        <w:gridCol w:w="1613"/>
        <w:gridCol w:w="1514"/>
        <w:gridCol w:w="2402"/>
      </w:tblGrid>
      <w:tr w:rsidR="00C645C9">
        <w:trPr>
          <w:trHeight w:val="350"/>
          <w:jc w:val="center"/>
        </w:trPr>
        <w:tc>
          <w:tcPr>
            <w:tcW w:w="334" w:type="pct"/>
            <w:vAlign w:val="center"/>
          </w:tcPr>
          <w:bookmarkEnd w:id="380"/>
          <w:bookmarkEnd w:id="398"/>
          <w:bookmarkEnd w:id="399"/>
          <w:p w:rsidR="00C645C9" w:rsidRDefault="00F955D9">
            <w:pPr>
              <w:spacing w:line="0" w:lineRule="atLeast"/>
              <w:jc w:val="center"/>
              <w:rPr>
                <w:rFonts w:cs="Times New Roman"/>
                <w:spacing w:val="-10"/>
                <w:sz w:val="21"/>
                <w:szCs w:val="21"/>
              </w:rPr>
            </w:pPr>
            <w:r>
              <w:rPr>
                <w:rFonts w:cs="Times New Roman"/>
                <w:spacing w:val="-10"/>
                <w:sz w:val="21"/>
                <w:szCs w:val="21"/>
              </w:rPr>
              <w:t>环境要素</w:t>
            </w:r>
          </w:p>
        </w:tc>
        <w:tc>
          <w:tcPr>
            <w:tcW w:w="352" w:type="pct"/>
            <w:vAlign w:val="center"/>
          </w:tcPr>
          <w:p w:rsidR="00C645C9" w:rsidRDefault="00F955D9">
            <w:pPr>
              <w:adjustRightInd w:val="0"/>
              <w:spacing w:line="0" w:lineRule="atLeast"/>
              <w:jc w:val="center"/>
              <w:rPr>
                <w:rFonts w:cs="Times New Roman"/>
                <w:spacing w:val="-10"/>
                <w:sz w:val="21"/>
                <w:szCs w:val="21"/>
              </w:rPr>
            </w:pPr>
            <w:bookmarkStart w:id="402" w:name="OLE_LINK1353"/>
            <w:r>
              <w:rPr>
                <w:rFonts w:cs="Times New Roman"/>
                <w:spacing w:val="-10"/>
                <w:sz w:val="21"/>
                <w:szCs w:val="21"/>
              </w:rPr>
              <w:t>评价范围</w:t>
            </w:r>
            <w:bookmarkEnd w:id="402"/>
          </w:p>
        </w:tc>
        <w:tc>
          <w:tcPr>
            <w:tcW w:w="1006"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名称</w:t>
            </w:r>
          </w:p>
        </w:tc>
        <w:tc>
          <w:tcPr>
            <w:tcW w:w="964"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主要保护对象</w:t>
            </w:r>
          </w:p>
        </w:tc>
        <w:tc>
          <w:tcPr>
            <w:tcW w:w="905" w:type="pct"/>
            <w:vAlign w:val="center"/>
          </w:tcPr>
          <w:p w:rsidR="00C645C9" w:rsidRDefault="00F955D9">
            <w:pPr>
              <w:adjustRightInd w:val="0"/>
              <w:spacing w:line="0" w:lineRule="atLeast"/>
              <w:jc w:val="center"/>
              <w:rPr>
                <w:rFonts w:cs="Times New Roman"/>
                <w:spacing w:val="-10"/>
                <w:sz w:val="21"/>
                <w:szCs w:val="21"/>
              </w:rPr>
            </w:pPr>
            <w:bookmarkStart w:id="403" w:name="OLE_LINK1335"/>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bookmarkEnd w:id="403"/>
          </w:p>
        </w:tc>
        <w:tc>
          <w:tcPr>
            <w:tcW w:w="1436"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保护目标特征</w:t>
            </w:r>
          </w:p>
        </w:tc>
      </w:tr>
      <w:tr w:rsidR="00C645C9">
        <w:trPr>
          <w:trHeight w:val="1331"/>
          <w:jc w:val="center"/>
        </w:trPr>
        <w:tc>
          <w:tcPr>
            <w:tcW w:w="334" w:type="pct"/>
            <w:vMerge w:val="restar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生态环境</w:t>
            </w:r>
          </w:p>
        </w:tc>
        <w:tc>
          <w:tcPr>
            <w:tcW w:w="352" w:type="pct"/>
            <w:vMerge w:val="restar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井场场界周围</w:t>
            </w:r>
            <w:r>
              <w:rPr>
                <w:rFonts w:cs="Times New Roman"/>
                <w:spacing w:val="-10"/>
                <w:sz w:val="21"/>
                <w:szCs w:val="21"/>
              </w:rPr>
              <w:t>50</w:t>
            </w:r>
            <w:r>
              <w:rPr>
                <w:rFonts w:cs="Times New Roman" w:hint="eastAsia"/>
                <w:spacing w:val="-10"/>
                <w:sz w:val="21"/>
                <w:szCs w:val="21"/>
              </w:rPr>
              <w:t>m</w:t>
            </w:r>
            <w:r>
              <w:rPr>
                <w:rFonts w:cs="Times New Roman"/>
                <w:spacing w:val="-10"/>
                <w:sz w:val="21"/>
                <w:szCs w:val="21"/>
              </w:rPr>
              <w:t>范围</w:t>
            </w:r>
          </w:p>
        </w:tc>
        <w:tc>
          <w:tcPr>
            <w:tcW w:w="1970" w:type="pct"/>
            <w:gridSpan w:val="2"/>
            <w:vAlign w:val="center"/>
          </w:tcPr>
          <w:p w:rsidR="00C645C9" w:rsidRDefault="00F955D9">
            <w:pPr>
              <w:adjustRightInd w:val="0"/>
              <w:spacing w:line="0" w:lineRule="atLeast"/>
              <w:jc w:val="center"/>
              <w:rPr>
                <w:rFonts w:cs="Times New Roman"/>
                <w:spacing w:val="-10"/>
                <w:sz w:val="21"/>
                <w:szCs w:val="21"/>
              </w:rPr>
            </w:pPr>
            <w:r>
              <w:rPr>
                <w:rFonts w:cs="Times New Roman" w:hint="eastAsia"/>
                <w:spacing w:val="-10"/>
                <w:sz w:val="21"/>
                <w:szCs w:val="21"/>
              </w:rPr>
              <w:t>永久</w:t>
            </w:r>
            <w:bookmarkStart w:id="404" w:name="OLE_LINK168"/>
            <w:r>
              <w:rPr>
                <w:rFonts w:cs="Times New Roman"/>
                <w:spacing w:val="-10"/>
                <w:sz w:val="21"/>
                <w:szCs w:val="21"/>
              </w:rPr>
              <w:t>基本农田</w:t>
            </w:r>
            <w:bookmarkEnd w:id="404"/>
          </w:p>
        </w:tc>
        <w:tc>
          <w:tcPr>
            <w:tcW w:w="905" w:type="pct"/>
            <w:vAlign w:val="center"/>
          </w:tcPr>
          <w:p w:rsidR="00C645C9" w:rsidRDefault="00F955D9">
            <w:pPr>
              <w:adjustRightInd w:val="0"/>
              <w:spacing w:line="0" w:lineRule="atLeast"/>
              <w:jc w:val="center"/>
              <w:rPr>
                <w:rFonts w:cs="Times New Roman"/>
                <w:sz w:val="21"/>
                <w:szCs w:val="21"/>
              </w:rPr>
            </w:pPr>
            <w:r>
              <w:rPr>
                <w:rFonts w:cs="Times New Roman" w:hint="eastAsia"/>
                <w:sz w:val="21"/>
                <w:szCs w:val="21"/>
              </w:rPr>
              <w:t>本工程不占用，评价范围涉及，最近距离</w:t>
            </w:r>
            <w:r>
              <w:rPr>
                <w:rFonts w:cs="Times New Roman" w:hint="eastAsia"/>
                <w:sz w:val="21"/>
                <w:szCs w:val="21"/>
              </w:rPr>
              <w:t>2m</w:t>
            </w:r>
          </w:p>
        </w:tc>
        <w:tc>
          <w:tcPr>
            <w:tcW w:w="1436" w:type="pct"/>
            <w:vAlign w:val="center"/>
          </w:tcPr>
          <w:p w:rsidR="00C645C9" w:rsidRDefault="00F955D9">
            <w:pPr>
              <w:adjustRightInd w:val="0"/>
              <w:spacing w:line="0" w:lineRule="atLeast"/>
              <w:jc w:val="center"/>
              <w:rPr>
                <w:rFonts w:cs="Times New Roman"/>
                <w:kern w:val="2"/>
                <w:sz w:val="21"/>
                <w:szCs w:val="21"/>
              </w:rPr>
            </w:pPr>
            <w:r>
              <w:rPr>
                <w:rFonts w:cs="Times New Roman"/>
                <w:spacing w:val="-10"/>
                <w:sz w:val="21"/>
                <w:szCs w:val="21"/>
              </w:rPr>
              <w:t>种植作物为</w:t>
            </w:r>
            <w:r>
              <w:rPr>
                <w:rFonts w:cs="Times New Roman"/>
                <w:spacing w:val="-10"/>
                <w:sz w:val="21"/>
                <w:szCs w:val="21"/>
              </w:rPr>
              <w:t>小麦、</w:t>
            </w:r>
            <w:r>
              <w:rPr>
                <w:rFonts w:cs="Times New Roman"/>
                <w:spacing w:val="-10"/>
                <w:sz w:val="21"/>
                <w:szCs w:val="21"/>
              </w:rPr>
              <w:t>棉花</w:t>
            </w:r>
            <w:r>
              <w:rPr>
                <w:rFonts w:cs="Times New Roman" w:hint="eastAsia"/>
                <w:spacing w:val="-10"/>
                <w:sz w:val="21"/>
                <w:szCs w:val="21"/>
              </w:rPr>
              <w:t>、</w:t>
            </w:r>
            <w:r>
              <w:rPr>
                <w:rFonts w:cs="Times New Roman" w:hint="eastAsia"/>
                <w:spacing w:val="-10"/>
                <w:sz w:val="21"/>
                <w:szCs w:val="21"/>
              </w:rPr>
              <w:t>核桃</w:t>
            </w:r>
            <w:r>
              <w:rPr>
                <w:rFonts w:cs="Times New Roman"/>
                <w:spacing w:val="-10"/>
                <w:sz w:val="21"/>
                <w:szCs w:val="21"/>
              </w:rPr>
              <w:t>等</w:t>
            </w:r>
          </w:p>
        </w:tc>
      </w:tr>
      <w:tr w:rsidR="00C645C9">
        <w:trPr>
          <w:trHeight w:val="1341"/>
          <w:jc w:val="center"/>
        </w:trPr>
        <w:tc>
          <w:tcPr>
            <w:tcW w:w="334" w:type="pct"/>
            <w:vMerge/>
            <w:vAlign w:val="center"/>
          </w:tcPr>
          <w:p w:rsidR="00C645C9" w:rsidRDefault="00C645C9">
            <w:pPr>
              <w:spacing w:line="0" w:lineRule="atLeast"/>
              <w:jc w:val="center"/>
              <w:rPr>
                <w:rFonts w:cs="Times New Roman"/>
                <w:spacing w:val="-10"/>
                <w:sz w:val="21"/>
                <w:szCs w:val="21"/>
              </w:rPr>
            </w:pPr>
          </w:p>
        </w:tc>
        <w:tc>
          <w:tcPr>
            <w:tcW w:w="352" w:type="pct"/>
            <w:vMerge/>
            <w:vAlign w:val="center"/>
          </w:tcPr>
          <w:p w:rsidR="00C645C9" w:rsidRDefault="00C645C9">
            <w:pPr>
              <w:spacing w:line="0" w:lineRule="atLeast"/>
              <w:jc w:val="center"/>
              <w:rPr>
                <w:rFonts w:cs="Times New Roman"/>
                <w:spacing w:val="-10"/>
                <w:sz w:val="21"/>
                <w:szCs w:val="21"/>
              </w:rPr>
            </w:pPr>
          </w:p>
        </w:tc>
        <w:tc>
          <w:tcPr>
            <w:tcW w:w="1006" w:type="pct"/>
            <w:vAlign w:val="center"/>
          </w:tcPr>
          <w:p w:rsidR="00C645C9" w:rsidRDefault="00F955D9">
            <w:pPr>
              <w:pStyle w:val="aa"/>
              <w:snapToGrid w:val="0"/>
              <w:spacing w:line="0" w:lineRule="atLeast"/>
              <w:jc w:val="center"/>
              <w:rPr>
                <w:rFonts w:hAnsi="Times New Roman" w:cs="Times New Roman"/>
                <w:spacing w:val="-10"/>
                <w:sz w:val="21"/>
                <w:szCs w:val="21"/>
              </w:rPr>
            </w:pPr>
            <w:r>
              <w:rPr>
                <w:rFonts w:hAnsi="Times New Roman" w:cs="Times New Roman"/>
                <w:spacing w:val="-10"/>
                <w:sz w:val="21"/>
                <w:szCs w:val="21"/>
              </w:rPr>
              <w:t>植物</w:t>
            </w:r>
          </w:p>
        </w:tc>
        <w:tc>
          <w:tcPr>
            <w:tcW w:w="964"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野生植物</w:t>
            </w:r>
          </w:p>
        </w:tc>
        <w:tc>
          <w:tcPr>
            <w:tcW w:w="905" w:type="pct"/>
            <w:vAlign w:val="center"/>
          </w:tcPr>
          <w:p w:rsidR="00C645C9" w:rsidRDefault="00F955D9">
            <w:pPr>
              <w:spacing w:line="0" w:lineRule="atLeast"/>
              <w:jc w:val="center"/>
              <w:rPr>
                <w:rFonts w:cs="Times New Roman"/>
                <w:spacing w:val="-10"/>
                <w:sz w:val="21"/>
                <w:szCs w:val="21"/>
              </w:rPr>
            </w:pPr>
            <w:r>
              <w:rPr>
                <w:rFonts w:cs="Times New Roman"/>
                <w:sz w:val="21"/>
                <w:szCs w:val="21"/>
              </w:rPr>
              <w:t>评价范围内</w:t>
            </w:r>
          </w:p>
        </w:tc>
        <w:tc>
          <w:tcPr>
            <w:tcW w:w="1436"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多枝柽柳、胡杨、盐穗木</w:t>
            </w:r>
            <w:r>
              <w:rPr>
                <w:rFonts w:cs="Times New Roman" w:hint="eastAsia"/>
                <w:spacing w:val="-10"/>
                <w:sz w:val="21"/>
                <w:szCs w:val="21"/>
              </w:rPr>
              <w:t>、疏叶骆驼刺、花花柴等</w:t>
            </w:r>
          </w:p>
        </w:tc>
      </w:tr>
      <w:tr w:rsidR="00C645C9">
        <w:trPr>
          <w:trHeight w:val="397"/>
          <w:jc w:val="center"/>
        </w:trPr>
        <w:tc>
          <w:tcPr>
            <w:tcW w:w="334" w:type="pct"/>
            <w:vMerge/>
            <w:vAlign w:val="center"/>
          </w:tcPr>
          <w:p w:rsidR="00C645C9" w:rsidRDefault="00C645C9">
            <w:pPr>
              <w:spacing w:line="0" w:lineRule="atLeast"/>
              <w:jc w:val="center"/>
              <w:rPr>
                <w:rFonts w:cs="Times New Roman"/>
                <w:spacing w:val="-10"/>
                <w:sz w:val="21"/>
                <w:szCs w:val="21"/>
              </w:rPr>
            </w:pPr>
          </w:p>
        </w:tc>
        <w:tc>
          <w:tcPr>
            <w:tcW w:w="352" w:type="pct"/>
            <w:vMerge/>
            <w:vAlign w:val="center"/>
          </w:tcPr>
          <w:p w:rsidR="00C645C9" w:rsidRDefault="00C645C9">
            <w:pPr>
              <w:spacing w:line="0" w:lineRule="atLeast"/>
              <w:jc w:val="center"/>
              <w:rPr>
                <w:rFonts w:cs="Times New Roman"/>
                <w:spacing w:val="-10"/>
                <w:sz w:val="21"/>
                <w:szCs w:val="21"/>
              </w:rPr>
            </w:pPr>
          </w:p>
        </w:tc>
        <w:tc>
          <w:tcPr>
            <w:tcW w:w="1006" w:type="pct"/>
            <w:vAlign w:val="center"/>
          </w:tcPr>
          <w:p w:rsidR="00C645C9" w:rsidRDefault="00F955D9">
            <w:pPr>
              <w:pStyle w:val="aa"/>
              <w:snapToGrid w:val="0"/>
              <w:spacing w:line="0" w:lineRule="atLeast"/>
              <w:jc w:val="center"/>
              <w:rPr>
                <w:rFonts w:hAnsi="Times New Roman" w:cs="Times New Roman"/>
                <w:spacing w:val="-10"/>
                <w:sz w:val="21"/>
                <w:szCs w:val="21"/>
              </w:rPr>
            </w:pPr>
            <w:r>
              <w:rPr>
                <w:rFonts w:hAnsi="Times New Roman" w:cs="Times New Roman"/>
                <w:spacing w:val="-10"/>
                <w:sz w:val="21"/>
                <w:szCs w:val="21"/>
              </w:rPr>
              <w:t>动物</w:t>
            </w:r>
          </w:p>
        </w:tc>
        <w:tc>
          <w:tcPr>
            <w:tcW w:w="964"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野生动物</w:t>
            </w:r>
          </w:p>
        </w:tc>
        <w:tc>
          <w:tcPr>
            <w:tcW w:w="905" w:type="pct"/>
            <w:vAlign w:val="center"/>
          </w:tcPr>
          <w:p w:rsidR="00C645C9" w:rsidRDefault="00F955D9">
            <w:pPr>
              <w:spacing w:line="0" w:lineRule="atLeast"/>
              <w:jc w:val="center"/>
              <w:rPr>
                <w:rFonts w:cs="Times New Roman"/>
                <w:spacing w:val="-10"/>
                <w:sz w:val="21"/>
                <w:szCs w:val="21"/>
              </w:rPr>
            </w:pPr>
            <w:bookmarkStart w:id="405" w:name="OLE_LINK169"/>
            <w:r>
              <w:rPr>
                <w:rFonts w:cs="Times New Roman"/>
                <w:sz w:val="21"/>
                <w:szCs w:val="21"/>
              </w:rPr>
              <w:t>评价范围内</w:t>
            </w:r>
            <w:bookmarkEnd w:id="405"/>
          </w:p>
        </w:tc>
        <w:tc>
          <w:tcPr>
            <w:tcW w:w="1436" w:type="pct"/>
            <w:vAlign w:val="center"/>
          </w:tcPr>
          <w:p w:rsidR="00C645C9" w:rsidRDefault="00F955D9">
            <w:pPr>
              <w:adjustRightInd w:val="0"/>
              <w:spacing w:line="0" w:lineRule="atLeast"/>
              <w:jc w:val="both"/>
              <w:rPr>
                <w:rFonts w:cs="Times New Roman"/>
                <w:spacing w:val="-10"/>
                <w:sz w:val="21"/>
                <w:szCs w:val="21"/>
              </w:rPr>
            </w:pPr>
            <w:r>
              <w:rPr>
                <w:rFonts w:cs="Times New Roman"/>
                <w:spacing w:val="-10"/>
                <w:sz w:val="21"/>
                <w:szCs w:val="21"/>
              </w:rPr>
              <w:t>国家二级保护动物塔里木兔，其他动物：麻雀、灰斑鸠、密点麻蜥、荒漠麻蜥等</w:t>
            </w:r>
          </w:p>
        </w:tc>
      </w:tr>
      <w:tr w:rsidR="00C645C9">
        <w:trPr>
          <w:trHeight w:val="655"/>
          <w:jc w:val="center"/>
        </w:trPr>
        <w:tc>
          <w:tcPr>
            <w:tcW w:w="334" w:type="pct"/>
            <w:vMerge/>
            <w:vAlign w:val="center"/>
          </w:tcPr>
          <w:p w:rsidR="00C645C9" w:rsidRDefault="00C645C9">
            <w:pPr>
              <w:spacing w:line="0" w:lineRule="atLeast"/>
              <w:jc w:val="center"/>
              <w:rPr>
                <w:rFonts w:cs="Times New Roman"/>
                <w:spacing w:val="-10"/>
                <w:sz w:val="21"/>
                <w:szCs w:val="21"/>
              </w:rPr>
            </w:pPr>
          </w:p>
        </w:tc>
        <w:tc>
          <w:tcPr>
            <w:tcW w:w="352" w:type="pct"/>
            <w:vMerge/>
            <w:vAlign w:val="center"/>
          </w:tcPr>
          <w:p w:rsidR="00C645C9" w:rsidRDefault="00C645C9">
            <w:pPr>
              <w:spacing w:line="0" w:lineRule="atLeast"/>
              <w:jc w:val="center"/>
              <w:rPr>
                <w:rFonts w:cs="Times New Roman"/>
                <w:spacing w:val="-10"/>
                <w:sz w:val="21"/>
                <w:szCs w:val="21"/>
              </w:rPr>
            </w:pPr>
          </w:p>
        </w:tc>
        <w:tc>
          <w:tcPr>
            <w:tcW w:w="1006" w:type="pct"/>
            <w:vAlign w:val="center"/>
          </w:tcPr>
          <w:p w:rsidR="00C645C9" w:rsidRDefault="00F955D9">
            <w:pPr>
              <w:pStyle w:val="aa"/>
              <w:snapToGrid w:val="0"/>
              <w:spacing w:line="0" w:lineRule="atLeast"/>
              <w:jc w:val="center"/>
              <w:rPr>
                <w:rFonts w:hAnsi="Times New Roman" w:cs="Times New Roman"/>
                <w:spacing w:val="-10"/>
                <w:sz w:val="21"/>
                <w:szCs w:val="21"/>
              </w:rPr>
            </w:pPr>
            <w:r>
              <w:rPr>
                <w:rFonts w:hAnsi="Times New Roman" w:cs="Times New Roman"/>
                <w:spacing w:val="-10"/>
                <w:sz w:val="21"/>
                <w:szCs w:val="21"/>
              </w:rPr>
              <w:t>塔里木河流域水土流失重点治理区</w:t>
            </w:r>
          </w:p>
        </w:tc>
        <w:tc>
          <w:tcPr>
            <w:tcW w:w="964" w:type="pct"/>
            <w:vAlign w:val="center"/>
          </w:tcPr>
          <w:p w:rsidR="00C645C9" w:rsidRDefault="00F955D9">
            <w:pPr>
              <w:pStyle w:val="aa"/>
              <w:snapToGrid w:val="0"/>
              <w:spacing w:line="0" w:lineRule="atLeast"/>
              <w:jc w:val="center"/>
              <w:rPr>
                <w:rFonts w:hAnsi="Times New Roman" w:cs="Times New Roman"/>
                <w:spacing w:val="-10"/>
                <w:sz w:val="21"/>
                <w:szCs w:val="21"/>
              </w:rPr>
            </w:pPr>
            <w:r>
              <w:rPr>
                <w:rFonts w:hAnsi="Times New Roman" w:cs="Times New Roman"/>
                <w:spacing w:val="-10"/>
                <w:sz w:val="21"/>
                <w:szCs w:val="21"/>
              </w:rPr>
              <w:t>塔里木河流域水土流失重点治理区</w:t>
            </w:r>
          </w:p>
        </w:tc>
        <w:tc>
          <w:tcPr>
            <w:tcW w:w="905" w:type="pct"/>
            <w:vAlign w:val="center"/>
          </w:tcPr>
          <w:p w:rsidR="00C645C9" w:rsidRDefault="00F955D9">
            <w:pPr>
              <w:spacing w:line="0" w:lineRule="atLeast"/>
              <w:jc w:val="center"/>
              <w:rPr>
                <w:rFonts w:cs="Times New Roman"/>
                <w:spacing w:val="-10"/>
                <w:sz w:val="21"/>
                <w:szCs w:val="21"/>
              </w:rPr>
            </w:pPr>
            <w:r>
              <w:rPr>
                <w:rFonts w:cs="Times New Roman"/>
                <w:sz w:val="21"/>
                <w:szCs w:val="21"/>
              </w:rPr>
              <w:t>评价范围内</w:t>
            </w:r>
          </w:p>
        </w:tc>
        <w:tc>
          <w:tcPr>
            <w:tcW w:w="1436" w:type="pct"/>
            <w:vAlign w:val="center"/>
          </w:tcPr>
          <w:p w:rsidR="00C645C9" w:rsidRDefault="00F955D9">
            <w:pPr>
              <w:pStyle w:val="aa"/>
              <w:adjustRightInd w:val="0"/>
              <w:spacing w:line="0" w:lineRule="atLeast"/>
              <w:jc w:val="center"/>
              <w:rPr>
                <w:rFonts w:hAnsi="Times New Roman" w:cs="Times New Roman"/>
                <w:spacing w:val="-10"/>
                <w:sz w:val="21"/>
                <w:szCs w:val="21"/>
              </w:rPr>
            </w:pPr>
            <w:r>
              <w:rPr>
                <w:rFonts w:hAnsi="Times New Roman" w:cs="Times New Roman"/>
                <w:spacing w:val="-10"/>
                <w:sz w:val="21"/>
                <w:szCs w:val="21"/>
              </w:rPr>
              <w:t>水土流失</w:t>
            </w:r>
          </w:p>
        </w:tc>
      </w:tr>
    </w:tbl>
    <w:p w:rsidR="00C645C9" w:rsidRDefault="00F955D9">
      <w:pPr>
        <w:ind w:firstLine="482"/>
        <w:jc w:val="center"/>
        <w:rPr>
          <w:b/>
          <w:bCs/>
          <w:sz w:val="21"/>
          <w:szCs w:val="21"/>
        </w:rPr>
      </w:pPr>
      <w:bookmarkStart w:id="406" w:name="OLE_LINK1394"/>
      <w:r>
        <w:rPr>
          <w:rFonts w:eastAsia="黑体" w:cs="Times New Roman"/>
          <w:sz w:val="21"/>
          <w:szCs w:val="21"/>
        </w:rPr>
        <w:t>表</w:t>
      </w:r>
      <w:r>
        <w:rPr>
          <w:rFonts w:eastAsia="黑体" w:cs="Times New Roman"/>
          <w:sz w:val="21"/>
          <w:szCs w:val="21"/>
        </w:rPr>
        <w:t>2</w:t>
      </w:r>
      <w:bookmarkStart w:id="407" w:name="OLE_LINK1349"/>
      <w:r>
        <w:rPr>
          <w:rFonts w:eastAsia="黑体" w:cs="Times New Roman"/>
          <w:sz w:val="21"/>
          <w:szCs w:val="21"/>
        </w:rPr>
        <w:t>.</w:t>
      </w:r>
      <w:r>
        <w:rPr>
          <w:rFonts w:eastAsia="黑体" w:cs="Times New Roman"/>
          <w:sz w:val="21"/>
          <w:szCs w:val="21"/>
        </w:rPr>
        <w:t>6</w:t>
      </w:r>
      <w:r>
        <w:rPr>
          <w:rFonts w:eastAsia="黑体" w:cs="Times New Roman"/>
          <w:sz w:val="21"/>
          <w:szCs w:val="21"/>
        </w:rPr>
        <w:t>-</w:t>
      </w:r>
      <w:r>
        <w:rPr>
          <w:rFonts w:eastAsia="黑体" w:cs="Times New Roman" w:hint="eastAsia"/>
          <w:sz w:val="21"/>
          <w:szCs w:val="21"/>
        </w:rPr>
        <w:t>2</w:t>
      </w:r>
      <w:bookmarkEnd w:id="407"/>
      <w:r>
        <w:rPr>
          <w:rFonts w:hint="eastAsia"/>
          <w:b/>
          <w:bCs/>
          <w:sz w:val="21"/>
          <w:szCs w:val="21"/>
        </w:rPr>
        <w:t xml:space="preserve"> </w:t>
      </w:r>
      <w:r>
        <w:rPr>
          <w:b/>
          <w:bCs/>
          <w:sz w:val="21"/>
          <w:szCs w:val="21"/>
        </w:rPr>
        <w:t xml:space="preserve"> </w:t>
      </w:r>
      <w:r>
        <w:rPr>
          <w:rFonts w:hint="eastAsia"/>
          <w:b/>
          <w:bCs/>
          <w:sz w:val="21"/>
          <w:szCs w:val="21"/>
        </w:rPr>
        <w:t xml:space="preserve"> </w:t>
      </w:r>
      <w:r>
        <w:rPr>
          <w:rFonts w:eastAsia="黑体" w:cs="Times New Roman" w:hint="eastAsia"/>
          <w:sz w:val="21"/>
          <w:szCs w:val="21"/>
        </w:rPr>
        <w:t>地下水</w:t>
      </w:r>
      <w:r>
        <w:rPr>
          <w:rFonts w:eastAsia="黑体" w:cs="Times New Roman"/>
          <w:sz w:val="21"/>
          <w:szCs w:val="21"/>
        </w:rPr>
        <w:t>环境保护目标一览表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7"/>
        <w:gridCol w:w="1035"/>
        <w:gridCol w:w="2174"/>
        <w:gridCol w:w="1387"/>
        <w:gridCol w:w="1850"/>
        <w:gridCol w:w="1254"/>
      </w:tblGrid>
      <w:tr w:rsidR="00C645C9">
        <w:trPr>
          <w:trHeight w:val="90"/>
          <w:jc w:val="center"/>
        </w:trPr>
        <w:tc>
          <w:tcPr>
            <w:tcW w:w="393" w:type="pct"/>
            <w:vAlign w:val="center"/>
          </w:tcPr>
          <w:p w:rsidR="00C645C9" w:rsidRDefault="00F955D9">
            <w:pPr>
              <w:spacing w:line="0" w:lineRule="atLeast"/>
              <w:jc w:val="center"/>
              <w:rPr>
                <w:spacing w:val="-10"/>
                <w:sz w:val="21"/>
                <w:szCs w:val="21"/>
              </w:rPr>
            </w:pPr>
            <w:bookmarkStart w:id="408" w:name="OLE_LINK1354" w:colFirst="1" w:colLast="1"/>
            <w:r>
              <w:rPr>
                <w:rFonts w:hint="eastAsia"/>
                <w:spacing w:val="-10"/>
                <w:sz w:val="21"/>
                <w:szCs w:val="21"/>
              </w:rPr>
              <w:t>环境</w:t>
            </w:r>
          </w:p>
          <w:p w:rsidR="00C645C9" w:rsidRDefault="00F955D9">
            <w:pPr>
              <w:spacing w:line="0" w:lineRule="atLeast"/>
              <w:jc w:val="center"/>
              <w:rPr>
                <w:spacing w:val="-10"/>
                <w:sz w:val="21"/>
                <w:szCs w:val="21"/>
              </w:rPr>
            </w:pPr>
            <w:r>
              <w:rPr>
                <w:rFonts w:hint="eastAsia"/>
                <w:spacing w:val="-10"/>
                <w:sz w:val="21"/>
                <w:szCs w:val="21"/>
              </w:rPr>
              <w:t>要素</w:t>
            </w:r>
          </w:p>
        </w:tc>
        <w:tc>
          <w:tcPr>
            <w:tcW w:w="619" w:type="pct"/>
            <w:vAlign w:val="center"/>
          </w:tcPr>
          <w:p w:rsidR="00C645C9" w:rsidRDefault="00F955D9">
            <w:pPr>
              <w:spacing w:line="0" w:lineRule="atLeast"/>
              <w:jc w:val="center"/>
              <w:rPr>
                <w:spacing w:val="-10"/>
                <w:sz w:val="21"/>
                <w:szCs w:val="21"/>
              </w:rPr>
            </w:pPr>
            <w:r>
              <w:rPr>
                <w:rFonts w:cs="Times New Roman"/>
                <w:spacing w:val="-10"/>
                <w:sz w:val="21"/>
                <w:szCs w:val="21"/>
              </w:rPr>
              <w:t>评价范围</w:t>
            </w:r>
          </w:p>
        </w:tc>
        <w:tc>
          <w:tcPr>
            <w:tcW w:w="1300" w:type="pct"/>
            <w:vAlign w:val="center"/>
          </w:tcPr>
          <w:p w:rsidR="00C645C9" w:rsidRDefault="00F955D9">
            <w:pPr>
              <w:spacing w:line="0" w:lineRule="atLeast"/>
              <w:jc w:val="center"/>
              <w:rPr>
                <w:spacing w:val="-10"/>
                <w:sz w:val="21"/>
                <w:szCs w:val="21"/>
              </w:rPr>
            </w:pPr>
            <w:bookmarkStart w:id="409" w:name="OLE_LINK1350"/>
            <w:r>
              <w:rPr>
                <w:rFonts w:hint="eastAsia"/>
                <w:spacing w:val="-10"/>
                <w:sz w:val="21"/>
                <w:szCs w:val="21"/>
              </w:rPr>
              <w:t>名称</w:t>
            </w:r>
          </w:p>
        </w:tc>
        <w:tc>
          <w:tcPr>
            <w:tcW w:w="829" w:type="pct"/>
            <w:vAlign w:val="center"/>
          </w:tcPr>
          <w:p w:rsidR="00C645C9" w:rsidRDefault="00F955D9">
            <w:pPr>
              <w:spacing w:line="0" w:lineRule="atLeast"/>
              <w:jc w:val="center"/>
              <w:rPr>
                <w:spacing w:val="-10"/>
                <w:sz w:val="21"/>
                <w:szCs w:val="21"/>
              </w:rPr>
            </w:pPr>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bookmarkEnd w:id="409"/>
          </w:p>
        </w:tc>
        <w:tc>
          <w:tcPr>
            <w:tcW w:w="1106" w:type="pct"/>
            <w:vAlign w:val="center"/>
          </w:tcPr>
          <w:p w:rsidR="00C645C9" w:rsidRDefault="00F955D9">
            <w:pPr>
              <w:spacing w:line="0" w:lineRule="atLeast"/>
              <w:jc w:val="center"/>
              <w:rPr>
                <w:spacing w:val="-10"/>
                <w:sz w:val="21"/>
                <w:szCs w:val="21"/>
              </w:rPr>
            </w:pPr>
            <w:r>
              <w:rPr>
                <w:rFonts w:hint="eastAsia"/>
                <w:spacing w:val="-10"/>
                <w:sz w:val="21"/>
                <w:szCs w:val="21"/>
              </w:rPr>
              <w:t>环境功能要求</w:t>
            </w:r>
          </w:p>
        </w:tc>
        <w:tc>
          <w:tcPr>
            <w:tcW w:w="749" w:type="pct"/>
            <w:vAlign w:val="center"/>
          </w:tcPr>
          <w:p w:rsidR="00C645C9" w:rsidRDefault="00F955D9">
            <w:pPr>
              <w:adjustRightInd w:val="0"/>
              <w:spacing w:line="0" w:lineRule="atLeast"/>
              <w:jc w:val="center"/>
              <w:rPr>
                <w:spacing w:val="-10"/>
                <w:sz w:val="21"/>
                <w:szCs w:val="21"/>
              </w:rPr>
            </w:pPr>
            <w:r>
              <w:rPr>
                <w:rFonts w:hint="eastAsia"/>
                <w:spacing w:val="-10"/>
                <w:sz w:val="21"/>
                <w:szCs w:val="21"/>
              </w:rPr>
              <w:t>备注</w:t>
            </w:r>
          </w:p>
        </w:tc>
      </w:tr>
      <w:tr w:rsidR="00C645C9">
        <w:trPr>
          <w:trHeight w:val="369"/>
          <w:jc w:val="center"/>
        </w:trPr>
        <w:tc>
          <w:tcPr>
            <w:tcW w:w="393" w:type="pct"/>
            <w:vMerge w:val="restart"/>
            <w:vAlign w:val="center"/>
          </w:tcPr>
          <w:p w:rsidR="00C645C9" w:rsidRDefault="00F955D9">
            <w:pPr>
              <w:spacing w:line="0" w:lineRule="atLeast"/>
              <w:jc w:val="center"/>
              <w:rPr>
                <w:spacing w:val="-10"/>
                <w:sz w:val="21"/>
                <w:szCs w:val="21"/>
              </w:rPr>
            </w:pPr>
            <w:r>
              <w:rPr>
                <w:rFonts w:hint="eastAsia"/>
                <w:spacing w:val="-10"/>
                <w:sz w:val="21"/>
                <w:szCs w:val="21"/>
              </w:rPr>
              <w:t>地下水环境</w:t>
            </w:r>
          </w:p>
        </w:tc>
        <w:tc>
          <w:tcPr>
            <w:tcW w:w="619" w:type="pct"/>
            <w:vMerge w:val="restart"/>
            <w:vAlign w:val="center"/>
          </w:tcPr>
          <w:p w:rsidR="00C645C9" w:rsidRDefault="00F955D9">
            <w:pPr>
              <w:spacing w:line="0" w:lineRule="atLeast"/>
              <w:jc w:val="center"/>
              <w:rPr>
                <w:spacing w:val="-10"/>
                <w:sz w:val="21"/>
                <w:szCs w:val="21"/>
              </w:rPr>
            </w:pPr>
            <w:r>
              <w:rPr>
                <w:rFonts w:hint="eastAsia"/>
                <w:spacing w:val="-10"/>
                <w:sz w:val="21"/>
                <w:szCs w:val="21"/>
              </w:rPr>
              <w:t>井场上游</w:t>
            </w:r>
            <w:r>
              <w:rPr>
                <w:rFonts w:hint="eastAsia"/>
                <w:spacing w:val="-10"/>
                <w:sz w:val="21"/>
                <w:szCs w:val="21"/>
              </w:rPr>
              <w:t>1km</w:t>
            </w:r>
            <w:r>
              <w:rPr>
                <w:rFonts w:hint="eastAsia"/>
                <w:spacing w:val="-10"/>
                <w:sz w:val="21"/>
                <w:szCs w:val="21"/>
              </w:rPr>
              <w:t>，下游</w:t>
            </w:r>
            <w:r>
              <w:rPr>
                <w:rFonts w:hint="eastAsia"/>
                <w:spacing w:val="-10"/>
                <w:sz w:val="21"/>
                <w:szCs w:val="21"/>
              </w:rPr>
              <w:t>2km</w:t>
            </w:r>
            <w:r>
              <w:rPr>
                <w:rFonts w:hint="eastAsia"/>
                <w:spacing w:val="-10"/>
                <w:sz w:val="21"/>
                <w:szCs w:val="21"/>
              </w:rPr>
              <w:t>，两侧</w:t>
            </w:r>
            <w:r>
              <w:rPr>
                <w:rFonts w:hint="eastAsia"/>
                <w:spacing w:val="-10"/>
                <w:sz w:val="21"/>
                <w:szCs w:val="21"/>
              </w:rPr>
              <w:t>1km</w:t>
            </w:r>
            <w:r>
              <w:rPr>
                <w:rFonts w:hint="eastAsia"/>
                <w:spacing w:val="-10"/>
                <w:sz w:val="21"/>
                <w:szCs w:val="21"/>
              </w:rPr>
              <w:t>的矩形区域</w:t>
            </w:r>
          </w:p>
        </w:tc>
        <w:tc>
          <w:tcPr>
            <w:tcW w:w="1300" w:type="pct"/>
            <w:vAlign w:val="center"/>
          </w:tcPr>
          <w:p w:rsidR="00C645C9" w:rsidRDefault="00F955D9">
            <w:pPr>
              <w:spacing w:line="0" w:lineRule="atLeast"/>
              <w:jc w:val="center"/>
              <w:rPr>
                <w:spacing w:val="-10"/>
                <w:sz w:val="21"/>
                <w:szCs w:val="21"/>
              </w:rPr>
            </w:pPr>
            <w:r>
              <w:rPr>
                <w:rFonts w:hint="eastAsia"/>
                <w:spacing w:val="-10"/>
                <w:sz w:val="21"/>
                <w:szCs w:val="21"/>
              </w:rPr>
              <w:t>评价范围内潜水含水层</w:t>
            </w:r>
          </w:p>
        </w:tc>
        <w:tc>
          <w:tcPr>
            <w:tcW w:w="829" w:type="pct"/>
            <w:vAlign w:val="center"/>
          </w:tcPr>
          <w:p w:rsidR="00C645C9" w:rsidRDefault="00F955D9">
            <w:pPr>
              <w:spacing w:line="0" w:lineRule="atLeast"/>
              <w:jc w:val="center"/>
              <w:rPr>
                <w:spacing w:val="-10"/>
                <w:sz w:val="21"/>
                <w:szCs w:val="21"/>
              </w:rPr>
            </w:pPr>
            <w:r>
              <w:rPr>
                <w:rFonts w:cs="Times New Roman" w:hint="eastAsia"/>
                <w:sz w:val="21"/>
                <w:szCs w:val="21"/>
              </w:rPr>
              <w:t>井场</w:t>
            </w:r>
            <w:r>
              <w:rPr>
                <w:rFonts w:cs="Times New Roman"/>
                <w:sz w:val="21"/>
                <w:szCs w:val="21"/>
              </w:rPr>
              <w:t>及周边</w:t>
            </w:r>
          </w:p>
        </w:tc>
        <w:tc>
          <w:tcPr>
            <w:tcW w:w="1106" w:type="pct"/>
            <w:vMerge w:val="restart"/>
            <w:vAlign w:val="center"/>
          </w:tcPr>
          <w:p w:rsidR="00C645C9" w:rsidRDefault="00F955D9">
            <w:pPr>
              <w:spacing w:line="0" w:lineRule="atLeast"/>
              <w:jc w:val="center"/>
              <w:rPr>
                <w:spacing w:val="-10"/>
                <w:sz w:val="21"/>
                <w:szCs w:val="21"/>
              </w:rPr>
            </w:pPr>
            <w:r>
              <w:rPr>
                <w:spacing w:val="-10"/>
                <w:sz w:val="21"/>
                <w:szCs w:val="21"/>
              </w:rPr>
              <w:t>《地下水质量标准》（</w:t>
            </w:r>
            <w:r>
              <w:rPr>
                <w:spacing w:val="-10"/>
                <w:sz w:val="21"/>
                <w:szCs w:val="21"/>
              </w:rPr>
              <w:t>GB/T14848-2017</w:t>
            </w:r>
            <w:r>
              <w:rPr>
                <w:spacing w:val="-10"/>
                <w:sz w:val="21"/>
                <w:szCs w:val="21"/>
              </w:rPr>
              <w:t>）</w:t>
            </w:r>
            <w:r>
              <w:rPr>
                <w:rFonts w:cs="Times New Roman"/>
                <w:spacing w:val="-10"/>
                <w:sz w:val="21"/>
                <w:szCs w:val="21"/>
              </w:rPr>
              <w:t>Ⅲ</w:t>
            </w:r>
            <w:r>
              <w:rPr>
                <w:spacing w:val="-10"/>
                <w:sz w:val="21"/>
                <w:szCs w:val="21"/>
              </w:rPr>
              <w:t>类标准</w:t>
            </w:r>
          </w:p>
        </w:tc>
        <w:tc>
          <w:tcPr>
            <w:tcW w:w="749" w:type="pct"/>
            <w:vMerge w:val="restart"/>
            <w:vAlign w:val="center"/>
          </w:tcPr>
          <w:p w:rsidR="00C645C9" w:rsidRDefault="00F955D9">
            <w:pPr>
              <w:spacing w:line="0" w:lineRule="atLeast"/>
              <w:jc w:val="center"/>
              <w:rPr>
                <w:spacing w:val="-10"/>
                <w:sz w:val="21"/>
                <w:szCs w:val="21"/>
              </w:rPr>
            </w:pPr>
            <w:bookmarkStart w:id="410" w:name="OLE_LINK1348"/>
            <w:r>
              <w:rPr>
                <w:rFonts w:cs="Times New Roman"/>
                <w:sz w:val="21"/>
                <w:szCs w:val="21"/>
              </w:rPr>
              <w:t>不低于现状</w:t>
            </w:r>
            <w:r>
              <w:rPr>
                <w:rFonts w:hint="eastAsia"/>
                <w:spacing w:val="-10"/>
                <w:sz w:val="21"/>
                <w:szCs w:val="21"/>
              </w:rPr>
              <w:t>，</w:t>
            </w:r>
            <w:bookmarkEnd w:id="410"/>
            <w:r>
              <w:rPr>
                <w:rFonts w:hint="eastAsia"/>
                <w:spacing w:val="-10"/>
                <w:sz w:val="21"/>
                <w:szCs w:val="21"/>
              </w:rPr>
              <w:t>不对评价区域地下水产生污染影响</w:t>
            </w:r>
          </w:p>
        </w:tc>
      </w:tr>
      <w:tr w:rsidR="00C645C9">
        <w:trPr>
          <w:trHeight w:val="369"/>
          <w:jc w:val="center"/>
        </w:trPr>
        <w:tc>
          <w:tcPr>
            <w:tcW w:w="393" w:type="pct"/>
            <w:vMerge/>
            <w:vAlign w:val="center"/>
          </w:tcPr>
          <w:p w:rsidR="00C645C9" w:rsidRDefault="00C645C9">
            <w:pPr>
              <w:spacing w:line="0" w:lineRule="atLeast"/>
              <w:jc w:val="center"/>
              <w:rPr>
                <w:spacing w:val="-10"/>
                <w:sz w:val="21"/>
                <w:szCs w:val="21"/>
              </w:rPr>
            </w:pPr>
          </w:p>
        </w:tc>
        <w:tc>
          <w:tcPr>
            <w:tcW w:w="619" w:type="pct"/>
            <w:vMerge/>
            <w:vAlign w:val="center"/>
          </w:tcPr>
          <w:p w:rsidR="00C645C9" w:rsidRDefault="00C645C9">
            <w:pPr>
              <w:spacing w:line="0" w:lineRule="atLeast"/>
              <w:jc w:val="center"/>
              <w:rPr>
                <w:spacing w:val="-10"/>
                <w:sz w:val="21"/>
                <w:szCs w:val="21"/>
              </w:rPr>
            </w:pPr>
          </w:p>
        </w:tc>
        <w:tc>
          <w:tcPr>
            <w:tcW w:w="1300" w:type="pct"/>
            <w:vAlign w:val="center"/>
          </w:tcPr>
          <w:p w:rsidR="00C645C9" w:rsidRDefault="00F955D9">
            <w:pPr>
              <w:spacing w:line="0" w:lineRule="atLeast"/>
              <w:jc w:val="center"/>
              <w:rPr>
                <w:spacing w:val="-10"/>
                <w:sz w:val="21"/>
                <w:szCs w:val="21"/>
              </w:rPr>
            </w:pPr>
            <w:r>
              <w:rPr>
                <w:rFonts w:hint="eastAsia"/>
                <w:spacing w:val="-10"/>
                <w:sz w:val="21"/>
                <w:szCs w:val="21"/>
              </w:rPr>
              <w:t>尤鲁都斯巴格镇饮用水水源一级保护区（乡镇级）</w:t>
            </w:r>
          </w:p>
        </w:tc>
        <w:tc>
          <w:tcPr>
            <w:tcW w:w="829" w:type="pct"/>
            <w:vAlign w:val="center"/>
          </w:tcPr>
          <w:p w:rsidR="00C645C9" w:rsidRDefault="00F955D9">
            <w:pPr>
              <w:spacing w:line="0" w:lineRule="atLeast"/>
              <w:jc w:val="center"/>
              <w:rPr>
                <w:rFonts w:cs="Times New Roman"/>
                <w:sz w:val="21"/>
                <w:szCs w:val="21"/>
              </w:rPr>
            </w:pPr>
            <w:r>
              <w:rPr>
                <w:rFonts w:cs="Times New Roman" w:hint="eastAsia"/>
                <w:sz w:val="21"/>
                <w:szCs w:val="21"/>
              </w:rPr>
              <w:t>新北</w:t>
            </w:r>
            <w:r>
              <w:rPr>
                <w:rFonts w:cs="Times New Roman" w:hint="eastAsia"/>
                <w:sz w:val="21"/>
                <w:szCs w:val="21"/>
              </w:rPr>
              <w:t>7</w:t>
            </w:r>
            <w:r>
              <w:rPr>
                <w:rFonts w:cs="Times New Roman" w:hint="eastAsia"/>
                <w:sz w:val="21"/>
                <w:szCs w:val="21"/>
              </w:rPr>
              <w:t>井南侧</w:t>
            </w:r>
            <w:r>
              <w:rPr>
                <w:rFonts w:cs="Times New Roman" w:hint="eastAsia"/>
                <w:sz w:val="21"/>
                <w:szCs w:val="21"/>
              </w:rPr>
              <w:t>628m</w:t>
            </w:r>
          </w:p>
        </w:tc>
        <w:tc>
          <w:tcPr>
            <w:tcW w:w="1106" w:type="pct"/>
            <w:vMerge/>
            <w:vAlign w:val="center"/>
          </w:tcPr>
          <w:p w:rsidR="00C645C9" w:rsidRDefault="00C645C9">
            <w:pPr>
              <w:spacing w:line="0" w:lineRule="atLeast"/>
              <w:jc w:val="center"/>
              <w:rPr>
                <w:spacing w:val="-10"/>
                <w:sz w:val="21"/>
                <w:szCs w:val="21"/>
              </w:rPr>
            </w:pPr>
          </w:p>
        </w:tc>
        <w:tc>
          <w:tcPr>
            <w:tcW w:w="749" w:type="pct"/>
            <w:vMerge/>
            <w:vAlign w:val="center"/>
          </w:tcPr>
          <w:p w:rsidR="00C645C9" w:rsidRDefault="00C645C9">
            <w:pPr>
              <w:spacing w:line="0" w:lineRule="atLeast"/>
              <w:jc w:val="center"/>
              <w:rPr>
                <w:rFonts w:cs="Times New Roman"/>
                <w:sz w:val="21"/>
                <w:szCs w:val="21"/>
              </w:rPr>
            </w:pPr>
          </w:p>
        </w:tc>
      </w:tr>
      <w:tr w:rsidR="00C645C9">
        <w:trPr>
          <w:trHeight w:val="369"/>
          <w:jc w:val="center"/>
        </w:trPr>
        <w:tc>
          <w:tcPr>
            <w:tcW w:w="393" w:type="pct"/>
            <w:vMerge/>
            <w:vAlign w:val="center"/>
          </w:tcPr>
          <w:p w:rsidR="00C645C9" w:rsidRDefault="00C645C9">
            <w:pPr>
              <w:spacing w:line="0" w:lineRule="atLeast"/>
              <w:jc w:val="center"/>
              <w:rPr>
                <w:spacing w:val="-10"/>
                <w:sz w:val="21"/>
                <w:szCs w:val="21"/>
              </w:rPr>
            </w:pPr>
          </w:p>
        </w:tc>
        <w:tc>
          <w:tcPr>
            <w:tcW w:w="619" w:type="pct"/>
            <w:vMerge/>
            <w:vAlign w:val="center"/>
          </w:tcPr>
          <w:p w:rsidR="00C645C9" w:rsidRDefault="00C645C9">
            <w:pPr>
              <w:spacing w:line="0" w:lineRule="atLeast"/>
              <w:jc w:val="center"/>
              <w:rPr>
                <w:spacing w:val="-10"/>
                <w:sz w:val="21"/>
                <w:szCs w:val="21"/>
              </w:rPr>
            </w:pPr>
          </w:p>
        </w:tc>
        <w:tc>
          <w:tcPr>
            <w:tcW w:w="1300" w:type="pct"/>
            <w:vAlign w:val="center"/>
          </w:tcPr>
          <w:p w:rsidR="00C645C9" w:rsidRDefault="00F955D9">
            <w:pPr>
              <w:spacing w:line="0" w:lineRule="atLeast"/>
              <w:jc w:val="center"/>
              <w:rPr>
                <w:spacing w:val="-10"/>
                <w:sz w:val="21"/>
                <w:szCs w:val="21"/>
              </w:rPr>
            </w:pPr>
            <w:r>
              <w:rPr>
                <w:rFonts w:hint="eastAsia"/>
                <w:spacing w:val="-10"/>
                <w:sz w:val="21"/>
                <w:szCs w:val="21"/>
              </w:rPr>
              <w:t>红旗闸饮用水水源一级保护区（县级）</w:t>
            </w:r>
          </w:p>
        </w:tc>
        <w:tc>
          <w:tcPr>
            <w:tcW w:w="829" w:type="pct"/>
            <w:vAlign w:val="center"/>
          </w:tcPr>
          <w:p w:rsidR="00C645C9" w:rsidRDefault="00F955D9">
            <w:pPr>
              <w:spacing w:line="0" w:lineRule="atLeast"/>
              <w:jc w:val="center"/>
              <w:rPr>
                <w:rFonts w:cs="Times New Roman"/>
                <w:sz w:val="21"/>
                <w:szCs w:val="21"/>
              </w:rPr>
            </w:pPr>
            <w:r>
              <w:rPr>
                <w:rFonts w:cs="Times New Roman" w:hint="eastAsia"/>
                <w:sz w:val="21"/>
                <w:szCs w:val="21"/>
              </w:rPr>
              <w:t>新北</w:t>
            </w:r>
            <w:r>
              <w:rPr>
                <w:rFonts w:cs="Times New Roman" w:hint="eastAsia"/>
                <w:sz w:val="21"/>
                <w:szCs w:val="21"/>
              </w:rPr>
              <w:t>1X</w:t>
            </w:r>
            <w:r>
              <w:rPr>
                <w:rFonts w:cs="Times New Roman" w:hint="eastAsia"/>
                <w:sz w:val="21"/>
                <w:szCs w:val="21"/>
              </w:rPr>
              <w:t>井东侧</w:t>
            </w:r>
            <w:r>
              <w:rPr>
                <w:rFonts w:cs="Times New Roman" w:hint="eastAsia"/>
                <w:sz w:val="21"/>
                <w:szCs w:val="21"/>
              </w:rPr>
              <w:t>1.9km</w:t>
            </w:r>
          </w:p>
        </w:tc>
        <w:tc>
          <w:tcPr>
            <w:tcW w:w="1106" w:type="pct"/>
            <w:vMerge/>
            <w:vAlign w:val="center"/>
          </w:tcPr>
          <w:p w:rsidR="00C645C9" w:rsidRDefault="00C645C9">
            <w:pPr>
              <w:spacing w:line="0" w:lineRule="atLeast"/>
              <w:jc w:val="center"/>
              <w:rPr>
                <w:spacing w:val="-10"/>
                <w:sz w:val="21"/>
                <w:szCs w:val="21"/>
              </w:rPr>
            </w:pPr>
          </w:p>
        </w:tc>
        <w:tc>
          <w:tcPr>
            <w:tcW w:w="749" w:type="pct"/>
            <w:vMerge/>
            <w:vAlign w:val="center"/>
          </w:tcPr>
          <w:p w:rsidR="00C645C9" w:rsidRDefault="00C645C9">
            <w:pPr>
              <w:spacing w:line="0" w:lineRule="atLeast"/>
              <w:jc w:val="center"/>
              <w:rPr>
                <w:rFonts w:cs="Times New Roman"/>
                <w:sz w:val="21"/>
                <w:szCs w:val="21"/>
              </w:rPr>
            </w:pPr>
          </w:p>
        </w:tc>
      </w:tr>
    </w:tbl>
    <w:bookmarkEnd w:id="406"/>
    <w:bookmarkEnd w:id="408"/>
    <w:p w:rsidR="00C645C9" w:rsidRDefault="00F955D9">
      <w:pPr>
        <w:ind w:firstLine="482"/>
        <w:jc w:val="center"/>
        <w:rPr>
          <w:rFonts w:eastAsia="黑体" w:cs="Times New Roman"/>
          <w:sz w:val="21"/>
          <w:szCs w:val="21"/>
        </w:rPr>
      </w:pPr>
      <w:r>
        <w:rPr>
          <w:rFonts w:eastAsia="黑体" w:cs="Times New Roman" w:hint="eastAsia"/>
          <w:sz w:val="21"/>
          <w:szCs w:val="21"/>
        </w:rPr>
        <w:t>表</w:t>
      </w:r>
      <w:r>
        <w:rPr>
          <w:rFonts w:eastAsia="黑体" w:cs="Times New Roman" w:hint="eastAsia"/>
          <w:sz w:val="21"/>
          <w:szCs w:val="21"/>
        </w:rPr>
        <w:t>2</w:t>
      </w:r>
      <w:r>
        <w:rPr>
          <w:rFonts w:eastAsia="黑体" w:cs="Times New Roman"/>
          <w:sz w:val="21"/>
          <w:szCs w:val="21"/>
        </w:rPr>
        <w:t>.</w:t>
      </w:r>
      <w:r>
        <w:rPr>
          <w:rFonts w:eastAsia="黑体" w:cs="Times New Roman"/>
          <w:sz w:val="21"/>
          <w:szCs w:val="21"/>
        </w:rPr>
        <w:t>6</w:t>
      </w:r>
      <w:r>
        <w:rPr>
          <w:rFonts w:eastAsia="黑体" w:cs="Times New Roman"/>
          <w:sz w:val="21"/>
          <w:szCs w:val="21"/>
        </w:rPr>
        <w:t>-</w:t>
      </w:r>
      <w:r>
        <w:rPr>
          <w:rFonts w:eastAsia="黑体" w:cs="Times New Roman" w:hint="eastAsia"/>
          <w:sz w:val="21"/>
          <w:szCs w:val="21"/>
        </w:rPr>
        <w:t>3</w:t>
      </w:r>
      <w:r>
        <w:rPr>
          <w:rFonts w:eastAsia="黑体" w:cs="Times New Roman" w:hint="eastAsia"/>
          <w:sz w:val="21"/>
          <w:szCs w:val="21"/>
        </w:rPr>
        <w:t xml:space="preserve"> </w:t>
      </w:r>
      <w:r>
        <w:rPr>
          <w:rFonts w:eastAsia="黑体" w:cs="Times New Roman" w:hint="eastAsia"/>
          <w:sz w:val="21"/>
          <w:szCs w:val="21"/>
        </w:rPr>
        <w:t xml:space="preserve"> </w:t>
      </w:r>
      <w:r>
        <w:rPr>
          <w:rFonts w:eastAsia="黑体" w:cs="Times New Roman"/>
          <w:sz w:val="21"/>
          <w:szCs w:val="21"/>
        </w:rPr>
        <w:t xml:space="preserve"> </w:t>
      </w:r>
      <w:r>
        <w:rPr>
          <w:rFonts w:eastAsia="黑体" w:cs="Times New Roman" w:hint="eastAsia"/>
          <w:sz w:val="21"/>
          <w:szCs w:val="21"/>
        </w:rPr>
        <w:t>土壤环境保护目标一览表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7"/>
        <w:gridCol w:w="837"/>
        <w:gridCol w:w="1137"/>
        <w:gridCol w:w="1576"/>
        <w:gridCol w:w="3390"/>
        <w:gridCol w:w="550"/>
      </w:tblGrid>
      <w:tr w:rsidR="00C645C9">
        <w:trPr>
          <w:trHeight w:val="151"/>
          <w:jc w:val="center"/>
        </w:trPr>
        <w:tc>
          <w:tcPr>
            <w:tcW w:w="518" w:type="pct"/>
            <w:vAlign w:val="center"/>
          </w:tcPr>
          <w:p w:rsidR="00C645C9" w:rsidRDefault="00F955D9">
            <w:pPr>
              <w:spacing w:line="0" w:lineRule="atLeast"/>
              <w:jc w:val="center"/>
              <w:rPr>
                <w:spacing w:val="-10"/>
                <w:sz w:val="21"/>
                <w:szCs w:val="21"/>
              </w:rPr>
            </w:pPr>
            <w:bookmarkStart w:id="411" w:name="OLE_LINK1355" w:colFirst="1" w:colLast="1"/>
            <w:r>
              <w:rPr>
                <w:rFonts w:hint="eastAsia"/>
                <w:spacing w:val="-10"/>
                <w:sz w:val="21"/>
                <w:szCs w:val="21"/>
              </w:rPr>
              <w:t>环境要素</w:t>
            </w:r>
          </w:p>
        </w:tc>
        <w:tc>
          <w:tcPr>
            <w:tcW w:w="501" w:type="pct"/>
            <w:vAlign w:val="center"/>
          </w:tcPr>
          <w:p w:rsidR="00C645C9" w:rsidRDefault="00F955D9">
            <w:pPr>
              <w:spacing w:line="0" w:lineRule="atLeast"/>
              <w:jc w:val="center"/>
              <w:rPr>
                <w:spacing w:val="-10"/>
                <w:sz w:val="21"/>
                <w:szCs w:val="21"/>
              </w:rPr>
            </w:pPr>
            <w:bookmarkStart w:id="412" w:name="OLE_LINK1356"/>
            <w:r>
              <w:rPr>
                <w:rFonts w:cs="Times New Roman"/>
                <w:spacing w:val="-10"/>
                <w:sz w:val="21"/>
                <w:szCs w:val="21"/>
              </w:rPr>
              <w:t>评价范围</w:t>
            </w:r>
            <w:bookmarkEnd w:id="412"/>
          </w:p>
        </w:tc>
        <w:tc>
          <w:tcPr>
            <w:tcW w:w="680" w:type="pct"/>
            <w:vAlign w:val="center"/>
          </w:tcPr>
          <w:p w:rsidR="00C645C9" w:rsidRDefault="00F955D9">
            <w:pPr>
              <w:spacing w:line="0" w:lineRule="atLeast"/>
              <w:jc w:val="center"/>
              <w:rPr>
                <w:spacing w:val="-10"/>
                <w:sz w:val="21"/>
                <w:szCs w:val="21"/>
              </w:rPr>
            </w:pPr>
            <w:bookmarkStart w:id="413" w:name="OLE_LINK1352"/>
            <w:r>
              <w:rPr>
                <w:rFonts w:hint="eastAsia"/>
                <w:spacing w:val="-10"/>
                <w:sz w:val="21"/>
                <w:szCs w:val="21"/>
              </w:rPr>
              <w:t>名称</w:t>
            </w:r>
          </w:p>
        </w:tc>
        <w:tc>
          <w:tcPr>
            <w:tcW w:w="942" w:type="pct"/>
            <w:vAlign w:val="center"/>
          </w:tcPr>
          <w:p w:rsidR="00C645C9" w:rsidRDefault="00F955D9">
            <w:pPr>
              <w:adjustRightInd w:val="0"/>
              <w:spacing w:line="0" w:lineRule="atLeast"/>
              <w:jc w:val="center"/>
              <w:rPr>
                <w:spacing w:val="-10"/>
                <w:sz w:val="21"/>
                <w:szCs w:val="21"/>
              </w:rPr>
            </w:pPr>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bookmarkEnd w:id="413"/>
          </w:p>
        </w:tc>
        <w:tc>
          <w:tcPr>
            <w:tcW w:w="2027" w:type="pct"/>
            <w:vAlign w:val="center"/>
          </w:tcPr>
          <w:p w:rsidR="00C645C9" w:rsidRDefault="00F955D9">
            <w:pPr>
              <w:spacing w:line="0" w:lineRule="atLeast"/>
              <w:jc w:val="center"/>
              <w:rPr>
                <w:spacing w:val="-10"/>
                <w:sz w:val="21"/>
                <w:szCs w:val="21"/>
              </w:rPr>
            </w:pPr>
            <w:r>
              <w:rPr>
                <w:rFonts w:hint="eastAsia"/>
                <w:spacing w:val="-10"/>
                <w:sz w:val="21"/>
                <w:szCs w:val="21"/>
              </w:rPr>
              <w:t>环境功能要求</w:t>
            </w:r>
          </w:p>
        </w:tc>
        <w:tc>
          <w:tcPr>
            <w:tcW w:w="329" w:type="pct"/>
            <w:vAlign w:val="center"/>
          </w:tcPr>
          <w:p w:rsidR="00C645C9" w:rsidRDefault="00F955D9">
            <w:pPr>
              <w:adjustRightInd w:val="0"/>
              <w:spacing w:line="0" w:lineRule="atLeast"/>
              <w:jc w:val="center"/>
              <w:rPr>
                <w:spacing w:val="-10"/>
                <w:sz w:val="21"/>
                <w:szCs w:val="21"/>
              </w:rPr>
            </w:pPr>
            <w:r>
              <w:rPr>
                <w:rFonts w:hint="eastAsia"/>
                <w:spacing w:val="-10"/>
                <w:sz w:val="21"/>
                <w:szCs w:val="21"/>
              </w:rPr>
              <w:t>备注</w:t>
            </w:r>
          </w:p>
        </w:tc>
      </w:tr>
      <w:tr w:rsidR="00C645C9">
        <w:trPr>
          <w:trHeight w:val="953"/>
          <w:jc w:val="center"/>
        </w:trPr>
        <w:tc>
          <w:tcPr>
            <w:tcW w:w="518" w:type="pct"/>
            <w:vMerge w:val="restart"/>
            <w:vAlign w:val="center"/>
          </w:tcPr>
          <w:p w:rsidR="00C645C9" w:rsidRDefault="00F955D9">
            <w:pPr>
              <w:spacing w:line="0" w:lineRule="atLeast"/>
              <w:jc w:val="center"/>
              <w:rPr>
                <w:spacing w:val="-10"/>
                <w:sz w:val="21"/>
                <w:szCs w:val="21"/>
              </w:rPr>
            </w:pPr>
            <w:r>
              <w:rPr>
                <w:rFonts w:hint="eastAsia"/>
                <w:spacing w:val="-10"/>
                <w:sz w:val="21"/>
                <w:szCs w:val="21"/>
              </w:rPr>
              <w:t>土壤环境</w:t>
            </w:r>
          </w:p>
        </w:tc>
        <w:tc>
          <w:tcPr>
            <w:tcW w:w="501" w:type="pct"/>
            <w:vMerge w:val="restart"/>
            <w:vAlign w:val="center"/>
          </w:tcPr>
          <w:p w:rsidR="00C645C9" w:rsidRDefault="00F955D9">
            <w:pPr>
              <w:spacing w:line="0" w:lineRule="atLeast"/>
              <w:jc w:val="center"/>
              <w:rPr>
                <w:spacing w:val="-10"/>
                <w:sz w:val="21"/>
                <w:szCs w:val="21"/>
              </w:rPr>
            </w:pPr>
            <w:r>
              <w:rPr>
                <w:rFonts w:hint="eastAsia"/>
                <w:spacing w:val="-10"/>
                <w:sz w:val="21"/>
                <w:szCs w:val="21"/>
              </w:rPr>
              <w:t>井场外扩</w:t>
            </w:r>
            <w:r>
              <w:rPr>
                <w:rFonts w:hint="eastAsia"/>
                <w:spacing w:val="-10"/>
                <w:sz w:val="21"/>
                <w:szCs w:val="21"/>
              </w:rPr>
              <w:t>2km</w:t>
            </w:r>
            <w:r>
              <w:rPr>
                <w:rFonts w:hint="eastAsia"/>
                <w:spacing w:val="-10"/>
                <w:sz w:val="21"/>
                <w:szCs w:val="21"/>
              </w:rPr>
              <w:t>范围</w:t>
            </w:r>
          </w:p>
        </w:tc>
        <w:tc>
          <w:tcPr>
            <w:tcW w:w="680" w:type="pct"/>
            <w:vAlign w:val="center"/>
          </w:tcPr>
          <w:p w:rsidR="00C645C9" w:rsidRDefault="00F955D9">
            <w:pPr>
              <w:spacing w:line="0" w:lineRule="atLeast"/>
              <w:jc w:val="center"/>
              <w:rPr>
                <w:rFonts w:cs="Times New Roman"/>
                <w:sz w:val="21"/>
                <w:szCs w:val="21"/>
              </w:rPr>
            </w:pPr>
            <w:r>
              <w:rPr>
                <w:rFonts w:cs="Times New Roman"/>
                <w:sz w:val="21"/>
                <w:szCs w:val="21"/>
              </w:rPr>
              <w:t>评价范围内土壤</w:t>
            </w:r>
          </w:p>
        </w:tc>
        <w:tc>
          <w:tcPr>
            <w:tcW w:w="942" w:type="pct"/>
            <w:vMerge w:val="restart"/>
            <w:vAlign w:val="center"/>
          </w:tcPr>
          <w:p w:rsidR="00C645C9" w:rsidRDefault="00F955D9">
            <w:pPr>
              <w:spacing w:line="0" w:lineRule="atLeast"/>
              <w:jc w:val="center"/>
              <w:rPr>
                <w:spacing w:val="-10"/>
                <w:sz w:val="21"/>
                <w:szCs w:val="21"/>
              </w:rPr>
            </w:pPr>
            <w:r>
              <w:rPr>
                <w:rFonts w:cs="Times New Roman" w:hint="eastAsia"/>
                <w:sz w:val="21"/>
                <w:szCs w:val="21"/>
              </w:rPr>
              <w:t>井场</w:t>
            </w:r>
            <w:r>
              <w:rPr>
                <w:rFonts w:cs="Times New Roman" w:hint="eastAsia"/>
                <w:sz w:val="21"/>
                <w:szCs w:val="21"/>
              </w:rPr>
              <w:t>及</w:t>
            </w:r>
            <w:r>
              <w:rPr>
                <w:rFonts w:cs="Times New Roman"/>
                <w:sz w:val="21"/>
                <w:szCs w:val="21"/>
              </w:rPr>
              <w:t>周边</w:t>
            </w:r>
          </w:p>
        </w:tc>
        <w:tc>
          <w:tcPr>
            <w:tcW w:w="2027" w:type="pct"/>
            <w:vMerge w:val="restart"/>
            <w:vAlign w:val="center"/>
          </w:tcPr>
          <w:p w:rsidR="00C645C9" w:rsidRDefault="00F955D9">
            <w:pPr>
              <w:autoSpaceDE w:val="0"/>
              <w:autoSpaceDN w:val="0"/>
              <w:adjustRightInd w:val="0"/>
              <w:snapToGrid w:val="0"/>
              <w:spacing w:line="0" w:lineRule="atLeast"/>
              <w:jc w:val="center"/>
              <w:rPr>
                <w:spacing w:val="-10"/>
                <w:sz w:val="21"/>
                <w:szCs w:val="21"/>
              </w:rPr>
            </w:pPr>
            <w:bookmarkStart w:id="414" w:name="OLE_LINK1552"/>
            <w:r>
              <w:rPr>
                <w:rFonts w:cs="Times New Roman"/>
                <w:sz w:val="21"/>
                <w:szCs w:val="21"/>
              </w:rPr>
              <w:t>占地范围内执行</w:t>
            </w:r>
            <w:bookmarkEnd w:id="414"/>
            <w:r>
              <w:rPr>
                <w:rFonts w:cs="Times New Roman"/>
                <w:sz w:val="21"/>
                <w:szCs w:val="21"/>
              </w:rPr>
              <w:t>《土壤环境质量</w:t>
            </w:r>
            <w:r>
              <w:rPr>
                <w:rFonts w:cs="Times New Roman"/>
                <w:sz w:val="21"/>
                <w:szCs w:val="21"/>
              </w:rPr>
              <w:t xml:space="preserve"> </w:t>
            </w:r>
            <w:r>
              <w:rPr>
                <w:rFonts w:cs="Times New Roman"/>
                <w:sz w:val="21"/>
                <w:szCs w:val="21"/>
              </w:rPr>
              <w:t>建设用地土壤污染风险管控标准（试行）》（</w:t>
            </w:r>
            <w:r>
              <w:rPr>
                <w:rFonts w:cs="Times New Roman"/>
                <w:sz w:val="21"/>
                <w:szCs w:val="21"/>
              </w:rPr>
              <w:t>GB36600-2018</w:t>
            </w:r>
            <w:r>
              <w:rPr>
                <w:rFonts w:cs="Times New Roman"/>
                <w:sz w:val="21"/>
                <w:szCs w:val="21"/>
              </w:rPr>
              <w:t>）表</w:t>
            </w:r>
            <w:r>
              <w:rPr>
                <w:rFonts w:cs="Times New Roman"/>
                <w:sz w:val="21"/>
                <w:szCs w:val="21"/>
              </w:rPr>
              <w:t>1</w:t>
            </w:r>
            <w:r>
              <w:rPr>
                <w:rFonts w:cs="Times New Roman"/>
                <w:sz w:val="21"/>
                <w:szCs w:val="21"/>
              </w:rPr>
              <w:t>第二类用地筛选值标准；占地范围</w:t>
            </w:r>
            <w:r>
              <w:rPr>
                <w:rFonts w:cs="Times New Roman" w:hint="eastAsia"/>
                <w:sz w:val="21"/>
                <w:szCs w:val="21"/>
              </w:rPr>
              <w:t>外</w:t>
            </w:r>
            <w:r>
              <w:rPr>
                <w:rFonts w:cs="Times New Roman"/>
                <w:sz w:val="21"/>
                <w:szCs w:val="21"/>
              </w:rPr>
              <w:t>执行</w:t>
            </w:r>
            <w:r>
              <w:rPr>
                <w:rFonts w:cs="Times New Roman" w:hint="eastAsia"/>
                <w:sz w:val="21"/>
                <w:szCs w:val="21"/>
              </w:rPr>
              <w:t>《土壤环境质量</w:t>
            </w:r>
            <w:r>
              <w:rPr>
                <w:rFonts w:cs="Times New Roman" w:hint="eastAsia"/>
                <w:sz w:val="21"/>
                <w:szCs w:val="21"/>
              </w:rPr>
              <w:t xml:space="preserve"> </w:t>
            </w:r>
            <w:r>
              <w:rPr>
                <w:rFonts w:cs="Times New Roman" w:hint="eastAsia"/>
                <w:sz w:val="21"/>
                <w:szCs w:val="21"/>
              </w:rPr>
              <w:t>农用地土壤污染风险管控标准（试行）》（</w:t>
            </w:r>
            <w:r>
              <w:rPr>
                <w:rFonts w:cs="Times New Roman" w:hint="eastAsia"/>
                <w:sz w:val="21"/>
                <w:szCs w:val="21"/>
              </w:rPr>
              <w:t>GB15618-2018</w:t>
            </w:r>
            <w:r>
              <w:rPr>
                <w:rFonts w:cs="Times New Roman" w:hint="eastAsia"/>
                <w:sz w:val="21"/>
                <w:szCs w:val="21"/>
              </w:rPr>
              <w:t>）中表</w:t>
            </w:r>
            <w:r>
              <w:rPr>
                <w:rFonts w:cs="Times New Roman" w:hint="eastAsia"/>
                <w:sz w:val="21"/>
                <w:szCs w:val="21"/>
              </w:rPr>
              <w:t>1</w:t>
            </w:r>
            <w:r>
              <w:rPr>
                <w:rFonts w:cs="Times New Roman" w:hint="eastAsia"/>
                <w:sz w:val="21"/>
                <w:szCs w:val="21"/>
              </w:rPr>
              <w:t>农用地土壤污染风险筛选值</w:t>
            </w:r>
            <w:r>
              <w:rPr>
                <w:rFonts w:cs="Times New Roman" w:hint="eastAsia"/>
                <w:sz w:val="21"/>
                <w:szCs w:val="21"/>
              </w:rPr>
              <w:lastRenderedPageBreak/>
              <w:t>（基本工程）风险筛选值</w:t>
            </w:r>
          </w:p>
        </w:tc>
        <w:tc>
          <w:tcPr>
            <w:tcW w:w="329" w:type="pct"/>
            <w:vMerge w:val="restart"/>
            <w:vAlign w:val="center"/>
          </w:tcPr>
          <w:p w:rsidR="00C645C9" w:rsidRDefault="00F955D9">
            <w:pPr>
              <w:adjustRightInd w:val="0"/>
              <w:spacing w:line="0" w:lineRule="atLeast"/>
              <w:jc w:val="center"/>
              <w:rPr>
                <w:spacing w:val="-10"/>
                <w:sz w:val="21"/>
                <w:szCs w:val="21"/>
              </w:rPr>
            </w:pPr>
            <w:r>
              <w:rPr>
                <w:rFonts w:hint="eastAsia"/>
                <w:spacing w:val="-10"/>
                <w:sz w:val="21"/>
                <w:szCs w:val="21"/>
              </w:rPr>
              <w:lastRenderedPageBreak/>
              <w:t>-</w:t>
            </w:r>
          </w:p>
        </w:tc>
      </w:tr>
      <w:tr w:rsidR="00C645C9">
        <w:trPr>
          <w:trHeight w:val="953"/>
          <w:jc w:val="center"/>
        </w:trPr>
        <w:tc>
          <w:tcPr>
            <w:tcW w:w="518" w:type="pct"/>
            <w:vMerge/>
            <w:vAlign w:val="center"/>
          </w:tcPr>
          <w:p w:rsidR="00C645C9" w:rsidRDefault="00C645C9">
            <w:pPr>
              <w:spacing w:line="0" w:lineRule="atLeast"/>
              <w:jc w:val="center"/>
            </w:pPr>
          </w:p>
        </w:tc>
        <w:tc>
          <w:tcPr>
            <w:tcW w:w="501" w:type="pct"/>
            <w:vMerge/>
            <w:vAlign w:val="center"/>
          </w:tcPr>
          <w:p w:rsidR="00C645C9" w:rsidRDefault="00C645C9">
            <w:pPr>
              <w:spacing w:line="0" w:lineRule="atLeast"/>
              <w:jc w:val="center"/>
            </w:pPr>
          </w:p>
        </w:tc>
        <w:tc>
          <w:tcPr>
            <w:tcW w:w="680" w:type="pct"/>
            <w:vAlign w:val="center"/>
          </w:tcPr>
          <w:p w:rsidR="00C645C9" w:rsidRDefault="00F955D9">
            <w:pPr>
              <w:spacing w:line="0" w:lineRule="atLeast"/>
              <w:jc w:val="center"/>
              <w:rPr>
                <w:rFonts w:cs="Times New Roman"/>
                <w:sz w:val="21"/>
                <w:szCs w:val="21"/>
              </w:rPr>
            </w:pPr>
            <w:r>
              <w:rPr>
                <w:rFonts w:cs="Times New Roman"/>
                <w:sz w:val="21"/>
                <w:szCs w:val="21"/>
              </w:rPr>
              <w:t>评价范围内</w:t>
            </w:r>
            <w:r>
              <w:rPr>
                <w:rFonts w:cs="Times New Roman" w:hint="eastAsia"/>
                <w:sz w:val="21"/>
                <w:szCs w:val="21"/>
              </w:rPr>
              <w:t>耕地</w:t>
            </w:r>
          </w:p>
        </w:tc>
        <w:tc>
          <w:tcPr>
            <w:tcW w:w="942" w:type="pct"/>
            <w:vMerge/>
            <w:vAlign w:val="center"/>
          </w:tcPr>
          <w:p w:rsidR="00C645C9" w:rsidRDefault="00C645C9">
            <w:pPr>
              <w:spacing w:line="0" w:lineRule="atLeast"/>
              <w:jc w:val="center"/>
              <w:rPr>
                <w:rFonts w:cs="Times New Roman"/>
                <w:sz w:val="21"/>
                <w:szCs w:val="21"/>
              </w:rPr>
            </w:pPr>
          </w:p>
        </w:tc>
        <w:tc>
          <w:tcPr>
            <w:tcW w:w="2027" w:type="pct"/>
            <w:vMerge/>
            <w:vAlign w:val="center"/>
          </w:tcPr>
          <w:p w:rsidR="00C645C9" w:rsidRDefault="00C645C9">
            <w:pPr>
              <w:spacing w:line="0" w:lineRule="atLeast"/>
              <w:jc w:val="center"/>
              <w:rPr>
                <w:rFonts w:cs="Times New Roman"/>
                <w:sz w:val="21"/>
                <w:szCs w:val="21"/>
              </w:rPr>
            </w:pPr>
          </w:p>
        </w:tc>
        <w:tc>
          <w:tcPr>
            <w:tcW w:w="329" w:type="pct"/>
            <w:vMerge/>
            <w:vAlign w:val="center"/>
          </w:tcPr>
          <w:p w:rsidR="00C645C9" w:rsidRDefault="00C645C9">
            <w:pPr>
              <w:spacing w:line="0" w:lineRule="atLeast"/>
              <w:jc w:val="center"/>
              <w:rPr>
                <w:rFonts w:cs="Times New Roman"/>
                <w:sz w:val="21"/>
                <w:szCs w:val="21"/>
              </w:rPr>
            </w:pPr>
          </w:p>
        </w:tc>
      </w:tr>
    </w:tbl>
    <w:bookmarkEnd w:id="411"/>
    <w:p w:rsidR="00C645C9" w:rsidRDefault="00F955D9">
      <w:pPr>
        <w:ind w:firstLine="482"/>
        <w:jc w:val="center"/>
        <w:rPr>
          <w:rFonts w:eastAsia="黑体" w:cs="Times New Roman"/>
          <w:sz w:val="21"/>
          <w:szCs w:val="21"/>
        </w:rPr>
      </w:pPr>
      <w:r>
        <w:rPr>
          <w:rFonts w:eastAsia="黑体" w:cs="Times New Roman" w:hint="eastAsia"/>
          <w:sz w:val="21"/>
          <w:szCs w:val="21"/>
        </w:rPr>
        <w:lastRenderedPageBreak/>
        <w:t>表</w:t>
      </w:r>
      <w:r>
        <w:rPr>
          <w:rFonts w:eastAsia="黑体" w:cs="Times New Roman" w:hint="eastAsia"/>
          <w:sz w:val="21"/>
          <w:szCs w:val="21"/>
        </w:rPr>
        <w:t>2.</w:t>
      </w:r>
      <w:r>
        <w:rPr>
          <w:rFonts w:eastAsia="黑体" w:cs="Times New Roman" w:hint="eastAsia"/>
          <w:sz w:val="21"/>
          <w:szCs w:val="21"/>
        </w:rPr>
        <w:t xml:space="preserve">6-4   </w:t>
      </w:r>
      <w:bookmarkStart w:id="415" w:name="OLE_LINK1351"/>
      <w:r>
        <w:rPr>
          <w:rFonts w:eastAsia="黑体" w:cs="Times New Roman" w:hint="eastAsia"/>
          <w:sz w:val="21"/>
          <w:szCs w:val="21"/>
        </w:rPr>
        <w:t>大气</w:t>
      </w:r>
      <w:r>
        <w:rPr>
          <w:rFonts w:eastAsia="黑体" w:cs="Times New Roman" w:hint="eastAsia"/>
          <w:sz w:val="21"/>
          <w:szCs w:val="21"/>
        </w:rPr>
        <w:t>环境</w:t>
      </w:r>
      <w:bookmarkEnd w:id="415"/>
      <w:r>
        <w:rPr>
          <w:rFonts w:eastAsia="黑体" w:cs="Times New Roman" w:hint="eastAsia"/>
          <w:sz w:val="21"/>
          <w:szCs w:val="21"/>
        </w:rPr>
        <w:t>保护目标一览表</w:t>
      </w:r>
    </w:p>
    <w:tbl>
      <w:tblPr>
        <w:tblW w:w="502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5"/>
        <w:gridCol w:w="446"/>
        <w:gridCol w:w="1594"/>
        <w:gridCol w:w="2489"/>
        <w:gridCol w:w="2849"/>
        <w:gridCol w:w="561"/>
      </w:tblGrid>
      <w:tr w:rsidR="00C645C9">
        <w:trPr>
          <w:trHeight w:val="90"/>
          <w:jc w:val="center"/>
        </w:trPr>
        <w:tc>
          <w:tcPr>
            <w:tcW w:w="276" w:type="pct"/>
            <w:vAlign w:val="center"/>
          </w:tcPr>
          <w:p w:rsidR="00C645C9" w:rsidRDefault="00F955D9">
            <w:pPr>
              <w:spacing w:line="0" w:lineRule="atLeast"/>
              <w:jc w:val="center"/>
              <w:rPr>
                <w:spacing w:val="-10"/>
                <w:sz w:val="21"/>
                <w:szCs w:val="21"/>
              </w:rPr>
            </w:pPr>
            <w:r>
              <w:rPr>
                <w:rFonts w:hint="eastAsia"/>
                <w:spacing w:val="-10"/>
                <w:sz w:val="21"/>
                <w:szCs w:val="21"/>
              </w:rPr>
              <w:t>环境要素</w:t>
            </w:r>
          </w:p>
        </w:tc>
        <w:tc>
          <w:tcPr>
            <w:tcW w:w="265" w:type="pct"/>
            <w:vAlign w:val="center"/>
          </w:tcPr>
          <w:p w:rsidR="00C645C9" w:rsidRDefault="00F955D9">
            <w:pPr>
              <w:spacing w:line="0" w:lineRule="atLeast"/>
              <w:jc w:val="center"/>
              <w:rPr>
                <w:spacing w:val="-10"/>
                <w:sz w:val="21"/>
                <w:szCs w:val="21"/>
              </w:rPr>
            </w:pPr>
            <w:r>
              <w:rPr>
                <w:rFonts w:cs="Times New Roman"/>
                <w:spacing w:val="-10"/>
                <w:sz w:val="21"/>
                <w:szCs w:val="21"/>
              </w:rPr>
              <w:t>评价范围</w:t>
            </w: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名称</w:t>
            </w:r>
          </w:p>
        </w:tc>
        <w:tc>
          <w:tcPr>
            <w:tcW w:w="1480" w:type="pct"/>
            <w:vAlign w:val="center"/>
          </w:tcPr>
          <w:p w:rsidR="00C645C9" w:rsidRDefault="00F955D9">
            <w:pPr>
              <w:spacing w:line="0" w:lineRule="atLeast"/>
              <w:jc w:val="center"/>
              <w:rPr>
                <w:spacing w:val="-10"/>
                <w:sz w:val="21"/>
                <w:szCs w:val="21"/>
              </w:rPr>
            </w:pPr>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p>
        </w:tc>
        <w:tc>
          <w:tcPr>
            <w:tcW w:w="1694" w:type="pct"/>
            <w:vAlign w:val="center"/>
          </w:tcPr>
          <w:p w:rsidR="00C645C9" w:rsidRDefault="00F955D9">
            <w:pPr>
              <w:spacing w:line="0" w:lineRule="atLeast"/>
              <w:jc w:val="center"/>
              <w:rPr>
                <w:spacing w:val="-10"/>
                <w:sz w:val="21"/>
                <w:szCs w:val="21"/>
              </w:rPr>
            </w:pPr>
            <w:r>
              <w:rPr>
                <w:rFonts w:hint="eastAsia"/>
                <w:spacing w:val="-10"/>
                <w:sz w:val="21"/>
                <w:szCs w:val="21"/>
              </w:rPr>
              <w:t>环境功能要求</w:t>
            </w:r>
          </w:p>
        </w:tc>
        <w:tc>
          <w:tcPr>
            <w:tcW w:w="334" w:type="pct"/>
            <w:vAlign w:val="center"/>
          </w:tcPr>
          <w:p w:rsidR="00C645C9" w:rsidRDefault="00F955D9">
            <w:pPr>
              <w:adjustRightInd w:val="0"/>
              <w:spacing w:line="0" w:lineRule="atLeast"/>
              <w:jc w:val="center"/>
              <w:rPr>
                <w:spacing w:val="-10"/>
                <w:sz w:val="21"/>
                <w:szCs w:val="21"/>
              </w:rPr>
            </w:pPr>
            <w:r>
              <w:rPr>
                <w:rFonts w:hint="eastAsia"/>
                <w:spacing w:val="-10"/>
                <w:sz w:val="21"/>
                <w:szCs w:val="21"/>
              </w:rPr>
              <w:t>备注</w:t>
            </w:r>
          </w:p>
        </w:tc>
      </w:tr>
      <w:tr w:rsidR="00C645C9">
        <w:trPr>
          <w:trHeight w:val="425"/>
          <w:jc w:val="center"/>
        </w:trPr>
        <w:tc>
          <w:tcPr>
            <w:tcW w:w="276" w:type="pct"/>
            <w:vMerge w:val="restart"/>
            <w:vAlign w:val="center"/>
          </w:tcPr>
          <w:p w:rsidR="00C645C9" w:rsidRDefault="00F955D9">
            <w:pPr>
              <w:spacing w:line="0" w:lineRule="atLeast"/>
              <w:jc w:val="center"/>
              <w:rPr>
                <w:spacing w:val="-10"/>
                <w:sz w:val="21"/>
                <w:szCs w:val="21"/>
              </w:rPr>
            </w:pPr>
            <w:bookmarkStart w:id="416" w:name="OLE_LINK1396"/>
            <w:r>
              <w:rPr>
                <w:rFonts w:hint="eastAsia"/>
                <w:spacing w:val="-10"/>
                <w:sz w:val="21"/>
                <w:szCs w:val="21"/>
              </w:rPr>
              <w:t>大气</w:t>
            </w:r>
            <w:bookmarkEnd w:id="416"/>
            <w:r>
              <w:rPr>
                <w:rFonts w:hint="eastAsia"/>
                <w:spacing w:val="-10"/>
                <w:sz w:val="21"/>
                <w:szCs w:val="21"/>
              </w:rPr>
              <w:t>环境</w:t>
            </w:r>
          </w:p>
        </w:tc>
        <w:tc>
          <w:tcPr>
            <w:tcW w:w="265" w:type="pct"/>
            <w:vMerge w:val="restart"/>
            <w:vAlign w:val="center"/>
          </w:tcPr>
          <w:p w:rsidR="00C645C9" w:rsidRDefault="00F955D9">
            <w:pPr>
              <w:spacing w:line="0" w:lineRule="atLeast"/>
              <w:jc w:val="center"/>
              <w:rPr>
                <w:spacing w:val="-10"/>
                <w:sz w:val="21"/>
                <w:szCs w:val="21"/>
              </w:rPr>
            </w:pPr>
            <w:r>
              <w:rPr>
                <w:rFonts w:hint="eastAsia"/>
                <w:spacing w:val="-10"/>
                <w:sz w:val="21"/>
                <w:szCs w:val="21"/>
              </w:rPr>
              <w:t>以井场为中心，边长</w:t>
            </w:r>
            <w:r>
              <w:rPr>
                <w:rFonts w:hint="eastAsia"/>
                <w:spacing w:val="-10"/>
                <w:sz w:val="21"/>
                <w:szCs w:val="21"/>
              </w:rPr>
              <w:t>5km</w:t>
            </w:r>
            <w:r>
              <w:rPr>
                <w:rFonts w:hint="eastAsia"/>
                <w:spacing w:val="-10"/>
                <w:sz w:val="21"/>
                <w:szCs w:val="21"/>
              </w:rPr>
              <w:t>的矩形区域</w:t>
            </w: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塔格艾日克村</w:t>
            </w:r>
          </w:p>
        </w:tc>
        <w:tc>
          <w:tcPr>
            <w:tcW w:w="1480" w:type="pct"/>
            <w:vAlign w:val="center"/>
          </w:tcPr>
          <w:p w:rsidR="00C645C9" w:rsidRDefault="00F955D9">
            <w:pPr>
              <w:spacing w:line="0" w:lineRule="atLeast"/>
              <w:jc w:val="center"/>
              <w:rPr>
                <w:spacing w:val="-10"/>
                <w:sz w:val="21"/>
                <w:szCs w:val="21"/>
              </w:rPr>
            </w:pPr>
            <w:bookmarkStart w:id="417" w:name="OLE_LINK1359"/>
            <w:r>
              <w:rPr>
                <w:rFonts w:hint="eastAsia"/>
                <w:spacing w:val="-10"/>
                <w:sz w:val="21"/>
                <w:szCs w:val="21"/>
              </w:rPr>
              <w:t>新北</w:t>
            </w:r>
            <w:r>
              <w:rPr>
                <w:rFonts w:hint="eastAsia"/>
                <w:spacing w:val="-10"/>
                <w:sz w:val="21"/>
                <w:szCs w:val="21"/>
              </w:rPr>
              <w:t>1X</w:t>
            </w:r>
            <w:r>
              <w:rPr>
                <w:rFonts w:hint="eastAsia"/>
                <w:spacing w:val="-10"/>
                <w:sz w:val="21"/>
                <w:szCs w:val="21"/>
              </w:rPr>
              <w:t>井东北侧</w:t>
            </w:r>
            <w:r>
              <w:rPr>
                <w:rFonts w:hint="eastAsia"/>
                <w:spacing w:val="-10"/>
                <w:sz w:val="21"/>
                <w:szCs w:val="21"/>
              </w:rPr>
              <w:t>3.5km</w:t>
            </w:r>
            <w:bookmarkEnd w:id="417"/>
          </w:p>
        </w:tc>
        <w:tc>
          <w:tcPr>
            <w:tcW w:w="1694" w:type="pct"/>
            <w:vMerge w:val="restart"/>
            <w:vAlign w:val="center"/>
          </w:tcPr>
          <w:p w:rsidR="00C645C9" w:rsidRDefault="00F955D9">
            <w:pPr>
              <w:spacing w:line="0" w:lineRule="atLeast"/>
              <w:jc w:val="both"/>
              <w:rPr>
                <w:spacing w:val="-10"/>
                <w:sz w:val="21"/>
                <w:szCs w:val="21"/>
              </w:rPr>
            </w:pPr>
            <w:r>
              <w:rPr>
                <w:rFonts w:cs="Times New Roman"/>
                <w:sz w:val="21"/>
                <w:szCs w:val="21"/>
              </w:rPr>
              <w:t>施工期无组织排放扬尘执行《大气污染物综合排放标准》（</w:t>
            </w:r>
            <w:r>
              <w:rPr>
                <w:rFonts w:cs="Times New Roman"/>
                <w:sz w:val="21"/>
                <w:szCs w:val="21"/>
              </w:rPr>
              <w:t>GB16297-1996</w:t>
            </w:r>
            <w:r>
              <w:rPr>
                <w:rFonts w:cs="Times New Roman"/>
                <w:sz w:val="21"/>
                <w:szCs w:val="21"/>
              </w:rPr>
              <w:t>）表</w:t>
            </w:r>
            <w:r>
              <w:rPr>
                <w:rFonts w:cs="Times New Roman"/>
                <w:sz w:val="21"/>
                <w:szCs w:val="21"/>
              </w:rPr>
              <w:t>2</w:t>
            </w:r>
            <w:r>
              <w:rPr>
                <w:rFonts w:cs="Times New Roman"/>
                <w:sz w:val="21"/>
                <w:szCs w:val="21"/>
              </w:rPr>
              <w:t>无组织排放监控浓度限值。运营期</w:t>
            </w:r>
            <w:r>
              <w:rPr>
                <w:rFonts w:cs="Times New Roman"/>
                <w:sz w:val="21"/>
                <w:szCs w:val="21"/>
              </w:rPr>
              <w:t>井场加热炉燃烧气中颗粒物、</w:t>
            </w:r>
            <w:r>
              <w:rPr>
                <w:rFonts w:cs="Times New Roman"/>
                <w:sz w:val="21"/>
                <w:szCs w:val="21"/>
              </w:rPr>
              <w:t>SO</w:t>
            </w:r>
            <w:r>
              <w:rPr>
                <w:rFonts w:cs="Times New Roman"/>
                <w:sz w:val="21"/>
                <w:szCs w:val="21"/>
                <w:vertAlign w:val="subscript"/>
              </w:rPr>
              <w:t>2</w:t>
            </w:r>
            <w:r>
              <w:rPr>
                <w:rFonts w:cs="Times New Roman"/>
                <w:sz w:val="21"/>
                <w:szCs w:val="21"/>
              </w:rPr>
              <w:t>、</w:t>
            </w:r>
            <w:r>
              <w:rPr>
                <w:rFonts w:cs="Times New Roman"/>
                <w:sz w:val="21"/>
                <w:szCs w:val="21"/>
              </w:rPr>
              <w:t>NO</w:t>
            </w:r>
            <w:r>
              <w:rPr>
                <w:rFonts w:cs="Times New Roman"/>
                <w:sz w:val="21"/>
                <w:szCs w:val="21"/>
                <w:vertAlign w:val="subscript"/>
              </w:rPr>
              <w:t>x</w:t>
            </w:r>
            <w:r>
              <w:rPr>
                <w:rFonts w:cs="Times New Roman"/>
                <w:sz w:val="21"/>
                <w:szCs w:val="21"/>
              </w:rPr>
              <w:t>执行</w:t>
            </w:r>
            <w:r>
              <w:rPr>
                <w:rFonts w:cs="Times New Roman"/>
                <w:sz w:val="21"/>
                <w:szCs w:val="21"/>
              </w:rPr>
              <w:t>《</w:t>
            </w:r>
            <w:r>
              <w:rPr>
                <w:rFonts w:cs="Times New Roman"/>
                <w:sz w:val="21"/>
                <w:szCs w:val="21"/>
              </w:rPr>
              <w:t>锅炉大气污染物排放标准</w:t>
            </w:r>
            <w:r>
              <w:rPr>
                <w:rFonts w:cs="Times New Roman"/>
                <w:sz w:val="21"/>
                <w:szCs w:val="21"/>
              </w:rPr>
              <w:t>》（</w:t>
            </w:r>
            <w:r>
              <w:rPr>
                <w:rFonts w:cs="Times New Roman"/>
                <w:sz w:val="21"/>
                <w:szCs w:val="21"/>
              </w:rPr>
              <w:t>GB13271-2014</w:t>
            </w:r>
            <w:r>
              <w:rPr>
                <w:rFonts w:cs="Times New Roman"/>
                <w:sz w:val="21"/>
                <w:szCs w:val="21"/>
              </w:rPr>
              <w:t>）</w:t>
            </w:r>
            <w:r>
              <w:rPr>
                <w:rFonts w:cs="Times New Roman"/>
                <w:sz w:val="21"/>
                <w:szCs w:val="21"/>
              </w:rPr>
              <w:t>表</w:t>
            </w:r>
            <w:r>
              <w:rPr>
                <w:rFonts w:cs="Times New Roman"/>
                <w:sz w:val="21"/>
                <w:szCs w:val="21"/>
              </w:rPr>
              <w:t>2</w:t>
            </w:r>
            <w:r>
              <w:rPr>
                <w:rFonts w:cs="Times New Roman"/>
                <w:sz w:val="21"/>
                <w:szCs w:val="21"/>
              </w:rPr>
              <w:t>新建锅炉大气污染物排放浓度限值</w:t>
            </w:r>
            <w:r>
              <w:rPr>
                <w:rFonts w:cs="Times New Roman"/>
                <w:sz w:val="21"/>
                <w:szCs w:val="21"/>
              </w:rPr>
              <w:t>，非甲烷总烃执行《大气污染物综合排放标准》（</w:t>
            </w:r>
            <w:r>
              <w:rPr>
                <w:rFonts w:cs="Times New Roman"/>
                <w:sz w:val="21"/>
                <w:szCs w:val="21"/>
              </w:rPr>
              <w:t>GB16297-1996</w:t>
            </w:r>
            <w:r>
              <w:rPr>
                <w:rFonts w:cs="Times New Roman"/>
                <w:sz w:val="21"/>
                <w:szCs w:val="21"/>
              </w:rPr>
              <w:t>）表</w:t>
            </w:r>
            <w:r>
              <w:rPr>
                <w:rFonts w:cs="Times New Roman"/>
                <w:sz w:val="21"/>
                <w:szCs w:val="21"/>
              </w:rPr>
              <w:t>2</w:t>
            </w:r>
            <w:r>
              <w:rPr>
                <w:rFonts w:cs="Times New Roman"/>
                <w:sz w:val="21"/>
                <w:szCs w:val="21"/>
              </w:rPr>
              <w:t>最高允许排放浓度；</w:t>
            </w:r>
            <w:r>
              <w:rPr>
                <w:rFonts w:cs="Times New Roman"/>
                <w:sz w:val="21"/>
                <w:szCs w:val="21"/>
              </w:rPr>
              <w:t>油气开采过程中井场</w:t>
            </w:r>
            <w:r>
              <w:rPr>
                <w:rFonts w:cs="Times New Roman"/>
                <w:sz w:val="21"/>
                <w:szCs w:val="21"/>
              </w:rPr>
              <w:t>厂界内</w:t>
            </w:r>
            <w:r>
              <w:rPr>
                <w:rFonts w:cs="Times New Roman"/>
                <w:sz w:val="21"/>
                <w:szCs w:val="21"/>
              </w:rPr>
              <w:t>无组织排放的非甲烷总烃</w:t>
            </w:r>
            <w:r>
              <w:rPr>
                <w:rFonts w:cs="Times New Roman"/>
                <w:sz w:val="21"/>
                <w:szCs w:val="21"/>
              </w:rPr>
              <w:t>执行</w:t>
            </w:r>
            <w:r>
              <w:rPr>
                <w:rFonts w:cs="Times New Roman"/>
                <w:sz w:val="21"/>
                <w:szCs w:val="21"/>
              </w:rPr>
              <w:t>《挥发性有机物无组织排放控制标准》（</w:t>
            </w:r>
            <w:r>
              <w:rPr>
                <w:rFonts w:cs="Times New Roman"/>
                <w:sz w:val="21"/>
                <w:szCs w:val="21"/>
              </w:rPr>
              <w:t>GB37822-2019</w:t>
            </w:r>
            <w:r>
              <w:rPr>
                <w:rFonts w:cs="Times New Roman"/>
                <w:sz w:val="21"/>
                <w:szCs w:val="21"/>
              </w:rPr>
              <w:t>）表</w:t>
            </w:r>
            <w:r>
              <w:rPr>
                <w:rFonts w:cs="Times New Roman"/>
                <w:sz w:val="21"/>
                <w:szCs w:val="21"/>
              </w:rPr>
              <w:t>A.1</w:t>
            </w:r>
            <w:r>
              <w:rPr>
                <w:rFonts w:cs="Times New Roman"/>
                <w:sz w:val="21"/>
                <w:szCs w:val="21"/>
              </w:rPr>
              <w:t>厂区内</w:t>
            </w:r>
            <w:r>
              <w:rPr>
                <w:rFonts w:cs="Times New Roman"/>
                <w:sz w:val="21"/>
                <w:szCs w:val="21"/>
              </w:rPr>
              <w:t>VOCs</w:t>
            </w:r>
            <w:r>
              <w:rPr>
                <w:rFonts w:cs="Times New Roman"/>
                <w:sz w:val="21"/>
                <w:szCs w:val="21"/>
              </w:rPr>
              <w:t>无组织排放限值；井场</w:t>
            </w:r>
            <w:r>
              <w:rPr>
                <w:rFonts w:cs="Times New Roman"/>
                <w:sz w:val="21"/>
                <w:szCs w:val="21"/>
              </w:rPr>
              <w:t>厂界外</w:t>
            </w:r>
            <w:r>
              <w:rPr>
                <w:rFonts w:cs="Times New Roman"/>
                <w:sz w:val="21"/>
                <w:szCs w:val="21"/>
              </w:rPr>
              <w:t>无组织排放的非甲烷总烃</w:t>
            </w:r>
            <w:r>
              <w:rPr>
                <w:rFonts w:cs="Times New Roman"/>
                <w:sz w:val="21"/>
                <w:szCs w:val="21"/>
              </w:rPr>
              <w:t>执行</w:t>
            </w:r>
            <w:r>
              <w:rPr>
                <w:rFonts w:cs="Times New Roman"/>
                <w:sz w:val="21"/>
                <w:szCs w:val="21"/>
              </w:rPr>
              <w:t>《陆上石油天然气开采工业大气污染物排放标准》（</w:t>
            </w:r>
            <w:r>
              <w:rPr>
                <w:rFonts w:cs="Times New Roman"/>
                <w:sz w:val="21"/>
                <w:szCs w:val="21"/>
              </w:rPr>
              <w:t>GB39728-2020</w:t>
            </w:r>
            <w:r>
              <w:rPr>
                <w:rFonts w:cs="Times New Roman"/>
                <w:sz w:val="21"/>
                <w:szCs w:val="21"/>
              </w:rPr>
              <w:t>）</w:t>
            </w:r>
            <w:r>
              <w:rPr>
                <w:rFonts w:cs="Times New Roman"/>
                <w:sz w:val="21"/>
                <w:szCs w:val="21"/>
              </w:rPr>
              <w:t>企业边界污染物控制要求</w:t>
            </w:r>
            <w:r>
              <w:rPr>
                <w:rFonts w:cs="Times New Roman"/>
                <w:sz w:val="21"/>
                <w:szCs w:val="21"/>
              </w:rPr>
              <w:t>；</w:t>
            </w:r>
            <w:r>
              <w:rPr>
                <w:rFonts w:cs="Times New Roman"/>
                <w:sz w:val="21"/>
                <w:szCs w:val="21"/>
              </w:rPr>
              <w:t>无组织排放</w:t>
            </w:r>
            <w:r>
              <w:rPr>
                <w:rFonts w:cs="Times New Roman"/>
                <w:sz w:val="21"/>
                <w:szCs w:val="21"/>
              </w:rPr>
              <w:t>的硫化氢</w:t>
            </w:r>
            <w:r>
              <w:rPr>
                <w:rFonts w:cs="Times New Roman"/>
                <w:sz w:val="21"/>
                <w:szCs w:val="21"/>
              </w:rPr>
              <w:t>执行</w:t>
            </w:r>
            <w:r>
              <w:rPr>
                <w:rFonts w:cs="Times New Roman"/>
                <w:sz w:val="21"/>
                <w:szCs w:val="21"/>
              </w:rPr>
              <w:t>《</w:t>
            </w:r>
            <w:r>
              <w:rPr>
                <w:rFonts w:cs="Times New Roman"/>
                <w:sz w:val="21"/>
                <w:szCs w:val="21"/>
              </w:rPr>
              <w:t>恶臭污染物排放标准</w:t>
            </w:r>
            <w:r>
              <w:rPr>
                <w:rFonts w:cs="Times New Roman"/>
                <w:sz w:val="21"/>
                <w:szCs w:val="21"/>
              </w:rPr>
              <w:t>》（</w:t>
            </w:r>
            <w:r>
              <w:rPr>
                <w:rFonts w:cs="Times New Roman"/>
                <w:sz w:val="21"/>
                <w:szCs w:val="21"/>
              </w:rPr>
              <w:t>GB1</w:t>
            </w:r>
            <w:r>
              <w:rPr>
                <w:rFonts w:cs="Times New Roman"/>
                <w:sz w:val="21"/>
                <w:szCs w:val="21"/>
              </w:rPr>
              <w:t>4554-93</w:t>
            </w:r>
            <w:r>
              <w:rPr>
                <w:rFonts w:cs="Times New Roman"/>
                <w:sz w:val="21"/>
                <w:szCs w:val="21"/>
              </w:rPr>
              <w:t>）</w:t>
            </w:r>
            <w:r>
              <w:rPr>
                <w:rFonts w:cs="Times New Roman"/>
                <w:sz w:val="21"/>
                <w:szCs w:val="21"/>
              </w:rPr>
              <w:t>表</w:t>
            </w:r>
            <w:r>
              <w:rPr>
                <w:rFonts w:cs="Times New Roman"/>
                <w:sz w:val="21"/>
                <w:szCs w:val="21"/>
              </w:rPr>
              <w:t>1</w:t>
            </w:r>
            <w:r>
              <w:rPr>
                <w:rFonts w:cs="Times New Roman"/>
                <w:sz w:val="21"/>
                <w:szCs w:val="21"/>
              </w:rPr>
              <w:t>新</w:t>
            </w:r>
            <w:r>
              <w:rPr>
                <w:rFonts w:cs="Times New Roman"/>
                <w:sz w:val="21"/>
                <w:szCs w:val="21"/>
              </w:rPr>
              <w:t>扩改</w:t>
            </w:r>
            <w:r>
              <w:rPr>
                <w:rFonts w:cs="Times New Roman"/>
                <w:sz w:val="21"/>
                <w:szCs w:val="21"/>
              </w:rPr>
              <w:t>建</w:t>
            </w:r>
            <w:r>
              <w:rPr>
                <w:rFonts w:cs="Times New Roman"/>
                <w:sz w:val="21"/>
                <w:szCs w:val="21"/>
              </w:rPr>
              <w:t>项目</w:t>
            </w:r>
            <w:r>
              <w:rPr>
                <w:rFonts w:cs="Times New Roman"/>
                <w:sz w:val="21"/>
                <w:szCs w:val="21"/>
              </w:rPr>
              <w:t>二级标准</w:t>
            </w:r>
          </w:p>
        </w:tc>
        <w:tc>
          <w:tcPr>
            <w:tcW w:w="334" w:type="pct"/>
            <w:vMerge w:val="restart"/>
            <w:vAlign w:val="center"/>
          </w:tcPr>
          <w:p w:rsidR="00C645C9" w:rsidRDefault="00F955D9">
            <w:pPr>
              <w:spacing w:line="0" w:lineRule="atLeast"/>
              <w:jc w:val="center"/>
              <w:rPr>
                <w:spacing w:val="-10"/>
                <w:sz w:val="21"/>
                <w:szCs w:val="21"/>
              </w:rPr>
            </w:pPr>
            <w:r>
              <w:rPr>
                <w:rFonts w:cs="Times New Roman"/>
                <w:sz w:val="21"/>
                <w:szCs w:val="21"/>
              </w:rPr>
              <w:t>不低于现状</w:t>
            </w: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买里村</w:t>
            </w:r>
          </w:p>
        </w:tc>
        <w:tc>
          <w:tcPr>
            <w:tcW w:w="1480" w:type="pct"/>
            <w:vAlign w:val="center"/>
          </w:tcPr>
          <w:p w:rsidR="00C645C9" w:rsidRDefault="00F955D9">
            <w:pPr>
              <w:spacing w:line="0" w:lineRule="atLeast"/>
              <w:jc w:val="center"/>
              <w:rPr>
                <w:spacing w:val="-10"/>
                <w:sz w:val="21"/>
                <w:szCs w:val="21"/>
              </w:rPr>
            </w:pPr>
            <w:r>
              <w:rPr>
                <w:rFonts w:hint="eastAsia"/>
                <w:spacing w:val="-10"/>
                <w:sz w:val="21"/>
                <w:szCs w:val="21"/>
              </w:rPr>
              <w:t>新北</w:t>
            </w:r>
            <w:r>
              <w:rPr>
                <w:rFonts w:hint="eastAsia"/>
                <w:spacing w:val="-10"/>
                <w:sz w:val="21"/>
                <w:szCs w:val="21"/>
              </w:rPr>
              <w:t>1X</w:t>
            </w:r>
            <w:r>
              <w:rPr>
                <w:rFonts w:hint="eastAsia"/>
                <w:spacing w:val="-10"/>
                <w:sz w:val="21"/>
                <w:szCs w:val="21"/>
              </w:rPr>
              <w:t>井西北侧</w:t>
            </w:r>
            <w:r>
              <w:rPr>
                <w:rFonts w:hint="eastAsia"/>
                <w:spacing w:val="-10"/>
                <w:sz w:val="21"/>
                <w:szCs w:val="21"/>
              </w:rPr>
              <w:t>3.2km</w:t>
            </w:r>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90"/>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哈尼喀村</w:t>
            </w:r>
          </w:p>
        </w:tc>
        <w:tc>
          <w:tcPr>
            <w:tcW w:w="1480" w:type="pct"/>
            <w:vAlign w:val="center"/>
          </w:tcPr>
          <w:p w:rsidR="00C645C9" w:rsidRDefault="00F955D9">
            <w:pPr>
              <w:spacing w:line="0" w:lineRule="atLeast"/>
              <w:jc w:val="center"/>
              <w:rPr>
                <w:spacing w:val="-10"/>
                <w:sz w:val="21"/>
                <w:szCs w:val="21"/>
              </w:rPr>
            </w:pPr>
            <w:bookmarkStart w:id="418" w:name="OLE_LINK1360"/>
            <w:r>
              <w:rPr>
                <w:rFonts w:hint="eastAsia"/>
                <w:spacing w:val="-10"/>
                <w:sz w:val="21"/>
                <w:szCs w:val="21"/>
              </w:rPr>
              <w:t>新北</w:t>
            </w:r>
            <w:r>
              <w:rPr>
                <w:rFonts w:hint="eastAsia"/>
                <w:spacing w:val="-10"/>
                <w:sz w:val="21"/>
                <w:szCs w:val="21"/>
              </w:rPr>
              <w:t>1X</w:t>
            </w:r>
            <w:r>
              <w:rPr>
                <w:rFonts w:hint="eastAsia"/>
                <w:spacing w:val="-10"/>
                <w:sz w:val="21"/>
                <w:szCs w:val="21"/>
              </w:rPr>
              <w:t>井东北侧</w:t>
            </w:r>
            <w:r>
              <w:rPr>
                <w:rFonts w:hint="eastAsia"/>
                <w:spacing w:val="-10"/>
                <w:sz w:val="21"/>
                <w:szCs w:val="21"/>
              </w:rPr>
              <w:t>2.2km</w:t>
            </w:r>
            <w:bookmarkEnd w:id="418"/>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90"/>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布喀塔木村</w:t>
            </w:r>
          </w:p>
        </w:tc>
        <w:tc>
          <w:tcPr>
            <w:tcW w:w="1480" w:type="pct"/>
            <w:vAlign w:val="center"/>
          </w:tcPr>
          <w:p w:rsidR="00C645C9" w:rsidRDefault="00F955D9">
            <w:pPr>
              <w:spacing w:line="0" w:lineRule="atLeast"/>
              <w:jc w:val="center"/>
              <w:rPr>
                <w:spacing w:val="-10"/>
                <w:sz w:val="21"/>
                <w:szCs w:val="21"/>
              </w:rPr>
            </w:pPr>
            <w:bookmarkStart w:id="419" w:name="OLE_LINK1361"/>
            <w:r>
              <w:rPr>
                <w:rFonts w:hint="eastAsia"/>
                <w:spacing w:val="-10"/>
                <w:sz w:val="21"/>
                <w:szCs w:val="21"/>
              </w:rPr>
              <w:t>新北</w:t>
            </w:r>
            <w:r>
              <w:rPr>
                <w:rFonts w:hint="eastAsia"/>
                <w:spacing w:val="-10"/>
                <w:sz w:val="21"/>
                <w:szCs w:val="21"/>
              </w:rPr>
              <w:t>1X</w:t>
            </w:r>
            <w:r>
              <w:rPr>
                <w:rFonts w:hint="eastAsia"/>
                <w:spacing w:val="-10"/>
                <w:sz w:val="21"/>
                <w:szCs w:val="21"/>
              </w:rPr>
              <w:t>井东侧</w:t>
            </w:r>
            <w:r>
              <w:rPr>
                <w:rFonts w:hint="eastAsia"/>
                <w:spacing w:val="-10"/>
                <w:sz w:val="21"/>
                <w:szCs w:val="21"/>
              </w:rPr>
              <w:t>3.4km</w:t>
            </w:r>
            <w:bookmarkEnd w:id="419"/>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渭干买里村</w:t>
            </w:r>
          </w:p>
        </w:tc>
        <w:tc>
          <w:tcPr>
            <w:tcW w:w="1480" w:type="pct"/>
            <w:vAlign w:val="center"/>
          </w:tcPr>
          <w:p w:rsidR="00C645C9" w:rsidRDefault="00F955D9">
            <w:pPr>
              <w:spacing w:line="0" w:lineRule="atLeast"/>
              <w:jc w:val="center"/>
              <w:rPr>
                <w:spacing w:val="-10"/>
                <w:sz w:val="21"/>
                <w:szCs w:val="21"/>
              </w:rPr>
            </w:pPr>
            <w:r>
              <w:rPr>
                <w:rFonts w:hint="eastAsia"/>
                <w:spacing w:val="-10"/>
                <w:sz w:val="21"/>
                <w:szCs w:val="21"/>
              </w:rPr>
              <w:t>新北</w:t>
            </w:r>
            <w:r>
              <w:rPr>
                <w:rFonts w:hint="eastAsia"/>
                <w:spacing w:val="-10"/>
                <w:sz w:val="21"/>
                <w:szCs w:val="21"/>
              </w:rPr>
              <w:t>1X</w:t>
            </w:r>
            <w:r>
              <w:rPr>
                <w:rFonts w:hint="eastAsia"/>
                <w:spacing w:val="-10"/>
                <w:sz w:val="21"/>
                <w:szCs w:val="21"/>
              </w:rPr>
              <w:t>井东侧</w:t>
            </w:r>
            <w:r>
              <w:rPr>
                <w:rFonts w:hint="eastAsia"/>
                <w:spacing w:val="-10"/>
                <w:sz w:val="21"/>
                <w:szCs w:val="21"/>
              </w:rPr>
              <w:t>0.9km</w:t>
            </w:r>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阿特贝希墩村</w:t>
            </w:r>
          </w:p>
        </w:tc>
        <w:tc>
          <w:tcPr>
            <w:tcW w:w="1480" w:type="pct"/>
            <w:vAlign w:val="center"/>
          </w:tcPr>
          <w:p w:rsidR="00C645C9" w:rsidRDefault="00F955D9">
            <w:pPr>
              <w:spacing w:line="0" w:lineRule="atLeast"/>
              <w:jc w:val="center"/>
              <w:rPr>
                <w:spacing w:val="-10"/>
                <w:sz w:val="21"/>
                <w:szCs w:val="21"/>
              </w:rPr>
            </w:pPr>
            <w:bookmarkStart w:id="420" w:name="OLE_LINK1362"/>
            <w:r>
              <w:rPr>
                <w:rFonts w:hint="eastAsia"/>
                <w:spacing w:val="-10"/>
                <w:sz w:val="21"/>
                <w:szCs w:val="21"/>
              </w:rPr>
              <w:t>新北</w:t>
            </w:r>
            <w:r>
              <w:rPr>
                <w:rFonts w:hint="eastAsia"/>
                <w:spacing w:val="-10"/>
                <w:sz w:val="21"/>
                <w:szCs w:val="21"/>
              </w:rPr>
              <w:t>1X</w:t>
            </w:r>
            <w:r>
              <w:rPr>
                <w:rFonts w:hint="eastAsia"/>
                <w:spacing w:val="-10"/>
                <w:sz w:val="21"/>
                <w:szCs w:val="21"/>
              </w:rPr>
              <w:t>井东南侧</w:t>
            </w:r>
            <w:r>
              <w:rPr>
                <w:rFonts w:hint="eastAsia"/>
                <w:spacing w:val="-10"/>
                <w:sz w:val="21"/>
                <w:szCs w:val="21"/>
              </w:rPr>
              <w:t>3.7km</w:t>
            </w:r>
            <w:bookmarkEnd w:id="420"/>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库木勒买里村</w:t>
            </w:r>
          </w:p>
        </w:tc>
        <w:tc>
          <w:tcPr>
            <w:tcW w:w="1480" w:type="pct"/>
            <w:vAlign w:val="center"/>
          </w:tcPr>
          <w:p w:rsidR="00C645C9" w:rsidRDefault="00F955D9">
            <w:pPr>
              <w:spacing w:line="0" w:lineRule="atLeast"/>
              <w:jc w:val="center"/>
              <w:rPr>
                <w:spacing w:val="-10"/>
                <w:sz w:val="21"/>
                <w:szCs w:val="21"/>
              </w:rPr>
            </w:pPr>
            <w:bookmarkStart w:id="421" w:name="OLE_LINK1363"/>
            <w:r>
              <w:rPr>
                <w:rFonts w:hint="eastAsia"/>
                <w:spacing w:val="-10"/>
                <w:sz w:val="21"/>
                <w:szCs w:val="21"/>
              </w:rPr>
              <w:t>新北</w:t>
            </w:r>
            <w:r>
              <w:rPr>
                <w:rFonts w:hint="eastAsia"/>
                <w:spacing w:val="-10"/>
                <w:sz w:val="21"/>
                <w:szCs w:val="21"/>
              </w:rPr>
              <w:t>1X</w:t>
            </w:r>
            <w:r>
              <w:rPr>
                <w:rFonts w:hint="eastAsia"/>
                <w:spacing w:val="-10"/>
                <w:sz w:val="21"/>
                <w:szCs w:val="21"/>
              </w:rPr>
              <w:t>井东南侧</w:t>
            </w:r>
            <w:r>
              <w:rPr>
                <w:rFonts w:hint="eastAsia"/>
                <w:spacing w:val="-10"/>
                <w:sz w:val="21"/>
                <w:szCs w:val="21"/>
              </w:rPr>
              <w:t>2.3km</w:t>
            </w:r>
            <w:bookmarkEnd w:id="421"/>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bookmarkStart w:id="422" w:name="OLE_LINK1357"/>
            <w:r>
              <w:rPr>
                <w:rFonts w:hint="eastAsia"/>
                <w:spacing w:val="-10"/>
                <w:sz w:val="21"/>
                <w:szCs w:val="21"/>
              </w:rPr>
              <w:t>拱拜孜</w:t>
            </w:r>
            <w:bookmarkEnd w:id="422"/>
            <w:r>
              <w:rPr>
                <w:rFonts w:hint="eastAsia"/>
                <w:spacing w:val="-10"/>
                <w:sz w:val="21"/>
                <w:szCs w:val="21"/>
              </w:rPr>
              <w:t>村</w:t>
            </w:r>
          </w:p>
        </w:tc>
        <w:tc>
          <w:tcPr>
            <w:tcW w:w="1480" w:type="pct"/>
            <w:vAlign w:val="center"/>
          </w:tcPr>
          <w:p w:rsidR="00C645C9" w:rsidRDefault="00F955D9">
            <w:pPr>
              <w:spacing w:line="0" w:lineRule="atLeast"/>
              <w:jc w:val="center"/>
              <w:rPr>
                <w:spacing w:val="-10"/>
                <w:sz w:val="21"/>
                <w:szCs w:val="21"/>
              </w:rPr>
            </w:pPr>
            <w:bookmarkStart w:id="423" w:name="OLE_LINK1364"/>
            <w:r>
              <w:rPr>
                <w:rFonts w:hint="eastAsia"/>
                <w:spacing w:val="-10"/>
                <w:sz w:val="21"/>
                <w:szCs w:val="21"/>
              </w:rPr>
              <w:t>新北</w:t>
            </w:r>
            <w:r>
              <w:rPr>
                <w:rFonts w:hint="eastAsia"/>
                <w:spacing w:val="-10"/>
                <w:sz w:val="21"/>
                <w:szCs w:val="21"/>
              </w:rPr>
              <w:t>1X</w:t>
            </w:r>
            <w:r>
              <w:rPr>
                <w:rFonts w:hint="eastAsia"/>
                <w:spacing w:val="-10"/>
                <w:sz w:val="21"/>
                <w:szCs w:val="21"/>
              </w:rPr>
              <w:t>井南侧</w:t>
            </w:r>
            <w:r>
              <w:rPr>
                <w:rFonts w:hint="eastAsia"/>
                <w:spacing w:val="-10"/>
                <w:sz w:val="21"/>
                <w:szCs w:val="21"/>
              </w:rPr>
              <w:t>1.7km</w:t>
            </w:r>
            <w:bookmarkEnd w:id="423"/>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bookmarkStart w:id="424" w:name="OLE_LINK1358" w:colFirst="3" w:colLast="3"/>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果勒艾日克村</w:t>
            </w:r>
          </w:p>
        </w:tc>
        <w:tc>
          <w:tcPr>
            <w:tcW w:w="1480" w:type="pct"/>
            <w:vAlign w:val="center"/>
          </w:tcPr>
          <w:p w:rsidR="00C645C9" w:rsidRDefault="00F955D9">
            <w:pPr>
              <w:spacing w:line="0" w:lineRule="atLeast"/>
              <w:jc w:val="center"/>
              <w:rPr>
                <w:spacing w:val="-10"/>
                <w:sz w:val="21"/>
                <w:szCs w:val="21"/>
              </w:rPr>
            </w:pPr>
            <w:bookmarkStart w:id="425" w:name="OLE_LINK1365"/>
            <w:r>
              <w:rPr>
                <w:rFonts w:hint="eastAsia"/>
                <w:spacing w:val="-10"/>
                <w:sz w:val="21"/>
                <w:szCs w:val="21"/>
              </w:rPr>
              <w:t>新北</w:t>
            </w:r>
            <w:r>
              <w:rPr>
                <w:rFonts w:hint="eastAsia"/>
                <w:spacing w:val="-10"/>
                <w:sz w:val="21"/>
                <w:szCs w:val="21"/>
              </w:rPr>
              <w:t>1X</w:t>
            </w:r>
            <w:r>
              <w:rPr>
                <w:rFonts w:hint="eastAsia"/>
                <w:spacing w:val="-10"/>
                <w:sz w:val="21"/>
                <w:szCs w:val="21"/>
              </w:rPr>
              <w:t>井南侧</w:t>
            </w:r>
            <w:r>
              <w:rPr>
                <w:rFonts w:hint="eastAsia"/>
                <w:spacing w:val="-10"/>
                <w:sz w:val="21"/>
                <w:szCs w:val="21"/>
              </w:rPr>
              <w:t>3.8km</w:t>
            </w:r>
            <w:bookmarkEnd w:id="425"/>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其兰托玛村</w:t>
            </w:r>
          </w:p>
        </w:tc>
        <w:tc>
          <w:tcPr>
            <w:tcW w:w="1480" w:type="pct"/>
            <w:vAlign w:val="center"/>
          </w:tcPr>
          <w:p w:rsidR="00C645C9" w:rsidRDefault="00F955D9">
            <w:pPr>
              <w:spacing w:line="0" w:lineRule="atLeast"/>
              <w:jc w:val="center"/>
              <w:rPr>
                <w:spacing w:val="-10"/>
                <w:sz w:val="21"/>
                <w:szCs w:val="21"/>
              </w:rPr>
            </w:pPr>
            <w:bookmarkStart w:id="426" w:name="OLE_LINK1366"/>
            <w:r>
              <w:rPr>
                <w:rFonts w:hint="eastAsia"/>
                <w:spacing w:val="-10"/>
                <w:sz w:val="21"/>
                <w:szCs w:val="21"/>
              </w:rPr>
              <w:t>新北</w:t>
            </w:r>
            <w:r>
              <w:rPr>
                <w:rFonts w:hint="eastAsia"/>
                <w:spacing w:val="-10"/>
                <w:sz w:val="21"/>
                <w:szCs w:val="21"/>
              </w:rPr>
              <w:t>1X</w:t>
            </w:r>
            <w:r>
              <w:rPr>
                <w:rFonts w:hint="eastAsia"/>
                <w:spacing w:val="-10"/>
                <w:sz w:val="21"/>
                <w:szCs w:val="21"/>
              </w:rPr>
              <w:t>井西南侧</w:t>
            </w:r>
            <w:r>
              <w:rPr>
                <w:rFonts w:hint="eastAsia"/>
                <w:spacing w:val="-10"/>
                <w:sz w:val="21"/>
                <w:szCs w:val="21"/>
              </w:rPr>
              <w:t>4.3km</w:t>
            </w:r>
            <w:bookmarkEnd w:id="426"/>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bookmarkEnd w:id="424"/>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买斯来提墩村</w:t>
            </w:r>
          </w:p>
        </w:tc>
        <w:tc>
          <w:tcPr>
            <w:tcW w:w="1480" w:type="pct"/>
            <w:vAlign w:val="center"/>
          </w:tcPr>
          <w:p w:rsidR="00C645C9" w:rsidRDefault="00F955D9">
            <w:pPr>
              <w:spacing w:line="0" w:lineRule="atLeast"/>
              <w:jc w:val="center"/>
              <w:rPr>
                <w:spacing w:val="-10"/>
                <w:sz w:val="21"/>
                <w:szCs w:val="21"/>
              </w:rPr>
            </w:pPr>
            <w:bookmarkStart w:id="427" w:name="OLE_LINK1367"/>
            <w:r>
              <w:rPr>
                <w:rFonts w:hint="eastAsia"/>
                <w:spacing w:val="-10"/>
                <w:sz w:val="21"/>
                <w:szCs w:val="21"/>
              </w:rPr>
              <w:t>新北</w:t>
            </w:r>
            <w:r>
              <w:rPr>
                <w:rFonts w:hint="eastAsia"/>
                <w:spacing w:val="-10"/>
                <w:sz w:val="21"/>
                <w:szCs w:val="21"/>
              </w:rPr>
              <w:t>1X</w:t>
            </w:r>
            <w:r>
              <w:rPr>
                <w:rFonts w:hint="eastAsia"/>
                <w:spacing w:val="-10"/>
                <w:sz w:val="21"/>
                <w:szCs w:val="21"/>
              </w:rPr>
              <w:t>井西南侧</w:t>
            </w:r>
            <w:r>
              <w:rPr>
                <w:rFonts w:hint="eastAsia"/>
                <w:spacing w:val="-10"/>
                <w:sz w:val="21"/>
                <w:szCs w:val="21"/>
              </w:rPr>
              <w:t>4.4km</w:t>
            </w:r>
            <w:bookmarkEnd w:id="427"/>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库木鲁克艾日克村</w:t>
            </w:r>
          </w:p>
        </w:tc>
        <w:tc>
          <w:tcPr>
            <w:tcW w:w="1480" w:type="pct"/>
            <w:vAlign w:val="center"/>
          </w:tcPr>
          <w:p w:rsidR="00C645C9" w:rsidRDefault="00F955D9">
            <w:pPr>
              <w:spacing w:line="0" w:lineRule="atLeast"/>
              <w:jc w:val="center"/>
              <w:rPr>
                <w:spacing w:val="-10"/>
                <w:sz w:val="21"/>
                <w:szCs w:val="21"/>
              </w:rPr>
            </w:pPr>
            <w:bookmarkStart w:id="428" w:name="OLE_LINK1368"/>
            <w:r>
              <w:rPr>
                <w:rFonts w:hint="eastAsia"/>
                <w:spacing w:val="-10"/>
                <w:sz w:val="21"/>
                <w:szCs w:val="21"/>
              </w:rPr>
              <w:t>新北</w:t>
            </w:r>
            <w:r>
              <w:rPr>
                <w:rFonts w:hint="eastAsia"/>
                <w:spacing w:val="-10"/>
                <w:sz w:val="21"/>
                <w:szCs w:val="21"/>
              </w:rPr>
              <w:t>1X</w:t>
            </w:r>
            <w:r>
              <w:rPr>
                <w:rFonts w:hint="eastAsia"/>
                <w:spacing w:val="-10"/>
                <w:sz w:val="21"/>
                <w:szCs w:val="21"/>
              </w:rPr>
              <w:t>井西南侧</w:t>
            </w:r>
            <w:r>
              <w:rPr>
                <w:rFonts w:hint="eastAsia"/>
                <w:spacing w:val="-10"/>
                <w:sz w:val="21"/>
                <w:szCs w:val="21"/>
              </w:rPr>
              <w:t>3.3km</w:t>
            </w:r>
            <w:bookmarkEnd w:id="428"/>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托普协海尔村</w:t>
            </w:r>
          </w:p>
        </w:tc>
        <w:tc>
          <w:tcPr>
            <w:tcW w:w="1480" w:type="pct"/>
            <w:vAlign w:val="center"/>
          </w:tcPr>
          <w:p w:rsidR="00C645C9" w:rsidRDefault="00F955D9">
            <w:pPr>
              <w:spacing w:line="0" w:lineRule="atLeast"/>
              <w:jc w:val="center"/>
              <w:rPr>
                <w:spacing w:val="-10"/>
                <w:sz w:val="21"/>
                <w:szCs w:val="21"/>
              </w:rPr>
            </w:pPr>
            <w:bookmarkStart w:id="429" w:name="OLE_LINK1369"/>
            <w:r>
              <w:rPr>
                <w:rFonts w:hint="eastAsia"/>
                <w:spacing w:val="-10"/>
                <w:sz w:val="21"/>
                <w:szCs w:val="21"/>
              </w:rPr>
              <w:t>新北</w:t>
            </w:r>
            <w:r>
              <w:rPr>
                <w:rFonts w:hint="eastAsia"/>
                <w:spacing w:val="-10"/>
                <w:sz w:val="21"/>
                <w:szCs w:val="21"/>
              </w:rPr>
              <w:t>1X</w:t>
            </w:r>
            <w:r>
              <w:rPr>
                <w:rFonts w:hint="eastAsia"/>
                <w:spacing w:val="-10"/>
                <w:sz w:val="21"/>
                <w:szCs w:val="21"/>
              </w:rPr>
              <w:t>井西北侧</w:t>
            </w:r>
            <w:r>
              <w:rPr>
                <w:rFonts w:hint="eastAsia"/>
                <w:spacing w:val="-10"/>
                <w:sz w:val="21"/>
                <w:szCs w:val="21"/>
              </w:rPr>
              <w:t>2.2km</w:t>
            </w:r>
            <w:bookmarkEnd w:id="429"/>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乌恰墩村</w:t>
            </w:r>
          </w:p>
        </w:tc>
        <w:tc>
          <w:tcPr>
            <w:tcW w:w="1480" w:type="pct"/>
            <w:vAlign w:val="center"/>
          </w:tcPr>
          <w:p w:rsidR="00C645C9" w:rsidRDefault="00F955D9">
            <w:pPr>
              <w:spacing w:line="0" w:lineRule="atLeast"/>
              <w:jc w:val="center"/>
              <w:rPr>
                <w:spacing w:val="-10"/>
                <w:sz w:val="21"/>
                <w:szCs w:val="21"/>
              </w:rPr>
            </w:pPr>
            <w:r>
              <w:rPr>
                <w:rFonts w:hint="eastAsia"/>
                <w:spacing w:val="-10"/>
                <w:sz w:val="21"/>
                <w:szCs w:val="21"/>
              </w:rPr>
              <w:t>新北</w:t>
            </w:r>
            <w:r>
              <w:rPr>
                <w:rFonts w:hint="eastAsia"/>
                <w:spacing w:val="-10"/>
                <w:sz w:val="21"/>
                <w:szCs w:val="21"/>
              </w:rPr>
              <w:t>1X</w:t>
            </w:r>
            <w:r>
              <w:rPr>
                <w:rFonts w:hint="eastAsia"/>
                <w:spacing w:val="-10"/>
                <w:sz w:val="21"/>
                <w:szCs w:val="21"/>
              </w:rPr>
              <w:t>井西侧</w:t>
            </w:r>
            <w:r>
              <w:rPr>
                <w:rFonts w:hint="eastAsia"/>
                <w:spacing w:val="-10"/>
                <w:sz w:val="21"/>
                <w:szCs w:val="21"/>
              </w:rPr>
              <w:t>1.9km</w:t>
            </w:r>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托普协尔村</w:t>
            </w:r>
          </w:p>
        </w:tc>
        <w:tc>
          <w:tcPr>
            <w:tcW w:w="1480" w:type="pct"/>
            <w:vAlign w:val="center"/>
          </w:tcPr>
          <w:p w:rsidR="00C645C9" w:rsidRDefault="00F955D9">
            <w:pPr>
              <w:spacing w:line="0" w:lineRule="atLeast"/>
              <w:jc w:val="center"/>
              <w:rPr>
                <w:spacing w:val="-10"/>
                <w:sz w:val="21"/>
                <w:szCs w:val="21"/>
              </w:rPr>
            </w:pPr>
            <w:bookmarkStart w:id="430" w:name="OLE_LINK1370"/>
            <w:r>
              <w:rPr>
                <w:rFonts w:hint="eastAsia"/>
                <w:spacing w:val="-10"/>
                <w:sz w:val="21"/>
                <w:szCs w:val="21"/>
              </w:rPr>
              <w:t>新北</w:t>
            </w:r>
            <w:r>
              <w:rPr>
                <w:rFonts w:hint="eastAsia"/>
                <w:spacing w:val="-10"/>
                <w:sz w:val="21"/>
                <w:szCs w:val="21"/>
              </w:rPr>
              <w:t>1X</w:t>
            </w:r>
            <w:r>
              <w:rPr>
                <w:rFonts w:hint="eastAsia"/>
                <w:spacing w:val="-10"/>
                <w:sz w:val="21"/>
                <w:szCs w:val="21"/>
              </w:rPr>
              <w:t>井西北侧</w:t>
            </w:r>
            <w:r>
              <w:rPr>
                <w:rFonts w:hint="eastAsia"/>
                <w:spacing w:val="-10"/>
                <w:sz w:val="21"/>
                <w:szCs w:val="21"/>
              </w:rPr>
              <w:t>1.1km</w:t>
            </w:r>
            <w:bookmarkEnd w:id="430"/>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其兰村</w:t>
            </w:r>
          </w:p>
        </w:tc>
        <w:tc>
          <w:tcPr>
            <w:tcW w:w="1480" w:type="pct"/>
            <w:vAlign w:val="center"/>
          </w:tcPr>
          <w:p w:rsidR="00C645C9" w:rsidRDefault="00F955D9">
            <w:pPr>
              <w:spacing w:line="0" w:lineRule="atLeast"/>
              <w:jc w:val="center"/>
              <w:rPr>
                <w:spacing w:val="-10"/>
                <w:sz w:val="21"/>
                <w:szCs w:val="21"/>
              </w:rPr>
            </w:pPr>
            <w:bookmarkStart w:id="431" w:name="OLE_LINK1371"/>
            <w:r>
              <w:rPr>
                <w:rFonts w:hint="eastAsia"/>
                <w:spacing w:val="-10"/>
                <w:sz w:val="21"/>
                <w:szCs w:val="21"/>
              </w:rPr>
              <w:t>新北</w:t>
            </w:r>
            <w:r>
              <w:rPr>
                <w:rFonts w:hint="eastAsia"/>
                <w:spacing w:val="-10"/>
                <w:sz w:val="21"/>
                <w:szCs w:val="21"/>
              </w:rPr>
              <w:t>7</w:t>
            </w:r>
            <w:r>
              <w:rPr>
                <w:rFonts w:hint="eastAsia"/>
                <w:spacing w:val="-10"/>
                <w:sz w:val="21"/>
                <w:szCs w:val="21"/>
              </w:rPr>
              <w:t>井北侧</w:t>
            </w:r>
            <w:r>
              <w:rPr>
                <w:rFonts w:hint="eastAsia"/>
                <w:spacing w:val="-10"/>
                <w:sz w:val="21"/>
                <w:szCs w:val="21"/>
              </w:rPr>
              <w:t>0.3km</w:t>
            </w:r>
            <w:bookmarkEnd w:id="431"/>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阔纳买德日斯村</w:t>
            </w:r>
          </w:p>
        </w:tc>
        <w:tc>
          <w:tcPr>
            <w:tcW w:w="1480" w:type="pct"/>
            <w:vAlign w:val="center"/>
          </w:tcPr>
          <w:p w:rsidR="00C645C9" w:rsidRDefault="00F955D9">
            <w:pPr>
              <w:spacing w:line="0" w:lineRule="atLeast"/>
              <w:jc w:val="center"/>
              <w:rPr>
                <w:spacing w:val="-10"/>
                <w:sz w:val="21"/>
                <w:szCs w:val="21"/>
              </w:rPr>
            </w:pPr>
            <w:bookmarkStart w:id="432" w:name="OLE_LINK783"/>
            <w:r>
              <w:rPr>
                <w:rFonts w:hint="eastAsia"/>
                <w:spacing w:val="-10"/>
                <w:sz w:val="21"/>
                <w:szCs w:val="21"/>
              </w:rPr>
              <w:t>新北</w:t>
            </w:r>
            <w:r>
              <w:rPr>
                <w:rFonts w:hint="eastAsia"/>
                <w:spacing w:val="-10"/>
                <w:sz w:val="21"/>
                <w:szCs w:val="21"/>
              </w:rPr>
              <w:t>7</w:t>
            </w:r>
            <w:r>
              <w:rPr>
                <w:rFonts w:hint="eastAsia"/>
                <w:spacing w:val="-10"/>
                <w:sz w:val="21"/>
                <w:szCs w:val="21"/>
              </w:rPr>
              <w:t>井东北侧</w:t>
            </w:r>
            <w:r>
              <w:rPr>
                <w:rFonts w:hint="eastAsia"/>
                <w:spacing w:val="-10"/>
                <w:sz w:val="21"/>
                <w:szCs w:val="21"/>
              </w:rPr>
              <w:t>1.3km</w:t>
            </w:r>
            <w:bookmarkEnd w:id="432"/>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阿喀艾日克村</w:t>
            </w:r>
          </w:p>
        </w:tc>
        <w:tc>
          <w:tcPr>
            <w:tcW w:w="1480" w:type="pct"/>
            <w:vAlign w:val="center"/>
          </w:tcPr>
          <w:p w:rsidR="00C645C9" w:rsidRDefault="00F955D9">
            <w:pPr>
              <w:spacing w:line="0" w:lineRule="atLeast"/>
              <w:jc w:val="center"/>
              <w:rPr>
                <w:spacing w:val="-10"/>
                <w:sz w:val="21"/>
                <w:szCs w:val="21"/>
              </w:rPr>
            </w:pPr>
            <w:bookmarkStart w:id="433" w:name="OLE_LINK1380"/>
            <w:r>
              <w:rPr>
                <w:rFonts w:hint="eastAsia"/>
                <w:spacing w:val="-10"/>
                <w:sz w:val="21"/>
                <w:szCs w:val="21"/>
              </w:rPr>
              <w:t>新北</w:t>
            </w:r>
            <w:r>
              <w:rPr>
                <w:rFonts w:hint="eastAsia"/>
                <w:spacing w:val="-10"/>
                <w:sz w:val="21"/>
                <w:szCs w:val="21"/>
              </w:rPr>
              <w:t>7</w:t>
            </w:r>
            <w:r>
              <w:rPr>
                <w:rFonts w:hint="eastAsia"/>
                <w:spacing w:val="-10"/>
                <w:sz w:val="21"/>
                <w:szCs w:val="21"/>
              </w:rPr>
              <w:t>井东北侧</w:t>
            </w:r>
            <w:r>
              <w:rPr>
                <w:rFonts w:hint="eastAsia"/>
                <w:spacing w:val="-10"/>
                <w:sz w:val="21"/>
                <w:szCs w:val="21"/>
              </w:rPr>
              <w:t>2.5km</w:t>
            </w:r>
            <w:bookmarkEnd w:id="433"/>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铁热克博斯坦村</w:t>
            </w:r>
          </w:p>
        </w:tc>
        <w:tc>
          <w:tcPr>
            <w:tcW w:w="1480" w:type="pct"/>
            <w:vAlign w:val="center"/>
          </w:tcPr>
          <w:p w:rsidR="00C645C9" w:rsidRDefault="00F955D9">
            <w:pPr>
              <w:spacing w:line="0" w:lineRule="atLeast"/>
              <w:jc w:val="center"/>
              <w:rPr>
                <w:spacing w:val="-10"/>
                <w:sz w:val="21"/>
                <w:szCs w:val="21"/>
              </w:rPr>
            </w:pPr>
            <w:bookmarkStart w:id="434" w:name="OLE_LINK1381"/>
            <w:r>
              <w:rPr>
                <w:rFonts w:hint="eastAsia"/>
                <w:spacing w:val="-10"/>
                <w:sz w:val="21"/>
                <w:szCs w:val="21"/>
              </w:rPr>
              <w:t>新北</w:t>
            </w:r>
            <w:r>
              <w:rPr>
                <w:rFonts w:hint="eastAsia"/>
                <w:spacing w:val="-10"/>
                <w:sz w:val="21"/>
                <w:szCs w:val="21"/>
              </w:rPr>
              <w:t>7</w:t>
            </w:r>
            <w:r>
              <w:rPr>
                <w:rFonts w:hint="eastAsia"/>
                <w:spacing w:val="-10"/>
                <w:sz w:val="21"/>
                <w:szCs w:val="21"/>
              </w:rPr>
              <w:t>井北侧</w:t>
            </w:r>
            <w:r>
              <w:rPr>
                <w:rFonts w:hint="eastAsia"/>
                <w:spacing w:val="-10"/>
                <w:sz w:val="21"/>
                <w:szCs w:val="21"/>
              </w:rPr>
              <w:t>3.7km</w:t>
            </w:r>
            <w:bookmarkEnd w:id="434"/>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托克买里村</w:t>
            </w:r>
          </w:p>
        </w:tc>
        <w:tc>
          <w:tcPr>
            <w:tcW w:w="1480" w:type="pct"/>
            <w:vAlign w:val="center"/>
          </w:tcPr>
          <w:p w:rsidR="00C645C9" w:rsidRDefault="00F955D9">
            <w:pPr>
              <w:spacing w:line="0" w:lineRule="atLeast"/>
              <w:jc w:val="center"/>
              <w:rPr>
                <w:spacing w:val="-10"/>
                <w:sz w:val="21"/>
                <w:szCs w:val="21"/>
              </w:rPr>
            </w:pPr>
            <w:bookmarkStart w:id="435" w:name="OLE_LINK1382"/>
            <w:r>
              <w:rPr>
                <w:rFonts w:hint="eastAsia"/>
                <w:spacing w:val="-10"/>
                <w:sz w:val="21"/>
                <w:szCs w:val="21"/>
              </w:rPr>
              <w:t>新北</w:t>
            </w:r>
            <w:r>
              <w:rPr>
                <w:rFonts w:hint="eastAsia"/>
                <w:spacing w:val="-10"/>
                <w:sz w:val="21"/>
                <w:szCs w:val="21"/>
              </w:rPr>
              <w:t>7</w:t>
            </w:r>
            <w:r>
              <w:rPr>
                <w:rFonts w:hint="eastAsia"/>
                <w:spacing w:val="-10"/>
                <w:sz w:val="21"/>
                <w:szCs w:val="21"/>
              </w:rPr>
              <w:t>井南侧</w:t>
            </w:r>
            <w:r>
              <w:rPr>
                <w:rFonts w:hint="eastAsia"/>
                <w:spacing w:val="-10"/>
                <w:sz w:val="21"/>
                <w:szCs w:val="21"/>
              </w:rPr>
              <w:t>0.8km</w:t>
            </w:r>
            <w:bookmarkEnd w:id="435"/>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库木库勒村</w:t>
            </w:r>
          </w:p>
        </w:tc>
        <w:tc>
          <w:tcPr>
            <w:tcW w:w="1480" w:type="pct"/>
            <w:vAlign w:val="center"/>
          </w:tcPr>
          <w:p w:rsidR="00C645C9" w:rsidRDefault="00F955D9">
            <w:pPr>
              <w:spacing w:line="0" w:lineRule="atLeast"/>
              <w:jc w:val="center"/>
              <w:rPr>
                <w:spacing w:val="-10"/>
                <w:sz w:val="21"/>
                <w:szCs w:val="21"/>
              </w:rPr>
            </w:pPr>
            <w:bookmarkStart w:id="436" w:name="OLE_LINK1383"/>
            <w:r>
              <w:rPr>
                <w:rFonts w:hint="eastAsia"/>
                <w:spacing w:val="-10"/>
                <w:sz w:val="21"/>
                <w:szCs w:val="21"/>
              </w:rPr>
              <w:t>新北</w:t>
            </w:r>
            <w:r>
              <w:rPr>
                <w:rFonts w:hint="eastAsia"/>
                <w:spacing w:val="-10"/>
                <w:sz w:val="21"/>
                <w:szCs w:val="21"/>
              </w:rPr>
              <w:t>7</w:t>
            </w:r>
            <w:r>
              <w:rPr>
                <w:rFonts w:hint="eastAsia"/>
                <w:spacing w:val="-10"/>
                <w:sz w:val="21"/>
                <w:szCs w:val="21"/>
              </w:rPr>
              <w:t>井东南侧</w:t>
            </w:r>
            <w:r>
              <w:rPr>
                <w:rFonts w:hint="eastAsia"/>
                <w:spacing w:val="-10"/>
                <w:sz w:val="21"/>
                <w:szCs w:val="21"/>
              </w:rPr>
              <w:t>2.8km</w:t>
            </w:r>
            <w:bookmarkEnd w:id="436"/>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铁热克力克村</w:t>
            </w:r>
          </w:p>
        </w:tc>
        <w:tc>
          <w:tcPr>
            <w:tcW w:w="1480" w:type="pct"/>
            <w:vAlign w:val="center"/>
          </w:tcPr>
          <w:p w:rsidR="00C645C9" w:rsidRDefault="00F955D9">
            <w:pPr>
              <w:spacing w:line="0" w:lineRule="atLeast"/>
              <w:jc w:val="center"/>
              <w:rPr>
                <w:spacing w:val="-10"/>
                <w:sz w:val="21"/>
                <w:szCs w:val="21"/>
              </w:rPr>
            </w:pPr>
            <w:bookmarkStart w:id="437" w:name="OLE_LINK1384"/>
            <w:r>
              <w:rPr>
                <w:rFonts w:hint="eastAsia"/>
                <w:spacing w:val="-10"/>
                <w:sz w:val="21"/>
                <w:szCs w:val="21"/>
              </w:rPr>
              <w:t>新北</w:t>
            </w:r>
            <w:r>
              <w:rPr>
                <w:rFonts w:hint="eastAsia"/>
                <w:spacing w:val="-10"/>
                <w:sz w:val="21"/>
                <w:szCs w:val="21"/>
              </w:rPr>
              <w:t>7</w:t>
            </w:r>
            <w:r>
              <w:rPr>
                <w:rFonts w:hint="eastAsia"/>
                <w:spacing w:val="-10"/>
                <w:sz w:val="21"/>
                <w:szCs w:val="21"/>
              </w:rPr>
              <w:t>井东南侧</w:t>
            </w:r>
            <w:r>
              <w:rPr>
                <w:rFonts w:hint="eastAsia"/>
                <w:spacing w:val="-10"/>
                <w:sz w:val="21"/>
                <w:szCs w:val="21"/>
              </w:rPr>
              <w:t>4.2km</w:t>
            </w:r>
            <w:bookmarkEnd w:id="437"/>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哈尼喀塔木村</w:t>
            </w:r>
          </w:p>
        </w:tc>
        <w:tc>
          <w:tcPr>
            <w:tcW w:w="1480" w:type="pct"/>
            <w:vAlign w:val="center"/>
          </w:tcPr>
          <w:p w:rsidR="00C645C9" w:rsidRDefault="00F955D9">
            <w:pPr>
              <w:spacing w:line="0" w:lineRule="atLeast"/>
              <w:jc w:val="center"/>
              <w:rPr>
                <w:spacing w:val="-10"/>
                <w:sz w:val="21"/>
                <w:szCs w:val="21"/>
              </w:rPr>
            </w:pPr>
            <w:bookmarkStart w:id="438" w:name="OLE_LINK1385"/>
            <w:r>
              <w:rPr>
                <w:rFonts w:hint="eastAsia"/>
                <w:spacing w:val="-10"/>
                <w:sz w:val="21"/>
                <w:szCs w:val="21"/>
              </w:rPr>
              <w:t>新北</w:t>
            </w:r>
            <w:r>
              <w:rPr>
                <w:rFonts w:hint="eastAsia"/>
                <w:spacing w:val="-10"/>
                <w:sz w:val="21"/>
                <w:szCs w:val="21"/>
              </w:rPr>
              <w:t>7</w:t>
            </w:r>
            <w:r>
              <w:rPr>
                <w:rFonts w:hint="eastAsia"/>
                <w:spacing w:val="-10"/>
                <w:sz w:val="21"/>
                <w:szCs w:val="21"/>
              </w:rPr>
              <w:t>井东南侧</w:t>
            </w:r>
            <w:r>
              <w:rPr>
                <w:rFonts w:hint="eastAsia"/>
                <w:spacing w:val="-10"/>
                <w:sz w:val="21"/>
                <w:szCs w:val="21"/>
              </w:rPr>
              <w:t>3.5km</w:t>
            </w:r>
            <w:bookmarkEnd w:id="438"/>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巴扎村</w:t>
            </w:r>
          </w:p>
        </w:tc>
        <w:tc>
          <w:tcPr>
            <w:tcW w:w="1480" w:type="pct"/>
            <w:vAlign w:val="center"/>
          </w:tcPr>
          <w:p w:rsidR="00C645C9" w:rsidRDefault="00F955D9">
            <w:pPr>
              <w:spacing w:line="0" w:lineRule="atLeast"/>
              <w:jc w:val="center"/>
              <w:rPr>
                <w:spacing w:val="-10"/>
                <w:sz w:val="21"/>
                <w:szCs w:val="21"/>
              </w:rPr>
            </w:pPr>
            <w:bookmarkStart w:id="439" w:name="OLE_LINK1386"/>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1.4km</w:t>
            </w:r>
            <w:bookmarkEnd w:id="439"/>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尤喀克玉奇喀特村</w:t>
            </w:r>
          </w:p>
        </w:tc>
        <w:tc>
          <w:tcPr>
            <w:tcW w:w="1480" w:type="pct"/>
            <w:vAlign w:val="center"/>
          </w:tcPr>
          <w:p w:rsidR="00C645C9" w:rsidRDefault="00F955D9">
            <w:pPr>
              <w:spacing w:line="0" w:lineRule="atLeast"/>
              <w:jc w:val="center"/>
              <w:rPr>
                <w:spacing w:val="-10"/>
                <w:sz w:val="21"/>
                <w:szCs w:val="21"/>
              </w:rPr>
            </w:pPr>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3.7km</w:t>
            </w:r>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乌尊买里村</w:t>
            </w:r>
          </w:p>
        </w:tc>
        <w:tc>
          <w:tcPr>
            <w:tcW w:w="1480" w:type="pct"/>
            <w:vAlign w:val="center"/>
          </w:tcPr>
          <w:p w:rsidR="00C645C9" w:rsidRDefault="00F955D9">
            <w:pPr>
              <w:spacing w:line="0" w:lineRule="atLeast"/>
              <w:jc w:val="center"/>
              <w:rPr>
                <w:spacing w:val="-10"/>
                <w:sz w:val="21"/>
                <w:szCs w:val="21"/>
              </w:rPr>
            </w:pPr>
            <w:bookmarkStart w:id="440" w:name="OLE_LINK1387"/>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3.6km</w:t>
            </w:r>
            <w:bookmarkEnd w:id="440"/>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吐尔艾日克村</w:t>
            </w:r>
          </w:p>
        </w:tc>
        <w:tc>
          <w:tcPr>
            <w:tcW w:w="1480" w:type="pct"/>
            <w:vAlign w:val="center"/>
          </w:tcPr>
          <w:p w:rsidR="00C645C9" w:rsidRDefault="00F955D9">
            <w:pPr>
              <w:spacing w:line="0" w:lineRule="atLeast"/>
              <w:jc w:val="center"/>
              <w:rPr>
                <w:spacing w:val="-10"/>
                <w:sz w:val="21"/>
                <w:szCs w:val="21"/>
              </w:rPr>
            </w:pPr>
            <w:bookmarkStart w:id="441" w:name="OLE_LINK1388"/>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3.5km</w:t>
            </w:r>
            <w:bookmarkEnd w:id="441"/>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阿克吾斯塘村</w:t>
            </w:r>
          </w:p>
        </w:tc>
        <w:tc>
          <w:tcPr>
            <w:tcW w:w="1480" w:type="pct"/>
            <w:vAlign w:val="center"/>
          </w:tcPr>
          <w:p w:rsidR="00C645C9" w:rsidRDefault="00F955D9">
            <w:pPr>
              <w:spacing w:line="0" w:lineRule="atLeast"/>
              <w:jc w:val="center"/>
              <w:rPr>
                <w:spacing w:val="-10"/>
                <w:sz w:val="21"/>
                <w:szCs w:val="21"/>
              </w:rPr>
            </w:pPr>
            <w:bookmarkStart w:id="442" w:name="OLE_LINK1389"/>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2.8km</w:t>
            </w:r>
            <w:bookmarkEnd w:id="442"/>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夏勒地壤村</w:t>
            </w:r>
          </w:p>
        </w:tc>
        <w:tc>
          <w:tcPr>
            <w:tcW w:w="1480" w:type="pct"/>
            <w:vAlign w:val="center"/>
          </w:tcPr>
          <w:p w:rsidR="00C645C9" w:rsidRDefault="00F955D9">
            <w:pPr>
              <w:spacing w:line="0" w:lineRule="atLeast"/>
              <w:jc w:val="center"/>
              <w:rPr>
                <w:spacing w:val="-10"/>
                <w:sz w:val="21"/>
                <w:szCs w:val="21"/>
              </w:rPr>
            </w:pPr>
            <w:bookmarkStart w:id="443" w:name="OLE_LINK1390"/>
            <w:r>
              <w:rPr>
                <w:rFonts w:hint="eastAsia"/>
                <w:spacing w:val="-10"/>
                <w:sz w:val="21"/>
                <w:szCs w:val="21"/>
              </w:rPr>
              <w:t>新北</w:t>
            </w:r>
            <w:r>
              <w:rPr>
                <w:rFonts w:hint="eastAsia"/>
                <w:spacing w:val="-10"/>
                <w:sz w:val="21"/>
                <w:szCs w:val="21"/>
              </w:rPr>
              <w:t>7</w:t>
            </w:r>
            <w:r>
              <w:rPr>
                <w:rFonts w:hint="eastAsia"/>
                <w:spacing w:val="-10"/>
                <w:sz w:val="21"/>
                <w:szCs w:val="21"/>
              </w:rPr>
              <w:t>井西南侧</w:t>
            </w:r>
            <w:r>
              <w:rPr>
                <w:rFonts w:hint="eastAsia"/>
                <w:spacing w:val="-10"/>
                <w:sz w:val="21"/>
                <w:szCs w:val="21"/>
              </w:rPr>
              <w:t>2.3km</w:t>
            </w:r>
            <w:bookmarkEnd w:id="443"/>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亚格巴依买里村</w:t>
            </w:r>
          </w:p>
        </w:tc>
        <w:tc>
          <w:tcPr>
            <w:tcW w:w="1480" w:type="pct"/>
            <w:vAlign w:val="center"/>
          </w:tcPr>
          <w:p w:rsidR="00C645C9" w:rsidRDefault="00F955D9">
            <w:pPr>
              <w:spacing w:line="0" w:lineRule="atLeast"/>
              <w:jc w:val="center"/>
              <w:rPr>
                <w:spacing w:val="-10"/>
                <w:sz w:val="21"/>
                <w:szCs w:val="21"/>
              </w:rPr>
            </w:pPr>
            <w:bookmarkStart w:id="444" w:name="OLE_LINK1391"/>
            <w:r>
              <w:rPr>
                <w:rFonts w:hint="eastAsia"/>
                <w:spacing w:val="-10"/>
                <w:sz w:val="21"/>
                <w:szCs w:val="21"/>
              </w:rPr>
              <w:t>新北</w:t>
            </w:r>
            <w:r>
              <w:rPr>
                <w:rFonts w:hint="eastAsia"/>
                <w:spacing w:val="-10"/>
                <w:sz w:val="21"/>
                <w:szCs w:val="21"/>
              </w:rPr>
              <w:t>7</w:t>
            </w:r>
            <w:r>
              <w:rPr>
                <w:rFonts w:hint="eastAsia"/>
                <w:spacing w:val="-10"/>
                <w:sz w:val="21"/>
                <w:szCs w:val="21"/>
              </w:rPr>
              <w:t>井西侧</w:t>
            </w:r>
            <w:r>
              <w:rPr>
                <w:rFonts w:hint="eastAsia"/>
                <w:spacing w:val="-10"/>
                <w:sz w:val="21"/>
                <w:szCs w:val="21"/>
              </w:rPr>
              <w:t>1.4km</w:t>
            </w:r>
            <w:bookmarkEnd w:id="444"/>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苏帕墩村</w:t>
            </w:r>
          </w:p>
        </w:tc>
        <w:tc>
          <w:tcPr>
            <w:tcW w:w="1480" w:type="pct"/>
            <w:vAlign w:val="center"/>
          </w:tcPr>
          <w:p w:rsidR="00C645C9" w:rsidRDefault="00F955D9">
            <w:pPr>
              <w:spacing w:line="0" w:lineRule="atLeast"/>
              <w:jc w:val="center"/>
              <w:rPr>
                <w:spacing w:val="-10"/>
                <w:sz w:val="21"/>
                <w:szCs w:val="21"/>
              </w:rPr>
            </w:pPr>
            <w:bookmarkStart w:id="445" w:name="OLE_LINK1392"/>
            <w:r>
              <w:rPr>
                <w:rFonts w:hint="eastAsia"/>
                <w:spacing w:val="-10"/>
                <w:sz w:val="21"/>
                <w:szCs w:val="21"/>
              </w:rPr>
              <w:t>新北</w:t>
            </w:r>
            <w:r>
              <w:rPr>
                <w:rFonts w:hint="eastAsia"/>
                <w:spacing w:val="-10"/>
                <w:sz w:val="21"/>
                <w:szCs w:val="21"/>
              </w:rPr>
              <w:t>7</w:t>
            </w:r>
            <w:r>
              <w:rPr>
                <w:rFonts w:hint="eastAsia"/>
                <w:spacing w:val="-10"/>
                <w:sz w:val="21"/>
                <w:szCs w:val="21"/>
              </w:rPr>
              <w:t>井西侧</w:t>
            </w:r>
            <w:r>
              <w:rPr>
                <w:rFonts w:hint="eastAsia"/>
                <w:spacing w:val="-10"/>
                <w:sz w:val="21"/>
                <w:szCs w:val="21"/>
              </w:rPr>
              <w:t>2.8km</w:t>
            </w:r>
            <w:bookmarkEnd w:id="445"/>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克拉玛克买里村</w:t>
            </w:r>
          </w:p>
        </w:tc>
        <w:tc>
          <w:tcPr>
            <w:tcW w:w="1480" w:type="pct"/>
            <w:vAlign w:val="center"/>
          </w:tcPr>
          <w:p w:rsidR="00C645C9" w:rsidRDefault="00F955D9">
            <w:pPr>
              <w:spacing w:line="0" w:lineRule="atLeast"/>
              <w:jc w:val="center"/>
              <w:rPr>
                <w:spacing w:val="-10"/>
                <w:sz w:val="21"/>
                <w:szCs w:val="21"/>
              </w:rPr>
            </w:pPr>
            <w:bookmarkStart w:id="446" w:name="OLE_LINK1393"/>
            <w:r>
              <w:rPr>
                <w:rFonts w:hint="eastAsia"/>
                <w:spacing w:val="-10"/>
                <w:sz w:val="21"/>
                <w:szCs w:val="21"/>
              </w:rPr>
              <w:t>新北</w:t>
            </w:r>
            <w:r>
              <w:rPr>
                <w:rFonts w:hint="eastAsia"/>
                <w:spacing w:val="-10"/>
                <w:sz w:val="21"/>
                <w:szCs w:val="21"/>
              </w:rPr>
              <w:t>7</w:t>
            </w:r>
            <w:r>
              <w:rPr>
                <w:rFonts w:hint="eastAsia"/>
                <w:spacing w:val="-10"/>
                <w:sz w:val="21"/>
                <w:szCs w:val="21"/>
              </w:rPr>
              <w:t>井西侧</w:t>
            </w:r>
            <w:r>
              <w:rPr>
                <w:rFonts w:hint="eastAsia"/>
                <w:spacing w:val="-10"/>
                <w:sz w:val="21"/>
                <w:szCs w:val="21"/>
              </w:rPr>
              <w:t>3.7km</w:t>
            </w:r>
            <w:bookmarkEnd w:id="446"/>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r w:rsidR="00C645C9">
        <w:trPr>
          <w:trHeight w:val="425"/>
          <w:jc w:val="center"/>
        </w:trPr>
        <w:tc>
          <w:tcPr>
            <w:tcW w:w="276" w:type="pct"/>
            <w:vMerge/>
            <w:vAlign w:val="center"/>
          </w:tcPr>
          <w:p w:rsidR="00C645C9" w:rsidRDefault="00C645C9">
            <w:pPr>
              <w:spacing w:line="0" w:lineRule="atLeast"/>
              <w:jc w:val="center"/>
              <w:rPr>
                <w:spacing w:val="-10"/>
                <w:sz w:val="21"/>
                <w:szCs w:val="21"/>
              </w:rPr>
            </w:pPr>
          </w:p>
        </w:tc>
        <w:tc>
          <w:tcPr>
            <w:tcW w:w="265" w:type="pct"/>
            <w:vMerge/>
            <w:vAlign w:val="center"/>
          </w:tcPr>
          <w:p w:rsidR="00C645C9" w:rsidRDefault="00C645C9">
            <w:pPr>
              <w:spacing w:line="0" w:lineRule="atLeast"/>
              <w:jc w:val="center"/>
              <w:rPr>
                <w:spacing w:val="-10"/>
                <w:sz w:val="21"/>
                <w:szCs w:val="21"/>
              </w:rPr>
            </w:pPr>
          </w:p>
        </w:tc>
        <w:tc>
          <w:tcPr>
            <w:tcW w:w="947" w:type="pct"/>
            <w:vAlign w:val="center"/>
          </w:tcPr>
          <w:p w:rsidR="00C645C9" w:rsidRDefault="00F955D9">
            <w:pPr>
              <w:spacing w:line="0" w:lineRule="atLeast"/>
              <w:jc w:val="center"/>
              <w:rPr>
                <w:spacing w:val="-10"/>
                <w:sz w:val="21"/>
                <w:szCs w:val="21"/>
              </w:rPr>
            </w:pPr>
            <w:r>
              <w:rPr>
                <w:rFonts w:hint="eastAsia"/>
                <w:spacing w:val="-10"/>
                <w:sz w:val="21"/>
                <w:szCs w:val="21"/>
              </w:rPr>
              <w:t>乔拉克吐尔村</w:t>
            </w:r>
          </w:p>
        </w:tc>
        <w:tc>
          <w:tcPr>
            <w:tcW w:w="1480" w:type="pct"/>
            <w:vAlign w:val="center"/>
          </w:tcPr>
          <w:p w:rsidR="00C645C9" w:rsidRDefault="00F955D9">
            <w:pPr>
              <w:spacing w:line="0" w:lineRule="atLeast"/>
              <w:jc w:val="center"/>
              <w:rPr>
                <w:spacing w:val="-10"/>
                <w:sz w:val="21"/>
                <w:szCs w:val="21"/>
              </w:rPr>
            </w:pPr>
            <w:r>
              <w:rPr>
                <w:rFonts w:hint="eastAsia"/>
                <w:spacing w:val="-10"/>
                <w:sz w:val="21"/>
                <w:szCs w:val="21"/>
              </w:rPr>
              <w:t>新北</w:t>
            </w:r>
            <w:r>
              <w:rPr>
                <w:rFonts w:hint="eastAsia"/>
                <w:spacing w:val="-10"/>
                <w:sz w:val="21"/>
                <w:szCs w:val="21"/>
              </w:rPr>
              <w:t>7</w:t>
            </w:r>
            <w:r>
              <w:rPr>
                <w:rFonts w:hint="eastAsia"/>
                <w:spacing w:val="-10"/>
                <w:sz w:val="21"/>
                <w:szCs w:val="21"/>
              </w:rPr>
              <w:t>井西北侧</w:t>
            </w:r>
            <w:r>
              <w:rPr>
                <w:rFonts w:hint="eastAsia"/>
                <w:spacing w:val="-10"/>
                <w:sz w:val="21"/>
                <w:szCs w:val="21"/>
              </w:rPr>
              <w:t>4.1km</w:t>
            </w:r>
          </w:p>
        </w:tc>
        <w:tc>
          <w:tcPr>
            <w:tcW w:w="1694" w:type="pct"/>
            <w:vMerge/>
            <w:vAlign w:val="center"/>
          </w:tcPr>
          <w:p w:rsidR="00C645C9" w:rsidRDefault="00C645C9">
            <w:pPr>
              <w:spacing w:line="0" w:lineRule="atLeast"/>
              <w:jc w:val="center"/>
              <w:rPr>
                <w:spacing w:val="-10"/>
                <w:sz w:val="21"/>
                <w:szCs w:val="21"/>
              </w:rPr>
            </w:pPr>
          </w:p>
        </w:tc>
        <w:tc>
          <w:tcPr>
            <w:tcW w:w="334" w:type="pct"/>
            <w:vMerge/>
            <w:vAlign w:val="center"/>
          </w:tcPr>
          <w:p w:rsidR="00C645C9" w:rsidRDefault="00C645C9">
            <w:pPr>
              <w:spacing w:line="0" w:lineRule="atLeast"/>
              <w:jc w:val="center"/>
              <w:rPr>
                <w:spacing w:val="-10"/>
                <w:sz w:val="21"/>
                <w:szCs w:val="21"/>
              </w:rPr>
            </w:pPr>
          </w:p>
        </w:tc>
      </w:tr>
    </w:tbl>
    <w:p w:rsidR="00C645C9" w:rsidRDefault="00F955D9">
      <w:pPr>
        <w:ind w:firstLine="482"/>
        <w:jc w:val="center"/>
        <w:rPr>
          <w:b/>
          <w:bCs/>
          <w:sz w:val="21"/>
          <w:szCs w:val="21"/>
        </w:rPr>
      </w:pPr>
      <w:bookmarkStart w:id="447" w:name="OLE_LINK1395"/>
      <w:r>
        <w:rPr>
          <w:rFonts w:eastAsia="黑体" w:cs="Times New Roman"/>
          <w:sz w:val="21"/>
          <w:szCs w:val="21"/>
        </w:rPr>
        <w:t>表</w:t>
      </w:r>
      <w:r>
        <w:rPr>
          <w:rFonts w:eastAsia="黑体" w:cs="Times New Roman"/>
          <w:sz w:val="21"/>
          <w:szCs w:val="21"/>
        </w:rPr>
        <w:t>2.</w:t>
      </w:r>
      <w:r>
        <w:rPr>
          <w:rFonts w:eastAsia="黑体" w:cs="Times New Roman"/>
          <w:sz w:val="21"/>
          <w:szCs w:val="21"/>
        </w:rPr>
        <w:t>6</w:t>
      </w:r>
      <w:r>
        <w:rPr>
          <w:rFonts w:eastAsia="黑体" w:cs="Times New Roman"/>
          <w:sz w:val="21"/>
          <w:szCs w:val="21"/>
        </w:rPr>
        <w:t>-</w:t>
      </w:r>
      <w:r>
        <w:rPr>
          <w:rFonts w:eastAsia="黑体" w:cs="Times New Roman" w:hint="eastAsia"/>
          <w:sz w:val="21"/>
          <w:szCs w:val="21"/>
        </w:rPr>
        <w:t>5</w:t>
      </w:r>
      <w:r>
        <w:rPr>
          <w:rFonts w:hint="eastAsia"/>
          <w:b/>
          <w:bCs/>
          <w:sz w:val="21"/>
          <w:szCs w:val="21"/>
        </w:rPr>
        <w:t xml:space="preserve"> </w:t>
      </w:r>
      <w:r>
        <w:rPr>
          <w:b/>
          <w:bCs/>
          <w:sz w:val="21"/>
          <w:szCs w:val="21"/>
        </w:rPr>
        <w:t xml:space="preserve"> </w:t>
      </w:r>
      <w:r>
        <w:rPr>
          <w:rFonts w:hint="eastAsia"/>
          <w:b/>
          <w:bCs/>
          <w:sz w:val="21"/>
          <w:szCs w:val="21"/>
        </w:rPr>
        <w:t xml:space="preserve"> </w:t>
      </w:r>
      <w:r>
        <w:rPr>
          <w:rFonts w:eastAsia="黑体" w:cs="Times New Roman" w:hint="eastAsia"/>
          <w:sz w:val="21"/>
          <w:szCs w:val="21"/>
        </w:rPr>
        <w:t>声</w:t>
      </w:r>
      <w:r>
        <w:rPr>
          <w:rFonts w:eastAsia="黑体" w:cs="Times New Roman"/>
          <w:sz w:val="21"/>
          <w:szCs w:val="21"/>
        </w:rPr>
        <w:t>环境保护目标一览表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6"/>
        <w:gridCol w:w="1013"/>
        <w:gridCol w:w="1320"/>
        <w:gridCol w:w="1727"/>
        <w:gridCol w:w="1839"/>
        <w:gridCol w:w="1802"/>
      </w:tblGrid>
      <w:tr w:rsidR="00C645C9">
        <w:trPr>
          <w:trHeight w:val="90"/>
          <w:jc w:val="center"/>
        </w:trPr>
        <w:tc>
          <w:tcPr>
            <w:tcW w:w="393" w:type="pct"/>
            <w:vAlign w:val="center"/>
          </w:tcPr>
          <w:p w:rsidR="00C645C9" w:rsidRDefault="00F955D9">
            <w:pPr>
              <w:spacing w:line="0" w:lineRule="atLeast"/>
              <w:jc w:val="center"/>
              <w:rPr>
                <w:spacing w:val="-10"/>
                <w:sz w:val="21"/>
                <w:szCs w:val="21"/>
              </w:rPr>
            </w:pPr>
            <w:r>
              <w:rPr>
                <w:rFonts w:hint="eastAsia"/>
                <w:spacing w:val="-10"/>
                <w:sz w:val="21"/>
                <w:szCs w:val="21"/>
              </w:rPr>
              <w:t>环境</w:t>
            </w:r>
          </w:p>
          <w:p w:rsidR="00C645C9" w:rsidRDefault="00F955D9">
            <w:pPr>
              <w:spacing w:line="0" w:lineRule="atLeast"/>
              <w:jc w:val="center"/>
              <w:rPr>
                <w:spacing w:val="-10"/>
                <w:sz w:val="21"/>
                <w:szCs w:val="21"/>
              </w:rPr>
            </w:pPr>
            <w:r>
              <w:rPr>
                <w:rFonts w:hint="eastAsia"/>
                <w:spacing w:val="-10"/>
                <w:sz w:val="21"/>
                <w:szCs w:val="21"/>
              </w:rPr>
              <w:t>要素</w:t>
            </w:r>
          </w:p>
        </w:tc>
        <w:tc>
          <w:tcPr>
            <w:tcW w:w="606" w:type="pct"/>
            <w:vAlign w:val="center"/>
          </w:tcPr>
          <w:p w:rsidR="00C645C9" w:rsidRDefault="00F955D9">
            <w:pPr>
              <w:spacing w:line="0" w:lineRule="atLeast"/>
              <w:jc w:val="center"/>
              <w:rPr>
                <w:spacing w:val="-10"/>
                <w:sz w:val="21"/>
                <w:szCs w:val="21"/>
              </w:rPr>
            </w:pPr>
            <w:r>
              <w:rPr>
                <w:rFonts w:cs="Times New Roman"/>
                <w:spacing w:val="-10"/>
                <w:sz w:val="21"/>
                <w:szCs w:val="21"/>
              </w:rPr>
              <w:t>评价范围</w:t>
            </w:r>
          </w:p>
        </w:tc>
        <w:tc>
          <w:tcPr>
            <w:tcW w:w="790" w:type="pct"/>
            <w:vAlign w:val="center"/>
          </w:tcPr>
          <w:p w:rsidR="00C645C9" w:rsidRDefault="00F955D9">
            <w:pPr>
              <w:spacing w:line="0" w:lineRule="atLeast"/>
              <w:jc w:val="center"/>
              <w:rPr>
                <w:spacing w:val="-10"/>
                <w:sz w:val="21"/>
                <w:szCs w:val="21"/>
              </w:rPr>
            </w:pPr>
            <w:r>
              <w:rPr>
                <w:rFonts w:hint="eastAsia"/>
                <w:spacing w:val="-10"/>
                <w:sz w:val="21"/>
                <w:szCs w:val="21"/>
              </w:rPr>
              <w:t>名称</w:t>
            </w:r>
          </w:p>
        </w:tc>
        <w:tc>
          <w:tcPr>
            <w:tcW w:w="1032" w:type="pct"/>
            <w:vAlign w:val="center"/>
          </w:tcPr>
          <w:p w:rsidR="00C645C9" w:rsidRDefault="00F955D9">
            <w:pPr>
              <w:spacing w:line="0" w:lineRule="atLeast"/>
              <w:jc w:val="center"/>
              <w:rPr>
                <w:spacing w:val="-10"/>
                <w:sz w:val="21"/>
                <w:szCs w:val="21"/>
              </w:rPr>
            </w:pPr>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p>
        </w:tc>
        <w:tc>
          <w:tcPr>
            <w:tcW w:w="1099" w:type="pct"/>
            <w:vAlign w:val="center"/>
          </w:tcPr>
          <w:p w:rsidR="00C645C9" w:rsidRDefault="00F955D9">
            <w:pPr>
              <w:spacing w:line="0" w:lineRule="atLeast"/>
              <w:jc w:val="center"/>
              <w:rPr>
                <w:spacing w:val="-10"/>
                <w:sz w:val="21"/>
                <w:szCs w:val="21"/>
              </w:rPr>
            </w:pPr>
            <w:r>
              <w:rPr>
                <w:rFonts w:hint="eastAsia"/>
                <w:spacing w:val="-10"/>
                <w:sz w:val="21"/>
                <w:szCs w:val="21"/>
              </w:rPr>
              <w:t>环境功能要求</w:t>
            </w:r>
          </w:p>
        </w:tc>
        <w:tc>
          <w:tcPr>
            <w:tcW w:w="1077" w:type="pct"/>
            <w:vAlign w:val="center"/>
          </w:tcPr>
          <w:p w:rsidR="00C645C9" w:rsidRDefault="00F955D9">
            <w:pPr>
              <w:adjustRightInd w:val="0"/>
              <w:spacing w:line="0" w:lineRule="atLeast"/>
              <w:jc w:val="center"/>
              <w:rPr>
                <w:spacing w:val="-10"/>
                <w:sz w:val="21"/>
                <w:szCs w:val="21"/>
              </w:rPr>
            </w:pPr>
            <w:r>
              <w:rPr>
                <w:rFonts w:hint="eastAsia"/>
                <w:spacing w:val="-10"/>
                <w:sz w:val="21"/>
                <w:szCs w:val="21"/>
              </w:rPr>
              <w:t>备注</w:t>
            </w:r>
          </w:p>
        </w:tc>
      </w:tr>
      <w:tr w:rsidR="00C645C9">
        <w:trPr>
          <w:trHeight w:val="369"/>
          <w:jc w:val="center"/>
        </w:trPr>
        <w:tc>
          <w:tcPr>
            <w:tcW w:w="393" w:type="pct"/>
            <w:vAlign w:val="center"/>
          </w:tcPr>
          <w:p w:rsidR="00C645C9" w:rsidRDefault="00F955D9">
            <w:pPr>
              <w:spacing w:line="0" w:lineRule="atLeast"/>
              <w:jc w:val="center"/>
              <w:rPr>
                <w:spacing w:val="-10"/>
                <w:sz w:val="21"/>
                <w:szCs w:val="21"/>
              </w:rPr>
            </w:pPr>
            <w:r>
              <w:rPr>
                <w:rFonts w:hint="eastAsia"/>
                <w:spacing w:val="-10"/>
                <w:sz w:val="21"/>
                <w:szCs w:val="21"/>
              </w:rPr>
              <w:t>声</w:t>
            </w:r>
            <w:r>
              <w:rPr>
                <w:rFonts w:hint="eastAsia"/>
                <w:spacing w:val="-10"/>
                <w:sz w:val="21"/>
                <w:szCs w:val="21"/>
              </w:rPr>
              <w:t>环境</w:t>
            </w:r>
          </w:p>
        </w:tc>
        <w:tc>
          <w:tcPr>
            <w:tcW w:w="606" w:type="pct"/>
            <w:vAlign w:val="center"/>
          </w:tcPr>
          <w:p w:rsidR="00C645C9" w:rsidRDefault="00F955D9">
            <w:pPr>
              <w:spacing w:line="0" w:lineRule="atLeast"/>
              <w:jc w:val="center"/>
              <w:rPr>
                <w:spacing w:val="-10"/>
                <w:sz w:val="21"/>
                <w:szCs w:val="21"/>
              </w:rPr>
            </w:pPr>
            <w:r>
              <w:rPr>
                <w:rFonts w:hint="eastAsia"/>
                <w:spacing w:val="-10"/>
                <w:sz w:val="21"/>
                <w:szCs w:val="21"/>
              </w:rPr>
              <w:t>井场边界向外</w:t>
            </w:r>
            <w:r>
              <w:rPr>
                <w:rFonts w:hint="eastAsia"/>
                <w:spacing w:val="-10"/>
                <w:sz w:val="21"/>
                <w:szCs w:val="21"/>
              </w:rPr>
              <w:t>200m</w:t>
            </w:r>
            <w:r>
              <w:rPr>
                <w:rFonts w:hint="eastAsia"/>
                <w:spacing w:val="-10"/>
                <w:sz w:val="21"/>
                <w:szCs w:val="21"/>
              </w:rPr>
              <w:t>内</w:t>
            </w:r>
          </w:p>
        </w:tc>
        <w:tc>
          <w:tcPr>
            <w:tcW w:w="790" w:type="pct"/>
            <w:vAlign w:val="center"/>
          </w:tcPr>
          <w:p w:rsidR="00C645C9" w:rsidRDefault="00F955D9">
            <w:pPr>
              <w:spacing w:line="0" w:lineRule="atLeast"/>
              <w:jc w:val="center"/>
              <w:rPr>
                <w:spacing w:val="-10"/>
                <w:sz w:val="21"/>
                <w:szCs w:val="21"/>
              </w:rPr>
            </w:pPr>
            <w:r>
              <w:rPr>
                <w:rFonts w:hint="eastAsia"/>
                <w:spacing w:val="-10"/>
                <w:sz w:val="21"/>
                <w:szCs w:val="21"/>
              </w:rPr>
              <w:t>工程区声环境</w:t>
            </w:r>
          </w:p>
        </w:tc>
        <w:tc>
          <w:tcPr>
            <w:tcW w:w="1032" w:type="pct"/>
            <w:vAlign w:val="center"/>
          </w:tcPr>
          <w:p w:rsidR="00C645C9" w:rsidRDefault="00F955D9">
            <w:pPr>
              <w:spacing w:line="0" w:lineRule="atLeast"/>
              <w:jc w:val="center"/>
              <w:rPr>
                <w:spacing w:val="-10"/>
                <w:sz w:val="21"/>
                <w:szCs w:val="21"/>
              </w:rPr>
            </w:pPr>
            <w:r>
              <w:rPr>
                <w:rFonts w:cs="Times New Roman" w:hint="eastAsia"/>
                <w:sz w:val="21"/>
                <w:szCs w:val="21"/>
              </w:rPr>
              <w:t>井场边界向外</w:t>
            </w:r>
            <w:r>
              <w:rPr>
                <w:rFonts w:cs="Times New Roman" w:hint="eastAsia"/>
                <w:sz w:val="21"/>
                <w:szCs w:val="21"/>
              </w:rPr>
              <w:t>200m</w:t>
            </w:r>
            <w:r>
              <w:rPr>
                <w:rFonts w:cs="Times New Roman" w:hint="eastAsia"/>
                <w:sz w:val="21"/>
                <w:szCs w:val="21"/>
              </w:rPr>
              <w:t>评价范围内</w:t>
            </w:r>
          </w:p>
        </w:tc>
        <w:tc>
          <w:tcPr>
            <w:tcW w:w="1099" w:type="pct"/>
            <w:vAlign w:val="center"/>
          </w:tcPr>
          <w:p w:rsidR="00C645C9" w:rsidRDefault="00F955D9">
            <w:pPr>
              <w:spacing w:line="0" w:lineRule="atLeast"/>
              <w:jc w:val="center"/>
              <w:rPr>
                <w:spacing w:val="-10"/>
                <w:sz w:val="21"/>
                <w:szCs w:val="21"/>
              </w:rPr>
            </w:pPr>
            <w:r>
              <w:rPr>
                <w:rFonts w:cs="Times New Roman"/>
                <w:sz w:val="21"/>
                <w:szCs w:val="21"/>
              </w:rPr>
              <w:t>《</w:t>
            </w:r>
            <w:r>
              <w:rPr>
                <w:rFonts w:cs="Times New Roman"/>
                <w:sz w:val="21"/>
                <w:szCs w:val="21"/>
              </w:rPr>
              <w:t>声环境质量标准</w:t>
            </w:r>
            <w:r>
              <w:rPr>
                <w:rFonts w:cs="Times New Roman"/>
                <w:sz w:val="21"/>
                <w:szCs w:val="21"/>
              </w:rPr>
              <w:t>》（</w:t>
            </w:r>
            <w:r>
              <w:rPr>
                <w:rFonts w:cs="Times New Roman"/>
                <w:sz w:val="21"/>
                <w:szCs w:val="21"/>
              </w:rPr>
              <w:t>GB3096-2008</w:t>
            </w:r>
            <w:r>
              <w:rPr>
                <w:rFonts w:cs="Times New Roman"/>
                <w:sz w:val="21"/>
                <w:szCs w:val="21"/>
              </w:rPr>
              <w:t>）</w:t>
            </w:r>
            <w:r>
              <w:rPr>
                <w:rFonts w:cs="Times New Roman"/>
                <w:sz w:val="21"/>
                <w:szCs w:val="21"/>
              </w:rPr>
              <w:t>中的</w:t>
            </w:r>
            <w:r>
              <w:rPr>
                <w:rFonts w:cs="Times New Roman"/>
                <w:sz w:val="21"/>
                <w:szCs w:val="21"/>
              </w:rPr>
              <w:t>2</w:t>
            </w:r>
            <w:r>
              <w:rPr>
                <w:rFonts w:cs="Times New Roman"/>
                <w:sz w:val="21"/>
                <w:szCs w:val="21"/>
              </w:rPr>
              <w:t>类标准</w:t>
            </w:r>
          </w:p>
        </w:tc>
        <w:tc>
          <w:tcPr>
            <w:tcW w:w="1077" w:type="pct"/>
            <w:vAlign w:val="center"/>
          </w:tcPr>
          <w:p w:rsidR="00C645C9" w:rsidRDefault="00F955D9">
            <w:pPr>
              <w:spacing w:line="0" w:lineRule="atLeast"/>
              <w:jc w:val="center"/>
              <w:rPr>
                <w:spacing w:val="-10"/>
                <w:sz w:val="21"/>
                <w:szCs w:val="21"/>
              </w:rPr>
            </w:pPr>
            <w:r>
              <w:rPr>
                <w:rFonts w:cs="Times New Roman"/>
                <w:sz w:val="21"/>
                <w:szCs w:val="21"/>
              </w:rPr>
              <w:t>不低于现状</w:t>
            </w:r>
            <w:r>
              <w:rPr>
                <w:rFonts w:hint="eastAsia"/>
                <w:spacing w:val="-10"/>
                <w:sz w:val="21"/>
                <w:szCs w:val="21"/>
              </w:rPr>
              <w:t>，不对评价区域</w:t>
            </w:r>
            <w:r>
              <w:rPr>
                <w:rFonts w:hint="eastAsia"/>
                <w:spacing w:val="-10"/>
                <w:sz w:val="21"/>
                <w:szCs w:val="21"/>
              </w:rPr>
              <w:t>声环境</w:t>
            </w:r>
            <w:r>
              <w:rPr>
                <w:rFonts w:hint="eastAsia"/>
                <w:spacing w:val="-10"/>
                <w:sz w:val="21"/>
                <w:szCs w:val="21"/>
              </w:rPr>
              <w:t>产生</w:t>
            </w:r>
            <w:r>
              <w:rPr>
                <w:rFonts w:hint="eastAsia"/>
                <w:spacing w:val="-10"/>
                <w:sz w:val="21"/>
                <w:szCs w:val="21"/>
              </w:rPr>
              <w:t>影响</w:t>
            </w:r>
            <w:r>
              <w:rPr>
                <w:rFonts w:hint="eastAsia"/>
                <w:spacing w:val="-10"/>
                <w:sz w:val="21"/>
                <w:szCs w:val="21"/>
              </w:rPr>
              <w:t>。</w:t>
            </w:r>
          </w:p>
        </w:tc>
      </w:tr>
    </w:tbl>
    <w:bookmarkEnd w:id="447"/>
    <w:p w:rsidR="00C645C9" w:rsidRDefault="00F955D9">
      <w:pPr>
        <w:ind w:firstLine="482"/>
        <w:jc w:val="center"/>
        <w:rPr>
          <w:b/>
          <w:bCs/>
          <w:sz w:val="21"/>
          <w:szCs w:val="21"/>
        </w:rPr>
      </w:pPr>
      <w:r>
        <w:rPr>
          <w:rFonts w:eastAsia="黑体" w:cs="Times New Roman"/>
          <w:sz w:val="21"/>
          <w:szCs w:val="21"/>
        </w:rPr>
        <w:t>表</w:t>
      </w:r>
      <w:r>
        <w:rPr>
          <w:rFonts w:eastAsia="黑体" w:cs="Times New Roman"/>
          <w:sz w:val="21"/>
          <w:szCs w:val="21"/>
        </w:rPr>
        <w:t>2.</w:t>
      </w:r>
      <w:r>
        <w:rPr>
          <w:rFonts w:eastAsia="黑体" w:cs="Times New Roman"/>
          <w:sz w:val="21"/>
          <w:szCs w:val="21"/>
        </w:rPr>
        <w:t>6</w:t>
      </w:r>
      <w:r>
        <w:rPr>
          <w:rFonts w:eastAsia="黑体" w:cs="Times New Roman"/>
          <w:sz w:val="21"/>
          <w:szCs w:val="21"/>
        </w:rPr>
        <w:t>-</w:t>
      </w:r>
      <w:r>
        <w:rPr>
          <w:rFonts w:eastAsia="黑体" w:cs="Times New Roman" w:hint="eastAsia"/>
          <w:sz w:val="21"/>
          <w:szCs w:val="21"/>
        </w:rPr>
        <w:t>6</w:t>
      </w:r>
      <w:r>
        <w:rPr>
          <w:rFonts w:hint="eastAsia"/>
          <w:b/>
          <w:bCs/>
          <w:sz w:val="21"/>
          <w:szCs w:val="21"/>
        </w:rPr>
        <w:t xml:space="preserve"> </w:t>
      </w:r>
      <w:r>
        <w:rPr>
          <w:b/>
          <w:bCs/>
          <w:sz w:val="21"/>
          <w:szCs w:val="21"/>
        </w:rPr>
        <w:t xml:space="preserve"> </w:t>
      </w:r>
      <w:r>
        <w:rPr>
          <w:rFonts w:hint="eastAsia"/>
          <w:b/>
          <w:bCs/>
          <w:sz w:val="21"/>
          <w:szCs w:val="21"/>
        </w:rPr>
        <w:t xml:space="preserve"> </w:t>
      </w:r>
      <w:r>
        <w:rPr>
          <w:rFonts w:eastAsia="黑体" w:cs="Times New Roman" w:hint="eastAsia"/>
          <w:sz w:val="21"/>
          <w:szCs w:val="21"/>
        </w:rPr>
        <w:t>环境风险</w:t>
      </w:r>
      <w:r>
        <w:rPr>
          <w:rFonts w:eastAsia="黑体" w:cs="Times New Roman"/>
          <w:sz w:val="21"/>
          <w:szCs w:val="21"/>
        </w:rPr>
        <w:t>保护目标一览表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8"/>
        <w:gridCol w:w="1014"/>
        <w:gridCol w:w="1250"/>
        <w:gridCol w:w="1451"/>
        <w:gridCol w:w="3234"/>
        <w:gridCol w:w="750"/>
      </w:tblGrid>
      <w:tr w:rsidR="00C645C9">
        <w:trPr>
          <w:trHeight w:val="90"/>
          <w:jc w:val="center"/>
        </w:trPr>
        <w:tc>
          <w:tcPr>
            <w:tcW w:w="393" w:type="pct"/>
            <w:vAlign w:val="center"/>
          </w:tcPr>
          <w:p w:rsidR="00C645C9" w:rsidRDefault="00F955D9">
            <w:pPr>
              <w:spacing w:line="0" w:lineRule="atLeast"/>
              <w:jc w:val="center"/>
              <w:rPr>
                <w:spacing w:val="-10"/>
                <w:sz w:val="21"/>
                <w:szCs w:val="21"/>
              </w:rPr>
            </w:pPr>
            <w:r>
              <w:rPr>
                <w:rFonts w:hint="eastAsia"/>
                <w:spacing w:val="-10"/>
                <w:sz w:val="21"/>
                <w:szCs w:val="21"/>
              </w:rPr>
              <w:t>环境</w:t>
            </w:r>
          </w:p>
          <w:p w:rsidR="00C645C9" w:rsidRDefault="00F955D9">
            <w:pPr>
              <w:spacing w:line="0" w:lineRule="atLeast"/>
              <w:jc w:val="center"/>
              <w:rPr>
                <w:spacing w:val="-10"/>
                <w:sz w:val="21"/>
                <w:szCs w:val="21"/>
              </w:rPr>
            </w:pPr>
            <w:r>
              <w:rPr>
                <w:rFonts w:hint="eastAsia"/>
                <w:spacing w:val="-10"/>
                <w:sz w:val="21"/>
                <w:szCs w:val="21"/>
              </w:rPr>
              <w:t>要素</w:t>
            </w:r>
          </w:p>
        </w:tc>
        <w:tc>
          <w:tcPr>
            <w:tcW w:w="606" w:type="pct"/>
            <w:vAlign w:val="center"/>
          </w:tcPr>
          <w:p w:rsidR="00C645C9" w:rsidRDefault="00F955D9">
            <w:pPr>
              <w:spacing w:line="0" w:lineRule="atLeast"/>
              <w:jc w:val="center"/>
              <w:rPr>
                <w:spacing w:val="-10"/>
                <w:sz w:val="21"/>
                <w:szCs w:val="21"/>
              </w:rPr>
            </w:pPr>
            <w:r>
              <w:rPr>
                <w:rFonts w:cs="Times New Roman"/>
                <w:spacing w:val="-10"/>
                <w:sz w:val="21"/>
                <w:szCs w:val="21"/>
              </w:rPr>
              <w:t>评价范围</w:t>
            </w:r>
          </w:p>
        </w:tc>
        <w:tc>
          <w:tcPr>
            <w:tcW w:w="748" w:type="pct"/>
            <w:vAlign w:val="center"/>
          </w:tcPr>
          <w:p w:rsidR="00C645C9" w:rsidRDefault="00F955D9">
            <w:pPr>
              <w:spacing w:line="0" w:lineRule="atLeast"/>
              <w:jc w:val="center"/>
              <w:rPr>
                <w:spacing w:val="-10"/>
                <w:sz w:val="21"/>
                <w:szCs w:val="21"/>
              </w:rPr>
            </w:pPr>
            <w:r>
              <w:rPr>
                <w:rFonts w:hint="eastAsia"/>
                <w:spacing w:val="-10"/>
                <w:sz w:val="21"/>
                <w:szCs w:val="21"/>
              </w:rPr>
              <w:t>名称</w:t>
            </w:r>
          </w:p>
        </w:tc>
        <w:tc>
          <w:tcPr>
            <w:tcW w:w="867" w:type="pct"/>
            <w:vAlign w:val="center"/>
          </w:tcPr>
          <w:p w:rsidR="00C645C9" w:rsidRDefault="00F955D9">
            <w:pPr>
              <w:spacing w:line="0" w:lineRule="atLeast"/>
              <w:jc w:val="center"/>
              <w:rPr>
                <w:spacing w:val="-10"/>
                <w:sz w:val="21"/>
                <w:szCs w:val="21"/>
              </w:rPr>
            </w:pPr>
            <w:r>
              <w:rPr>
                <w:rFonts w:cs="Times New Roman"/>
                <w:spacing w:val="-10"/>
                <w:sz w:val="21"/>
                <w:szCs w:val="21"/>
              </w:rPr>
              <w:t>相对</w:t>
            </w: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位置</w:t>
            </w:r>
          </w:p>
        </w:tc>
        <w:tc>
          <w:tcPr>
            <w:tcW w:w="1934" w:type="pct"/>
            <w:vAlign w:val="center"/>
          </w:tcPr>
          <w:p w:rsidR="00C645C9" w:rsidRDefault="00F955D9">
            <w:pPr>
              <w:spacing w:line="0" w:lineRule="atLeast"/>
              <w:jc w:val="center"/>
              <w:rPr>
                <w:spacing w:val="-10"/>
                <w:sz w:val="21"/>
                <w:szCs w:val="21"/>
              </w:rPr>
            </w:pPr>
            <w:r>
              <w:rPr>
                <w:rFonts w:hint="eastAsia"/>
                <w:spacing w:val="-10"/>
                <w:sz w:val="21"/>
                <w:szCs w:val="21"/>
              </w:rPr>
              <w:t>环境功能要求</w:t>
            </w:r>
          </w:p>
        </w:tc>
        <w:tc>
          <w:tcPr>
            <w:tcW w:w="449" w:type="pct"/>
            <w:vAlign w:val="center"/>
          </w:tcPr>
          <w:p w:rsidR="00C645C9" w:rsidRDefault="00F955D9">
            <w:pPr>
              <w:adjustRightInd w:val="0"/>
              <w:spacing w:line="0" w:lineRule="atLeast"/>
              <w:jc w:val="center"/>
              <w:rPr>
                <w:spacing w:val="-10"/>
                <w:sz w:val="21"/>
                <w:szCs w:val="21"/>
              </w:rPr>
            </w:pPr>
            <w:r>
              <w:rPr>
                <w:rFonts w:hint="eastAsia"/>
                <w:spacing w:val="-10"/>
                <w:sz w:val="21"/>
                <w:szCs w:val="21"/>
              </w:rPr>
              <w:t>备注</w:t>
            </w:r>
          </w:p>
        </w:tc>
      </w:tr>
      <w:tr w:rsidR="00C645C9">
        <w:trPr>
          <w:trHeight w:val="369"/>
          <w:jc w:val="center"/>
        </w:trPr>
        <w:tc>
          <w:tcPr>
            <w:tcW w:w="393" w:type="pct"/>
            <w:vAlign w:val="center"/>
          </w:tcPr>
          <w:p w:rsidR="00C645C9" w:rsidRDefault="00F955D9">
            <w:pPr>
              <w:spacing w:line="0" w:lineRule="atLeast"/>
              <w:jc w:val="center"/>
              <w:rPr>
                <w:spacing w:val="-10"/>
                <w:sz w:val="21"/>
                <w:szCs w:val="21"/>
              </w:rPr>
            </w:pPr>
            <w:bookmarkStart w:id="448" w:name="OLE_LINK1397"/>
            <w:r>
              <w:rPr>
                <w:rFonts w:hint="eastAsia"/>
                <w:spacing w:val="-10"/>
                <w:sz w:val="21"/>
                <w:szCs w:val="21"/>
              </w:rPr>
              <w:t>环境</w:t>
            </w:r>
          </w:p>
          <w:p w:rsidR="00C645C9" w:rsidRDefault="00F955D9">
            <w:pPr>
              <w:spacing w:line="0" w:lineRule="atLeast"/>
              <w:jc w:val="center"/>
              <w:rPr>
                <w:spacing w:val="-10"/>
                <w:sz w:val="21"/>
                <w:szCs w:val="21"/>
              </w:rPr>
            </w:pPr>
            <w:r>
              <w:rPr>
                <w:rFonts w:hint="eastAsia"/>
                <w:spacing w:val="-10"/>
                <w:sz w:val="21"/>
                <w:szCs w:val="21"/>
              </w:rPr>
              <w:t>风险</w:t>
            </w:r>
            <w:bookmarkEnd w:id="448"/>
          </w:p>
        </w:tc>
        <w:tc>
          <w:tcPr>
            <w:tcW w:w="606" w:type="pct"/>
            <w:vAlign w:val="center"/>
          </w:tcPr>
          <w:p w:rsidR="00C645C9" w:rsidRDefault="00F955D9">
            <w:pPr>
              <w:spacing w:line="0" w:lineRule="atLeast"/>
              <w:jc w:val="center"/>
              <w:rPr>
                <w:spacing w:val="-10"/>
                <w:sz w:val="21"/>
                <w:szCs w:val="21"/>
              </w:rPr>
            </w:pPr>
            <w:r>
              <w:rPr>
                <w:rFonts w:hint="eastAsia"/>
                <w:spacing w:val="-10"/>
                <w:sz w:val="21"/>
                <w:szCs w:val="21"/>
              </w:rPr>
              <w:t>参照大气环境评价范围</w:t>
            </w:r>
          </w:p>
        </w:tc>
        <w:tc>
          <w:tcPr>
            <w:tcW w:w="748" w:type="pct"/>
            <w:vAlign w:val="center"/>
          </w:tcPr>
          <w:p w:rsidR="00C645C9" w:rsidRDefault="00F955D9">
            <w:pPr>
              <w:spacing w:line="0" w:lineRule="atLeast"/>
              <w:jc w:val="center"/>
              <w:rPr>
                <w:spacing w:val="-10"/>
                <w:sz w:val="21"/>
                <w:szCs w:val="21"/>
              </w:rPr>
            </w:pPr>
            <w:r>
              <w:rPr>
                <w:rFonts w:hint="eastAsia"/>
                <w:spacing w:val="-10"/>
                <w:sz w:val="21"/>
                <w:szCs w:val="21"/>
              </w:rPr>
              <w:t>环境风险</w:t>
            </w:r>
          </w:p>
        </w:tc>
        <w:tc>
          <w:tcPr>
            <w:tcW w:w="867" w:type="pct"/>
            <w:vAlign w:val="center"/>
          </w:tcPr>
          <w:p w:rsidR="00C645C9" w:rsidRDefault="00F955D9">
            <w:pPr>
              <w:spacing w:line="0" w:lineRule="atLeast"/>
              <w:jc w:val="center"/>
              <w:rPr>
                <w:spacing w:val="-10"/>
                <w:sz w:val="21"/>
                <w:szCs w:val="21"/>
              </w:rPr>
            </w:pPr>
            <w:r>
              <w:rPr>
                <w:rFonts w:cs="Times New Roman" w:hint="eastAsia"/>
                <w:sz w:val="21"/>
                <w:szCs w:val="21"/>
              </w:rPr>
              <w:t>井场</w:t>
            </w:r>
            <w:r>
              <w:rPr>
                <w:rFonts w:cs="Times New Roman"/>
                <w:sz w:val="21"/>
                <w:szCs w:val="21"/>
              </w:rPr>
              <w:t>及周边</w:t>
            </w:r>
          </w:p>
        </w:tc>
        <w:tc>
          <w:tcPr>
            <w:tcW w:w="1934" w:type="pct"/>
            <w:vAlign w:val="center"/>
          </w:tcPr>
          <w:p w:rsidR="00C645C9" w:rsidRDefault="00F955D9">
            <w:pPr>
              <w:spacing w:line="0" w:lineRule="atLeast"/>
              <w:jc w:val="center"/>
              <w:rPr>
                <w:spacing w:val="-10"/>
                <w:sz w:val="21"/>
                <w:szCs w:val="21"/>
              </w:rPr>
            </w:pPr>
            <w:r>
              <w:rPr>
                <w:rFonts w:cs="Times New Roman"/>
                <w:sz w:val="21"/>
                <w:szCs w:val="21"/>
              </w:rPr>
              <w:t>发生风险事故时，可快速采取环境风险防范措施，确保风险事故对土壤、地下水等环境的影响程度可控</w:t>
            </w:r>
          </w:p>
        </w:tc>
        <w:tc>
          <w:tcPr>
            <w:tcW w:w="449" w:type="pct"/>
            <w:vAlign w:val="center"/>
          </w:tcPr>
          <w:p w:rsidR="00C645C9" w:rsidRDefault="00F955D9">
            <w:pPr>
              <w:spacing w:line="0" w:lineRule="atLeast"/>
              <w:jc w:val="center"/>
              <w:rPr>
                <w:spacing w:val="-10"/>
                <w:sz w:val="21"/>
                <w:szCs w:val="21"/>
              </w:rPr>
            </w:pPr>
            <w:r>
              <w:rPr>
                <w:rFonts w:cs="Times New Roman" w:hint="eastAsia"/>
                <w:sz w:val="21"/>
                <w:szCs w:val="21"/>
              </w:rPr>
              <w:t>-</w:t>
            </w:r>
          </w:p>
        </w:tc>
      </w:tr>
      <w:bookmarkEnd w:id="358"/>
      <w:bookmarkEnd w:id="400"/>
    </w:tbl>
    <w:p w:rsidR="00C645C9" w:rsidRDefault="00C645C9">
      <w:pPr>
        <w:rPr>
          <w:rFonts w:cs="Times New Roman"/>
        </w:rPr>
        <w:sectPr w:rsidR="00C645C9">
          <w:pgSz w:w="11906" w:h="16838"/>
          <w:pgMar w:top="1440" w:right="1800" w:bottom="1440" w:left="1800" w:header="851" w:footer="992" w:gutter="0"/>
          <w:cols w:space="425"/>
          <w:docGrid w:type="lines" w:linePitch="312"/>
        </w:sectPr>
      </w:pPr>
    </w:p>
    <w:p w:rsidR="00C645C9" w:rsidRDefault="00C645C9">
      <w:pPr>
        <w:pStyle w:val="a4"/>
        <w:ind w:firstLine="0"/>
        <w:jc w:val="center"/>
        <w:rPr>
          <w:rFonts w:ascii="Times New Roman" w:eastAsia="黑体" w:hAnsi="Times New Roman" w:cs="Times New Roman"/>
          <w:bCs/>
          <w:sz w:val="21"/>
          <w:szCs w:val="21"/>
        </w:rPr>
      </w:pPr>
      <w:bookmarkStart w:id="449" w:name="OLE_LINK1456"/>
    </w:p>
    <w:p w:rsidR="00C645C9" w:rsidRDefault="00F955D9">
      <w:pPr>
        <w:pStyle w:val="a4"/>
        <w:ind w:firstLine="0"/>
        <w:jc w:val="center"/>
        <w:rPr>
          <w:rFonts w:ascii="Times New Roman" w:eastAsia="黑体" w:hAnsi="Times New Roman" w:cs="Times New Roman"/>
          <w:bCs/>
          <w:sz w:val="21"/>
          <w:szCs w:val="21"/>
        </w:rPr>
      </w:pPr>
      <w:r>
        <w:rPr>
          <w:rFonts w:ascii="Times New Roman" w:eastAsia="黑体" w:hAnsi="Times New Roman" w:cs="Times New Roman"/>
          <w:bCs/>
          <w:sz w:val="21"/>
          <w:szCs w:val="21"/>
        </w:rPr>
        <w:t>图</w:t>
      </w:r>
      <w:r>
        <w:rPr>
          <w:rFonts w:ascii="Times New Roman" w:eastAsia="黑体" w:hAnsi="Times New Roman" w:cs="Times New Roman"/>
          <w:bCs/>
          <w:sz w:val="21"/>
          <w:szCs w:val="21"/>
        </w:rPr>
        <w:t>2</w:t>
      </w:r>
      <w:r>
        <w:rPr>
          <w:rFonts w:ascii="Times New Roman" w:eastAsia="黑体" w:hAnsi="Times New Roman" w:cs="Times New Roman" w:hint="eastAsia"/>
          <w:bCs/>
          <w:sz w:val="21"/>
          <w:szCs w:val="21"/>
        </w:rPr>
        <w:t>.6-1</w:t>
      </w:r>
      <w:r>
        <w:rPr>
          <w:rFonts w:ascii="Times New Roman" w:eastAsia="黑体" w:hAnsi="Times New Roman" w:cs="Times New Roman"/>
          <w:bCs/>
          <w:sz w:val="21"/>
          <w:szCs w:val="21"/>
        </w:rPr>
        <w:t xml:space="preserve">  </w:t>
      </w:r>
      <w:r>
        <w:rPr>
          <w:rFonts w:ascii="Times New Roman" w:eastAsia="黑体" w:hAnsi="Times New Roman" w:cs="Times New Roman"/>
          <w:bCs/>
          <w:sz w:val="21"/>
          <w:szCs w:val="21"/>
        </w:rPr>
        <w:t>本</w:t>
      </w:r>
      <w:r>
        <w:rPr>
          <w:rFonts w:eastAsia="黑体" w:cs="Times New Roman" w:hint="eastAsia"/>
          <w:bCs/>
          <w:sz w:val="21"/>
          <w:szCs w:val="21"/>
        </w:rPr>
        <w:t>工程</w:t>
      </w:r>
      <w:r>
        <w:rPr>
          <w:rFonts w:ascii="Times New Roman" w:eastAsia="黑体" w:hAnsi="Times New Roman" w:cs="Times New Roman"/>
          <w:bCs/>
          <w:sz w:val="21"/>
          <w:szCs w:val="21"/>
        </w:rPr>
        <w:t>环境敏感目标分布图</w:t>
      </w:r>
      <w:r>
        <w:rPr>
          <w:rFonts w:ascii="Times New Roman" w:eastAsia="黑体" w:hAnsi="Times New Roman" w:cs="Times New Roman" w:hint="eastAsia"/>
          <w:bCs/>
          <w:sz w:val="21"/>
          <w:szCs w:val="21"/>
        </w:rPr>
        <w:t>（生态环境）</w:t>
      </w:r>
    </w:p>
    <w:bookmarkEnd w:id="449"/>
    <w:p w:rsidR="00C645C9" w:rsidRDefault="00C645C9">
      <w:pPr>
        <w:pStyle w:val="CharCharCharCharCharCharCharCharChar1Char"/>
        <w:ind w:firstLineChars="0" w:firstLine="0"/>
        <w:sectPr w:rsidR="00C645C9">
          <w:pgSz w:w="16838" w:h="11906" w:orient="landscape"/>
          <w:pgMar w:top="1800" w:right="1440" w:bottom="1800" w:left="1440" w:header="851" w:footer="992" w:gutter="0"/>
          <w:cols w:space="425"/>
          <w:docGrid w:type="lines" w:linePitch="312"/>
        </w:sectPr>
      </w:pPr>
    </w:p>
    <w:p w:rsidR="00C645C9" w:rsidRDefault="00F955D9">
      <w:pPr>
        <w:pStyle w:val="a4"/>
        <w:ind w:firstLine="0"/>
        <w:jc w:val="center"/>
        <w:rPr>
          <w:rFonts w:ascii="Times New Roman" w:eastAsia="黑体" w:hAnsi="Times New Roman" w:cs="Times New Roman"/>
          <w:bCs/>
          <w:sz w:val="21"/>
          <w:szCs w:val="21"/>
        </w:rPr>
      </w:pPr>
      <w:bookmarkStart w:id="450" w:name="OLE_LINK1461"/>
      <w:r>
        <w:rPr>
          <w:rFonts w:ascii="Times New Roman" w:eastAsia="黑体" w:hAnsi="Times New Roman" w:cs="Times New Roman"/>
          <w:bCs/>
          <w:sz w:val="21"/>
          <w:szCs w:val="21"/>
        </w:rPr>
        <w:lastRenderedPageBreak/>
        <w:t>图</w:t>
      </w:r>
      <w:r>
        <w:rPr>
          <w:rFonts w:ascii="Times New Roman" w:eastAsia="黑体" w:hAnsi="Times New Roman" w:cs="Times New Roman"/>
          <w:bCs/>
          <w:sz w:val="21"/>
          <w:szCs w:val="21"/>
        </w:rPr>
        <w:t>2</w:t>
      </w:r>
      <w:r>
        <w:rPr>
          <w:rFonts w:ascii="Times New Roman" w:eastAsia="黑体" w:hAnsi="Times New Roman" w:cs="Times New Roman" w:hint="eastAsia"/>
          <w:bCs/>
          <w:sz w:val="21"/>
          <w:szCs w:val="21"/>
        </w:rPr>
        <w:t>.6-2</w:t>
      </w:r>
      <w:r>
        <w:rPr>
          <w:rFonts w:ascii="Times New Roman" w:eastAsia="黑体" w:hAnsi="Times New Roman" w:cs="Times New Roman"/>
          <w:bCs/>
          <w:sz w:val="21"/>
          <w:szCs w:val="21"/>
        </w:rPr>
        <w:t xml:space="preserve">  </w:t>
      </w:r>
      <w:r>
        <w:rPr>
          <w:rFonts w:ascii="Times New Roman" w:eastAsia="黑体" w:hAnsi="Times New Roman" w:cs="Times New Roman"/>
          <w:bCs/>
          <w:sz w:val="21"/>
          <w:szCs w:val="21"/>
        </w:rPr>
        <w:t>本</w:t>
      </w:r>
      <w:r>
        <w:rPr>
          <w:rFonts w:eastAsia="黑体" w:cs="Times New Roman" w:hint="eastAsia"/>
          <w:bCs/>
          <w:sz w:val="21"/>
          <w:szCs w:val="21"/>
        </w:rPr>
        <w:t>工程</w:t>
      </w:r>
      <w:r>
        <w:rPr>
          <w:rFonts w:ascii="Times New Roman" w:eastAsia="黑体" w:hAnsi="Times New Roman" w:cs="Times New Roman"/>
          <w:bCs/>
          <w:sz w:val="21"/>
          <w:szCs w:val="21"/>
        </w:rPr>
        <w:t>环境敏感目标分布图</w:t>
      </w:r>
      <w:r>
        <w:rPr>
          <w:rFonts w:ascii="Times New Roman" w:eastAsia="黑体" w:hAnsi="Times New Roman" w:cs="Times New Roman" w:hint="eastAsia"/>
          <w:bCs/>
          <w:sz w:val="21"/>
          <w:szCs w:val="21"/>
        </w:rPr>
        <w:t>（声环境、地下水环境、土壤环境）</w:t>
      </w:r>
    </w:p>
    <w:bookmarkEnd w:id="450"/>
    <w:p w:rsidR="00C645C9" w:rsidRDefault="00C645C9">
      <w:pPr>
        <w:pStyle w:val="BodyTextFirstIndent1"/>
        <w:sectPr w:rsidR="00C645C9">
          <w:pgSz w:w="16838" w:h="11906" w:orient="landscape"/>
          <w:pgMar w:top="1800" w:right="1440" w:bottom="1800" w:left="1440" w:header="851" w:footer="992" w:gutter="0"/>
          <w:cols w:space="425"/>
          <w:docGrid w:type="lines" w:linePitch="312"/>
        </w:sectPr>
      </w:pPr>
    </w:p>
    <w:p w:rsidR="00C645C9" w:rsidRDefault="00C645C9">
      <w:pPr>
        <w:pStyle w:val="a4"/>
        <w:ind w:firstLine="0"/>
        <w:jc w:val="center"/>
        <w:rPr>
          <w:rFonts w:ascii="Times New Roman" w:eastAsia="黑体" w:hAnsi="Times New Roman" w:cs="Times New Roman"/>
          <w:bCs/>
          <w:sz w:val="21"/>
          <w:szCs w:val="21"/>
        </w:rPr>
      </w:pPr>
    </w:p>
    <w:p w:rsidR="00C645C9" w:rsidRDefault="00F955D9">
      <w:pPr>
        <w:pStyle w:val="a4"/>
        <w:ind w:firstLine="0"/>
        <w:jc w:val="center"/>
        <w:rPr>
          <w:rFonts w:ascii="Times New Roman" w:eastAsia="黑体" w:hAnsi="Times New Roman" w:cs="Times New Roman"/>
          <w:bCs/>
          <w:sz w:val="21"/>
          <w:szCs w:val="21"/>
        </w:rPr>
      </w:pPr>
      <w:r>
        <w:rPr>
          <w:rFonts w:ascii="Times New Roman" w:eastAsia="黑体" w:hAnsi="Times New Roman" w:cs="Times New Roman"/>
          <w:bCs/>
          <w:sz w:val="21"/>
          <w:szCs w:val="21"/>
        </w:rPr>
        <w:t>图</w:t>
      </w:r>
      <w:r>
        <w:rPr>
          <w:rFonts w:ascii="Times New Roman" w:eastAsia="黑体" w:hAnsi="Times New Roman" w:cs="Times New Roman"/>
          <w:bCs/>
          <w:sz w:val="21"/>
          <w:szCs w:val="21"/>
        </w:rPr>
        <w:t>2</w:t>
      </w:r>
      <w:r>
        <w:rPr>
          <w:rFonts w:ascii="Times New Roman" w:eastAsia="黑体" w:hAnsi="Times New Roman" w:cs="Times New Roman" w:hint="eastAsia"/>
          <w:bCs/>
          <w:sz w:val="21"/>
          <w:szCs w:val="21"/>
        </w:rPr>
        <w:t>.6-3</w:t>
      </w:r>
      <w:r>
        <w:rPr>
          <w:rFonts w:ascii="Times New Roman" w:eastAsia="黑体" w:hAnsi="Times New Roman" w:cs="Times New Roman"/>
          <w:bCs/>
          <w:sz w:val="21"/>
          <w:szCs w:val="21"/>
        </w:rPr>
        <w:t xml:space="preserve">  </w:t>
      </w:r>
      <w:r>
        <w:rPr>
          <w:rFonts w:ascii="Times New Roman" w:eastAsia="黑体" w:hAnsi="Times New Roman" w:cs="Times New Roman"/>
          <w:bCs/>
          <w:sz w:val="21"/>
          <w:szCs w:val="21"/>
        </w:rPr>
        <w:t>本</w:t>
      </w:r>
      <w:r>
        <w:rPr>
          <w:rFonts w:eastAsia="黑体" w:cs="Times New Roman" w:hint="eastAsia"/>
          <w:bCs/>
          <w:sz w:val="21"/>
          <w:szCs w:val="21"/>
        </w:rPr>
        <w:t>工程</w:t>
      </w:r>
      <w:r>
        <w:rPr>
          <w:rFonts w:ascii="Times New Roman" w:eastAsia="黑体" w:hAnsi="Times New Roman" w:cs="Times New Roman"/>
          <w:bCs/>
          <w:sz w:val="21"/>
          <w:szCs w:val="21"/>
        </w:rPr>
        <w:t>环境敏感目标分布图</w:t>
      </w:r>
      <w:r>
        <w:rPr>
          <w:rFonts w:ascii="Times New Roman" w:eastAsia="黑体" w:hAnsi="Times New Roman" w:cs="Times New Roman" w:hint="eastAsia"/>
          <w:bCs/>
          <w:sz w:val="21"/>
          <w:szCs w:val="21"/>
        </w:rPr>
        <w:t>（大气环境、环境风险）</w:t>
      </w:r>
    </w:p>
    <w:p w:rsidR="00C645C9" w:rsidRDefault="00C645C9">
      <w:pPr>
        <w:sectPr w:rsidR="00C645C9">
          <w:pgSz w:w="16838" w:h="11906" w:orient="landscape"/>
          <w:pgMar w:top="1800" w:right="1440" w:bottom="1800" w:left="1440" w:header="851" w:footer="992" w:gutter="0"/>
          <w:cols w:space="425"/>
          <w:docGrid w:type="lines" w:linePitch="312"/>
        </w:sectPr>
      </w:pPr>
    </w:p>
    <w:p w:rsidR="00C645C9" w:rsidRDefault="00C645C9">
      <w:pPr>
        <w:pStyle w:val="a4"/>
        <w:ind w:firstLine="0"/>
        <w:jc w:val="center"/>
        <w:rPr>
          <w:rFonts w:ascii="Times New Roman" w:hAnsi="Times New Roman" w:cs="Times New Roman"/>
        </w:rPr>
      </w:pPr>
    </w:p>
    <w:p w:rsidR="00C645C9" w:rsidRDefault="00F955D9">
      <w:pPr>
        <w:pStyle w:val="a4"/>
        <w:adjustRightInd w:val="0"/>
        <w:snapToGrid w:val="0"/>
        <w:ind w:firstLine="0"/>
        <w:jc w:val="center"/>
        <w:rPr>
          <w:rFonts w:ascii="Times New Roman" w:eastAsia="黑体" w:hAnsi="Times New Roman" w:cs="Times New Roman"/>
          <w:sz w:val="21"/>
          <w:szCs w:val="21"/>
        </w:rPr>
      </w:pPr>
      <w:r>
        <w:rPr>
          <w:rFonts w:ascii="Times New Roman" w:eastAsia="黑体" w:hAnsi="Times New Roman" w:cs="Times New Roman"/>
          <w:sz w:val="21"/>
          <w:szCs w:val="21"/>
        </w:rPr>
        <w:t>图</w:t>
      </w:r>
      <w:r>
        <w:rPr>
          <w:rFonts w:ascii="Times New Roman" w:eastAsia="黑体" w:hAnsi="Times New Roman" w:cs="Times New Roman"/>
          <w:sz w:val="21"/>
          <w:szCs w:val="21"/>
        </w:rPr>
        <w:t>2.</w:t>
      </w:r>
      <w:r>
        <w:rPr>
          <w:rFonts w:ascii="Times New Roman" w:eastAsia="黑体" w:hAnsi="Times New Roman" w:cs="Times New Roman" w:hint="eastAsia"/>
          <w:sz w:val="21"/>
          <w:szCs w:val="21"/>
        </w:rPr>
        <w:t>6</w:t>
      </w:r>
      <w:r>
        <w:rPr>
          <w:rFonts w:ascii="Times New Roman" w:eastAsia="黑体" w:hAnsi="Times New Roman" w:cs="Times New Roman"/>
          <w:sz w:val="21"/>
          <w:szCs w:val="21"/>
        </w:rPr>
        <w:t>-</w:t>
      </w:r>
      <w:r>
        <w:rPr>
          <w:rFonts w:ascii="Times New Roman" w:eastAsia="黑体" w:hAnsi="Times New Roman" w:cs="Times New Roman" w:hint="eastAsia"/>
          <w:sz w:val="21"/>
          <w:szCs w:val="21"/>
        </w:rPr>
        <w:t>3</w:t>
      </w:r>
      <w:r>
        <w:rPr>
          <w:rFonts w:ascii="Times New Roman" w:eastAsia="黑体" w:hAnsi="Times New Roman" w:cs="Times New Roman"/>
          <w:sz w:val="21"/>
          <w:szCs w:val="21"/>
        </w:rPr>
        <w:t xml:space="preserve">   </w:t>
      </w:r>
      <w:r>
        <w:rPr>
          <w:rFonts w:ascii="Times New Roman" w:eastAsia="黑体" w:hAnsi="Times New Roman" w:cs="Times New Roman"/>
          <w:sz w:val="21"/>
          <w:szCs w:val="21"/>
        </w:rPr>
        <w:t>本</w:t>
      </w:r>
      <w:r>
        <w:rPr>
          <w:rFonts w:ascii="Times New Roman" w:eastAsia="黑体" w:hAnsi="Times New Roman" w:cs="Times New Roman" w:hint="eastAsia"/>
          <w:sz w:val="21"/>
          <w:szCs w:val="21"/>
        </w:rPr>
        <w:t>工程</w:t>
      </w:r>
      <w:r>
        <w:rPr>
          <w:rFonts w:ascii="Times New Roman" w:eastAsia="黑体" w:hAnsi="Times New Roman" w:cs="Times New Roman"/>
          <w:sz w:val="21"/>
          <w:szCs w:val="21"/>
        </w:rPr>
        <w:t>与生态红线位置关系图</w:t>
      </w:r>
    </w:p>
    <w:p w:rsidR="00C645C9" w:rsidRDefault="00C645C9">
      <w:pPr>
        <w:pStyle w:val="a4"/>
        <w:rPr>
          <w:rFonts w:ascii="Times New Roman" w:hAnsi="Times New Roman" w:cs="Times New Roman"/>
        </w:rPr>
        <w:sectPr w:rsidR="00C645C9">
          <w:pgSz w:w="16838" w:h="11906" w:orient="landscape"/>
          <w:pgMar w:top="1800" w:right="1440" w:bottom="1800" w:left="1440" w:header="851" w:footer="992" w:gutter="0"/>
          <w:cols w:space="425"/>
          <w:docGrid w:type="lines" w:linePitch="312"/>
        </w:sectPr>
      </w:pP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451" w:name="_Toc5837"/>
      <w:bookmarkStart w:id="452" w:name="OLE_LINK481"/>
      <w:r>
        <w:rPr>
          <w:rFonts w:ascii="Times New Roman" w:hAnsi="Times New Roman" w:cs="Times New Roman"/>
          <w:color w:val="auto"/>
          <w:lang w:eastAsia="zh-CN"/>
        </w:rPr>
        <w:lastRenderedPageBreak/>
        <w:t>2.7</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rFonts w:ascii="Times New Roman" w:hAnsi="Times New Roman" w:cs="Times New Roman"/>
          <w:color w:val="auto"/>
          <w:lang w:eastAsia="zh-CN"/>
        </w:rPr>
        <w:t>评价内容和评价重点</w:t>
      </w:r>
      <w:bookmarkEnd w:id="451"/>
    </w:p>
    <w:bookmarkStart w:id="453" w:name="OLE_LINK476"/>
    <w:bookmarkEnd w:id="452"/>
    <w:p w:rsidR="00C645C9" w:rsidRDefault="00F955D9">
      <w:pPr>
        <w:pStyle w:val="32"/>
        <w:adjustRightInd w:val="0"/>
        <w:snapToGrid w:val="0"/>
        <w:spacing w:before="0" w:after="0"/>
        <w:rPr>
          <w:color w:val="auto"/>
          <w:lang w:eastAsia="zh-CN"/>
        </w:rPr>
      </w:pPr>
      <w:r>
        <w:rPr>
          <w:color w:val="auto"/>
        </w:rPr>
        <w:fldChar w:fldCharType="begin"/>
      </w:r>
      <w:r>
        <w:rPr>
          <w:color w:val="auto"/>
          <w:lang w:eastAsia="zh-CN"/>
        </w:rPr>
        <w:instrText xml:space="preserve"> HYPERLINK \l _Toc2023 </w:instrText>
      </w:r>
      <w:r>
        <w:rPr>
          <w:color w:val="auto"/>
        </w:rPr>
        <w:fldChar w:fldCharType="separate"/>
      </w:r>
      <w:r>
        <w:rPr>
          <w:rFonts w:hint="eastAsia"/>
          <w:color w:val="auto"/>
          <w:lang w:eastAsia="zh-CN"/>
        </w:rPr>
        <w:t>2.</w:t>
      </w:r>
      <w:r>
        <w:rPr>
          <w:rFonts w:hint="eastAsia"/>
          <w:color w:val="auto"/>
          <w:lang w:eastAsia="zh-CN"/>
        </w:rPr>
        <w:t>7</w:t>
      </w:r>
      <w:r>
        <w:rPr>
          <w:rFonts w:hint="eastAsia"/>
          <w:color w:val="auto"/>
          <w:lang w:eastAsia="zh-CN"/>
        </w:rPr>
        <w:t xml:space="preserve">.1 </w:t>
      </w:r>
      <w:r>
        <w:rPr>
          <w:rFonts w:hint="eastAsia"/>
          <w:color w:val="auto"/>
          <w:lang w:eastAsia="zh-CN"/>
        </w:rPr>
        <w:t>评价内容</w:t>
      </w:r>
      <w:r>
        <w:rPr>
          <w:color w:val="auto"/>
        </w:rPr>
        <w:fldChar w:fldCharType="end"/>
      </w:r>
    </w:p>
    <w:p w:rsidR="00C645C9" w:rsidRDefault="00F955D9">
      <w:pPr>
        <w:pStyle w:val="GB231226"/>
        <w:widowControl w:val="0"/>
        <w:adjustRightInd w:val="0"/>
        <w:snapToGrid w:val="0"/>
        <w:rPr>
          <w:rFonts w:cs="Times New Roman"/>
        </w:rPr>
      </w:pPr>
      <w:bookmarkStart w:id="454" w:name="OLE_LINK482"/>
      <w:bookmarkEnd w:id="453"/>
      <w:r>
        <w:rPr>
          <w:rFonts w:cs="Times New Roman"/>
        </w:rPr>
        <w:t>根据《</w:t>
      </w:r>
      <w:bookmarkStart w:id="455" w:name="OLE_LINK478"/>
      <w:r>
        <w:rPr>
          <w:rFonts w:cs="Times New Roman"/>
        </w:rPr>
        <w:t>建设项目环境影响评价技术导则</w:t>
      </w:r>
      <w:bookmarkEnd w:id="455"/>
      <w:r>
        <w:rPr>
          <w:rFonts w:cs="Times New Roman" w:hint="eastAsia"/>
        </w:rPr>
        <w:t xml:space="preserve"> </w:t>
      </w:r>
      <w:r>
        <w:rPr>
          <w:rFonts w:cs="Times New Roman" w:hint="eastAsia"/>
        </w:rPr>
        <w:t>总纲</w:t>
      </w:r>
      <w:r>
        <w:rPr>
          <w:rFonts w:cs="Times New Roman"/>
        </w:rPr>
        <w:t>》</w:t>
      </w:r>
      <w:r>
        <w:rPr>
          <w:rFonts w:cs="Times New Roman" w:hint="eastAsia"/>
        </w:rPr>
        <w:t>（</w:t>
      </w:r>
      <w:r>
        <w:rPr>
          <w:rFonts w:cs="Times New Roman" w:hint="eastAsia"/>
        </w:rPr>
        <w:t>HJ2.1-2016</w:t>
      </w:r>
      <w:r>
        <w:rPr>
          <w:rFonts w:cs="Times New Roman" w:hint="eastAsia"/>
        </w:rPr>
        <w:t>）</w:t>
      </w:r>
      <w:r>
        <w:rPr>
          <w:rFonts w:cs="Times New Roman"/>
        </w:rPr>
        <w:t>要求，结合建设项目具体特点、周围区域环境现状、环境功能区划，确定本次评价内容包括</w:t>
      </w:r>
      <w:bookmarkStart w:id="456" w:name="OLE_LINK480"/>
      <w:r>
        <w:rPr>
          <w:rFonts w:cs="Times New Roman"/>
        </w:rPr>
        <w:t>建设项目工程概况和工程分析</w:t>
      </w:r>
      <w:bookmarkEnd w:id="456"/>
      <w:r>
        <w:rPr>
          <w:rFonts w:cs="Times New Roman"/>
        </w:rPr>
        <w:t>、</w:t>
      </w:r>
      <w:bookmarkStart w:id="457" w:name="OLE_LINK484"/>
      <w:r>
        <w:rPr>
          <w:rFonts w:cs="Times New Roman"/>
        </w:rPr>
        <w:t>环境现状调查与评价</w:t>
      </w:r>
      <w:bookmarkEnd w:id="457"/>
      <w:r>
        <w:rPr>
          <w:rFonts w:cs="Times New Roman"/>
        </w:rPr>
        <w:t>、</w:t>
      </w:r>
      <w:bookmarkStart w:id="458" w:name="OLE_LINK485"/>
      <w:r>
        <w:rPr>
          <w:rFonts w:cs="Times New Roman"/>
        </w:rPr>
        <w:t>环境影响预测与评价</w:t>
      </w:r>
      <w:bookmarkEnd w:id="458"/>
      <w:r>
        <w:rPr>
          <w:rFonts w:cs="Times New Roman"/>
        </w:rPr>
        <w:t>、</w:t>
      </w:r>
      <w:bookmarkStart w:id="459" w:name="OLE_LINK486"/>
      <w:r>
        <w:rPr>
          <w:rFonts w:cs="Times New Roman"/>
        </w:rPr>
        <w:t>环境保护措施可行性论证</w:t>
      </w:r>
      <w:bookmarkEnd w:id="459"/>
      <w:r>
        <w:rPr>
          <w:rFonts w:cs="Times New Roman"/>
        </w:rPr>
        <w:t>、</w:t>
      </w:r>
      <w:bookmarkStart w:id="460" w:name="OLE_LINK487"/>
      <w:r>
        <w:rPr>
          <w:rFonts w:cs="Times New Roman"/>
        </w:rPr>
        <w:t>温室气体排放影响评价</w:t>
      </w:r>
      <w:bookmarkEnd w:id="460"/>
      <w:r>
        <w:rPr>
          <w:rFonts w:cs="Times New Roman"/>
        </w:rPr>
        <w:t>、</w:t>
      </w:r>
      <w:bookmarkStart w:id="461" w:name="OLE_LINK488"/>
      <w:r>
        <w:rPr>
          <w:rFonts w:cs="Times New Roman"/>
        </w:rPr>
        <w:t>环境影响经济损益分析</w:t>
      </w:r>
      <w:bookmarkEnd w:id="461"/>
      <w:r>
        <w:rPr>
          <w:rFonts w:cs="Times New Roman"/>
        </w:rPr>
        <w:t>、</w:t>
      </w:r>
      <w:bookmarkStart w:id="462" w:name="OLE_LINK489"/>
      <w:r>
        <w:rPr>
          <w:rFonts w:cs="Times New Roman"/>
        </w:rPr>
        <w:t>环境管理与监测计划</w:t>
      </w:r>
      <w:bookmarkEnd w:id="462"/>
      <w:r>
        <w:rPr>
          <w:rFonts w:cs="Times New Roman" w:hint="eastAsia"/>
        </w:rPr>
        <w:t>、结论</w:t>
      </w:r>
      <w:r>
        <w:rPr>
          <w:rFonts w:cs="Times New Roman"/>
        </w:rPr>
        <w:t>，见表</w:t>
      </w:r>
      <w:r>
        <w:rPr>
          <w:rFonts w:cs="Times New Roman" w:hint="eastAsia"/>
        </w:rPr>
        <w:t>2.7-1</w:t>
      </w:r>
      <w:r>
        <w:rPr>
          <w:rFonts w:cs="Times New Roman" w:hint="eastAsia"/>
        </w:rPr>
        <w:t>。</w:t>
      </w: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t>表</w:t>
      </w:r>
      <w:r>
        <w:rPr>
          <w:rFonts w:eastAsia="黑体" w:cs="Times New Roman"/>
          <w:sz w:val="21"/>
          <w:szCs w:val="21"/>
        </w:rPr>
        <w:t>2.</w:t>
      </w:r>
      <w:r>
        <w:rPr>
          <w:rFonts w:eastAsia="黑体" w:cs="Times New Roman" w:hint="eastAsia"/>
          <w:sz w:val="21"/>
          <w:szCs w:val="21"/>
        </w:rPr>
        <w:t>7</w:t>
      </w:r>
      <w:r>
        <w:rPr>
          <w:rFonts w:eastAsia="黑体" w:cs="Times New Roman"/>
          <w:sz w:val="21"/>
          <w:szCs w:val="21"/>
        </w:rPr>
        <w:t>-1</w:t>
      </w:r>
      <w:r>
        <w:rPr>
          <w:rFonts w:eastAsia="黑体" w:cs="Times New Roman"/>
          <w:sz w:val="21"/>
          <w:szCs w:val="21"/>
        </w:rPr>
        <w:t xml:space="preserve">   </w:t>
      </w:r>
      <w:r>
        <w:rPr>
          <w:rFonts w:eastAsia="黑体" w:cs="Times New Roman"/>
          <w:sz w:val="21"/>
          <w:szCs w:val="21"/>
        </w:rPr>
        <w:t>评价内容一览表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7"/>
        <w:gridCol w:w="3004"/>
        <w:gridCol w:w="4972"/>
      </w:tblGrid>
      <w:tr w:rsidR="00C645C9">
        <w:trPr>
          <w:trHeight w:val="340"/>
        </w:trPr>
        <w:tc>
          <w:tcPr>
            <w:tcW w:w="375" w:type="pct"/>
            <w:vAlign w:val="center"/>
          </w:tcPr>
          <w:p w:rsidR="00C645C9" w:rsidRDefault="00F955D9">
            <w:pPr>
              <w:jc w:val="center"/>
              <w:textAlignment w:val="baseline"/>
              <w:rPr>
                <w:sz w:val="21"/>
                <w:szCs w:val="21"/>
              </w:rPr>
            </w:pPr>
            <w:r>
              <w:rPr>
                <w:sz w:val="21"/>
                <w:szCs w:val="21"/>
              </w:rPr>
              <w:t>序号</w:t>
            </w:r>
          </w:p>
        </w:tc>
        <w:tc>
          <w:tcPr>
            <w:tcW w:w="1741" w:type="pct"/>
            <w:vAlign w:val="center"/>
          </w:tcPr>
          <w:p w:rsidR="00C645C9" w:rsidRDefault="00F955D9">
            <w:pPr>
              <w:jc w:val="center"/>
              <w:textAlignment w:val="baseline"/>
              <w:rPr>
                <w:sz w:val="21"/>
                <w:szCs w:val="21"/>
              </w:rPr>
            </w:pPr>
            <w:r>
              <w:rPr>
                <w:sz w:val="21"/>
                <w:szCs w:val="21"/>
              </w:rPr>
              <w:t>评价专题</w:t>
            </w:r>
          </w:p>
        </w:tc>
        <w:tc>
          <w:tcPr>
            <w:tcW w:w="2882" w:type="pct"/>
            <w:vAlign w:val="center"/>
          </w:tcPr>
          <w:p w:rsidR="00C645C9" w:rsidRDefault="00F955D9">
            <w:pPr>
              <w:jc w:val="center"/>
              <w:textAlignment w:val="baseline"/>
              <w:rPr>
                <w:sz w:val="21"/>
                <w:szCs w:val="21"/>
              </w:rPr>
            </w:pPr>
            <w:r>
              <w:rPr>
                <w:sz w:val="21"/>
                <w:szCs w:val="21"/>
              </w:rPr>
              <w:t>评价内容</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1</w:t>
            </w:r>
          </w:p>
        </w:tc>
        <w:tc>
          <w:tcPr>
            <w:tcW w:w="1741" w:type="pct"/>
            <w:vAlign w:val="center"/>
          </w:tcPr>
          <w:p w:rsidR="00C645C9" w:rsidRDefault="00F955D9">
            <w:pPr>
              <w:jc w:val="center"/>
              <w:textAlignment w:val="baseline"/>
              <w:rPr>
                <w:sz w:val="21"/>
                <w:szCs w:val="21"/>
              </w:rPr>
            </w:pPr>
            <w:r>
              <w:rPr>
                <w:rFonts w:hint="eastAsia"/>
                <w:sz w:val="21"/>
                <w:szCs w:val="21"/>
              </w:rPr>
              <w:t>建设项目工程概况和工程分析</w:t>
            </w:r>
          </w:p>
        </w:tc>
        <w:tc>
          <w:tcPr>
            <w:tcW w:w="2882" w:type="pct"/>
            <w:vAlign w:val="center"/>
          </w:tcPr>
          <w:p w:rsidR="00C645C9" w:rsidRDefault="00F955D9">
            <w:pPr>
              <w:textAlignment w:val="baseline"/>
              <w:rPr>
                <w:sz w:val="21"/>
                <w:szCs w:val="21"/>
              </w:rPr>
            </w:pPr>
            <w:r>
              <w:rPr>
                <w:sz w:val="21"/>
                <w:szCs w:val="21"/>
              </w:rPr>
              <w:t>项目概况、</w:t>
            </w:r>
            <w:r>
              <w:rPr>
                <w:rFonts w:hint="eastAsia"/>
                <w:sz w:val="21"/>
                <w:szCs w:val="21"/>
              </w:rPr>
              <w:t>油气资源概况</w:t>
            </w:r>
            <w:r>
              <w:rPr>
                <w:sz w:val="21"/>
                <w:szCs w:val="21"/>
              </w:rPr>
              <w:t>、</w:t>
            </w:r>
            <w:r>
              <w:rPr>
                <w:rFonts w:hint="eastAsia"/>
                <w:sz w:val="21"/>
                <w:szCs w:val="21"/>
              </w:rPr>
              <w:t>工程组成</w:t>
            </w:r>
            <w:r>
              <w:rPr>
                <w:sz w:val="21"/>
                <w:szCs w:val="21"/>
              </w:rPr>
              <w:t>、</w:t>
            </w:r>
            <w:r>
              <w:rPr>
                <w:rFonts w:hint="eastAsia"/>
                <w:sz w:val="21"/>
                <w:szCs w:val="21"/>
              </w:rPr>
              <w:t>工程分析</w:t>
            </w:r>
            <w:r>
              <w:rPr>
                <w:sz w:val="21"/>
                <w:szCs w:val="21"/>
              </w:rPr>
              <w:t>、依托工程，根据污染物产生环节、方式及治理措施，核算有组织与无组织的污染物产生和排放强度，给出污染因子及其产生和排放的方式、浓度及数量等</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2</w:t>
            </w:r>
          </w:p>
        </w:tc>
        <w:tc>
          <w:tcPr>
            <w:tcW w:w="1741" w:type="pct"/>
            <w:vAlign w:val="center"/>
          </w:tcPr>
          <w:p w:rsidR="00C645C9" w:rsidRDefault="00F955D9">
            <w:pPr>
              <w:jc w:val="center"/>
              <w:textAlignment w:val="baseline"/>
              <w:rPr>
                <w:sz w:val="21"/>
                <w:szCs w:val="21"/>
              </w:rPr>
            </w:pPr>
            <w:r>
              <w:rPr>
                <w:rFonts w:hint="eastAsia"/>
                <w:sz w:val="21"/>
                <w:szCs w:val="21"/>
              </w:rPr>
              <w:t>环境现状调查与评价</w:t>
            </w:r>
          </w:p>
        </w:tc>
        <w:tc>
          <w:tcPr>
            <w:tcW w:w="2882" w:type="pct"/>
            <w:vAlign w:val="center"/>
          </w:tcPr>
          <w:p w:rsidR="00C645C9" w:rsidRDefault="00F955D9">
            <w:pPr>
              <w:textAlignment w:val="baseline"/>
              <w:rPr>
                <w:sz w:val="21"/>
                <w:szCs w:val="21"/>
              </w:rPr>
            </w:pPr>
            <w:r>
              <w:rPr>
                <w:rFonts w:hint="eastAsia"/>
                <w:sz w:val="21"/>
                <w:szCs w:val="21"/>
              </w:rPr>
              <w:t>自然环境概况</w:t>
            </w:r>
            <w:r>
              <w:rPr>
                <w:sz w:val="21"/>
                <w:szCs w:val="21"/>
              </w:rPr>
              <w:t>、环境质量现状调查（包括生态环境</w:t>
            </w:r>
            <w:r>
              <w:rPr>
                <w:rFonts w:hint="eastAsia"/>
                <w:sz w:val="21"/>
                <w:szCs w:val="21"/>
              </w:rPr>
              <w:t>、</w:t>
            </w:r>
            <w:r>
              <w:rPr>
                <w:sz w:val="21"/>
                <w:szCs w:val="21"/>
              </w:rPr>
              <w:t>地下水</w:t>
            </w:r>
            <w:r>
              <w:rPr>
                <w:rFonts w:hint="eastAsia"/>
                <w:sz w:val="21"/>
                <w:szCs w:val="21"/>
              </w:rPr>
              <w:t>环境</w:t>
            </w:r>
            <w:r>
              <w:rPr>
                <w:sz w:val="21"/>
                <w:szCs w:val="21"/>
              </w:rPr>
              <w:t>、</w:t>
            </w:r>
            <w:r>
              <w:rPr>
                <w:rFonts w:hint="eastAsia"/>
                <w:sz w:val="21"/>
                <w:szCs w:val="21"/>
              </w:rPr>
              <w:t>地表水环境、</w:t>
            </w:r>
            <w:r>
              <w:rPr>
                <w:sz w:val="21"/>
                <w:szCs w:val="21"/>
              </w:rPr>
              <w:t>土壤</w:t>
            </w:r>
            <w:r>
              <w:rPr>
                <w:rFonts w:hint="eastAsia"/>
                <w:sz w:val="21"/>
                <w:szCs w:val="21"/>
              </w:rPr>
              <w:t>环境、大气环境</w:t>
            </w:r>
            <w:r>
              <w:rPr>
                <w:sz w:val="21"/>
                <w:szCs w:val="21"/>
              </w:rPr>
              <w:t>、声环境）</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3</w:t>
            </w:r>
          </w:p>
        </w:tc>
        <w:tc>
          <w:tcPr>
            <w:tcW w:w="1741" w:type="pct"/>
            <w:vAlign w:val="center"/>
          </w:tcPr>
          <w:p w:rsidR="00C645C9" w:rsidRDefault="00F955D9">
            <w:pPr>
              <w:jc w:val="center"/>
              <w:textAlignment w:val="baseline"/>
              <w:rPr>
                <w:sz w:val="21"/>
                <w:szCs w:val="21"/>
              </w:rPr>
            </w:pPr>
            <w:r>
              <w:rPr>
                <w:rFonts w:hint="eastAsia"/>
                <w:sz w:val="21"/>
                <w:szCs w:val="21"/>
              </w:rPr>
              <w:t>环境影响预测与评价</w:t>
            </w:r>
          </w:p>
        </w:tc>
        <w:tc>
          <w:tcPr>
            <w:tcW w:w="2882" w:type="pct"/>
            <w:vAlign w:val="center"/>
          </w:tcPr>
          <w:p w:rsidR="00C645C9" w:rsidRDefault="00F955D9">
            <w:pPr>
              <w:textAlignment w:val="baseline"/>
              <w:rPr>
                <w:sz w:val="21"/>
                <w:szCs w:val="21"/>
              </w:rPr>
            </w:pPr>
            <w:r>
              <w:rPr>
                <w:sz w:val="21"/>
                <w:szCs w:val="21"/>
              </w:rPr>
              <w:t>分为施工期</w:t>
            </w:r>
            <w:r>
              <w:rPr>
                <w:rFonts w:hint="eastAsia"/>
                <w:sz w:val="21"/>
                <w:szCs w:val="21"/>
              </w:rPr>
              <w:t>、</w:t>
            </w:r>
            <w:r>
              <w:rPr>
                <w:sz w:val="21"/>
                <w:szCs w:val="21"/>
              </w:rPr>
              <w:t>运营期</w:t>
            </w:r>
            <w:r>
              <w:rPr>
                <w:rFonts w:hint="eastAsia"/>
                <w:sz w:val="21"/>
                <w:szCs w:val="21"/>
              </w:rPr>
              <w:t>和退役期</w:t>
            </w:r>
            <w:r>
              <w:rPr>
                <w:sz w:val="21"/>
                <w:szCs w:val="21"/>
              </w:rPr>
              <w:t>。</w:t>
            </w:r>
            <w:bookmarkStart w:id="463" w:name="OLE_LINK490"/>
            <w:r>
              <w:rPr>
                <w:sz w:val="21"/>
                <w:szCs w:val="21"/>
              </w:rPr>
              <w:t>对施工期扬尘、废水、噪声、固废、生态环境和土壤环境等进行分析，并提出切实可行的减缓措施。</w:t>
            </w:r>
            <w:bookmarkEnd w:id="463"/>
            <w:r>
              <w:rPr>
                <w:sz w:val="21"/>
                <w:szCs w:val="21"/>
              </w:rPr>
              <w:t>运营期对废气、废水、噪声、固体废物、土壤进行了影响预测和分析。对</w:t>
            </w:r>
            <w:r>
              <w:rPr>
                <w:rFonts w:hint="eastAsia"/>
                <w:sz w:val="21"/>
                <w:szCs w:val="21"/>
              </w:rPr>
              <w:t>退役</w:t>
            </w:r>
            <w:r>
              <w:rPr>
                <w:sz w:val="21"/>
                <w:szCs w:val="21"/>
              </w:rPr>
              <w:t>期扬尘、废水、噪声、固废、生态环境和土壤环境等进行分析，并提出切实可行的减缓措施。根据项目特点开展了环境风险评价</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4</w:t>
            </w:r>
          </w:p>
        </w:tc>
        <w:tc>
          <w:tcPr>
            <w:tcW w:w="1741" w:type="pct"/>
            <w:vAlign w:val="center"/>
          </w:tcPr>
          <w:p w:rsidR="00C645C9" w:rsidRDefault="00F955D9">
            <w:pPr>
              <w:jc w:val="center"/>
              <w:textAlignment w:val="baseline"/>
              <w:rPr>
                <w:sz w:val="21"/>
                <w:szCs w:val="21"/>
              </w:rPr>
            </w:pPr>
            <w:r>
              <w:rPr>
                <w:rFonts w:hint="eastAsia"/>
                <w:sz w:val="21"/>
                <w:szCs w:val="21"/>
              </w:rPr>
              <w:t>环境保护措施可行性论证</w:t>
            </w:r>
          </w:p>
        </w:tc>
        <w:tc>
          <w:tcPr>
            <w:tcW w:w="2882" w:type="pct"/>
            <w:vAlign w:val="center"/>
          </w:tcPr>
          <w:p w:rsidR="00C645C9" w:rsidRDefault="00F955D9">
            <w:pPr>
              <w:textAlignment w:val="baseline"/>
              <w:rPr>
                <w:sz w:val="21"/>
                <w:szCs w:val="21"/>
              </w:rPr>
            </w:pPr>
            <w:r>
              <w:rPr>
                <w:sz w:val="21"/>
                <w:szCs w:val="21"/>
              </w:rPr>
              <w:t>针对废气、废水、噪声、固体废物、土壤污染防治措施及依托措施进行论证</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5</w:t>
            </w:r>
          </w:p>
        </w:tc>
        <w:tc>
          <w:tcPr>
            <w:tcW w:w="1741" w:type="pct"/>
            <w:vAlign w:val="center"/>
          </w:tcPr>
          <w:p w:rsidR="00C645C9" w:rsidRDefault="00F955D9">
            <w:pPr>
              <w:jc w:val="center"/>
              <w:textAlignment w:val="baseline"/>
              <w:rPr>
                <w:sz w:val="21"/>
                <w:szCs w:val="21"/>
              </w:rPr>
            </w:pPr>
            <w:r>
              <w:rPr>
                <w:rFonts w:hint="eastAsia"/>
                <w:sz w:val="21"/>
                <w:szCs w:val="21"/>
              </w:rPr>
              <w:t>温室气体排放影响评价</w:t>
            </w:r>
          </w:p>
        </w:tc>
        <w:tc>
          <w:tcPr>
            <w:tcW w:w="2882" w:type="pct"/>
            <w:vAlign w:val="center"/>
          </w:tcPr>
          <w:p w:rsidR="00C645C9" w:rsidRDefault="00F955D9">
            <w:pPr>
              <w:textAlignment w:val="baseline"/>
              <w:rPr>
                <w:sz w:val="21"/>
                <w:szCs w:val="21"/>
              </w:rPr>
            </w:pPr>
            <w:r>
              <w:rPr>
                <w:rFonts w:hint="eastAsia"/>
                <w:sz w:val="21"/>
                <w:szCs w:val="21"/>
              </w:rPr>
              <w:t>在原燃料清洁替代、节能降耗技术、余热余能利用、清洁运输、挥发性有机物与甲烷协同控制等方面提出针对</w:t>
            </w:r>
            <w:r>
              <w:rPr>
                <w:rFonts w:hint="eastAsia"/>
                <w:sz w:val="21"/>
                <w:szCs w:val="21"/>
              </w:rPr>
              <w:t>性的控制措施与要求</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6</w:t>
            </w:r>
          </w:p>
        </w:tc>
        <w:tc>
          <w:tcPr>
            <w:tcW w:w="1741" w:type="pct"/>
            <w:vAlign w:val="center"/>
          </w:tcPr>
          <w:p w:rsidR="00C645C9" w:rsidRDefault="00F955D9">
            <w:pPr>
              <w:jc w:val="center"/>
              <w:textAlignment w:val="baseline"/>
              <w:rPr>
                <w:sz w:val="21"/>
                <w:szCs w:val="21"/>
              </w:rPr>
            </w:pPr>
            <w:r>
              <w:rPr>
                <w:rFonts w:hint="eastAsia"/>
                <w:sz w:val="21"/>
                <w:szCs w:val="21"/>
              </w:rPr>
              <w:t>环境影响经济损益分析</w:t>
            </w:r>
          </w:p>
        </w:tc>
        <w:tc>
          <w:tcPr>
            <w:tcW w:w="2882" w:type="pct"/>
            <w:vAlign w:val="center"/>
          </w:tcPr>
          <w:p w:rsidR="00C645C9" w:rsidRDefault="00F955D9">
            <w:pPr>
              <w:textAlignment w:val="baseline"/>
              <w:rPr>
                <w:sz w:val="21"/>
                <w:szCs w:val="21"/>
              </w:rPr>
            </w:pPr>
            <w:r>
              <w:rPr>
                <w:sz w:val="21"/>
                <w:szCs w:val="21"/>
              </w:rPr>
              <w:t>从项目环境效益</w:t>
            </w:r>
            <w:r>
              <w:rPr>
                <w:rFonts w:hint="eastAsia"/>
                <w:sz w:val="21"/>
                <w:szCs w:val="21"/>
              </w:rPr>
              <w:t>、</w:t>
            </w:r>
            <w:r>
              <w:rPr>
                <w:sz w:val="21"/>
                <w:szCs w:val="21"/>
              </w:rPr>
              <w:t>社会效益、</w:t>
            </w:r>
            <w:r>
              <w:rPr>
                <w:rFonts w:hint="eastAsia"/>
                <w:sz w:val="21"/>
                <w:szCs w:val="21"/>
              </w:rPr>
              <w:t>综合</w:t>
            </w:r>
            <w:r>
              <w:rPr>
                <w:sz w:val="21"/>
                <w:szCs w:val="21"/>
              </w:rPr>
              <w:t>效益等方面叙述</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sz w:val="21"/>
                <w:szCs w:val="21"/>
              </w:rPr>
              <w:t>7</w:t>
            </w:r>
          </w:p>
        </w:tc>
        <w:tc>
          <w:tcPr>
            <w:tcW w:w="1741" w:type="pct"/>
            <w:vAlign w:val="center"/>
          </w:tcPr>
          <w:p w:rsidR="00C645C9" w:rsidRDefault="00F955D9">
            <w:pPr>
              <w:jc w:val="center"/>
              <w:textAlignment w:val="baseline"/>
              <w:rPr>
                <w:sz w:val="21"/>
                <w:szCs w:val="21"/>
              </w:rPr>
            </w:pPr>
            <w:r>
              <w:rPr>
                <w:rFonts w:hint="eastAsia"/>
                <w:sz w:val="21"/>
                <w:szCs w:val="21"/>
              </w:rPr>
              <w:t>环境管理与监测计划</w:t>
            </w:r>
          </w:p>
        </w:tc>
        <w:tc>
          <w:tcPr>
            <w:tcW w:w="2882" w:type="pct"/>
            <w:vAlign w:val="center"/>
          </w:tcPr>
          <w:p w:rsidR="00C645C9" w:rsidRDefault="00F955D9">
            <w:pPr>
              <w:textAlignment w:val="baseline"/>
              <w:rPr>
                <w:sz w:val="21"/>
                <w:szCs w:val="21"/>
              </w:rPr>
            </w:pPr>
            <w:r>
              <w:rPr>
                <w:sz w:val="21"/>
                <w:szCs w:val="21"/>
              </w:rPr>
              <w:t>根据国家环境管理与监测要求，给出项目环境管理制度和日常监测计划，给出污染物排放清单、制定环保</w:t>
            </w:r>
            <w:bookmarkStart w:id="464" w:name="OLE_LINK491"/>
            <w:r>
              <w:rPr>
                <w:rFonts w:hint="eastAsia"/>
                <w:sz w:val="21"/>
                <w:szCs w:val="21"/>
              </w:rPr>
              <w:t>“</w:t>
            </w:r>
            <w:r>
              <w:rPr>
                <w:sz w:val="21"/>
                <w:szCs w:val="21"/>
              </w:rPr>
              <w:t>三同时</w:t>
            </w:r>
            <w:r>
              <w:rPr>
                <w:rFonts w:hint="eastAsia"/>
                <w:sz w:val="21"/>
                <w:szCs w:val="21"/>
              </w:rPr>
              <w:t>”</w:t>
            </w:r>
            <w:bookmarkEnd w:id="464"/>
            <w:r>
              <w:rPr>
                <w:sz w:val="21"/>
                <w:szCs w:val="21"/>
              </w:rPr>
              <w:t>验收一览表</w:t>
            </w:r>
            <w:r>
              <w:rPr>
                <w:rFonts w:hint="eastAsia"/>
                <w:sz w:val="21"/>
                <w:szCs w:val="21"/>
              </w:rPr>
              <w:t>。</w:t>
            </w:r>
          </w:p>
        </w:tc>
      </w:tr>
      <w:tr w:rsidR="00C645C9">
        <w:trPr>
          <w:trHeight w:val="340"/>
        </w:trPr>
        <w:tc>
          <w:tcPr>
            <w:tcW w:w="375" w:type="pct"/>
            <w:vAlign w:val="center"/>
          </w:tcPr>
          <w:p w:rsidR="00C645C9" w:rsidRDefault="00F955D9">
            <w:pPr>
              <w:jc w:val="center"/>
              <w:textAlignment w:val="baseline"/>
              <w:rPr>
                <w:sz w:val="21"/>
                <w:szCs w:val="21"/>
              </w:rPr>
            </w:pPr>
            <w:r>
              <w:rPr>
                <w:rFonts w:hint="eastAsia"/>
                <w:sz w:val="21"/>
                <w:szCs w:val="21"/>
              </w:rPr>
              <w:t>8</w:t>
            </w:r>
          </w:p>
        </w:tc>
        <w:tc>
          <w:tcPr>
            <w:tcW w:w="1741" w:type="pct"/>
            <w:vAlign w:val="center"/>
          </w:tcPr>
          <w:p w:rsidR="00C645C9" w:rsidRDefault="00F955D9">
            <w:pPr>
              <w:jc w:val="center"/>
              <w:textAlignment w:val="baseline"/>
              <w:rPr>
                <w:sz w:val="21"/>
                <w:szCs w:val="21"/>
              </w:rPr>
            </w:pPr>
            <w:r>
              <w:rPr>
                <w:sz w:val="21"/>
                <w:szCs w:val="21"/>
              </w:rPr>
              <w:t>结论</w:t>
            </w:r>
          </w:p>
        </w:tc>
        <w:tc>
          <w:tcPr>
            <w:tcW w:w="2882" w:type="pct"/>
            <w:vAlign w:val="center"/>
          </w:tcPr>
          <w:p w:rsidR="00C645C9" w:rsidRDefault="00F955D9">
            <w:pPr>
              <w:textAlignment w:val="baseline"/>
              <w:rPr>
                <w:sz w:val="21"/>
                <w:szCs w:val="21"/>
              </w:rPr>
            </w:pPr>
            <w:r>
              <w:rPr>
                <w:sz w:val="21"/>
                <w:szCs w:val="21"/>
              </w:rPr>
              <w:t>根据上述各章节的相关分析结果，</w:t>
            </w:r>
            <w:r>
              <w:rPr>
                <w:rFonts w:hint="eastAsia"/>
                <w:sz w:val="21"/>
                <w:szCs w:val="21"/>
              </w:rPr>
              <w:t>结合生态环境质量目标要求，明确给出建设项目的生态环境影响可行或不可行的结论</w:t>
            </w:r>
            <w:r>
              <w:rPr>
                <w:rFonts w:hint="eastAsia"/>
                <w:sz w:val="21"/>
                <w:szCs w:val="21"/>
              </w:rPr>
              <w:t>。</w:t>
            </w:r>
          </w:p>
        </w:tc>
      </w:tr>
    </w:tbl>
    <w:bookmarkEnd w:id="454"/>
    <w:p w:rsidR="00C645C9" w:rsidRDefault="00F955D9">
      <w:pPr>
        <w:pStyle w:val="32"/>
        <w:adjustRightInd w:val="0"/>
        <w:snapToGrid w:val="0"/>
        <w:spacing w:before="0" w:after="0"/>
        <w:rPr>
          <w:color w:val="auto"/>
          <w:lang w:eastAsia="zh-CN"/>
        </w:rPr>
      </w:pPr>
      <w:r>
        <w:rPr>
          <w:color w:val="auto"/>
        </w:rPr>
        <w:fldChar w:fldCharType="begin"/>
      </w:r>
      <w:r>
        <w:rPr>
          <w:color w:val="auto"/>
          <w:lang w:eastAsia="zh-CN"/>
        </w:rPr>
        <w:instrText xml:space="preserve"> HYPERLINK \l _Toc2023 </w:instrText>
      </w:r>
      <w:r>
        <w:rPr>
          <w:color w:val="auto"/>
        </w:rPr>
        <w:fldChar w:fldCharType="separate"/>
      </w:r>
      <w:r>
        <w:rPr>
          <w:rFonts w:hint="eastAsia"/>
          <w:color w:val="auto"/>
          <w:lang w:eastAsia="zh-CN"/>
        </w:rPr>
        <w:t>2.</w:t>
      </w:r>
      <w:r>
        <w:rPr>
          <w:rFonts w:hint="eastAsia"/>
          <w:color w:val="auto"/>
          <w:lang w:eastAsia="zh-CN"/>
        </w:rPr>
        <w:t>7</w:t>
      </w:r>
      <w:r>
        <w:rPr>
          <w:rFonts w:hint="eastAsia"/>
          <w:color w:val="auto"/>
          <w:lang w:eastAsia="zh-CN"/>
        </w:rPr>
        <w:t>.</w:t>
      </w:r>
      <w:r>
        <w:rPr>
          <w:rFonts w:hint="eastAsia"/>
          <w:color w:val="auto"/>
          <w:lang w:eastAsia="zh-CN"/>
        </w:rPr>
        <w:t>2</w:t>
      </w:r>
      <w:r>
        <w:rPr>
          <w:rFonts w:hint="eastAsia"/>
          <w:color w:val="auto"/>
          <w:lang w:eastAsia="zh-CN"/>
        </w:rPr>
        <w:t xml:space="preserve"> </w:t>
      </w:r>
      <w:r>
        <w:rPr>
          <w:rFonts w:hint="eastAsia"/>
          <w:color w:val="auto"/>
          <w:lang w:eastAsia="zh-CN"/>
        </w:rPr>
        <w:t>评价重点</w:t>
      </w:r>
      <w:r>
        <w:rPr>
          <w:color w:val="auto"/>
        </w:rPr>
        <w:fldChar w:fldCharType="end"/>
      </w:r>
    </w:p>
    <w:p w:rsidR="00C645C9" w:rsidRDefault="00F955D9">
      <w:pPr>
        <w:pStyle w:val="GB231226"/>
        <w:adjustRightInd w:val="0"/>
        <w:snapToGrid w:val="0"/>
        <w:jc w:val="both"/>
        <w:rPr>
          <w:rFonts w:cs="Times New Roman"/>
        </w:rPr>
      </w:pPr>
      <w:r>
        <w:rPr>
          <w:rFonts w:cs="Times New Roman"/>
        </w:rPr>
        <w:t>经对</w:t>
      </w:r>
      <w:r>
        <w:rPr>
          <w:rFonts w:cs="Times New Roman" w:hint="eastAsia"/>
        </w:rPr>
        <w:t>本工程所在</w:t>
      </w:r>
      <w:r>
        <w:rPr>
          <w:rFonts w:cs="Times New Roman"/>
        </w:rPr>
        <w:t>区域自然地理、环境现状和社会经济的调查研究及工程排污特点的分析，确定评价工作的重点如下：</w:t>
      </w:r>
    </w:p>
    <w:p w:rsidR="00C645C9" w:rsidRDefault="00F955D9">
      <w:pPr>
        <w:pStyle w:val="GB231226"/>
        <w:adjustRightInd w:val="0"/>
        <w:snapToGrid w:val="0"/>
        <w:jc w:val="both"/>
        <w:rPr>
          <w:rFonts w:cs="Times New Roman"/>
        </w:rPr>
      </w:pPr>
      <w:r>
        <w:rPr>
          <w:rFonts w:cs="Times New Roman"/>
        </w:rPr>
        <w:t>（</w:t>
      </w:r>
      <w:r>
        <w:rPr>
          <w:rFonts w:cs="Times New Roman"/>
        </w:rPr>
        <w:t>1</w:t>
      </w:r>
      <w:r>
        <w:rPr>
          <w:rFonts w:cs="Times New Roman"/>
        </w:rPr>
        <w:t>）工程分析；</w:t>
      </w:r>
    </w:p>
    <w:p w:rsidR="00C645C9" w:rsidRDefault="00F955D9">
      <w:pPr>
        <w:pStyle w:val="GB231226"/>
        <w:adjustRightInd w:val="0"/>
        <w:snapToGrid w:val="0"/>
        <w:jc w:val="both"/>
        <w:rPr>
          <w:rFonts w:cs="Times New Roman"/>
        </w:rPr>
      </w:pPr>
      <w:r>
        <w:rPr>
          <w:rFonts w:cs="Times New Roman"/>
        </w:rPr>
        <w:t>（</w:t>
      </w:r>
      <w:r>
        <w:rPr>
          <w:rFonts w:cs="Times New Roman"/>
        </w:rPr>
        <w:t>2</w:t>
      </w:r>
      <w:r>
        <w:rPr>
          <w:rFonts w:cs="Times New Roman"/>
        </w:rPr>
        <w:t>）生态环境影响评价；</w:t>
      </w:r>
    </w:p>
    <w:p w:rsidR="00C645C9" w:rsidRDefault="00F955D9">
      <w:pPr>
        <w:pStyle w:val="GB231226"/>
        <w:adjustRightInd w:val="0"/>
        <w:snapToGrid w:val="0"/>
        <w:jc w:val="both"/>
        <w:rPr>
          <w:rFonts w:cs="Times New Roman"/>
        </w:rPr>
      </w:pPr>
      <w:r>
        <w:rPr>
          <w:rFonts w:cs="Times New Roman"/>
        </w:rPr>
        <w:t>（</w:t>
      </w:r>
      <w:r>
        <w:rPr>
          <w:rFonts w:cs="Times New Roman"/>
        </w:rPr>
        <w:t>3</w:t>
      </w:r>
      <w:r>
        <w:rPr>
          <w:rFonts w:cs="Times New Roman"/>
        </w:rPr>
        <w:t>）</w:t>
      </w:r>
      <w:r>
        <w:rPr>
          <w:rFonts w:hint="eastAsia"/>
        </w:rPr>
        <w:t>土壤及</w:t>
      </w:r>
      <w:r>
        <w:rPr>
          <w:rFonts w:cs="Times New Roman"/>
        </w:rPr>
        <w:t>地下水环境影响评价；</w:t>
      </w:r>
    </w:p>
    <w:p w:rsidR="00C645C9" w:rsidRDefault="00F955D9">
      <w:pPr>
        <w:pStyle w:val="GB231226"/>
        <w:adjustRightInd w:val="0"/>
        <w:snapToGrid w:val="0"/>
        <w:jc w:val="both"/>
        <w:rPr>
          <w:rFonts w:cs="Times New Roman"/>
        </w:rPr>
      </w:pPr>
      <w:r>
        <w:rPr>
          <w:rFonts w:cs="Times New Roman"/>
        </w:rPr>
        <w:lastRenderedPageBreak/>
        <w:t>（</w:t>
      </w:r>
      <w:r>
        <w:rPr>
          <w:rFonts w:cs="Times New Roman"/>
        </w:rPr>
        <w:t>4</w:t>
      </w:r>
      <w:r>
        <w:rPr>
          <w:rFonts w:cs="Times New Roman"/>
        </w:rPr>
        <w:t>）固体废物影响评价；</w:t>
      </w:r>
    </w:p>
    <w:p w:rsidR="00C645C9" w:rsidRDefault="00F955D9">
      <w:pPr>
        <w:pStyle w:val="GB231226"/>
        <w:adjustRightInd w:val="0"/>
        <w:snapToGrid w:val="0"/>
        <w:jc w:val="both"/>
        <w:rPr>
          <w:rFonts w:cs="Times New Roman"/>
        </w:rPr>
      </w:pPr>
      <w:r>
        <w:rPr>
          <w:rFonts w:cs="Times New Roman"/>
        </w:rPr>
        <w:t>（</w:t>
      </w:r>
      <w:r>
        <w:rPr>
          <w:rFonts w:cs="Times New Roman"/>
        </w:rPr>
        <w:t>5</w:t>
      </w:r>
      <w:r>
        <w:rPr>
          <w:rFonts w:cs="Times New Roman"/>
        </w:rPr>
        <w:t>）环境风险影响评价及风险管理；</w:t>
      </w:r>
    </w:p>
    <w:p w:rsidR="00C645C9" w:rsidRDefault="00F955D9">
      <w:pPr>
        <w:pStyle w:val="GB231226"/>
        <w:widowControl w:val="0"/>
        <w:adjustRightInd w:val="0"/>
        <w:snapToGrid w:val="0"/>
        <w:rPr>
          <w:rFonts w:cs="Times New Roman"/>
        </w:rPr>
      </w:pPr>
      <w:r>
        <w:rPr>
          <w:rFonts w:cs="Times New Roman"/>
        </w:rPr>
        <w:t>（</w:t>
      </w:r>
      <w:r>
        <w:rPr>
          <w:rFonts w:cs="Times New Roman"/>
        </w:rPr>
        <w:t>6</w:t>
      </w:r>
      <w:r>
        <w:rPr>
          <w:rFonts w:cs="Times New Roman"/>
        </w:rPr>
        <w:t>）环境保护措施技术经济及可行性论证。</w:t>
      </w:r>
      <w:bookmarkEnd w:id="376"/>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465" w:name="_Toc22813"/>
      <w:r>
        <w:rPr>
          <w:rFonts w:ascii="Times New Roman" w:hAnsi="Times New Roman" w:cs="Times New Roman"/>
          <w:color w:val="auto"/>
          <w:lang w:eastAsia="zh-CN"/>
        </w:rPr>
        <w:t>2.</w:t>
      </w:r>
      <w:r>
        <w:rPr>
          <w:rFonts w:ascii="Times New Roman" w:hAnsi="Times New Roman" w:cs="Times New Roman" w:hint="eastAsia"/>
          <w:color w:val="auto"/>
          <w:lang w:eastAsia="zh-CN"/>
        </w:rPr>
        <w:t>8</w:t>
      </w:r>
      <w:r>
        <w:rPr>
          <w:rFonts w:ascii="Times New Roman" w:hAnsi="Times New Roman" w:cs="Times New Roman"/>
          <w:color w:val="auto"/>
          <w:lang w:eastAsia="zh-CN"/>
        </w:rPr>
        <w:t>评价时段和评价方法</w:t>
      </w:r>
      <w:bookmarkEnd w:id="465"/>
    </w:p>
    <w:p w:rsidR="00C645C9" w:rsidRDefault="00F955D9">
      <w:pPr>
        <w:pStyle w:val="GB231226"/>
        <w:widowControl w:val="0"/>
        <w:adjustRightInd w:val="0"/>
        <w:snapToGrid w:val="0"/>
        <w:rPr>
          <w:rFonts w:cs="Times New Roman"/>
        </w:rPr>
      </w:pPr>
      <w:r>
        <w:rPr>
          <w:rFonts w:cs="Times New Roman"/>
        </w:rPr>
        <w:t>评价时段包括施工期、运营期、退役期三个时段，其中以施工期和运营期为主。</w:t>
      </w:r>
    </w:p>
    <w:p w:rsidR="00C645C9" w:rsidRDefault="00F955D9">
      <w:pPr>
        <w:pStyle w:val="GB231226"/>
        <w:widowControl w:val="0"/>
        <w:adjustRightInd w:val="0"/>
        <w:snapToGrid w:val="0"/>
        <w:rPr>
          <w:rFonts w:cs="Times New Roman"/>
        </w:rPr>
      </w:pPr>
      <w:r>
        <w:rPr>
          <w:rFonts w:cs="Times New Roman"/>
        </w:rPr>
        <w:t>本工程环境影响评价采用定量评价与定性评价相结合的方法，以量化评价为主。采用环境影响评价技术导则规定的评价方法予以分析。本次评价采用了实测法、类比分析法、产污系数法、排污系数法等。本次环境评价使用的评价方法见表</w:t>
      </w:r>
      <w:r>
        <w:rPr>
          <w:rFonts w:cs="Times New Roman" w:hint="eastAsia"/>
        </w:rPr>
        <w:t>2.8-1</w:t>
      </w:r>
      <w:r>
        <w:rPr>
          <w:rFonts w:cs="Times New Roman" w:hint="eastAsia"/>
        </w:rPr>
        <w:t>。</w:t>
      </w:r>
    </w:p>
    <w:p w:rsidR="00C645C9" w:rsidRDefault="00F955D9">
      <w:pPr>
        <w:widowControl w:val="0"/>
        <w:adjustRightInd w:val="0"/>
        <w:snapToGrid w:val="0"/>
        <w:jc w:val="center"/>
        <w:rPr>
          <w:rFonts w:eastAsia="黑体" w:cs="Times New Roman"/>
          <w:sz w:val="21"/>
          <w:szCs w:val="21"/>
        </w:rPr>
      </w:pPr>
      <w:bookmarkStart w:id="466" w:name="OLE_LINK479"/>
      <w:r>
        <w:rPr>
          <w:rFonts w:eastAsia="黑体" w:cs="Times New Roman"/>
          <w:sz w:val="21"/>
          <w:szCs w:val="21"/>
        </w:rPr>
        <w:t>表</w:t>
      </w:r>
      <w:r>
        <w:rPr>
          <w:rFonts w:eastAsia="黑体" w:cs="Times New Roman"/>
          <w:sz w:val="21"/>
          <w:szCs w:val="21"/>
        </w:rPr>
        <w:t>2.</w:t>
      </w:r>
      <w:r>
        <w:rPr>
          <w:rFonts w:eastAsia="黑体" w:cs="Times New Roman" w:hint="eastAsia"/>
          <w:sz w:val="21"/>
          <w:szCs w:val="21"/>
        </w:rPr>
        <w:t>8</w:t>
      </w:r>
      <w:r>
        <w:rPr>
          <w:rFonts w:eastAsia="黑体" w:cs="Times New Roman"/>
          <w:sz w:val="21"/>
          <w:szCs w:val="21"/>
        </w:rPr>
        <w:t>-1</w:t>
      </w:r>
      <w:r>
        <w:rPr>
          <w:rFonts w:eastAsia="黑体" w:cs="Times New Roman"/>
          <w:sz w:val="21"/>
          <w:szCs w:val="21"/>
        </w:rPr>
        <w:t xml:space="preserve">   </w:t>
      </w:r>
      <w:r>
        <w:rPr>
          <w:rFonts w:eastAsia="黑体" w:cs="Times New Roman"/>
          <w:sz w:val="21"/>
          <w:szCs w:val="21"/>
        </w:rPr>
        <w:t>评价内容一览表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526"/>
        <w:gridCol w:w="5265"/>
      </w:tblGrid>
      <w:tr w:rsidR="00C645C9">
        <w:trPr>
          <w:trHeight w:val="341"/>
        </w:trPr>
        <w:tc>
          <w:tcPr>
            <w:tcW w:w="481" w:type="pct"/>
            <w:vAlign w:val="center"/>
          </w:tcPr>
          <w:bookmarkEnd w:id="466"/>
          <w:p w:rsidR="00C645C9" w:rsidRDefault="00F955D9">
            <w:pPr>
              <w:widowControl w:val="0"/>
              <w:adjustRightInd w:val="0"/>
              <w:snapToGrid w:val="0"/>
              <w:jc w:val="center"/>
              <w:rPr>
                <w:rFonts w:cs="Times New Roman"/>
                <w:sz w:val="21"/>
                <w:szCs w:val="21"/>
              </w:rPr>
            </w:pPr>
            <w:r>
              <w:rPr>
                <w:rFonts w:cs="Times New Roman"/>
                <w:sz w:val="21"/>
                <w:szCs w:val="21"/>
              </w:rPr>
              <w:t>序号</w:t>
            </w:r>
          </w:p>
        </w:tc>
        <w:tc>
          <w:tcPr>
            <w:tcW w:w="1465"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项目</w:t>
            </w:r>
          </w:p>
        </w:tc>
        <w:tc>
          <w:tcPr>
            <w:tcW w:w="3053"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采用方法</w:t>
            </w:r>
          </w:p>
        </w:tc>
      </w:tr>
      <w:tr w:rsidR="00C645C9">
        <w:trPr>
          <w:trHeight w:val="341"/>
        </w:trPr>
        <w:tc>
          <w:tcPr>
            <w:tcW w:w="481"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1</w:t>
            </w:r>
          </w:p>
        </w:tc>
        <w:tc>
          <w:tcPr>
            <w:tcW w:w="1465"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环境影响因素识别方法</w:t>
            </w:r>
          </w:p>
        </w:tc>
        <w:tc>
          <w:tcPr>
            <w:tcW w:w="3053"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矩阵法</w:t>
            </w:r>
          </w:p>
        </w:tc>
      </w:tr>
      <w:tr w:rsidR="00C645C9">
        <w:trPr>
          <w:trHeight w:val="341"/>
        </w:trPr>
        <w:tc>
          <w:tcPr>
            <w:tcW w:w="829"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2</w:t>
            </w:r>
          </w:p>
        </w:tc>
        <w:tc>
          <w:tcPr>
            <w:tcW w:w="1465"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环境现状调查</w:t>
            </w:r>
          </w:p>
        </w:tc>
        <w:tc>
          <w:tcPr>
            <w:tcW w:w="3053"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实测法</w:t>
            </w:r>
            <w:r>
              <w:rPr>
                <w:rFonts w:cs="Times New Roman" w:hint="eastAsia"/>
                <w:sz w:val="21"/>
                <w:szCs w:val="21"/>
              </w:rPr>
              <w:t>、</w:t>
            </w:r>
            <w:r>
              <w:rPr>
                <w:rFonts w:cs="Times New Roman"/>
                <w:sz w:val="21"/>
                <w:szCs w:val="21"/>
              </w:rPr>
              <w:t>收集资料法、现场调查法</w:t>
            </w:r>
          </w:p>
        </w:tc>
      </w:tr>
      <w:tr w:rsidR="00C645C9">
        <w:trPr>
          <w:trHeight w:val="341"/>
        </w:trPr>
        <w:tc>
          <w:tcPr>
            <w:tcW w:w="829"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3</w:t>
            </w:r>
          </w:p>
        </w:tc>
        <w:tc>
          <w:tcPr>
            <w:tcW w:w="1465"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工程分析</w:t>
            </w:r>
          </w:p>
        </w:tc>
        <w:tc>
          <w:tcPr>
            <w:tcW w:w="3053" w:type="pct"/>
            <w:vAlign w:val="center"/>
          </w:tcPr>
          <w:p w:rsidR="00C645C9" w:rsidRDefault="00F955D9">
            <w:pPr>
              <w:widowControl w:val="0"/>
              <w:adjustRightInd w:val="0"/>
              <w:snapToGrid w:val="0"/>
              <w:jc w:val="center"/>
              <w:rPr>
                <w:rFonts w:cs="Times New Roman"/>
                <w:sz w:val="21"/>
                <w:szCs w:val="21"/>
              </w:rPr>
            </w:pPr>
            <w:r>
              <w:rPr>
                <w:rFonts w:cs="Times New Roman"/>
                <w:spacing w:val="-6"/>
                <w:sz w:val="21"/>
                <w:szCs w:val="21"/>
              </w:rPr>
              <w:t>类比分析法、产污系数法</w:t>
            </w:r>
            <w:r>
              <w:rPr>
                <w:rFonts w:cs="Times New Roman"/>
                <w:sz w:val="21"/>
                <w:szCs w:val="21"/>
              </w:rPr>
              <w:t>、排污系数法</w:t>
            </w:r>
            <w:r>
              <w:rPr>
                <w:rFonts w:cs="Times New Roman" w:hint="eastAsia"/>
                <w:sz w:val="21"/>
                <w:szCs w:val="21"/>
              </w:rPr>
              <w:t>、</w:t>
            </w:r>
            <w:r>
              <w:rPr>
                <w:rFonts w:cs="Times New Roman"/>
                <w:spacing w:val="-6"/>
                <w:sz w:val="21"/>
                <w:szCs w:val="21"/>
              </w:rPr>
              <w:t>查阅参考资料法</w:t>
            </w:r>
          </w:p>
        </w:tc>
      </w:tr>
      <w:tr w:rsidR="00C645C9">
        <w:trPr>
          <w:trHeight w:val="341"/>
        </w:trPr>
        <w:tc>
          <w:tcPr>
            <w:tcW w:w="481"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4</w:t>
            </w:r>
          </w:p>
        </w:tc>
        <w:tc>
          <w:tcPr>
            <w:tcW w:w="1465"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影响评价</w:t>
            </w:r>
          </w:p>
        </w:tc>
        <w:tc>
          <w:tcPr>
            <w:tcW w:w="3053"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类比分析法</w:t>
            </w:r>
            <w:r>
              <w:rPr>
                <w:rFonts w:cs="Times New Roman"/>
                <w:spacing w:val="-6"/>
                <w:sz w:val="21"/>
                <w:szCs w:val="21"/>
              </w:rPr>
              <w:t>、</w:t>
            </w:r>
            <w:r>
              <w:rPr>
                <w:rFonts w:cs="Times New Roman"/>
                <w:sz w:val="21"/>
                <w:szCs w:val="21"/>
              </w:rPr>
              <w:t>数学模式法、预测模式</w:t>
            </w:r>
          </w:p>
        </w:tc>
      </w:tr>
    </w:tbl>
    <w:p w:rsidR="00C645C9" w:rsidRDefault="00F955D9">
      <w:pPr>
        <w:pStyle w:val="1"/>
        <w:widowControl w:val="0"/>
        <w:adjustRightInd w:val="0"/>
        <w:snapToGrid w:val="0"/>
        <w:spacing w:before="0" w:after="0" w:line="360" w:lineRule="auto"/>
        <w:rPr>
          <w:rFonts w:ascii="Times New Roman" w:hAnsi="Times New Roman" w:cs="Times New Roman"/>
          <w:color w:val="auto"/>
          <w:sz w:val="36"/>
          <w:szCs w:val="36"/>
          <w:lang w:eastAsia="zh-CN"/>
        </w:rPr>
      </w:pPr>
      <w:bookmarkStart w:id="467" w:name="_Toc21960"/>
      <w:bookmarkStart w:id="468" w:name="_Toc21169"/>
      <w:r>
        <w:rPr>
          <w:rFonts w:ascii="Times New Roman" w:hAnsi="Times New Roman" w:cs="Times New Roman"/>
          <w:color w:val="auto"/>
          <w:sz w:val="36"/>
          <w:szCs w:val="36"/>
          <w:lang w:eastAsia="zh-CN"/>
        </w:rPr>
        <w:t>3</w:t>
      </w:r>
      <w:bookmarkEnd w:id="467"/>
      <w:r>
        <w:rPr>
          <w:rFonts w:ascii="Times New Roman" w:hAnsi="Times New Roman" w:cs="Times New Roman" w:hint="eastAsia"/>
          <w:color w:val="auto"/>
          <w:sz w:val="36"/>
          <w:szCs w:val="36"/>
          <w:lang w:eastAsia="zh-CN"/>
        </w:rPr>
        <w:t>建设项目工程概况和工程分析</w:t>
      </w:r>
      <w:bookmarkEnd w:id="468"/>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469" w:name="_Toc6640"/>
      <w:bookmarkStart w:id="470" w:name="_Toc28766"/>
      <w:r>
        <w:rPr>
          <w:rFonts w:ascii="Times New Roman" w:hAnsi="Times New Roman" w:cs="Times New Roman"/>
          <w:color w:val="auto"/>
          <w:lang w:eastAsia="zh-CN"/>
        </w:rPr>
        <w:t>3.</w:t>
      </w:r>
      <w:r>
        <w:rPr>
          <w:rFonts w:ascii="Times New Roman" w:hAnsi="Times New Roman" w:cs="Times New Roman" w:hint="eastAsia"/>
          <w:color w:val="auto"/>
          <w:lang w:eastAsia="zh-CN"/>
        </w:rPr>
        <w:t>1</w:t>
      </w:r>
      <w:bookmarkEnd w:id="469"/>
      <w:r>
        <w:rPr>
          <w:rFonts w:ascii="Times New Roman" w:hAnsi="Times New Roman" w:cs="Times New Roman"/>
          <w:color w:val="auto"/>
          <w:lang w:eastAsia="zh-CN"/>
        </w:rPr>
        <w:t>现有工程</w:t>
      </w:r>
      <w:bookmarkEnd w:id="470"/>
    </w:p>
    <w:p w:rsidR="00C645C9" w:rsidRDefault="00F955D9">
      <w:pPr>
        <w:pStyle w:val="3"/>
        <w:widowControl w:val="0"/>
        <w:adjustRightInd w:val="0"/>
        <w:snapToGrid w:val="0"/>
        <w:spacing w:before="0" w:after="0" w:line="360" w:lineRule="auto"/>
        <w:rPr>
          <w:rFonts w:ascii="Times New Roman" w:hAnsi="Times New Roman" w:cs="Times New Roman"/>
          <w:bCs/>
          <w:color w:val="auto"/>
          <w:szCs w:val="28"/>
          <w:lang w:eastAsia="zh-CN"/>
        </w:rPr>
      </w:pPr>
      <w:r>
        <w:rPr>
          <w:rFonts w:ascii="Times New Roman" w:hAnsi="Times New Roman" w:cs="Times New Roman"/>
          <w:bCs/>
          <w:color w:val="auto"/>
          <w:szCs w:val="28"/>
          <w:lang w:eastAsia="zh-CN"/>
        </w:rPr>
        <w:t>3.</w:t>
      </w:r>
      <w:r>
        <w:rPr>
          <w:rFonts w:ascii="Times New Roman" w:hAnsi="Times New Roman" w:cs="Times New Roman" w:hint="eastAsia"/>
          <w:bCs/>
          <w:color w:val="auto"/>
          <w:szCs w:val="28"/>
          <w:lang w:eastAsia="zh-CN"/>
        </w:rPr>
        <w:t>1</w:t>
      </w:r>
      <w:r>
        <w:rPr>
          <w:rFonts w:ascii="Times New Roman" w:hAnsi="Times New Roman" w:cs="Times New Roman"/>
          <w:bCs/>
          <w:color w:val="auto"/>
          <w:szCs w:val="28"/>
          <w:lang w:eastAsia="zh-CN"/>
        </w:rPr>
        <w:t>.1</w:t>
      </w:r>
      <w:r>
        <w:rPr>
          <w:rFonts w:ascii="Times New Roman" w:hAnsi="Times New Roman" w:cs="Times New Roman"/>
          <w:bCs/>
          <w:color w:val="auto"/>
          <w:szCs w:val="28"/>
          <w:lang w:eastAsia="zh-CN"/>
        </w:rPr>
        <w:t>现有工程概况</w:t>
      </w:r>
    </w:p>
    <w:p w:rsidR="00C645C9" w:rsidRDefault="00F955D9">
      <w:pPr>
        <w:spacing w:line="360" w:lineRule="auto"/>
        <w:ind w:firstLineChars="200" w:firstLine="480"/>
        <w:rPr>
          <w:rFonts w:cs="Times New Roman"/>
          <w:szCs w:val="22"/>
        </w:rPr>
      </w:pPr>
      <w:r>
        <w:rPr>
          <w:rFonts w:cs="Times New Roman"/>
          <w:szCs w:val="22"/>
        </w:rPr>
        <w:t>（</w:t>
      </w:r>
      <w:r>
        <w:rPr>
          <w:rFonts w:cs="Times New Roman"/>
          <w:szCs w:val="22"/>
        </w:rPr>
        <w:t>1</w:t>
      </w:r>
      <w:r>
        <w:rPr>
          <w:rFonts w:cs="Times New Roman"/>
          <w:szCs w:val="22"/>
        </w:rPr>
        <w:t>）</w:t>
      </w:r>
      <w:r>
        <w:rPr>
          <w:rFonts w:cs="Times New Roman"/>
          <w:szCs w:val="22"/>
        </w:rPr>
        <w:t>基本情况</w:t>
      </w:r>
    </w:p>
    <w:p w:rsidR="00C645C9" w:rsidRDefault="00F955D9">
      <w:pPr>
        <w:spacing w:line="360" w:lineRule="auto"/>
        <w:ind w:firstLineChars="200" w:firstLine="480"/>
        <w:rPr>
          <w:rFonts w:cs="Times New Roman"/>
          <w:szCs w:val="22"/>
        </w:rPr>
      </w:pPr>
      <w:r>
        <w:rPr>
          <w:rFonts w:cs="Times New Roman" w:hint="eastAsia"/>
          <w:szCs w:val="22"/>
        </w:rPr>
        <w:t>根据《</w:t>
      </w:r>
      <w:bookmarkStart w:id="471" w:name="OLE_LINK184"/>
      <w:r>
        <w:rPr>
          <w:rFonts w:cs="Times New Roman" w:hint="eastAsia"/>
          <w:szCs w:val="22"/>
        </w:rPr>
        <w:t>中国石油化工股份有限公司西北油田分公司“十四五”规划</w:t>
      </w:r>
      <w:bookmarkEnd w:id="471"/>
      <w:r>
        <w:rPr>
          <w:rFonts w:cs="Times New Roman" w:hint="eastAsia"/>
          <w:szCs w:val="22"/>
        </w:rPr>
        <w:t>环境影响报告书》，“目前西北油田分公司负责勘查、开采的区块合计</w:t>
      </w:r>
      <w:r>
        <w:rPr>
          <w:rFonts w:cs="Times New Roman" w:hint="eastAsia"/>
          <w:szCs w:val="22"/>
        </w:rPr>
        <w:t>26</w:t>
      </w:r>
      <w:r>
        <w:rPr>
          <w:rFonts w:cs="Times New Roman" w:hint="eastAsia"/>
          <w:szCs w:val="22"/>
        </w:rPr>
        <w:t>个，其中勘查区块</w:t>
      </w:r>
      <w:r>
        <w:rPr>
          <w:rFonts w:cs="Times New Roman" w:hint="eastAsia"/>
          <w:szCs w:val="22"/>
        </w:rPr>
        <w:t>16</w:t>
      </w:r>
      <w:r>
        <w:rPr>
          <w:rFonts w:cs="Times New Roman" w:hint="eastAsia"/>
          <w:szCs w:val="22"/>
        </w:rPr>
        <w:t>个（新疆塔里木盆地中</w:t>
      </w:r>
      <w:r>
        <w:rPr>
          <w:rFonts w:cs="Times New Roman" w:hint="eastAsia"/>
          <w:szCs w:val="22"/>
        </w:rPr>
        <w:t>3</w:t>
      </w:r>
      <w:r>
        <w:rPr>
          <w:rFonts w:cs="Times New Roman" w:hint="eastAsia"/>
          <w:szCs w:val="22"/>
        </w:rPr>
        <w:t>区块油气勘查、中</w:t>
      </w:r>
      <w:r>
        <w:rPr>
          <w:rFonts w:cs="Times New Roman" w:hint="eastAsia"/>
          <w:szCs w:val="22"/>
        </w:rPr>
        <w:t>2</w:t>
      </w:r>
      <w:r>
        <w:rPr>
          <w:rFonts w:cs="Times New Roman" w:hint="eastAsia"/>
          <w:szCs w:val="22"/>
        </w:rPr>
        <w:t>区块油气勘查、中</w:t>
      </w:r>
      <w:r>
        <w:rPr>
          <w:rFonts w:cs="Times New Roman" w:hint="eastAsia"/>
          <w:szCs w:val="22"/>
        </w:rPr>
        <w:t>1</w:t>
      </w:r>
      <w:r>
        <w:rPr>
          <w:rFonts w:cs="Times New Roman" w:hint="eastAsia"/>
          <w:szCs w:val="22"/>
        </w:rPr>
        <w:t>区块油气勘查、阿东区块油气勘查、夏河区块油气勘查、顺托果勒区块油气勘查、顺托果勒西区块油气勘查、小海子区块油气勘查、卡塔</w:t>
      </w:r>
      <w:r>
        <w:rPr>
          <w:rFonts w:cs="Times New Roman" w:hint="eastAsia"/>
          <w:szCs w:val="22"/>
        </w:rPr>
        <w:t>4</w:t>
      </w:r>
      <w:r>
        <w:rPr>
          <w:rFonts w:cs="Times New Roman" w:hint="eastAsia"/>
          <w:szCs w:val="22"/>
        </w:rPr>
        <w:t>区块油气勘查、顺托果勒南区块油气勘查、</w:t>
      </w:r>
      <w:bookmarkStart w:id="472" w:name="OLE_LINK183"/>
      <w:r>
        <w:rPr>
          <w:rFonts w:cs="Times New Roman" w:hint="eastAsia"/>
          <w:szCs w:val="22"/>
        </w:rPr>
        <w:t>天山南缘区块油气勘查</w:t>
      </w:r>
      <w:bookmarkEnd w:id="472"/>
      <w:r>
        <w:rPr>
          <w:rFonts w:cs="Times New Roman" w:hint="eastAsia"/>
          <w:szCs w:val="22"/>
        </w:rPr>
        <w:t>、巴什托区块油气勘查、玉北</w:t>
      </w:r>
      <w:r>
        <w:rPr>
          <w:rFonts w:cs="Times New Roman" w:hint="eastAsia"/>
          <w:szCs w:val="22"/>
        </w:rPr>
        <w:t>1</w:t>
      </w:r>
      <w:r>
        <w:rPr>
          <w:rFonts w:cs="Times New Roman" w:hint="eastAsia"/>
          <w:szCs w:val="22"/>
        </w:rPr>
        <w:t>区块油气勘查、玉北</w:t>
      </w:r>
      <w:r>
        <w:rPr>
          <w:rFonts w:cs="Times New Roman" w:hint="eastAsia"/>
          <w:szCs w:val="22"/>
        </w:rPr>
        <w:t>2</w:t>
      </w:r>
      <w:r>
        <w:rPr>
          <w:rFonts w:cs="Times New Roman" w:hint="eastAsia"/>
          <w:szCs w:val="22"/>
        </w:rPr>
        <w:t>区块油气勘查、顺托果勒北地区油气勘查、于奇区块油气勘查）；开采区块</w:t>
      </w:r>
      <w:r>
        <w:rPr>
          <w:rFonts w:cs="Times New Roman" w:hint="eastAsia"/>
          <w:szCs w:val="22"/>
        </w:rPr>
        <w:t>10</w:t>
      </w:r>
      <w:r>
        <w:rPr>
          <w:rFonts w:cs="Times New Roman" w:hint="eastAsia"/>
          <w:szCs w:val="22"/>
        </w:rPr>
        <w:t>个（新疆塔里木盆地亚松迪油气开采、雅克拉凝析气田、天山南缘三道桥油气开采、巴什托油气田、轮台气田、大涝坝天然气开采、塔河油田、跃进油气开采、顺北油田顺北</w:t>
      </w:r>
      <w:r>
        <w:rPr>
          <w:rFonts w:cs="Times New Roman" w:hint="eastAsia"/>
          <w:szCs w:val="22"/>
        </w:rPr>
        <w:t>1</w:t>
      </w:r>
      <w:r>
        <w:rPr>
          <w:rFonts w:cs="Times New Roman" w:hint="eastAsia"/>
          <w:szCs w:val="22"/>
        </w:rPr>
        <w:t>井区油气开采、顺北油田顺北</w:t>
      </w:r>
      <w:r>
        <w:rPr>
          <w:rFonts w:cs="Times New Roman" w:hint="eastAsia"/>
          <w:szCs w:val="22"/>
        </w:rPr>
        <w:t>5</w:t>
      </w:r>
      <w:r>
        <w:rPr>
          <w:rFonts w:cs="Times New Roman" w:hint="eastAsia"/>
          <w:szCs w:val="22"/>
        </w:rPr>
        <w:t>井区石油开采）。”。</w:t>
      </w:r>
    </w:p>
    <w:p w:rsidR="00C645C9" w:rsidRDefault="00F955D9">
      <w:pPr>
        <w:spacing w:line="360" w:lineRule="auto"/>
        <w:ind w:firstLineChars="200" w:firstLine="480"/>
        <w:rPr>
          <w:rFonts w:cs="Times New Roman"/>
          <w:szCs w:val="22"/>
        </w:rPr>
      </w:pPr>
      <w:r>
        <w:rPr>
          <w:rFonts w:cs="Times New Roman" w:hint="eastAsia"/>
          <w:szCs w:val="22"/>
        </w:rPr>
        <w:lastRenderedPageBreak/>
        <w:t>本工程位于中国石油化工股份有限公司西北油田分公司“十四五”规划范围</w:t>
      </w:r>
      <w:bookmarkStart w:id="473" w:name="OLE_LINK200"/>
      <w:r>
        <w:rPr>
          <w:rFonts w:cs="Times New Roman" w:hint="eastAsia"/>
          <w:szCs w:val="22"/>
        </w:rPr>
        <w:t>的天山南缘区块油气勘查区</w:t>
      </w:r>
      <w:bookmarkEnd w:id="473"/>
      <w:r>
        <w:rPr>
          <w:rFonts w:cs="Times New Roman" w:hint="eastAsia"/>
          <w:szCs w:val="22"/>
        </w:rPr>
        <w:t>，</w:t>
      </w:r>
      <w:bookmarkStart w:id="474" w:name="OLE_LINK202"/>
      <w:r>
        <w:rPr>
          <w:rFonts w:cs="Times New Roman" w:hint="eastAsia"/>
          <w:szCs w:val="22"/>
        </w:rPr>
        <w:t>目前新北区块</w:t>
      </w:r>
      <w:r>
        <w:rPr>
          <w:rFonts w:hint="eastAsia"/>
        </w:rPr>
        <w:t>仅有</w:t>
      </w:r>
      <w:r>
        <w:rPr>
          <w:rFonts w:hint="eastAsia"/>
        </w:rPr>
        <w:t>新北</w:t>
      </w:r>
      <w:r>
        <w:rPr>
          <w:rFonts w:hint="eastAsia"/>
        </w:rPr>
        <w:t>1</w:t>
      </w:r>
      <w:r>
        <w:rPr>
          <w:rFonts w:hint="eastAsia"/>
        </w:rPr>
        <w:t>斜井</w:t>
      </w:r>
      <w:r>
        <w:rPr>
          <w:rFonts w:hint="eastAsia"/>
        </w:rPr>
        <w:t>探井项目</w:t>
      </w:r>
      <w:r>
        <w:rPr>
          <w:rFonts w:hint="eastAsia"/>
        </w:rPr>
        <w:t>，</w:t>
      </w:r>
      <w:r>
        <w:rPr>
          <w:rFonts w:hint="eastAsia"/>
        </w:rPr>
        <w:t>于</w:t>
      </w:r>
      <w:r>
        <w:rPr>
          <w:rFonts w:hint="eastAsia"/>
        </w:rPr>
        <w:t>2023</w:t>
      </w:r>
      <w:r>
        <w:rPr>
          <w:rFonts w:hint="eastAsia"/>
        </w:rPr>
        <w:t>年</w:t>
      </w:r>
      <w:r>
        <w:rPr>
          <w:rFonts w:hint="eastAsia"/>
        </w:rPr>
        <w:t>12</w:t>
      </w:r>
      <w:r>
        <w:rPr>
          <w:rFonts w:hint="eastAsia"/>
        </w:rPr>
        <w:t>月实施</w:t>
      </w:r>
      <w:bookmarkEnd w:id="474"/>
      <w:r>
        <w:rPr>
          <w:rFonts w:hint="eastAsia"/>
        </w:rPr>
        <w:t>。根据《</w:t>
      </w:r>
      <w:bookmarkStart w:id="475" w:name="OLE_LINK186"/>
      <w:bookmarkStart w:id="476" w:name="OLE_LINK199"/>
      <w:r>
        <w:rPr>
          <w:rFonts w:hint="eastAsia"/>
        </w:rPr>
        <w:t>新北</w:t>
      </w:r>
      <w:r>
        <w:rPr>
          <w:rFonts w:hint="eastAsia"/>
        </w:rPr>
        <w:t>1</w:t>
      </w:r>
      <w:r>
        <w:rPr>
          <w:rFonts w:hint="eastAsia"/>
        </w:rPr>
        <w:t>斜井</w:t>
      </w:r>
      <w:bookmarkEnd w:id="475"/>
      <w:r>
        <w:rPr>
          <w:rFonts w:hint="eastAsia"/>
        </w:rPr>
        <w:t>钻井工程（勘探井）</w:t>
      </w:r>
      <w:r>
        <w:rPr>
          <w:rFonts w:hint="eastAsia"/>
        </w:rPr>
        <w:t>环境</w:t>
      </w:r>
      <w:r>
        <w:rPr>
          <w:rFonts w:hint="eastAsia"/>
        </w:rPr>
        <w:t>影响报告表</w:t>
      </w:r>
      <w:bookmarkEnd w:id="476"/>
      <w:r>
        <w:rPr>
          <w:rFonts w:hint="eastAsia"/>
        </w:rPr>
        <w:t>》，</w:t>
      </w:r>
      <w:bookmarkStart w:id="477" w:name="OLE_LINK187"/>
      <w:r>
        <w:rPr>
          <w:rFonts w:hint="eastAsia"/>
        </w:rPr>
        <w:t>新北</w:t>
      </w:r>
      <w:r>
        <w:rPr>
          <w:rFonts w:hint="eastAsia"/>
        </w:rPr>
        <w:t>1</w:t>
      </w:r>
      <w:r>
        <w:rPr>
          <w:rFonts w:hint="eastAsia"/>
        </w:rPr>
        <w:t>斜井</w:t>
      </w:r>
      <w:bookmarkEnd w:id="477"/>
      <w:r>
        <w:rPr>
          <w:bCs/>
          <w:snapToGrid w:val="0"/>
        </w:rPr>
        <w:t>井型为斜井</w:t>
      </w:r>
      <w:r>
        <w:rPr>
          <w:rFonts w:hint="eastAsia"/>
          <w:bCs/>
          <w:snapToGrid w:val="0"/>
        </w:rPr>
        <w:t>，设计井深</w:t>
      </w:r>
      <w:r>
        <w:rPr>
          <w:rFonts w:hint="eastAsia"/>
          <w:bCs/>
          <w:snapToGrid w:val="0"/>
        </w:rPr>
        <w:t>为</w:t>
      </w:r>
      <w:r>
        <w:rPr>
          <w:rFonts w:hint="eastAsia"/>
          <w:bCs/>
          <w:snapToGrid w:val="0"/>
        </w:rPr>
        <w:t>7445m</w:t>
      </w:r>
      <w:r>
        <w:rPr>
          <w:rFonts w:hint="eastAsia"/>
          <w:bCs/>
          <w:snapToGrid w:val="0"/>
        </w:rPr>
        <w:t>（斜）</w:t>
      </w:r>
      <w:r>
        <w:rPr>
          <w:rFonts w:hint="eastAsia"/>
          <w:bCs/>
          <w:snapToGrid w:val="0"/>
        </w:rPr>
        <w:t>/7114m</w:t>
      </w:r>
      <w:r>
        <w:rPr>
          <w:rFonts w:hint="eastAsia"/>
          <w:bCs/>
          <w:snapToGrid w:val="0"/>
        </w:rPr>
        <w:t>（垂），采用三开井身结构。</w:t>
      </w:r>
      <w:r>
        <w:rPr>
          <w:rFonts w:hint="eastAsia"/>
        </w:rPr>
        <w:t>项目建设内容</w:t>
      </w:r>
      <w:r>
        <w:rPr>
          <w:rFonts w:hint="eastAsia"/>
          <w:bCs/>
          <w:snapToGrid w:val="0"/>
        </w:rPr>
        <w:t>包括主体工程（钻前工程、钻井工程、试油、钻后工程等）、辅助公用工程（供电、供水等）、环保工程（放喷池、钻井废弃物不落地处理系统等），办公及生活设施（全部为活动房），以及仓储工程（泥浆储备罐等）等组成。</w:t>
      </w:r>
      <w:r>
        <w:rPr>
          <w:rFonts w:hint="eastAsia"/>
        </w:rPr>
        <w:t>完钻后进行试油，获取有关技术参数。</w:t>
      </w:r>
    </w:p>
    <w:p w:rsidR="00C645C9" w:rsidRDefault="00F955D9">
      <w:pPr>
        <w:spacing w:line="360" w:lineRule="auto"/>
        <w:ind w:firstLineChars="200" w:firstLine="480"/>
        <w:rPr>
          <w:rFonts w:cs="Times New Roman"/>
          <w:szCs w:val="22"/>
        </w:rPr>
      </w:pPr>
      <w:r>
        <w:rPr>
          <w:rFonts w:hint="eastAsia"/>
        </w:rPr>
        <w:t>目前区块内仅有</w:t>
      </w:r>
      <w:r>
        <w:rPr>
          <w:rFonts w:hint="eastAsia"/>
        </w:rPr>
        <w:t>新北</w:t>
      </w:r>
      <w:r>
        <w:rPr>
          <w:rFonts w:cs="Times New Roman" w:hint="eastAsia"/>
          <w:szCs w:val="22"/>
        </w:rPr>
        <w:t>1X</w:t>
      </w:r>
      <w:r>
        <w:rPr>
          <w:rFonts w:hint="eastAsia"/>
        </w:rPr>
        <w:t>井。</w:t>
      </w:r>
      <w:r>
        <w:rPr>
          <w:rFonts w:hint="eastAsia"/>
        </w:rPr>
        <w:t>根据试油评价结果，在试油期间</w:t>
      </w:r>
      <w:r>
        <w:rPr>
          <w:rFonts w:hint="eastAsia"/>
        </w:rPr>
        <w:t>新北</w:t>
      </w:r>
      <w:r>
        <w:rPr>
          <w:rFonts w:cs="Times New Roman" w:hint="eastAsia"/>
          <w:szCs w:val="22"/>
        </w:rPr>
        <w:t>1X</w:t>
      </w:r>
      <w:r>
        <w:rPr>
          <w:rFonts w:hint="eastAsia"/>
        </w:rPr>
        <w:t>井日产油量</w:t>
      </w:r>
      <w:r>
        <w:rPr>
          <w:rFonts w:hint="eastAsia"/>
        </w:rPr>
        <w:t>40</w:t>
      </w:r>
      <w:r>
        <w:rPr>
          <w:rFonts w:hint="eastAsia"/>
        </w:rPr>
        <w:t>吨，日产气量</w:t>
      </w:r>
      <w:r>
        <w:rPr>
          <w:rFonts w:hint="eastAsia"/>
        </w:rPr>
        <w:t>8</w:t>
      </w:r>
      <w:r>
        <w:rPr>
          <w:rFonts w:hint="eastAsia"/>
        </w:rPr>
        <w:t>万方，气油比</w:t>
      </w:r>
      <w:r>
        <w:rPr>
          <w:rFonts w:hint="eastAsia"/>
        </w:rPr>
        <w:t>2306</w:t>
      </w:r>
      <w:r>
        <w:rPr>
          <w:rFonts w:hint="eastAsia"/>
        </w:rPr>
        <w:t>方</w:t>
      </w:r>
      <w:r>
        <w:rPr>
          <w:rFonts w:hint="eastAsia"/>
        </w:rPr>
        <w:t>/</w:t>
      </w:r>
      <w:r>
        <w:rPr>
          <w:rFonts w:hint="eastAsia"/>
        </w:rPr>
        <w:t>吨，不含水。试油评价结果表明，该区块有一定储量的石油天然气资源，需要配套完善地面工程，实施</w:t>
      </w:r>
      <w:bookmarkStart w:id="478" w:name="OLE_LINK188"/>
      <w:r>
        <w:rPr>
          <w:rFonts w:hint="eastAsia"/>
        </w:rPr>
        <w:t>新北</w:t>
      </w:r>
      <w:r>
        <w:rPr>
          <w:rFonts w:hint="eastAsia"/>
        </w:rPr>
        <w:t>1X</w:t>
      </w:r>
      <w:bookmarkEnd w:id="478"/>
      <w:r>
        <w:rPr>
          <w:rFonts w:hint="eastAsia"/>
        </w:rPr>
        <w:t>井探转采工程，摸清</w:t>
      </w:r>
      <w:bookmarkStart w:id="479" w:name="OLE_LINK190"/>
      <w:r>
        <w:rPr>
          <w:rFonts w:hint="eastAsia"/>
        </w:rPr>
        <w:t>新北</w:t>
      </w:r>
      <w:r>
        <w:rPr>
          <w:rFonts w:hint="eastAsia"/>
        </w:rPr>
        <w:t>1X</w:t>
      </w:r>
      <w:bookmarkEnd w:id="479"/>
      <w:r>
        <w:rPr>
          <w:rFonts w:hint="eastAsia"/>
        </w:rPr>
        <w:t>井区块油藏地质规模，进一步探明新北</w:t>
      </w:r>
      <w:r>
        <w:rPr>
          <w:rFonts w:hint="eastAsia"/>
        </w:rPr>
        <w:t>1X</w:t>
      </w:r>
      <w:r>
        <w:rPr>
          <w:rFonts w:hint="eastAsia"/>
        </w:rPr>
        <w:t>井区块产能，实现该区块开发。</w:t>
      </w:r>
    </w:p>
    <w:p w:rsidR="00C645C9" w:rsidRDefault="00F955D9">
      <w:pPr>
        <w:spacing w:line="360" w:lineRule="auto"/>
        <w:ind w:firstLineChars="200" w:firstLine="480"/>
        <w:rPr>
          <w:rFonts w:cs="Times New Roman"/>
          <w:szCs w:val="22"/>
        </w:rPr>
      </w:pPr>
      <w:bookmarkStart w:id="480" w:name="OLE_LINK185"/>
      <w:r>
        <w:t>本</w:t>
      </w:r>
      <w:r>
        <w:rPr>
          <w:rFonts w:hint="eastAsia"/>
        </w:rPr>
        <w:t>工程</w:t>
      </w:r>
      <w:r>
        <w:t>为</w:t>
      </w:r>
      <w:r>
        <w:rPr>
          <w:rFonts w:hint="eastAsia"/>
        </w:rPr>
        <w:t>新区块</w:t>
      </w:r>
      <w:r>
        <w:t>开发</w:t>
      </w:r>
      <w:r>
        <w:rPr>
          <w:rFonts w:hint="eastAsia"/>
        </w:rPr>
        <w:t>，</w:t>
      </w:r>
      <w:r>
        <w:rPr>
          <w:rFonts w:hint="eastAsia"/>
          <w:lang w:val="zh-CN"/>
        </w:rPr>
        <w:t>已建工程基本概况基本情况见表</w:t>
      </w:r>
      <w:bookmarkEnd w:id="480"/>
      <w:r>
        <w:rPr>
          <w:rFonts w:cs="Times New Roman" w:hint="eastAsia"/>
          <w:szCs w:val="22"/>
        </w:rPr>
        <w:t>3.1-1</w:t>
      </w:r>
      <w:r>
        <w:rPr>
          <w:rFonts w:cs="Times New Roman" w:hint="eastAsia"/>
          <w:szCs w:val="22"/>
        </w:rPr>
        <w:t>。</w:t>
      </w:r>
    </w:p>
    <w:p w:rsidR="00C645C9" w:rsidRDefault="00F955D9">
      <w:pPr>
        <w:pStyle w:val="af7"/>
        <w:outlineLvl w:val="9"/>
        <w:rPr>
          <w:szCs w:val="21"/>
        </w:rPr>
      </w:pPr>
      <w:r>
        <w:rPr>
          <w:szCs w:val="21"/>
        </w:rPr>
        <w:t>表</w:t>
      </w:r>
      <w:r>
        <w:rPr>
          <w:szCs w:val="21"/>
        </w:rPr>
        <w:t>3.</w:t>
      </w:r>
      <w:r>
        <w:rPr>
          <w:rFonts w:hint="eastAsia"/>
          <w:szCs w:val="21"/>
        </w:rPr>
        <w:t>1</w:t>
      </w:r>
      <w:r>
        <w:rPr>
          <w:szCs w:val="21"/>
        </w:rPr>
        <w:t>-1</w:t>
      </w:r>
      <w:r>
        <w:rPr>
          <w:szCs w:val="21"/>
        </w:rPr>
        <w:t xml:space="preserve">   </w:t>
      </w:r>
      <w:r>
        <w:rPr>
          <w:szCs w:val="21"/>
        </w:rPr>
        <w:t>现有工程基本概况一览表</w:t>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2"/>
        <w:gridCol w:w="7681"/>
      </w:tblGrid>
      <w:tr w:rsidR="00C645C9">
        <w:trPr>
          <w:trHeight w:val="314"/>
          <w:jc w:val="center"/>
        </w:trPr>
        <w:tc>
          <w:tcPr>
            <w:tcW w:w="567" w:type="pct"/>
            <w:tcBorders>
              <w:tl2br w:val="single" w:sz="4" w:space="0" w:color="auto"/>
            </w:tcBorders>
            <w:vAlign w:val="center"/>
          </w:tcPr>
          <w:p w:rsidR="00C645C9" w:rsidRDefault="00F955D9">
            <w:pPr>
              <w:pStyle w:val="afb"/>
              <w:adjustRightInd w:val="0"/>
              <w:snapToGrid w:val="0"/>
              <w:spacing w:line="240" w:lineRule="auto"/>
            </w:pPr>
            <w:r>
              <w:rPr>
                <w:rFonts w:hint="eastAsia"/>
              </w:rPr>
              <w:t xml:space="preserve">  </w:t>
            </w:r>
            <w:r>
              <w:rPr>
                <w:rFonts w:hint="eastAsia"/>
              </w:rPr>
              <w:t xml:space="preserve">  </w:t>
            </w:r>
            <w:r>
              <w:rPr>
                <w:rFonts w:hint="eastAsia"/>
              </w:rPr>
              <w:t>名称</w:t>
            </w:r>
          </w:p>
          <w:p w:rsidR="00C645C9" w:rsidRDefault="00F955D9">
            <w:pPr>
              <w:pStyle w:val="afb"/>
              <w:adjustRightInd w:val="0"/>
              <w:snapToGrid w:val="0"/>
              <w:spacing w:line="240" w:lineRule="auto"/>
              <w:jc w:val="both"/>
            </w:pPr>
            <w:r>
              <w:rPr>
                <w:rFonts w:hint="eastAsia"/>
              </w:rPr>
              <w:t>内容</w:t>
            </w:r>
          </w:p>
        </w:tc>
        <w:tc>
          <w:tcPr>
            <w:tcW w:w="4432" w:type="pct"/>
            <w:vAlign w:val="center"/>
          </w:tcPr>
          <w:p w:rsidR="00C645C9" w:rsidRDefault="00F955D9">
            <w:pPr>
              <w:pStyle w:val="afb"/>
              <w:adjustRightInd w:val="0"/>
              <w:snapToGrid w:val="0"/>
              <w:spacing w:line="240" w:lineRule="auto"/>
            </w:pPr>
            <w:bookmarkStart w:id="481" w:name="OLE_LINK198"/>
            <w:r>
              <w:rPr>
                <w:rFonts w:hint="eastAsia"/>
              </w:rPr>
              <w:t>新北</w:t>
            </w:r>
            <w:r>
              <w:rPr>
                <w:rFonts w:hint="eastAsia"/>
              </w:rPr>
              <w:t>1</w:t>
            </w:r>
            <w:r>
              <w:rPr>
                <w:rFonts w:hint="eastAsia"/>
              </w:rPr>
              <w:t>斜井</w:t>
            </w:r>
            <w:bookmarkEnd w:id="481"/>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位置</w:t>
            </w:r>
          </w:p>
        </w:tc>
        <w:tc>
          <w:tcPr>
            <w:tcW w:w="4432" w:type="pct"/>
            <w:vAlign w:val="center"/>
          </w:tcPr>
          <w:p w:rsidR="00C645C9" w:rsidRDefault="00F955D9">
            <w:pPr>
              <w:pStyle w:val="afb"/>
              <w:adjustRightInd w:val="0"/>
              <w:snapToGrid w:val="0"/>
              <w:spacing w:line="240" w:lineRule="auto"/>
            </w:pPr>
            <w:r>
              <w:rPr>
                <w:rFonts w:hint="eastAsia"/>
              </w:rPr>
              <w:t>新疆维吾尔自治区阿克苏地区新和县</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坐标</w:t>
            </w:r>
          </w:p>
        </w:tc>
        <w:tc>
          <w:tcPr>
            <w:tcW w:w="4432" w:type="pct"/>
            <w:vAlign w:val="center"/>
          </w:tcPr>
          <w:p w:rsidR="00C645C9" w:rsidRDefault="00F955D9">
            <w:pPr>
              <w:pStyle w:val="afb"/>
              <w:adjustRightInd w:val="0"/>
              <w:snapToGrid w:val="0"/>
              <w:spacing w:line="240" w:lineRule="auto"/>
            </w:pPr>
            <w:r>
              <w:rPr>
                <w:rFonts w:hint="eastAsia"/>
              </w:rPr>
              <w:t>**</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设计井深</w:t>
            </w:r>
          </w:p>
        </w:tc>
        <w:tc>
          <w:tcPr>
            <w:tcW w:w="4432" w:type="pct"/>
            <w:vAlign w:val="center"/>
          </w:tcPr>
          <w:p w:rsidR="00C645C9" w:rsidRDefault="00F955D9">
            <w:pPr>
              <w:pStyle w:val="afb"/>
              <w:adjustRightInd w:val="0"/>
              <w:snapToGrid w:val="0"/>
              <w:spacing w:line="240" w:lineRule="auto"/>
            </w:pPr>
            <w:r>
              <w:rPr>
                <w:rFonts w:hint="eastAsia"/>
              </w:rPr>
              <w:t>7445m</w:t>
            </w:r>
            <w:r>
              <w:rPr>
                <w:rFonts w:hint="eastAsia"/>
              </w:rPr>
              <w:t>（斜）</w:t>
            </w:r>
            <w:r>
              <w:rPr>
                <w:rFonts w:hint="eastAsia"/>
              </w:rPr>
              <w:t>/7114m</w:t>
            </w:r>
            <w:r>
              <w:rPr>
                <w:rFonts w:hint="eastAsia"/>
              </w:rPr>
              <w:t>（垂）</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实际井深</w:t>
            </w:r>
          </w:p>
        </w:tc>
        <w:tc>
          <w:tcPr>
            <w:tcW w:w="4432" w:type="pct"/>
            <w:vAlign w:val="center"/>
          </w:tcPr>
          <w:p w:rsidR="00C645C9" w:rsidRDefault="00F955D9">
            <w:pPr>
              <w:pStyle w:val="afb"/>
              <w:adjustRightInd w:val="0"/>
              <w:snapToGrid w:val="0"/>
              <w:spacing w:line="240" w:lineRule="auto"/>
            </w:pPr>
            <w:r>
              <w:rPr>
                <w:rFonts w:hint="eastAsia"/>
              </w:rPr>
              <w:t>7370m</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开钻时间</w:t>
            </w:r>
          </w:p>
        </w:tc>
        <w:tc>
          <w:tcPr>
            <w:tcW w:w="4432" w:type="pct"/>
            <w:vAlign w:val="center"/>
          </w:tcPr>
          <w:p w:rsidR="00C645C9" w:rsidRDefault="00F955D9">
            <w:pPr>
              <w:pStyle w:val="afb"/>
              <w:adjustRightInd w:val="0"/>
              <w:snapToGrid w:val="0"/>
              <w:spacing w:line="240" w:lineRule="auto"/>
            </w:pPr>
            <w:r>
              <w:rPr>
                <w:rFonts w:hint="eastAsia"/>
              </w:rPr>
              <w:t>2</w:t>
            </w:r>
            <w:r>
              <w:t>02</w:t>
            </w:r>
            <w:r>
              <w:rPr>
                <w:rFonts w:hint="eastAsia"/>
              </w:rPr>
              <w:t>2</w:t>
            </w:r>
            <w:r>
              <w:rPr>
                <w:rFonts w:hint="eastAsia"/>
              </w:rPr>
              <w:t>年</w:t>
            </w:r>
            <w:r>
              <w:rPr>
                <w:rFonts w:hint="eastAsia"/>
              </w:rPr>
              <w:t>7</w:t>
            </w:r>
            <w:r>
              <w:rPr>
                <w:rFonts w:hint="eastAsia"/>
              </w:rPr>
              <w:t>月</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完钻时间</w:t>
            </w:r>
          </w:p>
        </w:tc>
        <w:tc>
          <w:tcPr>
            <w:tcW w:w="4432" w:type="pct"/>
            <w:vAlign w:val="center"/>
          </w:tcPr>
          <w:p w:rsidR="00C645C9" w:rsidRDefault="00F955D9">
            <w:pPr>
              <w:pStyle w:val="afb"/>
              <w:adjustRightInd w:val="0"/>
              <w:snapToGrid w:val="0"/>
              <w:spacing w:line="240" w:lineRule="auto"/>
            </w:pPr>
            <w:r>
              <w:rPr>
                <w:rFonts w:hint="eastAsia"/>
              </w:rPr>
              <w:t>2</w:t>
            </w:r>
            <w:r>
              <w:t>023</w:t>
            </w:r>
            <w:r>
              <w:rPr>
                <w:rFonts w:hint="eastAsia"/>
              </w:rPr>
              <w:t>年</w:t>
            </w:r>
            <w:r>
              <w:rPr>
                <w:rFonts w:hint="eastAsia"/>
              </w:rPr>
              <w:t>1</w:t>
            </w:r>
            <w:r>
              <w:rPr>
                <w:rFonts w:hint="eastAsia"/>
              </w:rPr>
              <w:t>2</w:t>
            </w:r>
            <w:r>
              <w:rPr>
                <w:rFonts w:hint="eastAsia"/>
              </w:rPr>
              <w:t>月</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完钻层位</w:t>
            </w:r>
          </w:p>
        </w:tc>
        <w:tc>
          <w:tcPr>
            <w:tcW w:w="4432" w:type="pct"/>
            <w:vAlign w:val="center"/>
          </w:tcPr>
          <w:p w:rsidR="00C645C9" w:rsidRDefault="00F955D9">
            <w:pPr>
              <w:pStyle w:val="afb"/>
              <w:adjustRightInd w:val="0"/>
              <w:snapToGrid w:val="0"/>
              <w:spacing w:line="240" w:lineRule="auto"/>
            </w:pPr>
            <w:r>
              <w:rPr>
                <w:rFonts w:hint="eastAsia"/>
              </w:rPr>
              <w:t>白垩系巴什基奇克组</w:t>
            </w:r>
          </w:p>
        </w:tc>
      </w:tr>
      <w:tr w:rsidR="00C645C9">
        <w:trPr>
          <w:trHeight w:val="397"/>
          <w:jc w:val="center"/>
        </w:trPr>
        <w:tc>
          <w:tcPr>
            <w:tcW w:w="567" w:type="pct"/>
            <w:vAlign w:val="center"/>
          </w:tcPr>
          <w:p w:rsidR="00C645C9" w:rsidRDefault="00F955D9">
            <w:pPr>
              <w:pStyle w:val="afb"/>
              <w:adjustRightInd w:val="0"/>
              <w:snapToGrid w:val="0"/>
              <w:spacing w:line="240" w:lineRule="auto"/>
            </w:pPr>
            <w:bookmarkStart w:id="482" w:name="OLE_LINK191"/>
            <w:r>
              <w:rPr>
                <w:rFonts w:hint="eastAsia"/>
              </w:rPr>
              <w:t>完井</w:t>
            </w:r>
            <w:bookmarkEnd w:id="482"/>
            <w:r>
              <w:rPr>
                <w:rFonts w:hint="eastAsia"/>
              </w:rPr>
              <w:t>形式</w:t>
            </w:r>
          </w:p>
        </w:tc>
        <w:tc>
          <w:tcPr>
            <w:tcW w:w="4432" w:type="pct"/>
            <w:vAlign w:val="center"/>
          </w:tcPr>
          <w:p w:rsidR="00C645C9" w:rsidRDefault="00F955D9">
            <w:pPr>
              <w:pStyle w:val="afb"/>
              <w:adjustRightInd w:val="0"/>
              <w:snapToGrid w:val="0"/>
              <w:spacing w:line="240" w:lineRule="auto"/>
            </w:pPr>
            <w:r>
              <w:rPr>
                <w:rFonts w:hint="eastAsia"/>
              </w:rPr>
              <w:t>套管完井</w:t>
            </w:r>
          </w:p>
        </w:tc>
      </w:tr>
      <w:tr w:rsidR="00C645C9">
        <w:trPr>
          <w:trHeight w:val="397"/>
          <w:jc w:val="center"/>
        </w:trPr>
        <w:tc>
          <w:tcPr>
            <w:tcW w:w="567" w:type="pct"/>
            <w:vAlign w:val="center"/>
          </w:tcPr>
          <w:p w:rsidR="00C645C9" w:rsidRDefault="00F955D9">
            <w:pPr>
              <w:pStyle w:val="afb"/>
              <w:adjustRightInd w:val="0"/>
              <w:snapToGrid w:val="0"/>
              <w:spacing w:line="240" w:lineRule="auto"/>
            </w:pPr>
            <w:r>
              <w:rPr>
                <w:rFonts w:hint="eastAsia"/>
              </w:rPr>
              <w:t>井场布置</w:t>
            </w:r>
          </w:p>
        </w:tc>
        <w:tc>
          <w:tcPr>
            <w:tcW w:w="4432" w:type="pct"/>
            <w:vAlign w:val="center"/>
          </w:tcPr>
          <w:p w:rsidR="00C645C9" w:rsidRDefault="00F955D9">
            <w:pPr>
              <w:pStyle w:val="afb"/>
              <w:adjustRightInd w:val="0"/>
              <w:snapToGrid w:val="0"/>
              <w:spacing w:line="240" w:lineRule="auto"/>
            </w:pPr>
            <w:r>
              <w:rPr>
                <w:rFonts w:hint="eastAsia"/>
              </w:rPr>
              <w:t>钻井平台、应急池、放喷池、泥浆不落地装置</w:t>
            </w:r>
            <w:r>
              <w:rPr>
                <w:rFonts w:hint="eastAsia"/>
              </w:rPr>
              <w:t>、</w:t>
            </w:r>
            <w:bookmarkStart w:id="483" w:name="OLE_LINK192"/>
            <w:r>
              <w:rPr>
                <w:rFonts w:hint="eastAsia"/>
              </w:rPr>
              <w:t>泥浆罐</w:t>
            </w:r>
            <w:bookmarkEnd w:id="483"/>
            <w:r>
              <w:rPr>
                <w:rFonts w:hint="eastAsia"/>
              </w:rPr>
              <w:t>、</w:t>
            </w:r>
            <w:bookmarkStart w:id="484" w:name="OLE_LINK193"/>
            <w:r>
              <w:rPr>
                <w:rFonts w:hint="eastAsia"/>
              </w:rPr>
              <w:t>泥浆泵</w:t>
            </w:r>
            <w:bookmarkEnd w:id="484"/>
            <w:r>
              <w:rPr>
                <w:rFonts w:hint="eastAsia"/>
              </w:rPr>
              <w:t>、</w:t>
            </w:r>
            <w:bookmarkStart w:id="485" w:name="OLE_LINK194"/>
            <w:r>
              <w:rPr>
                <w:rFonts w:hint="eastAsia"/>
              </w:rPr>
              <w:t>柴油罐</w:t>
            </w:r>
            <w:bookmarkEnd w:id="485"/>
            <w:r>
              <w:rPr>
                <w:rFonts w:hint="eastAsia"/>
              </w:rPr>
              <w:t>等</w:t>
            </w:r>
          </w:p>
        </w:tc>
      </w:tr>
      <w:tr w:rsidR="00C645C9">
        <w:trPr>
          <w:trHeight w:val="656"/>
          <w:jc w:val="center"/>
        </w:trPr>
        <w:tc>
          <w:tcPr>
            <w:tcW w:w="567" w:type="pct"/>
            <w:vAlign w:val="center"/>
          </w:tcPr>
          <w:p w:rsidR="00C645C9" w:rsidRDefault="00F955D9">
            <w:pPr>
              <w:pStyle w:val="afb"/>
              <w:adjustRightInd w:val="0"/>
              <w:snapToGrid w:val="0"/>
              <w:spacing w:line="240" w:lineRule="auto"/>
            </w:pPr>
            <w:bookmarkStart w:id="486" w:name="OLE_LINK195"/>
            <w:r>
              <w:rPr>
                <w:rFonts w:hint="eastAsia"/>
              </w:rPr>
              <w:t>完井</w:t>
            </w:r>
            <w:bookmarkEnd w:id="486"/>
          </w:p>
        </w:tc>
        <w:tc>
          <w:tcPr>
            <w:tcW w:w="4432" w:type="pct"/>
            <w:vAlign w:val="center"/>
          </w:tcPr>
          <w:p w:rsidR="00C645C9" w:rsidRDefault="00F955D9">
            <w:pPr>
              <w:pStyle w:val="afb"/>
              <w:adjustRightInd w:val="0"/>
              <w:snapToGrid w:val="0"/>
              <w:spacing w:line="240" w:lineRule="auto"/>
            </w:pPr>
            <w:r>
              <w:rPr>
                <w:rFonts w:hint="eastAsia"/>
              </w:rPr>
              <w:t>进行井场临时施工设施拆除、井场设备搬迁以及钻井产生的“三废”处理，井场地面平整恢复及临时占地恢复、放喷池已清理</w:t>
            </w:r>
          </w:p>
        </w:tc>
      </w:tr>
    </w:tbl>
    <w:p w:rsidR="00C645C9" w:rsidRDefault="00F955D9">
      <w:pPr>
        <w:keepNext/>
        <w:keepLines/>
        <w:spacing w:before="120" w:after="120"/>
        <w:outlineLvl w:val="2"/>
        <w:rPr>
          <w:rFonts w:cs="Times New Roman"/>
          <w:b/>
          <w:sz w:val="28"/>
          <w:szCs w:val="22"/>
        </w:rPr>
      </w:pPr>
      <w:r>
        <w:rPr>
          <w:rFonts w:cs="Times New Roman"/>
          <w:b/>
          <w:sz w:val="28"/>
          <w:szCs w:val="22"/>
        </w:rPr>
        <w:t>3.</w:t>
      </w:r>
      <w:r>
        <w:rPr>
          <w:rFonts w:cs="Times New Roman" w:hint="eastAsia"/>
          <w:b/>
          <w:sz w:val="28"/>
          <w:szCs w:val="22"/>
        </w:rPr>
        <w:t>1</w:t>
      </w:r>
      <w:r>
        <w:rPr>
          <w:rFonts w:cs="Times New Roman"/>
          <w:b/>
          <w:sz w:val="28"/>
          <w:szCs w:val="22"/>
        </w:rPr>
        <w:t>.</w:t>
      </w:r>
      <w:r>
        <w:rPr>
          <w:rFonts w:cs="Times New Roman"/>
          <w:b/>
          <w:sz w:val="28"/>
          <w:szCs w:val="22"/>
        </w:rPr>
        <w:t>2</w:t>
      </w:r>
      <w:r>
        <w:rPr>
          <w:rFonts w:cs="Times New Roman"/>
          <w:b/>
          <w:sz w:val="28"/>
          <w:szCs w:val="22"/>
        </w:rPr>
        <w:t>现有工程</w:t>
      </w:r>
      <w:r>
        <w:rPr>
          <w:rFonts w:cs="Times New Roman"/>
          <w:b/>
          <w:sz w:val="28"/>
          <w:szCs w:val="22"/>
        </w:rPr>
        <w:t>“</w:t>
      </w:r>
      <w:r>
        <w:rPr>
          <w:rFonts w:cs="Times New Roman"/>
          <w:b/>
          <w:sz w:val="28"/>
          <w:szCs w:val="22"/>
        </w:rPr>
        <w:t>三同时</w:t>
      </w:r>
      <w:r>
        <w:rPr>
          <w:rFonts w:cs="Times New Roman"/>
          <w:b/>
          <w:sz w:val="28"/>
          <w:szCs w:val="22"/>
        </w:rPr>
        <w:t>”</w:t>
      </w:r>
      <w:r>
        <w:rPr>
          <w:rFonts w:cs="Times New Roman"/>
          <w:b/>
          <w:sz w:val="28"/>
          <w:szCs w:val="22"/>
        </w:rPr>
        <w:t>执行情况</w:t>
      </w:r>
    </w:p>
    <w:p w:rsidR="00C645C9" w:rsidRDefault="00F955D9">
      <w:pPr>
        <w:spacing w:line="360" w:lineRule="auto"/>
        <w:ind w:firstLineChars="200" w:firstLine="480"/>
        <w:rPr>
          <w:rFonts w:cs="Times New Roman"/>
          <w:szCs w:val="22"/>
        </w:rPr>
      </w:pPr>
      <w:r>
        <w:rPr>
          <w:rFonts w:cs="Times New Roman"/>
          <w:szCs w:val="22"/>
        </w:rPr>
        <w:t>现有工程环评及验收情况一览表</w:t>
      </w:r>
      <w:r>
        <w:rPr>
          <w:rFonts w:cs="Times New Roman" w:hint="eastAsia"/>
          <w:szCs w:val="22"/>
        </w:rPr>
        <w:t>见表</w:t>
      </w:r>
      <w:r>
        <w:rPr>
          <w:rFonts w:cs="Times New Roman"/>
          <w:szCs w:val="22"/>
        </w:rPr>
        <w:t>3.</w:t>
      </w:r>
      <w:r>
        <w:rPr>
          <w:rFonts w:cs="Times New Roman" w:hint="eastAsia"/>
          <w:szCs w:val="22"/>
        </w:rPr>
        <w:t>1</w:t>
      </w:r>
      <w:r>
        <w:rPr>
          <w:rFonts w:cs="Times New Roman"/>
          <w:szCs w:val="22"/>
        </w:rPr>
        <w:t>-</w:t>
      </w:r>
      <w:r>
        <w:rPr>
          <w:rFonts w:cs="Times New Roman" w:hint="eastAsia"/>
          <w:szCs w:val="22"/>
        </w:rPr>
        <w:t>2</w:t>
      </w:r>
      <w:r>
        <w:rPr>
          <w:rFonts w:cs="Times New Roman"/>
          <w:szCs w:val="22"/>
        </w:rPr>
        <w:t>所示。</w:t>
      </w:r>
    </w:p>
    <w:p w:rsidR="00C645C9" w:rsidRDefault="00F955D9">
      <w:pPr>
        <w:pStyle w:val="aff0"/>
        <w:spacing w:line="240" w:lineRule="auto"/>
        <w:ind w:firstLine="238"/>
        <w:rPr>
          <w:rFonts w:ascii="Times New Roman" w:hAnsi="Times New Roman"/>
          <w:bCs/>
          <w:sz w:val="21"/>
          <w:szCs w:val="16"/>
        </w:rPr>
      </w:pPr>
      <w:bookmarkStart w:id="487" w:name="OLE_LINK196"/>
      <w:r>
        <w:rPr>
          <w:rFonts w:ascii="Times New Roman" w:hAnsi="Times New Roman"/>
          <w:bCs/>
          <w:sz w:val="21"/>
          <w:szCs w:val="16"/>
        </w:rPr>
        <w:t>表</w:t>
      </w:r>
      <w:r>
        <w:rPr>
          <w:rFonts w:ascii="Times New Roman" w:hAnsi="Times New Roman"/>
          <w:bCs/>
          <w:sz w:val="21"/>
          <w:szCs w:val="16"/>
        </w:rPr>
        <w:t>3.</w:t>
      </w:r>
      <w:r>
        <w:rPr>
          <w:rFonts w:ascii="Times New Roman" w:hAnsi="Times New Roman" w:hint="eastAsia"/>
          <w:bCs/>
          <w:sz w:val="21"/>
          <w:szCs w:val="16"/>
        </w:rPr>
        <w:t>1-2</w:t>
      </w:r>
      <w:r>
        <w:rPr>
          <w:rFonts w:ascii="Times New Roman" w:hAnsi="Times New Roman"/>
          <w:bCs/>
          <w:sz w:val="21"/>
          <w:szCs w:val="16"/>
        </w:rPr>
        <w:t xml:space="preserve">   </w:t>
      </w:r>
      <w:bookmarkStart w:id="488" w:name="OLE_LINK197"/>
      <w:r>
        <w:rPr>
          <w:rFonts w:ascii="Times New Roman" w:hAnsi="Times New Roman"/>
          <w:bCs/>
          <w:sz w:val="21"/>
          <w:szCs w:val="16"/>
        </w:rPr>
        <w:t>现有工程环评及验收情况一览表</w:t>
      </w:r>
      <w:bookmarkEnd w:id="488"/>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228"/>
        <w:gridCol w:w="2250"/>
        <w:gridCol w:w="2475"/>
        <w:gridCol w:w="2264"/>
      </w:tblGrid>
      <w:tr w:rsidR="00C645C9">
        <w:trPr>
          <w:trHeight w:val="540"/>
        </w:trPr>
        <w:tc>
          <w:tcPr>
            <w:tcW w:w="614" w:type="dxa"/>
            <w:shd w:val="clear" w:color="auto" w:fill="auto"/>
            <w:vAlign w:val="center"/>
          </w:tcPr>
          <w:bookmarkEnd w:id="487"/>
          <w:p w:rsidR="00C645C9" w:rsidRDefault="00F955D9">
            <w:pPr>
              <w:jc w:val="center"/>
              <w:textAlignment w:val="center"/>
              <w:rPr>
                <w:rFonts w:cs="Times New Roman"/>
                <w:sz w:val="21"/>
                <w:szCs w:val="21"/>
              </w:rPr>
            </w:pPr>
            <w:r>
              <w:rPr>
                <w:rFonts w:cs="Times New Roman"/>
                <w:sz w:val="21"/>
                <w:szCs w:val="21"/>
                <w:lang w:bidi="ar"/>
              </w:rPr>
              <w:t>序号</w:t>
            </w:r>
          </w:p>
        </w:tc>
        <w:tc>
          <w:tcPr>
            <w:tcW w:w="1228"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工程名称</w:t>
            </w:r>
          </w:p>
        </w:tc>
        <w:tc>
          <w:tcPr>
            <w:tcW w:w="2250"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所属项目</w:t>
            </w:r>
          </w:p>
        </w:tc>
        <w:tc>
          <w:tcPr>
            <w:tcW w:w="2475"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环评文件</w:t>
            </w:r>
          </w:p>
        </w:tc>
        <w:tc>
          <w:tcPr>
            <w:tcW w:w="2264"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验收文件</w:t>
            </w:r>
          </w:p>
        </w:tc>
      </w:tr>
      <w:tr w:rsidR="00C645C9">
        <w:trPr>
          <w:trHeight w:val="90"/>
        </w:trPr>
        <w:tc>
          <w:tcPr>
            <w:tcW w:w="614"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1</w:t>
            </w:r>
          </w:p>
        </w:tc>
        <w:tc>
          <w:tcPr>
            <w:tcW w:w="1228"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新北</w:t>
            </w:r>
            <w:r>
              <w:rPr>
                <w:rFonts w:cs="Times New Roman"/>
                <w:sz w:val="21"/>
                <w:szCs w:val="21"/>
                <w:lang w:bidi="ar"/>
              </w:rPr>
              <w:t>1</w:t>
            </w:r>
            <w:r>
              <w:rPr>
                <w:rFonts w:cs="Times New Roman"/>
                <w:sz w:val="21"/>
                <w:szCs w:val="21"/>
                <w:lang w:bidi="ar"/>
              </w:rPr>
              <w:t>斜井</w:t>
            </w:r>
          </w:p>
        </w:tc>
        <w:tc>
          <w:tcPr>
            <w:tcW w:w="2250"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新北</w:t>
            </w:r>
            <w:r>
              <w:rPr>
                <w:rFonts w:cs="Times New Roman"/>
                <w:sz w:val="21"/>
                <w:szCs w:val="21"/>
                <w:lang w:bidi="ar"/>
              </w:rPr>
              <w:t>1</w:t>
            </w:r>
            <w:r>
              <w:rPr>
                <w:rFonts w:cs="Times New Roman"/>
                <w:sz w:val="21"/>
                <w:szCs w:val="21"/>
                <w:lang w:bidi="ar"/>
              </w:rPr>
              <w:t>斜井钻井工程</w:t>
            </w:r>
            <w:r>
              <w:rPr>
                <w:rFonts w:cs="Times New Roman"/>
                <w:sz w:val="21"/>
                <w:szCs w:val="21"/>
                <w:lang w:bidi="ar"/>
              </w:rPr>
              <w:lastRenderedPageBreak/>
              <w:t>（勘探井）环境影响报告表</w:t>
            </w:r>
          </w:p>
        </w:tc>
        <w:tc>
          <w:tcPr>
            <w:tcW w:w="2475"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lastRenderedPageBreak/>
              <w:t>20</w:t>
            </w:r>
            <w:r>
              <w:rPr>
                <w:rFonts w:cs="Times New Roman" w:hint="eastAsia"/>
                <w:sz w:val="21"/>
                <w:szCs w:val="21"/>
                <w:lang w:bidi="ar"/>
              </w:rPr>
              <w:t>22</w:t>
            </w:r>
            <w:r>
              <w:rPr>
                <w:rFonts w:cs="Times New Roman"/>
                <w:sz w:val="21"/>
                <w:szCs w:val="21"/>
                <w:lang w:bidi="ar"/>
              </w:rPr>
              <w:t>年</w:t>
            </w:r>
            <w:r>
              <w:rPr>
                <w:rFonts w:cs="Times New Roman" w:hint="eastAsia"/>
                <w:sz w:val="21"/>
                <w:szCs w:val="21"/>
                <w:lang w:bidi="ar"/>
              </w:rPr>
              <w:t>7</w:t>
            </w:r>
            <w:r>
              <w:rPr>
                <w:rFonts w:cs="Times New Roman"/>
                <w:sz w:val="21"/>
                <w:szCs w:val="21"/>
                <w:lang w:bidi="ar"/>
              </w:rPr>
              <w:t>月</w:t>
            </w:r>
            <w:r>
              <w:rPr>
                <w:rFonts w:cs="Times New Roman" w:hint="eastAsia"/>
                <w:sz w:val="21"/>
                <w:szCs w:val="21"/>
                <w:lang w:bidi="ar"/>
              </w:rPr>
              <w:t>1</w:t>
            </w:r>
            <w:r>
              <w:rPr>
                <w:rFonts w:cs="Times New Roman"/>
                <w:sz w:val="21"/>
                <w:szCs w:val="21"/>
                <w:lang w:bidi="ar"/>
              </w:rPr>
              <w:t>日</w:t>
            </w:r>
            <w:r>
              <w:rPr>
                <w:rFonts w:cs="Times New Roman"/>
                <w:sz w:val="21"/>
                <w:szCs w:val="21"/>
                <w:lang w:bidi="ar"/>
              </w:rPr>
              <w:t>，</w:t>
            </w:r>
            <w:r>
              <w:rPr>
                <w:rFonts w:cs="Times New Roman"/>
                <w:sz w:val="21"/>
                <w:szCs w:val="21"/>
                <w:lang w:bidi="ar"/>
              </w:rPr>
              <w:t>取得</w:t>
            </w:r>
            <w:r>
              <w:rPr>
                <w:rFonts w:cs="Times New Roman"/>
                <w:sz w:val="21"/>
                <w:szCs w:val="21"/>
                <w:lang w:bidi="ar"/>
              </w:rPr>
              <w:t>阿</w:t>
            </w:r>
            <w:r>
              <w:rPr>
                <w:rFonts w:cs="Times New Roman"/>
                <w:sz w:val="21"/>
                <w:szCs w:val="21"/>
                <w:lang w:bidi="ar"/>
              </w:rPr>
              <w:lastRenderedPageBreak/>
              <w:t>克苏地区生态环境局</w:t>
            </w:r>
            <w:r>
              <w:rPr>
                <w:rFonts w:cs="Times New Roman"/>
                <w:sz w:val="21"/>
                <w:szCs w:val="21"/>
                <w:lang w:bidi="ar"/>
              </w:rPr>
              <w:t>批复，阿地环函字〔</w:t>
            </w:r>
            <w:r>
              <w:rPr>
                <w:rFonts w:cs="Times New Roman"/>
                <w:sz w:val="21"/>
                <w:szCs w:val="21"/>
                <w:lang w:bidi="ar"/>
              </w:rPr>
              <w:t>20</w:t>
            </w:r>
            <w:r>
              <w:rPr>
                <w:rFonts w:cs="Times New Roman" w:hint="eastAsia"/>
                <w:sz w:val="21"/>
                <w:szCs w:val="21"/>
                <w:lang w:bidi="ar"/>
              </w:rPr>
              <w:t>22</w:t>
            </w:r>
            <w:r>
              <w:rPr>
                <w:rFonts w:cs="Times New Roman"/>
                <w:sz w:val="21"/>
                <w:szCs w:val="21"/>
                <w:lang w:bidi="ar"/>
              </w:rPr>
              <w:t>〕</w:t>
            </w:r>
            <w:r>
              <w:rPr>
                <w:rFonts w:cs="Times New Roman" w:hint="eastAsia"/>
                <w:sz w:val="21"/>
                <w:szCs w:val="21"/>
                <w:lang w:bidi="ar"/>
              </w:rPr>
              <w:t>347</w:t>
            </w:r>
            <w:r>
              <w:rPr>
                <w:rFonts w:cs="Times New Roman"/>
                <w:sz w:val="21"/>
                <w:szCs w:val="21"/>
                <w:lang w:bidi="ar"/>
              </w:rPr>
              <w:t>号</w:t>
            </w:r>
          </w:p>
        </w:tc>
        <w:tc>
          <w:tcPr>
            <w:tcW w:w="2264"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lastRenderedPageBreak/>
              <w:t>202</w:t>
            </w:r>
            <w:r>
              <w:rPr>
                <w:rFonts w:cs="Times New Roman" w:hint="eastAsia"/>
                <w:sz w:val="21"/>
                <w:szCs w:val="21"/>
                <w:lang w:bidi="ar"/>
              </w:rPr>
              <w:t>4</w:t>
            </w:r>
            <w:r>
              <w:rPr>
                <w:rFonts w:cs="Times New Roman"/>
                <w:sz w:val="21"/>
                <w:szCs w:val="21"/>
                <w:lang w:bidi="ar"/>
              </w:rPr>
              <w:t>年</w:t>
            </w:r>
            <w:r>
              <w:rPr>
                <w:rFonts w:cs="Times New Roman" w:hint="eastAsia"/>
                <w:sz w:val="21"/>
                <w:szCs w:val="21"/>
                <w:lang w:bidi="ar"/>
              </w:rPr>
              <w:t>3</w:t>
            </w:r>
            <w:r>
              <w:rPr>
                <w:rFonts w:cs="Times New Roman"/>
                <w:sz w:val="21"/>
                <w:szCs w:val="21"/>
                <w:lang w:bidi="ar"/>
              </w:rPr>
              <w:t>月</w:t>
            </w:r>
            <w:r>
              <w:rPr>
                <w:rFonts w:cs="Times New Roman"/>
                <w:sz w:val="21"/>
                <w:szCs w:val="21"/>
                <w:lang w:bidi="ar"/>
              </w:rPr>
              <w:t>1</w:t>
            </w:r>
            <w:r>
              <w:rPr>
                <w:rFonts w:cs="Times New Roman" w:hint="eastAsia"/>
                <w:sz w:val="21"/>
                <w:szCs w:val="21"/>
                <w:lang w:bidi="ar"/>
              </w:rPr>
              <w:t>1</w:t>
            </w:r>
            <w:r>
              <w:rPr>
                <w:rFonts w:cs="Times New Roman"/>
                <w:sz w:val="21"/>
                <w:szCs w:val="21"/>
                <w:lang w:bidi="ar"/>
              </w:rPr>
              <w:t>日</w:t>
            </w:r>
            <w:r>
              <w:rPr>
                <w:rFonts w:cs="Times New Roman"/>
                <w:sz w:val="21"/>
                <w:szCs w:val="21"/>
                <w:lang w:bidi="ar"/>
              </w:rPr>
              <w:t>，</w:t>
            </w:r>
            <w:r>
              <w:rPr>
                <w:rFonts w:cs="Times New Roman"/>
                <w:sz w:val="21"/>
                <w:szCs w:val="21"/>
                <w:lang w:bidi="ar"/>
              </w:rPr>
              <w:t>通</w:t>
            </w:r>
            <w:r>
              <w:rPr>
                <w:rFonts w:cs="Times New Roman"/>
                <w:sz w:val="21"/>
                <w:szCs w:val="21"/>
                <w:lang w:bidi="ar"/>
              </w:rPr>
              <w:lastRenderedPageBreak/>
              <w:t>过自主验收</w:t>
            </w:r>
          </w:p>
        </w:tc>
      </w:tr>
    </w:tbl>
    <w:p w:rsidR="00C645C9" w:rsidRDefault="00F955D9">
      <w:pPr>
        <w:keepNext/>
        <w:keepLines/>
        <w:spacing w:before="120" w:after="120"/>
        <w:outlineLvl w:val="2"/>
        <w:rPr>
          <w:rFonts w:cs="Times New Roman"/>
          <w:b/>
          <w:sz w:val="28"/>
          <w:szCs w:val="22"/>
        </w:rPr>
      </w:pPr>
      <w:bookmarkStart w:id="489" w:name="OLE_LINK494"/>
      <w:r>
        <w:rPr>
          <w:rFonts w:cs="Times New Roman"/>
          <w:b/>
          <w:sz w:val="28"/>
          <w:szCs w:val="22"/>
        </w:rPr>
        <w:lastRenderedPageBreak/>
        <w:t>3.</w:t>
      </w:r>
      <w:r>
        <w:rPr>
          <w:rFonts w:cs="Times New Roman" w:hint="eastAsia"/>
          <w:b/>
          <w:sz w:val="28"/>
          <w:szCs w:val="22"/>
        </w:rPr>
        <w:t>1</w:t>
      </w:r>
      <w:r>
        <w:rPr>
          <w:rFonts w:cs="Times New Roman"/>
          <w:b/>
          <w:sz w:val="28"/>
          <w:szCs w:val="22"/>
        </w:rPr>
        <w:t>.</w:t>
      </w:r>
      <w:r>
        <w:rPr>
          <w:rFonts w:cs="Times New Roman" w:hint="eastAsia"/>
          <w:b/>
          <w:sz w:val="28"/>
          <w:szCs w:val="22"/>
        </w:rPr>
        <w:t>3</w:t>
      </w:r>
      <w:r>
        <w:rPr>
          <w:rFonts w:cs="Times New Roman"/>
          <w:b/>
          <w:sz w:val="28"/>
          <w:szCs w:val="22"/>
        </w:rPr>
        <w:t>现有工程污染物达标情况</w:t>
      </w:r>
    </w:p>
    <w:p w:rsidR="00C645C9" w:rsidRDefault="00F955D9">
      <w:pPr>
        <w:adjustRightInd w:val="0"/>
        <w:snapToGrid w:val="0"/>
        <w:spacing w:line="360" w:lineRule="auto"/>
        <w:ind w:firstLineChars="200" w:firstLine="500"/>
        <w:jc w:val="both"/>
        <w:rPr>
          <w:rFonts w:cs="Times New Roman"/>
          <w:spacing w:val="5"/>
          <w:kern w:val="2"/>
        </w:rPr>
      </w:pPr>
      <w:r>
        <w:rPr>
          <w:rFonts w:cs="Times New Roman"/>
          <w:spacing w:val="5"/>
          <w:kern w:val="2"/>
        </w:rPr>
        <w:t>本次拟开发</w:t>
      </w:r>
      <w:bookmarkEnd w:id="489"/>
      <w:r>
        <w:rPr>
          <w:rFonts w:cs="Times New Roman" w:hint="eastAsia"/>
          <w:spacing w:val="5"/>
          <w:kern w:val="2"/>
        </w:rPr>
        <w:t>新北区块试采工程</w:t>
      </w:r>
      <w:r>
        <w:rPr>
          <w:rFonts w:cs="Times New Roman"/>
          <w:spacing w:val="5"/>
          <w:kern w:val="2"/>
        </w:rPr>
        <w:t>（以下简称</w:t>
      </w:r>
      <w:r>
        <w:rPr>
          <w:rFonts w:cs="Times New Roman" w:hint="eastAsia"/>
          <w:spacing w:val="5"/>
          <w:kern w:val="2"/>
        </w:rPr>
        <w:t>“</w:t>
      </w:r>
      <w:r>
        <w:rPr>
          <w:rFonts w:cs="Times New Roman"/>
          <w:spacing w:val="5"/>
          <w:kern w:val="2"/>
        </w:rPr>
        <w:t>本工程</w:t>
      </w:r>
      <w:r>
        <w:rPr>
          <w:rFonts w:cs="Times New Roman" w:hint="eastAsia"/>
          <w:spacing w:val="5"/>
          <w:kern w:val="2"/>
        </w:rPr>
        <w:t>”</w:t>
      </w:r>
      <w:r>
        <w:rPr>
          <w:rFonts w:cs="Times New Roman"/>
          <w:spacing w:val="5"/>
          <w:kern w:val="2"/>
        </w:rPr>
        <w:t>）位于中国石油化工股份有限公司西北油田分公司</w:t>
      </w:r>
      <w:r>
        <w:rPr>
          <w:rFonts w:cs="Times New Roman"/>
          <w:spacing w:val="5"/>
          <w:kern w:val="2"/>
        </w:rPr>
        <w:t>“</w:t>
      </w:r>
      <w:r>
        <w:rPr>
          <w:rFonts w:cs="Times New Roman"/>
          <w:spacing w:val="5"/>
          <w:kern w:val="2"/>
        </w:rPr>
        <w:t>十四五</w:t>
      </w:r>
      <w:r>
        <w:rPr>
          <w:rFonts w:cs="Times New Roman"/>
          <w:spacing w:val="5"/>
          <w:kern w:val="2"/>
        </w:rPr>
        <w:t>”</w:t>
      </w:r>
      <w:r>
        <w:rPr>
          <w:rFonts w:cs="Times New Roman"/>
          <w:spacing w:val="5"/>
          <w:kern w:val="2"/>
        </w:rPr>
        <w:t>规划范围的天山南缘区块油气勘查区，</w:t>
      </w:r>
      <w:r>
        <w:rPr>
          <w:rFonts w:cs="Times New Roman" w:hint="eastAsia"/>
          <w:szCs w:val="22"/>
        </w:rPr>
        <w:t>目前</w:t>
      </w:r>
      <w:bookmarkStart w:id="490" w:name="OLE_LINK203"/>
      <w:r>
        <w:rPr>
          <w:rFonts w:cs="Times New Roman" w:hint="eastAsia"/>
          <w:szCs w:val="22"/>
        </w:rPr>
        <w:t>新北</w:t>
      </w:r>
      <w:bookmarkEnd w:id="490"/>
      <w:r>
        <w:rPr>
          <w:rFonts w:cs="Times New Roman" w:hint="eastAsia"/>
          <w:szCs w:val="22"/>
        </w:rPr>
        <w:t>区块</w:t>
      </w:r>
      <w:r>
        <w:rPr>
          <w:rFonts w:hint="eastAsia"/>
        </w:rPr>
        <w:t>仅有</w:t>
      </w:r>
      <w:r>
        <w:rPr>
          <w:rFonts w:hint="eastAsia"/>
        </w:rPr>
        <w:t>新北</w:t>
      </w:r>
      <w:r>
        <w:rPr>
          <w:rFonts w:hint="eastAsia"/>
        </w:rPr>
        <w:t>1</w:t>
      </w:r>
      <w:r>
        <w:rPr>
          <w:rFonts w:hint="eastAsia"/>
        </w:rPr>
        <w:t>斜井</w:t>
      </w:r>
      <w:r>
        <w:rPr>
          <w:rFonts w:hint="eastAsia"/>
        </w:rPr>
        <w:t>探井项目</w:t>
      </w:r>
      <w:r>
        <w:rPr>
          <w:rFonts w:hint="eastAsia"/>
        </w:rPr>
        <w:t>，</w:t>
      </w:r>
      <w:r>
        <w:rPr>
          <w:rFonts w:hint="eastAsia"/>
        </w:rPr>
        <w:t>于</w:t>
      </w:r>
      <w:r>
        <w:rPr>
          <w:rFonts w:hint="eastAsia"/>
        </w:rPr>
        <w:t>2023</w:t>
      </w:r>
      <w:r>
        <w:rPr>
          <w:rFonts w:hint="eastAsia"/>
        </w:rPr>
        <w:t>年实施</w:t>
      </w:r>
      <w:r>
        <w:rPr>
          <w:rFonts w:cs="Times New Roman"/>
          <w:spacing w:val="5"/>
          <w:kern w:val="2"/>
        </w:rPr>
        <w:t>。</w:t>
      </w:r>
    </w:p>
    <w:p w:rsidR="00C645C9" w:rsidRDefault="00F955D9">
      <w:pPr>
        <w:adjustRightInd w:val="0"/>
        <w:snapToGrid w:val="0"/>
        <w:spacing w:line="360" w:lineRule="auto"/>
        <w:ind w:firstLineChars="200" w:firstLine="500"/>
        <w:jc w:val="both"/>
        <w:rPr>
          <w:rFonts w:cs="Times New Roman"/>
          <w:spacing w:val="5"/>
          <w:kern w:val="2"/>
          <w:sz w:val="25"/>
          <w:szCs w:val="25"/>
        </w:rPr>
      </w:pPr>
      <w:r>
        <w:rPr>
          <w:rFonts w:cs="Times New Roman"/>
          <w:spacing w:val="5"/>
          <w:kern w:val="2"/>
        </w:rPr>
        <w:t>现阶段</w:t>
      </w:r>
      <w:r>
        <w:rPr>
          <w:rFonts w:cs="Times New Roman" w:hint="eastAsia"/>
          <w:szCs w:val="22"/>
        </w:rPr>
        <w:t>新北</w:t>
      </w:r>
      <w:r>
        <w:rPr>
          <w:rFonts w:cs="Times New Roman" w:hint="eastAsia"/>
          <w:szCs w:val="22"/>
        </w:rPr>
        <w:t>1X</w:t>
      </w:r>
      <w:r>
        <w:rPr>
          <w:rFonts w:cs="Times New Roman" w:hint="eastAsia"/>
          <w:szCs w:val="22"/>
        </w:rPr>
        <w:t>井</w:t>
      </w:r>
      <w:r>
        <w:rPr>
          <w:rFonts w:cs="Times New Roman"/>
          <w:spacing w:val="5"/>
          <w:kern w:val="2"/>
        </w:rPr>
        <w:t>关井，根据现场踏勘及资料收集，施工期运输车辆沿临时道路行驶，井场周边均为耕地，无随意破坏耕地的现象，无车辆乱碾乱压的情况发生。施工期间洒水降尘，施工结束后及时进行了施工迹地的清理工作。场地整理、平整和压实，以减少水土流失。临时占地期满前按照国土部门的相关要求完成土地复垦。在施工过程中严格落实了防沙治沙要求。</w:t>
      </w:r>
      <w:r>
        <w:rPr>
          <w:rFonts w:cs="Times New Roman" w:hint="eastAsia"/>
          <w:spacing w:val="5"/>
          <w:kern w:val="2"/>
        </w:rPr>
        <w:t>施工期</w:t>
      </w:r>
      <w:r>
        <w:rPr>
          <w:rFonts w:cs="Times New Roman"/>
          <w:spacing w:val="5"/>
          <w:kern w:val="2"/>
        </w:rPr>
        <w:t>使用符合国家标准的燃油，柴油机烟气、汽车尾气排放集中在钻井期和试油期，其影响随工程的结束而消失</w:t>
      </w:r>
      <w:r>
        <w:rPr>
          <w:rFonts w:cs="Times New Roman" w:hint="eastAsia"/>
          <w:spacing w:val="5"/>
          <w:kern w:val="2"/>
        </w:rPr>
        <w:t>。</w:t>
      </w:r>
      <w:r>
        <w:rPr>
          <w:rFonts w:cs="Times New Roman"/>
          <w:spacing w:val="5"/>
          <w:kern w:val="2"/>
          <w:sz w:val="25"/>
          <w:szCs w:val="25"/>
        </w:rPr>
        <w:t>钻井泥浆、岩屑一同进入不落地处理系统处理，处理后的废水全部回用，不外排。生活污水</w:t>
      </w:r>
      <w:r>
        <w:rPr>
          <w:rFonts w:cs="Times New Roman" w:hint="eastAsia"/>
          <w:spacing w:val="5"/>
          <w:kern w:val="2"/>
          <w:sz w:val="25"/>
          <w:szCs w:val="25"/>
        </w:rPr>
        <w:t>用罐收集后，定期</w:t>
      </w:r>
      <w:r>
        <w:rPr>
          <w:rFonts w:cs="Times New Roman"/>
          <w:spacing w:val="5"/>
          <w:kern w:val="2"/>
          <w:sz w:val="25"/>
          <w:szCs w:val="25"/>
        </w:rPr>
        <w:t>拉运</w:t>
      </w:r>
      <w:r>
        <w:rPr>
          <w:rFonts w:cs="Times New Roman" w:hint="eastAsia"/>
          <w:spacing w:val="5"/>
          <w:kern w:val="2"/>
          <w:sz w:val="25"/>
          <w:szCs w:val="25"/>
        </w:rPr>
        <w:t>至</w:t>
      </w:r>
      <w:r>
        <w:rPr>
          <w:rFonts w:cs="Times New Roman"/>
          <w:spacing w:val="5"/>
          <w:kern w:val="2"/>
          <w:sz w:val="25"/>
          <w:szCs w:val="25"/>
        </w:rPr>
        <w:t>库车污水处理厂处理，不外排。试油期井下作业废水在储液罐内收集，罐车拉运至塔河油田绿色环保工作站处理。酸化压裂废水采用专用废液收集罐收集后拉运至塔河油田绿色环保站处理。钻井过程中采用套管封堵防止钻井过程中地下水受到污染</w:t>
      </w:r>
      <w:r>
        <w:rPr>
          <w:rFonts w:cs="Times New Roman" w:hint="eastAsia"/>
          <w:spacing w:val="5"/>
          <w:kern w:val="2"/>
          <w:sz w:val="25"/>
          <w:szCs w:val="25"/>
        </w:rPr>
        <w:t>。</w:t>
      </w:r>
      <w:r>
        <w:rPr>
          <w:rFonts w:cs="Times New Roman"/>
          <w:spacing w:val="5"/>
          <w:kern w:val="2"/>
          <w:sz w:val="25"/>
          <w:szCs w:val="25"/>
        </w:rPr>
        <w:t>采用低噪声设备，加强设备维护，通过对柴油机、发电机、泥浆泵等设施安装隔震垫、弹性垫料等措施降低噪声的影响，同时工作人员配备耳塞，发放个人防护器材。施工噪声待施工期结束后影响随即消失</w:t>
      </w:r>
      <w:r>
        <w:rPr>
          <w:rFonts w:cs="Times New Roman" w:hint="eastAsia"/>
          <w:spacing w:val="5"/>
          <w:kern w:val="2"/>
          <w:sz w:val="25"/>
          <w:szCs w:val="25"/>
        </w:rPr>
        <w:t>。</w:t>
      </w:r>
      <w:r>
        <w:rPr>
          <w:rFonts w:cs="Times New Roman"/>
          <w:spacing w:val="5"/>
          <w:kern w:val="2"/>
          <w:sz w:val="25"/>
          <w:szCs w:val="25"/>
        </w:rPr>
        <w:t>本</w:t>
      </w:r>
      <w:r>
        <w:rPr>
          <w:rFonts w:cs="Times New Roman" w:hint="eastAsia"/>
          <w:spacing w:val="5"/>
          <w:kern w:val="2"/>
          <w:sz w:val="25"/>
          <w:szCs w:val="25"/>
        </w:rPr>
        <w:t>工程</w:t>
      </w:r>
      <w:r>
        <w:rPr>
          <w:rFonts w:cs="Times New Roman"/>
          <w:spacing w:val="5"/>
          <w:kern w:val="2"/>
          <w:sz w:val="25"/>
          <w:szCs w:val="25"/>
        </w:rPr>
        <w:t>产生的固体废物主要是钻井泥浆岩屑、生活垃圾等。钻井过程中产生的岩屑、水基泥浆经</w:t>
      </w:r>
      <w:r>
        <w:rPr>
          <w:rFonts w:cs="Times New Roman" w:hint="eastAsia"/>
          <w:spacing w:val="5"/>
          <w:kern w:val="2"/>
          <w:sz w:val="25"/>
          <w:szCs w:val="25"/>
        </w:rPr>
        <w:t>“</w:t>
      </w:r>
      <w:r>
        <w:rPr>
          <w:rFonts w:cs="Times New Roman"/>
          <w:spacing w:val="5"/>
          <w:kern w:val="2"/>
          <w:sz w:val="25"/>
          <w:szCs w:val="25"/>
        </w:rPr>
        <w:t>钻井废弃物不落地达标处理技</w:t>
      </w:r>
      <w:r>
        <w:rPr>
          <w:rFonts w:cs="Times New Roman"/>
          <w:spacing w:val="5"/>
          <w:kern w:val="2"/>
          <w:sz w:val="25"/>
          <w:szCs w:val="25"/>
        </w:rPr>
        <w:t>术</w:t>
      </w:r>
      <w:r>
        <w:rPr>
          <w:rFonts w:cs="Times New Roman" w:hint="eastAsia"/>
          <w:spacing w:val="5"/>
          <w:kern w:val="2"/>
          <w:sz w:val="25"/>
          <w:szCs w:val="25"/>
        </w:rPr>
        <w:t>”</w:t>
      </w:r>
      <w:r>
        <w:rPr>
          <w:rFonts w:cs="Times New Roman"/>
          <w:spacing w:val="5"/>
          <w:kern w:val="2"/>
          <w:sz w:val="25"/>
          <w:szCs w:val="25"/>
        </w:rPr>
        <w:t>进行固液分离后，液相循环利用不外排，固相处理达标后用于铺垫井场及道路。</w:t>
      </w:r>
      <w:bookmarkStart w:id="491" w:name="OLE_LINK1011"/>
      <w:bookmarkStart w:id="492" w:name="OLE_LINK1010"/>
      <w:r>
        <w:rPr>
          <w:rFonts w:cs="Times New Roman"/>
          <w:spacing w:val="5"/>
          <w:kern w:val="2"/>
          <w:sz w:val="25"/>
          <w:szCs w:val="25"/>
        </w:rPr>
        <w:t>生活垃圾集中收集后，委托库车绿能环保科技有限公司</w:t>
      </w:r>
      <w:r>
        <w:rPr>
          <w:rFonts w:cs="Times New Roman" w:hint="eastAsia"/>
          <w:spacing w:val="5"/>
          <w:kern w:val="2"/>
          <w:sz w:val="25"/>
          <w:szCs w:val="25"/>
        </w:rPr>
        <w:t>清运</w:t>
      </w:r>
      <w:r>
        <w:rPr>
          <w:rFonts w:cs="Times New Roman"/>
          <w:spacing w:val="5"/>
          <w:kern w:val="2"/>
          <w:sz w:val="25"/>
          <w:szCs w:val="25"/>
        </w:rPr>
        <w:t>处置</w:t>
      </w:r>
      <w:bookmarkEnd w:id="491"/>
      <w:r>
        <w:rPr>
          <w:rFonts w:cs="Times New Roman" w:hint="eastAsia"/>
          <w:spacing w:val="5"/>
          <w:kern w:val="2"/>
          <w:sz w:val="25"/>
          <w:szCs w:val="25"/>
        </w:rPr>
        <w:t>。</w:t>
      </w:r>
      <w:bookmarkEnd w:id="492"/>
      <w:r>
        <w:rPr>
          <w:rFonts w:cs="Times New Roman"/>
          <w:spacing w:val="5"/>
          <w:kern w:val="2"/>
          <w:sz w:val="25"/>
          <w:szCs w:val="25"/>
        </w:rPr>
        <w:t>废油委托塔河油田绿色环保工作站处理。磺化水基泥浆现场固液分离后的固相拉运至塔河油田绿色环保工作站处理。</w:t>
      </w:r>
    </w:p>
    <w:p w:rsidR="00C645C9" w:rsidRDefault="00F955D9">
      <w:pPr>
        <w:pStyle w:val="aff0"/>
        <w:spacing w:line="240" w:lineRule="auto"/>
        <w:ind w:firstLine="238"/>
        <w:rPr>
          <w:rFonts w:ascii="Times New Roman" w:hAnsi="Times New Roman"/>
          <w:bCs/>
          <w:sz w:val="21"/>
          <w:szCs w:val="16"/>
        </w:rPr>
      </w:pPr>
      <w:bookmarkStart w:id="493" w:name="OLE_LINK495"/>
      <w:bookmarkStart w:id="494" w:name="OLE_LINK786"/>
      <w:r>
        <w:rPr>
          <w:rFonts w:ascii="Times New Roman" w:hAnsi="Times New Roman"/>
          <w:bCs/>
          <w:sz w:val="21"/>
          <w:szCs w:val="16"/>
        </w:rPr>
        <w:t>表</w:t>
      </w:r>
      <w:r>
        <w:rPr>
          <w:rFonts w:ascii="Times New Roman" w:hAnsi="Times New Roman"/>
          <w:bCs/>
          <w:sz w:val="21"/>
          <w:szCs w:val="16"/>
        </w:rPr>
        <w:t>3.</w:t>
      </w:r>
      <w:r>
        <w:rPr>
          <w:rFonts w:ascii="Times New Roman" w:hAnsi="Times New Roman" w:hint="eastAsia"/>
          <w:bCs/>
          <w:sz w:val="21"/>
          <w:szCs w:val="16"/>
        </w:rPr>
        <w:t>1-3</w:t>
      </w:r>
      <w:r>
        <w:rPr>
          <w:rFonts w:ascii="Times New Roman" w:hAnsi="Times New Roman"/>
          <w:bCs/>
          <w:sz w:val="21"/>
          <w:szCs w:val="16"/>
        </w:rPr>
        <w:t xml:space="preserve">   </w:t>
      </w:r>
      <w:r>
        <w:rPr>
          <w:rFonts w:ascii="Times New Roman" w:hAnsi="Times New Roman"/>
          <w:bCs/>
          <w:sz w:val="21"/>
          <w:szCs w:val="16"/>
        </w:rPr>
        <w:t>现有工程主要污染物排放情况一览表（废气）</w:t>
      </w:r>
    </w:p>
    <w:tbl>
      <w:tblPr>
        <w:tblW w:w="931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
        <w:gridCol w:w="622"/>
        <w:gridCol w:w="1150"/>
        <w:gridCol w:w="1100"/>
        <w:gridCol w:w="891"/>
        <w:gridCol w:w="783"/>
        <w:gridCol w:w="873"/>
        <w:gridCol w:w="848"/>
        <w:gridCol w:w="887"/>
        <w:gridCol w:w="887"/>
        <w:gridCol w:w="887"/>
      </w:tblGrid>
      <w:tr w:rsidR="00C645C9">
        <w:trPr>
          <w:trHeight w:val="977"/>
          <w:jc w:val="center"/>
        </w:trPr>
        <w:tc>
          <w:tcPr>
            <w:tcW w:w="386" w:type="dxa"/>
            <w:tcBorders>
              <w:top w:val="single" w:sz="8" w:space="0" w:color="auto"/>
            </w:tcBorders>
            <w:vAlign w:val="center"/>
          </w:tcPr>
          <w:bookmarkEnd w:id="493"/>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类别</w:t>
            </w:r>
          </w:p>
        </w:tc>
        <w:tc>
          <w:tcPr>
            <w:tcW w:w="1772" w:type="dxa"/>
            <w:gridSpan w:val="2"/>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污染源</w:t>
            </w:r>
          </w:p>
        </w:tc>
        <w:tc>
          <w:tcPr>
            <w:tcW w:w="1100"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污染物名称</w:t>
            </w:r>
          </w:p>
        </w:tc>
        <w:tc>
          <w:tcPr>
            <w:tcW w:w="891"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处理措施</w:t>
            </w:r>
          </w:p>
        </w:tc>
        <w:tc>
          <w:tcPr>
            <w:tcW w:w="783"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排气筒高度</w:t>
            </w:r>
            <w:r>
              <w:rPr>
                <w:rFonts w:cs="Times New Roman"/>
                <w:spacing w:val="-10"/>
                <w:kern w:val="21"/>
                <w:sz w:val="21"/>
                <w:szCs w:val="21"/>
              </w:rPr>
              <w:t>（</w:t>
            </w:r>
            <w:r>
              <w:rPr>
                <w:rFonts w:cs="Times New Roman"/>
                <w:spacing w:val="-10"/>
                <w:kern w:val="21"/>
                <w:sz w:val="21"/>
                <w:szCs w:val="21"/>
              </w:rPr>
              <w:t>m</w:t>
            </w:r>
            <w:r>
              <w:rPr>
                <w:rFonts w:cs="Times New Roman"/>
                <w:spacing w:val="-10"/>
                <w:kern w:val="21"/>
                <w:sz w:val="21"/>
                <w:szCs w:val="21"/>
              </w:rPr>
              <w:t>）</w:t>
            </w:r>
          </w:p>
        </w:tc>
        <w:tc>
          <w:tcPr>
            <w:tcW w:w="873"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排放</w:t>
            </w:r>
          </w:p>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浓度</w:t>
            </w:r>
          </w:p>
          <w:p w:rsidR="00C645C9" w:rsidRDefault="00F955D9">
            <w:pPr>
              <w:widowControl w:val="0"/>
              <w:adjustRightInd w:val="0"/>
              <w:snapToGrid w:val="0"/>
              <w:jc w:val="center"/>
              <w:rPr>
                <w:rFonts w:cs="Times New Roman"/>
                <w:spacing w:val="-10"/>
                <w:kern w:val="21"/>
                <w:sz w:val="21"/>
                <w:szCs w:val="21"/>
              </w:rPr>
            </w:pPr>
            <w:r>
              <w:rPr>
                <w:rFonts w:cs="Times New Roman" w:hint="eastAsia"/>
                <w:spacing w:val="-10"/>
                <w:kern w:val="21"/>
                <w:sz w:val="21"/>
                <w:szCs w:val="21"/>
              </w:rPr>
              <w:t>（</w:t>
            </w:r>
            <w:r>
              <w:rPr>
                <w:rFonts w:cs="Times New Roman"/>
                <w:spacing w:val="-10"/>
                <w:kern w:val="21"/>
                <w:sz w:val="21"/>
                <w:szCs w:val="21"/>
              </w:rPr>
              <w:t>mg/m</w:t>
            </w:r>
            <w:r>
              <w:rPr>
                <w:rFonts w:cs="Times New Roman"/>
                <w:spacing w:val="-10"/>
                <w:kern w:val="21"/>
                <w:sz w:val="21"/>
                <w:szCs w:val="21"/>
                <w:vertAlign w:val="superscript"/>
              </w:rPr>
              <w:t>3</w:t>
            </w:r>
            <w:r>
              <w:rPr>
                <w:rFonts w:cs="Times New Roman" w:hint="eastAsia"/>
                <w:spacing w:val="-10"/>
                <w:kern w:val="21"/>
                <w:sz w:val="21"/>
                <w:szCs w:val="21"/>
              </w:rPr>
              <w:t>）</w:t>
            </w:r>
          </w:p>
        </w:tc>
        <w:tc>
          <w:tcPr>
            <w:tcW w:w="848"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产生量</w:t>
            </w:r>
            <w:r>
              <w:rPr>
                <w:rFonts w:cs="Times New Roman"/>
                <w:spacing w:val="-10"/>
                <w:kern w:val="21"/>
                <w:sz w:val="21"/>
                <w:szCs w:val="21"/>
              </w:rPr>
              <w:t>（</w:t>
            </w:r>
            <w:r>
              <w:rPr>
                <w:rFonts w:cs="Times New Roman"/>
                <w:spacing w:val="-10"/>
                <w:kern w:val="21"/>
                <w:sz w:val="21"/>
                <w:szCs w:val="21"/>
              </w:rPr>
              <w:t>t/a</w:t>
            </w:r>
            <w:r>
              <w:rPr>
                <w:rFonts w:cs="Times New Roman"/>
                <w:spacing w:val="-10"/>
                <w:kern w:val="21"/>
                <w:sz w:val="21"/>
                <w:szCs w:val="21"/>
              </w:rPr>
              <w:t>）</w:t>
            </w:r>
          </w:p>
        </w:tc>
        <w:tc>
          <w:tcPr>
            <w:tcW w:w="887"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排放量</w:t>
            </w:r>
          </w:p>
          <w:p w:rsidR="00C645C9" w:rsidRDefault="00F955D9">
            <w:pPr>
              <w:widowControl w:val="0"/>
              <w:adjustRightInd w:val="0"/>
              <w:snapToGrid w:val="0"/>
              <w:jc w:val="center"/>
              <w:rPr>
                <w:rFonts w:cs="Times New Roman"/>
                <w:spacing w:val="-10"/>
                <w:kern w:val="21"/>
                <w:sz w:val="21"/>
                <w:szCs w:val="21"/>
              </w:rPr>
            </w:pPr>
            <w:r>
              <w:rPr>
                <w:rFonts w:cs="Times New Roman" w:hint="eastAsia"/>
                <w:spacing w:val="-10"/>
                <w:kern w:val="21"/>
                <w:sz w:val="21"/>
                <w:szCs w:val="21"/>
              </w:rPr>
              <w:t>（</w:t>
            </w:r>
            <w:r>
              <w:rPr>
                <w:rFonts w:cs="Times New Roman"/>
                <w:spacing w:val="-10"/>
                <w:kern w:val="21"/>
                <w:sz w:val="21"/>
                <w:szCs w:val="21"/>
              </w:rPr>
              <w:t>t/a</w:t>
            </w:r>
            <w:r>
              <w:rPr>
                <w:rFonts w:cs="Times New Roman" w:hint="eastAsia"/>
                <w:spacing w:val="-10"/>
                <w:kern w:val="21"/>
                <w:sz w:val="21"/>
                <w:szCs w:val="21"/>
              </w:rPr>
              <w:t>）</w:t>
            </w:r>
          </w:p>
        </w:tc>
        <w:tc>
          <w:tcPr>
            <w:tcW w:w="887"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bookmarkStart w:id="495" w:name="OLE_LINK492"/>
            <w:r>
              <w:rPr>
                <w:rFonts w:cs="Times New Roman"/>
                <w:spacing w:val="-10"/>
                <w:kern w:val="21"/>
                <w:sz w:val="21"/>
                <w:szCs w:val="21"/>
              </w:rPr>
              <w:t>达标</w:t>
            </w:r>
          </w:p>
          <w:bookmarkEnd w:id="495"/>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情况</w:t>
            </w:r>
          </w:p>
        </w:tc>
        <w:tc>
          <w:tcPr>
            <w:tcW w:w="887" w:type="dxa"/>
            <w:tcBorders>
              <w:top w:val="single" w:sz="8" w:space="0" w:color="auto"/>
            </w:tcBorders>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数据</w:t>
            </w:r>
          </w:p>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来源</w:t>
            </w:r>
          </w:p>
        </w:tc>
      </w:tr>
      <w:bookmarkEnd w:id="494"/>
      <w:tr w:rsidR="00C645C9">
        <w:trPr>
          <w:trHeight w:val="387"/>
          <w:jc w:val="center"/>
        </w:trPr>
        <w:tc>
          <w:tcPr>
            <w:tcW w:w="386" w:type="dxa"/>
            <w:vMerge w:val="restart"/>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lastRenderedPageBreak/>
              <w:t>废气</w:t>
            </w:r>
          </w:p>
        </w:tc>
        <w:tc>
          <w:tcPr>
            <w:tcW w:w="622" w:type="dxa"/>
            <w:vMerge w:val="restart"/>
            <w:vAlign w:val="center"/>
          </w:tcPr>
          <w:p w:rsidR="00C645C9" w:rsidRDefault="00F955D9">
            <w:pPr>
              <w:widowControl w:val="0"/>
              <w:adjustRightInd w:val="0"/>
              <w:snapToGrid w:val="0"/>
              <w:jc w:val="center"/>
              <w:rPr>
                <w:rFonts w:cs="Times New Roman"/>
                <w:spacing w:val="-10"/>
                <w:kern w:val="21"/>
                <w:sz w:val="21"/>
                <w:szCs w:val="21"/>
              </w:rPr>
            </w:pPr>
            <w:r>
              <w:rPr>
                <w:rFonts w:cs="Times New Roman" w:hint="eastAsia"/>
                <w:spacing w:val="-10"/>
                <w:sz w:val="21"/>
                <w:szCs w:val="21"/>
              </w:rPr>
              <w:t>新北</w:t>
            </w:r>
            <w:r>
              <w:rPr>
                <w:rFonts w:cs="Times New Roman" w:hint="eastAsia"/>
                <w:spacing w:val="-10"/>
                <w:sz w:val="21"/>
                <w:szCs w:val="21"/>
              </w:rPr>
              <w:t>1X</w:t>
            </w:r>
            <w:r>
              <w:rPr>
                <w:rFonts w:cs="Times New Roman" w:hint="eastAsia"/>
                <w:spacing w:val="-10"/>
                <w:sz w:val="21"/>
                <w:szCs w:val="21"/>
              </w:rPr>
              <w:t>井井场</w:t>
            </w:r>
          </w:p>
        </w:tc>
        <w:tc>
          <w:tcPr>
            <w:tcW w:w="1150" w:type="dxa"/>
            <w:vMerge w:val="restart"/>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无组织废气</w:t>
            </w:r>
          </w:p>
        </w:tc>
        <w:tc>
          <w:tcPr>
            <w:tcW w:w="1100"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非甲烷总烃</w:t>
            </w:r>
          </w:p>
        </w:tc>
        <w:tc>
          <w:tcPr>
            <w:tcW w:w="891" w:type="dxa"/>
            <w:vMerge w:val="restart"/>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w:t>
            </w:r>
          </w:p>
        </w:tc>
        <w:tc>
          <w:tcPr>
            <w:tcW w:w="783" w:type="dxa"/>
            <w:vMerge w:val="restart"/>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w:t>
            </w:r>
          </w:p>
        </w:tc>
        <w:tc>
          <w:tcPr>
            <w:tcW w:w="873"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hint="eastAsia"/>
                <w:spacing w:val="-10"/>
                <w:kern w:val="21"/>
                <w:sz w:val="21"/>
                <w:szCs w:val="21"/>
              </w:rPr>
              <w:t>0.663</w:t>
            </w:r>
          </w:p>
        </w:tc>
        <w:tc>
          <w:tcPr>
            <w:tcW w:w="848"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z w:val="21"/>
                <w:szCs w:val="21"/>
                <w:lang w:bidi="ar"/>
              </w:rPr>
              <w:t>0.</w:t>
            </w:r>
            <w:r>
              <w:rPr>
                <w:rFonts w:cs="Times New Roman" w:hint="eastAsia"/>
                <w:sz w:val="21"/>
                <w:szCs w:val="21"/>
                <w:lang w:bidi="ar"/>
              </w:rPr>
              <w:t>9056</w:t>
            </w:r>
          </w:p>
        </w:tc>
        <w:tc>
          <w:tcPr>
            <w:tcW w:w="887"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z w:val="21"/>
                <w:szCs w:val="21"/>
                <w:lang w:bidi="ar"/>
              </w:rPr>
              <w:t>0.</w:t>
            </w:r>
            <w:r>
              <w:rPr>
                <w:rFonts w:cs="Times New Roman" w:hint="eastAsia"/>
                <w:sz w:val="21"/>
                <w:szCs w:val="21"/>
                <w:lang w:bidi="ar"/>
              </w:rPr>
              <w:t>9056</w:t>
            </w:r>
          </w:p>
        </w:tc>
        <w:tc>
          <w:tcPr>
            <w:tcW w:w="887"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达标</w:t>
            </w:r>
          </w:p>
        </w:tc>
        <w:tc>
          <w:tcPr>
            <w:tcW w:w="887" w:type="dxa"/>
            <w:vMerge w:val="restart"/>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例行监测数据</w:t>
            </w:r>
          </w:p>
        </w:tc>
      </w:tr>
      <w:tr w:rsidR="00C645C9">
        <w:trPr>
          <w:trHeight w:val="269"/>
          <w:jc w:val="center"/>
        </w:trPr>
        <w:tc>
          <w:tcPr>
            <w:tcW w:w="386" w:type="dxa"/>
            <w:vMerge/>
            <w:vAlign w:val="center"/>
          </w:tcPr>
          <w:p w:rsidR="00C645C9" w:rsidRDefault="00C645C9">
            <w:pPr>
              <w:widowControl w:val="0"/>
              <w:adjustRightInd w:val="0"/>
              <w:snapToGrid w:val="0"/>
              <w:jc w:val="center"/>
              <w:rPr>
                <w:rFonts w:cs="Times New Roman"/>
                <w:sz w:val="21"/>
                <w:szCs w:val="21"/>
              </w:rPr>
            </w:pPr>
          </w:p>
        </w:tc>
        <w:tc>
          <w:tcPr>
            <w:tcW w:w="622" w:type="dxa"/>
            <w:vMerge/>
            <w:vAlign w:val="center"/>
          </w:tcPr>
          <w:p w:rsidR="00C645C9" w:rsidRDefault="00C645C9">
            <w:pPr>
              <w:widowControl w:val="0"/>
              <w:adjustRightInd w:val="0"/>
              <w:snapToGrid w:val="0"/>
              <w:jc w:val="center"/>
              <w:rPr>
                <w:rFonts w:cs="Times New Roman"/>
                <w:sz w:val="21"/>
                <w:szCs w:val="21"/>
              </w:rPr>
            </w:pPr>
          </w:p>
        </w:tc>
        <w:tc>
          <w:tcPr>
            <w:tcW w:w="1150" w:type="dxa"/>
            <w:vMerge/>
            <w:vAlign w:val="center"/>
          </w:tcPr>
          <w:p w:rsidR="00C645C9" w:rsidRDefault="00C645C9">
            <w:pPr>
              <w:widowControl w:val="0"/>
              <w:adjustRightInd w:val="0"/>
              <w:snapToGrid w:val="0"/>
              <w:jc w:val="center"/>
              <w:rPr>
                <w:rFonts w:cs="Times New Roman"/>
                <w:sz w:val="21"/>
                <w:szCs w:val="21"/>
              </w:rPr>
            </w:pPr>
          </w:p>
        </w:tc>
        <w:tc>
          <w:tcPr>
            <w:tcW w:w="1100"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硫化氢</w:t>
            </w:r>
          </w:p>
        </w:tc>
        <w:tc>
          <w:tcPr>
            <w:tcW w:w="891" w:type="dxa"/>
            <w:vMerge/>
            <w:vAlign w:val="center"/>
          </w:tcPr>
          <w:p w:rsidR="00C645C9" w:rsidRDefault="00C645C9">
            <w:pPr>
              <w:widowControl w:val="0"/>
              <w:adjustRightInd w:val="0"/>
              <w:snapToGrid w:val="0"/>
              <w:jc w:val="center"/>
              <w:rPr>
                <w:rFonts w:cs="Times New Roman"/>
                <w:spacing w:val="-10"/>
                <w:kern w:val="21"/>
                <w:sz w:val="21"/>
                <w:szCs w:val="21"/>
              </w:rPr>
            </w:pPr>
          </w:p>
        </w:tc>
        <w:tc>
          <w:tcPr>
            <w:tcW w:w="783" w:type="dxa"/>
            <w:vMerge/>
            <w:vAlign w:val="center"/>
          </w:tcPr>
          <w:p w:rsidR="00C645C9" w:rsidRDefault="00C645C9">
            <w:pPr>
              <w:widowControl w:val="0"/>
              <w:adjustRightInd w:val="0"/>
              <w:snapToGrid w:val="0"/>
              <w:jc w:val="center"/>
              <w:rPr>
                <w:rFonts w:cs="Times New Roman"/>
                <w:spacing w:val="-10"/>
                <w:kern w:val="21"/>
                <w:sz w:val="21"/>
                <w:szCs w:val="21"/>
              </w:rPr>
            </w:pPr>
          </w:p>
        </w:tc>
        <w:tc>
          <w:tcPr>
            <w:tcW w:w="873"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hint="eastAsia"/>
                <w:spacing w:val="-10"/>
                <w:kern w:val="21"/>
                <w:sz w:val="21"/>
                <w:szCs w:val="21"/>
              </w:rPr>
              <w:t>8.3</w:t>
            </w:r>
          </w:p>
        </w:tc>
        <w:tc>
          <w:tcPr>
            <w:tcW w:w="848"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z w:val="21"/>
                <w:szCs w:val="21"/>
                <w:lang w:bidi="ar"/>
              </w:rPr>
              <w:t>0.00</w:t>
            </w:r>
            <w:r>
              <w:rPr>
                <w:rFonts w:cs="Times New Roman" w:hint="eastAsia"/>
                <w:sz w:val="21"/>
                <w:szCs w:val="21"/>
                <w:lang w:bidi="ar"/>
              </w:rPr>
              <w:t>2</w:t>
            </w:r>
          </w:p>
        </w:tc>
        <w:tc>
          <w:tcPr>
            <w:tcW w:w="887"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z w:val="21"/>
                <w:szCs w:val="21"/>
                <w:lang w:bidi="ar"/>
              </w:rPr>
              <w:t>0.00</w:t>
            </w:r>
            <w:r>
              <w:rPr>
                <w:rFonts w:cs="Times New Roman" w:hint="eastAsia"/>
                <w:sz w:val="21"/>
                <w:szCs w:val="21"/>
                <w:lang w:bidi="ar"/>
              </w:rPr>
              <w:t>2</w:t>
            </w:r>
          </w:p>
        </w:tc>
        <w:tc>
          <w:tcPr>
            <w:tcW w:w="887" w:type="dxa"/>
            <w:vAlign w:val="center"/>
          </w:tcPr>
          <w:p w:rsidR="00C645C9" w:rsidRDefault="00F955D9">
            <w:pPr>
              <w:widowControl w:val="0"/>
              <w:adjustRightInd w:val="0"/>
              <w:snapToGrid w:val="0"/>
              <w:jc w:val="center"/>
              <w:rPr>
                <w:rFonts w:cs="Times New Roman"/>
                <w:spacing w:val="-10"/>
                <w:kern w:val="21"/>
                <w:sz w:val="21"/>
                <w:szCs w:val="21"/>
              </w:rPr>
            </w:pPr>
            <w:r>
              <w:rPr>
                <w:rFonts w:cs="Times New Roman"/>
                <w:spacing w:val="-10"/>
                <w:kern w:val="21"/>
                <w:sz w:val="21"/>
                <w:szCs w:val="21"/>
              </w:rPr>
              <w:t>达标</w:t>
            </w:r>
          </w:p>
        </w:tc>
        <w:tc>
          <w:tcPr>
            <w:tcW w:w="887" w:type="dxa"/>
            <w:vMerge/>
            <w:vAlign w:val="center"/>
          </w:tcPr>
          <w:p w:rsidR="00C645C9" w:rsidRDefault="00C645C9">
            <w:pPr>
              <w:widowControl w:val="0"/>
              <w:adjustRightInd w:val="0"/>
              <w:snapToGrid w:val="0"/>
              <w:jc w:val="center"/>
              <w:rPr>
                <w:rFonts w:cs="Times New Roman"/>
                <w:spacing w:val="-10"/>
                <w:kern w:val="21"/>
                <w:sz w:val="21"/>
                <w:szCs w:val="21"/>
              </w:rPr>
            </w:pPr>
          </w:p>
        </w:tc>
      </w:tr>
    </w:tbl>
    <w:p w:rsidR="00C645C9" w:rsidRDefault="00F955D9">
      <w:pPr>
        <w:keepNext/>
        <w:keepLines/>
        <w:spacing w:before="120" w:after="120"/>
        <w:outlineLvl w:val="2"/>
        <w:rPr>
          <w:rFonts w:cs="Times New Roman"/>
          <w:b/>
          <w:sz w:val="28"/>
          <w:szCs w:val="22"/>
        </w:rPr>
      </w:pPr>
      <w:r>
        <w:rPr>
          <w:rFonts w:cs="Times New Roman"/>
          <w:b/>
          <w:sz w:val="28"/>
          <w:szCs w:val="22"/>
        </w:rPr>
        <w:t>3.</w:t>
      </w:r>
      <w:r>
        <w:rPr>
          <w:rFonts w:cs="Times New Roman" w:hint="eastAsia"/>
          <w:b/>
          <w:sz w:val="28"/>
          <w:szCs w:val="22"/>
        </w:rPr>
        <w:t>1</w:t>
      </w:r>
      <w:r>
        <w:rPr>
          <w:rFonts w:cs="Times New Roman"/>
          <w:b/>
          <w:sz w:val="28"/>
          <w:szCs w:val="22"/>
        </w:rPr>
        <w:t>.</w:t>
      </w:r>
      <w:r>
        <w:rPr>
          <w:rFonts w:cs="Times New Roman" w:hint="eastAsia"/>
          <w:b/>
          <w:sz w:val="28"/>
          <w:szCs w:val="22"/>
        </w:rPr>
        <w:t>4</w:t>
      </w:r>
      <w:r>
        <w:rPr>
          <w:rFonts w:cs="Times New Roman"/>
          <w:b/>
          <w:sz w:val="28"/>
          <w:szCs w:val="22"/>
        </w:rPr>
        <w:t>现有工程污染物年排放量</w:t>
      </w:r>
    </w:p>
    <w:p w:rsidR="00C645C9" w:rsidRDefault="00F955D9">
      <w:pPr>
        <w:adjustRightInd w:val="0"/>
        <w:snapToGrid w:val="0"/>
        <w:spacing w:line="360" w:lineRule="auto"/>
        <w:ind w:firstLineChars="200" w:firstLine="480"/>
        <w:rPr>
          <w:rFonts w:cs="Times New Roman"/>
          <w:szCs w:val="22"/>
        </w:rPr>
      </w:pPr>
      <w:r>
        <w:rPr>
          <w:rFonts w:cs="Times New Roman"/>
          <w:szCs w:val="22"/>
        </w:rPr>
        <w:t>根据</w:t>
      </w:r>
      <w:r>
        <w:rPr>
          <w:rFonts w:cs="Times New Roman" w:hint="eastAsia"/>
          <w:szCs w:val="22"/>
        </w:rPr>
        <w:t>雅克拉采气厂</w:t>
      </w:r>
      <w:r>
        <w:rPr>
          <w:rFonts w:cs="Times New Roman"/>
          <w:szCs w:val="22"/>
        </w:rPr>
        <w:t>例行监测报告，</w:t>
      </w:r>
      <w:r>
        <w:rPr>
          <w:rFonts w:cs="Times New Roman" w:hint="eastAsia"/>
          <w:szCs w:val="22"/>
        </w:rPr>
        <w:t>新北</w:t>
      </w:r>
      <w:r>
        <w:rPr>
          <w:rFonts w:cs="Times New Roman" w:hint="eastAsia"/>
          <w:szCs w:val="22"/>
        </w:rPr>
        <w:t>1X</w:t>
      </w:r>
      <w:r>
        <w:rPr>
          <w:rFonts w:cs="Times New Roman" w:hint="eastAsia"/>
          <w:szCs w:val="22"/>
        </w:rPr>
        <w:t>井</w:t>
      </w:r>
      <w:r>
        <w:rPr>
          <w:rFonts w:cs="Times New Roman"/>
          <w:szCs w:val="22"/>
        </w:rPr>
        <w:t>正常生产期间污染物年排放情况见表</w:t>
      </w:r>
      <w:r>
        <w:rPr>
          <w:rFonts w:cs="Times New Roman" w:hint="eastAsia"/>
          <w:szCs w:val="22"/>
        </w:rPr>
        <w:t>3.1-4</w:t>
      </w:r>
      <w:r>
        <w:rPr>
          <w:rFonts w:cs="Times New Roman" w:hint="eastAsia"/>
          <w:szCs w:val="22"/>
        </w:rPr>
        <w:t>。</w:t>
      </w:r>
    </w:p>
    <w:p w:rsidR="00C645C9" w:rsidRDefault="00F955D9">
      <w:pPr>
        <w:pStyle w:val="aff0"/>
        <w:spacing w:line="240" w:lineRule="auto"/>
        <w:ind w:firstLine="238"/>
        <w:rPr>
          <w:rFonts w:ascii="Times New Roman" w:hAnsi="Times New Roman"/>
          <w:bCs/>
          <w:sz w:val="21"/>
          <w:szCs w:val="16"/>
        </w:rPr>
      </w:pPr>
      <w:bookmarkStart w:id="496" w:name="OLE_LINK1117"/>
      <w:r>
        <w:rPr>
          <w:rFonts w:ascii="Times New Roman" w:hAnsi="Times New Roman"/>
          <w:bCs/>
          <w:sz w:val="21"/>
          <w:szCs w:val="16"/>
        </w:rPr>
        <w:t>表</w:t>
      </w:r>
      <w:r>
        <w:rPr>
          <w:rFonts w:ascii="Times New Roman" w:hAnsi="Times New Roman"/>
          <w:bCs/>
          <w:sz w:val="21"/>
          <w:szCs w:val="16"/>
        </w:rPr>
        <w:t>3.</w:t>
      </w:r>
      <w:r>
        <w:rPr>
          <w:rFonts w:ascii="Times New Roman" w:hAnsi="Times New Roman" w:hint="eastAsia"/>
          <w:bCs/>
          <w:sz w:val="21"/>
          <w:szCs w:val="16"/>
        </w:rPr>
        <w:t>1-4</w:t>
      </w:r>
      <w:r>
        <w:rPr>
          <w:rFonts w:ascii="Times New Roman" w:hAnsi="Times New Roman"/>
          <w:bCs/>
          <w:sz w:val="21"/>
          <w:szCs w:val="16"/>
        </w:rPr>
        <w:t xml:space="preserve">   </w:t>
      </w:r>
      <w:r>
        <w:rPr>
          <w:rFonts w:ascii="Times New Roman" w:hAnsi="Times New Roman"/>
          <w:bCs/>
          <w:sz w:val="21"/>
          <w:szCs w:val="16"/>
        </w:rPr>
        <w:t>现有工程污染物排放情况一览表</w:t>
      </w:r>
      <w:r>
        <w:rPr>
          <w:rFonts w:ascii="Times New Roman" w:hAnsi="Times New Roman"/>
          <w:bCs/>
          <w:sz w:val="21"/>
          <w:szCs w:val="16"/>
        </w:rPr>
        <w:t xml:space="preserve">   </w:t>
      </w:r>
      <w:r>
        <w:rPr>
          <w:rFonts w:ascii="Times New Roman" w:hAnsi="Times New Roman"/>
          <w:bCs/>
          <w:sz w:val="21"/>
          <w:szCs w:val="16"/>
        </w:rPr>
        <w:t>单位：</w:t>
      </w:r>
      <w:r>
        <w:rPr>
          <w:rFonts w:ascii="Times New Roman" w:hAnsi="Times New Roman"/>
          <w:bCs/>
          <w:sz w:val="21"/>
          <w:szCs w:val="16"/>
        </w:rPr>
        <w:t xml:space="preserve"> t/a</w:t>
      </w:r>
    </w:p>
    <w:tbl>
      <w:tblPr>
        <w:tblStyle w:val="TableNormal"/>
        <w:tblW w:w="901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6"/>
        <w:gridCol w:w="1320"/>
        <w:gridCol w:w="1320"/>
        <w:gridCol w:w="1320"/>
        <w:gridCol w:w="1320"/>
        <w:gridCol w:w="1056"/>
        <w:gridCol w:w="1057"/>
      </w:tblGrid>
      <w:tr w:rsidR="00C645C9">
        <w:trPr>
          <w:trHeight w:val="402"/>
          <w:jc w:val="center"/>
        </w:trPr>
        <w:tc>
          <w:tcPr>
            <w:tcW w:w="1626" w:type="dxa"/>
            <w:vMerge w:val="restart"/>
            <w:tcBorders>
              <w:top w:val="single" w:sz="6" w:space="0" w:color="000000"/>
              <w:left w:val="single" w:sz="6" w:space="0" w:color="000000"/>
              <w:bottom w:val="nil"/>
            </w:tcBorders>
            <w:vAlign w:val="center"/>
          </w:tcPr>
          <w:p w:rsidR="00C645C9" w:rsidRDefault="00F955D9">
            <w:pPr>
              <w:adjustRightInd w:val="0"/>
              <w:snapToGrid w:val="0"/>
              <w:jc w:val="center"/>
              <w:textAlignment w:val="center"/>
              <w:rPr>
                <w:rFonts w:cs="Times New Roman"/>
                <w:sz w:val="21"/>
                <w:szCs w:val="21"/>
                <w:lang w:bidi="ar"/>
              </w:rPr>
            </w:pPr>
            <w:bookmarkStart w:id="497" w:name="OLE_LINK268"/>
            <w:r>
              <w:rPr>
                <w:rFonts w:cs="Times New Roman"/>
                <w:sz w:val="21"/>
                <w:szCs w:val="21"/>
                <w:lang w:bidi="ar"/>
              </w:rPr>
              <w:t>类别</w:t>
            </w:r>
          </w:p>
        </w:tc>
        <w:tc>
          <w:tcPr>
            <w:tcW w:w="5280" w:type="dxa"/>
            <w:gridSpan w:val="4"/>
            <w:tcBorders>
              <w:top w:val="single" w:sz="6" w:space="0" w:color="000000"/>
            </w:tcBorders>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废气</w:t>
            </w:r>
          </w:p>
        </w:tc>
        <w:tc>
          <w:tcPr>
            <w:tcW w:w="1056" w:type="dxa"/>
            <w:vMerge w:val="restart"/>
            <w:tcBorders>
              <w:top w:val="single" w:sz="6" w:space="0" w:color="000000"/>
              <w:bottom w:val="nil"/>
            </w:tcBorders>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废水</w:t>
            </w:r>
          </w:p>
        </w:tc>
        <w:tc>
          <w:tcPr>
            <w:tcW w:w="1057" w:type="dxa"/>
            <w:vMerge w:val="restart"/>
            <w:tcBorders>
              <w:top w:val="single" w:sz="6" w:space="0" w:color="000000"/>
              <w:bottom w:val="nil"/>
              <w:right w:val="single" w:sz="6" w:space="0" w:color="000000"/>
            </w:tcBorders>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固废</w:t>
            </w:r>
          </w:p>
        </w:tc>
      </w:tr>
      <w:tr w:rsidR="00C645C9">
        <w:trPr>
          <w:trHeight w:val="397"/>
          <w:jc w:val="center"/>
        </w:trPr>
        <w:tc>
          <w:tcPr>
            <w:tcW w:w="1626" w:type="dxa"/>
            <w:vMerge/>
            <w:tcBorders>
              <w:top w:val="nil"/>
              <w:left w:val="single" w:sz="6" w:space="0" w:color="000000"/>
            </w:tcBorders>
            <w:vAlign w:val="center"/>
          </w:tcPr>
          <w:p w:rsidR="00C645C9" w:rsidRDefault="00C645C9">
            <w:pPr>
              <w:adjustRightInd w:val="0"/>
              <w:snapToGrid w:val="0"/>
              <w:jc w:val="center"/>
              <w:textAlignment w:val="center"/>
              <w:rPr>
                <w:rFonts w:cs="Times New Roman"/>
                <w:sz w:val="21"/>
                <w:szCs w:val="21"/>
                <w:lang w:bidi="ar"/>
              </w:rPr>
            </w:pPr>
          </w:p>
        </w:tc>
        <w:tc>
          <w:tcPr>
            <w:tcW w:w="1320" w:type="dxa"/>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二氧化硫</w:t>
            </w:r>
          </w:p>
        </w:tc>
        <w:tc>
          <w:tcPr>
            <w:tcW w:w="1320" w:type="dxa"/>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氮氧化物</w:t>
            </w:r>
          </w:p>
        </w:tc>
        <w:tc>
          <w:tcPr>
            <w:tcW w:w="1320" w:type="dxa"/>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非甲烷总烃</w:t>
            </w:r>
          </w:p>
        </w:tc>
        <w:tc>
          <w:tcPr>
            <w:tcW w:w="1320" w:type="dxa"/>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硫化氢</w:t>
            </w:r>
          </w:p>
        </w:tc>
        <w:tc>
          <w:tcPr>
            <w:tcW w:w="1056" w:type="dxa"/>
            <w:vMerge/>
            <w:tcBorders>
              <w:top w:val="nil"/>
            </w:tcBorders>
            <w:vAlign w:val="center"/>
          </w:tcPr>
          <w:p w:rsidR="00C645C9" w:rsidRDefault="00C645C9">
            <w:pPr>
              <w:adjustRightInd w:val="0"/>
              <w:snapToGrid w:val="0"/>
              <w:jc w:val="center"/>
              <w:textAlignment w:val="center"/>
              <w:rPr>
                <w:rFonts w:cs="Times New Roman"/>
                <w:sz w:val="21"/>
                <w:szCs w:val="21"/>
                <w:lang w:bidi="ar"/>
              </w:rPr>
            </w:pPr>
          </w:p>
        </w:tc>
        <w:tc>
          <w:tcPr>
            <w:tcW w:w="1057" w:type="dxa"/>
            <w:vMerge/>
            <w:tcBorders>
              <w:top w:val="nil"/>
              <w:right w:val="single" w:sz="6" w:space="0" w:color="000000"/>
            </w:tcBorders>
            <w:vAlign w:val="center"/>
          </w:tcPr>
          <w:p w:rsidR="00C645C9" w:rsidRDefault="00C645C9">
            <w:pPr>
              <w:adjustRightInd w:val="0"/>
              <w:snapToGrid w:val="0"/>
              <w:jc w:val="center"/>
              <w:textAlignment w:val="center"/>
              <w:rPr>
                <w:rFonts w:cs="Times New Roman"/>
                <w:sz w:val="21"/>
                <w:szCs w:val="21"/>
                <w:lang w:bidi="ar"/>
              </w:rPr>
            </w:pPr>
          </w:p>
        </w:tc>
      </w:tr>
      <w:tr w:rsidR="00C645C9">
        <w:trPr>
          <w:trHeight w:val="411"/>
          <w:jc w:val="center"/>
        </w:trPr>
        <w:tc>
          <w:tcPr>
            <w:tcW w:w="1626" w:type="dxa"/>
            <w:tcBorders>
              <w:left w:val="single" w:sz="6" w:space="0" w:color="000000"/>
              <w:bottom w:val="single" w:sz="6" w:space="0" w:color="000000"/>
            </w:tcBorders>
            <w:vAlign w:val="center"/>
          </w:tcPr>
          <w:p w:rsidR="00C645C9" w:rsidRDefault="00F955D9">
            <w:pPr>
              <w:jc w:val="center"/>
              <w:textAlignment w:val="center"/>
              <w:rPr>
                <w:rFonts w:cs="Times New Roman"/>
                <w:sz w:val="21"/>
                <w:szCs w:val="21"/>
                <w:lang w:bidi="ar"/>
              </w:rPr>
            </w:pPr>
            <w:r>
              <w:rPr>
                <w:rFonts w:cs="Times New Roman"/>
                <w:sz w:val="21"/>
                <w:szCs w:val="21"/>
                <w:lang w:bidi="ar"/>
              </w:rPr>
              <w:t>现有工程排放量</w:t>
            </w:r>
          </w:p>
        </w:tc>
        <w:tc>
          <w:tcPr>
            <w:tcW w:w="1320" w:type="dxa"/>
            <w:tcBorders>
              <w:bottom w:val="single" w:sz="6" w:space="0" w:color="000000"/>
            </w:tcBorders>
            <w:vAlign w:val="center"/>
          </w:tcPr>
          <w:p w:rsidR="00C645C9" w:rsidRDefault="00F955D9">
            <w:pPr>
              <w:jc w:val="center"/>
              <w:textAlignment w:val="center"/>
              <w:rPr>
                <w:rFonts w:cs="Times New Roman"/>
                <w:sz w:val="21"/>
                <w:szCs w:val="21"/>
                <w:lang w:bidi="ar"/>
              </w:rPr>
            </w:pPr>
            <w:r>
              <w:rPr>
                <w:rFonts w:cs="Times New Roman"/>
                <w:sz w:val="21"/>
                <w:szCs w:val="21"/>
                <w:lang w:bidi="ar"/>
              </w:rPr>
              <w:t>0.00</w:t>
            </w:r>
            <w:r>
              <w:rPr>
                <w:rFonts w:cs="Times New Roman" w:hint="eastAsia"/>
                <w:sz w:val="21"/>
                <w:szCs w:val="21"/>
                <w:lang w:bidi="ar"/>
              </w:rPr>
              <w:t>1</w:t>
            </w:r>
          </w:p>
        </w:tc>
        <w:tc>
          <w:tcPr>
            <w:tcW w:w="1320" w:type="dxa"/>
            <w:tcBorders>
              <w:bottom w:val="single" w:sz="6" w:space="0" w:color="000000"/>
            </w:tcBorders>
            <w:vAlign w:val="center"/>
          </w:tcPr>
          <w:p w:rsidR="00C645C9" w:rsidRDefault="00F955D9">
            <w:pPr>
              <w:jc w:val="center"/>
              <w:textAlignment w:val="center"/>
              <w:rPr>
                <w:rFonts w:cs="Times New Roman"/>
                <w:sz w:val="21"/>
                <w:szCs w:val="21"/>
                <w:lang w:bidi="ar"/>
              </w:rPr>
            </w:pPr>
            <w:r>
              <w:rPr>
                <w:rFonts w:cs="Times New Roman"/>
                <w:sz w:val="21"/>
                <w:szCs w:val="21"/>
                <w:lang w:bidi="ar"/>
              </w:rPr>
              <w:t>0.1</w:t>
            </w:r>
            <w:r>
              <w:rPr>
                <w:rFonts w:cs="Times New Roman" w:hint="eastAsia"/>
                <w:sz w:val="21"/>
                <w:szCs w:val="21"/>
                <w:lang w:bidi="ar"/>
              </w:rPr>
              <w:t>571</w:t>
            </w:r>
          </w:p>
        </w:tc>
        <w:tc>
          <w:tcPr>
            <w:tcW w:w="1320" w:type="dxa"/>
            <w:tcBorders>
              <w:bottom w:val="single" w:sz="6" w:space="0" w:color="000000"/>
            </w:tcBorders>
            <w:vAlign w:val="center"/>
          </w:tcPr>
          <w:p w:rsidR="00C645C9" w:rsidRDefault="00F955D9">
            <w:pPr>
              <w:jc w:val="center"/>
              <w:textAlignment w:val="center"/>
              <w:rPr>
                <w:rFonts w:cs="Times New Roman"/>
                <w:sz w:val="21"/>
                <w:szCs w:val="21"/>
                <w:lang w:bidi="ar"/>
              </w:rPr>
            </w:pPr>
            <w:bookmarkStart w:id="498" w:name="OLE_LINK497"/>
            <w:r>
              <w:rPr>
                <w:rFonts w:cs="Times New Roman"/>
                <w:sz w:val="21"/>
                <w:szCs w:val="21"/>
                <w:lang w:bidi="ar"/>
              </w:rPr>
              <w:t>0.</w:t>
            </w:r>
            <w:r>
              <w:rPr>
                <w:rFonts w:cs="Times New Roman" w:hint="eastAsia"/>
                <w:sz w:val="21"/>
                <w:szCs w:val="21"/>
                <w:lang w:bidi="ar"/>
              </w:rPr>
              <w:t>9056</w:t>
            </w:r>
            <w:bookmarkEnd w:id="498"/>
          </w:p>
        </w:tc>
        <w:tc>
          <w:tcPr>
            <w:tcW w:w="1320" w:type="dxa"/>
            <w:tcBorders>
              <w:bottom w:val="single" w:sz="6" w:space="0" w:color="000000"/>
            </w:tcBorders>
            <w:vAlign w:val="center"/>
          </w:tcPr>
          <w:p w:rsidR="00C645C9" w:rsidRDefault="00F955D9">
            <w:pPr>
              <w:jc w:val="center"/>
              <w:textAlignment w:val="center"/>
              <w:rPr>
                <w:rFonts w:cs="Times New Roman"/>
                <w:sz w:val="21"/>
                <w:szCs w:val="21"/>
                <w:lang w:bidi="ar"/>
              </w:rPr>
            </w:pPr>
            <w:bookmarkStart w:id="499" w:name="OLE_LINK496"/>
            <w:r>
              <w:rPr>
                <w:rFonts w:cs="Times New Roman"/>
                <w:sz w:val="21"/>
                <w:szCs w:val="21"/>
                <w:lang w:bidi="ar"/>
              </w:rPr>
              <w:t>0.00</w:t>
            </w:r>
            <w:r>
              <w:rPr>
                <w:rFonts w:cs="Times New Roman" w:hint="eastAsia"/>
                <w:sz w:val="21"/>
                <w:szCs w:val="21"/>
                <w:lang w:bidi="ar"/>
              </w:rPr>
              <w:t>2</w:t>
            </w:r>
            <w:bookmarkEnd w:id="499"/>
          </w:p>
        </w:tc>
        <w:tc>
          <w:tcPr>
            <w:tcW w:w="1056" w:type="dxa"/>
            <w:tcBorders>
              <w:bottom w:val="single" w:sz="6" w:space="0" w:color="000000"/>
            </w:tcBorders>
            <w:vAlign w:val="center"/>
          </w:tcPr>
          <w:p w:rsidR="00C645C9" w:rsidRDefault="00F955D9">
            <w:pPr>
              <w:jc w:val="center"/>
              <w:textAlignment w:val="center"/>
              <w:rPr>
                <w:rFonts w:cs="Times New Roman"/>
                <w:sz w:val="21"/>
                <w:szCs w:val="21"/>
                <w:lang w:bidi="ar"/>
              </w:rPr>
            </w:pPr>
            <w:r>
              <w:rPr>
                <w:rFonts w:cs="Times New Roman"/>
                <w:sz w:val="21"/>
                <w:szCs w:val="21"/>
                <w:lang w:bidi="ar"/>
              </w:rPr>
              <w:t>0</w:t>
            </w:r>
          </w:p>
        </w:tc>
        <w:tc>
          <w:tcPr>
            <w:tcW w:w="1057" w:type="dxa"/>
            <w:tcBorders>
              <w:bottom w:val="single" w:sz="6" w:space="0" w:color="000000"/>
              <w:right w:val="single" w:sz="6" w:space="0" w:color="000000"/>
            </w:tcBorders>
            <w:vAlign w:val="center"/>
          </w:tcPr>
          <w:p w:rsidR="00C645C9" w:rsidRDefault="00F955D9">
            <w:pPr>
              <w:jc w:val="center"/>
              <w:textAlignment w:val="center"/>
              <w:rPr>
                <w:rFonts w:cs="Times New Roman"/>
                <w:sz w:val="21"/>
                <w:szCs w:val="21"/>
                <w:lang w:bidi="ar"/>
              </w:rPr>
            </w:pPr>
            <w:r>
              <w:rPr>
                <w:rFonts w:cs="Times New Roman"/>
                <w:sz w:val="21"/>
                <w:szCs w:val="21"/>
                <w:lang w:bidi="ar"/>
              </w:rPr>
              <w:t>0</w:t>
            </w:r>
          </w:p>
        </w:tc>
      </w:tr>
    </w:tbl>
    <w:bookmarkEnd w:id="496"/>
    <w:bookmarkEnd w:id="497"/>
    <w:p w:rsidR="00C645C9" w:rsidRDefault="00F955D9">
      <w:pPr>
        <w:keepNext/>
        <w:keepLines/>
        <w:adjustRightInd w:val="0"/>
        <w:snapToGrid w:val="0"/>
        <w:spacing w:line="360" w:lineRule="auto"/>
        <w:outlineLvl w:val="2"/>
        <w:rPr>
          <w:rFonts w:cs="Times New Roman"/>
          <w:b/>
          <w:sz w:val="28"/>
          <w:szCs w:val="22"/>
        </w:rPr>
      </w:pPr>
      <w:r>
        <w:rPr>
          <w:rFonts w:cs="Times New Roman"/>
          <w:b/>
          <w:sz w:val="28"/>
          <w:szCs w:val="22"/>
        </w:rPr>
        <w:t>3.</w:t>
      </w:r>
      <w:r>
        <w:rPr>
          <w:rFonts w:cs="Times New Roman" w:hint="eastAsia"/>
          <w:b/>
          <w:sz w:val="28"/>
          <w:szCs w:val="22"/>
        </w:rPr>
        <w:t>1</w:t>
      </w:r>
      <w:r>
        <w:rPr>
          <w:rFonts w:cs="Times New Roman"/>
          <w:b/>
          <w:sz w:val="28"/>
          <w:szCs w:val="22"/>
        </w:rPr>
        <w:t>.</w:t>
      </w:r>
      <w:r>
        <w:rPr>
          <w:rFonts w:cs="Times New Roman" w:hint="eastAsia"/>
          <w:b/>
          <w:sz w:val="28"/>
          <w:szCs w:val="22"/>
        </w:rPr>
        <w:t>5</w:t>
      </w:r>
      <w:bookmarkStart w:id="500" w:name="OLE_LINK493"/>
      <w:r>
        <w:rPr>
          <w:rFonts w:cs="Times New Roman"/>
          <w:b/>
          <w:sz w:val="28"/>
          <w:szCs w:val="22"/>
        </w:rPr>
        <w:t>现有工程环境问题</w:t>
      </w:r>
      <w:bookmarkEnd w:id="500"/>
      <w:r>
        <w:rPr>
          <w:rFonts w:cs="Times New Roman"/>
          <w:b/>
          <w:sz w:val="28"/>
          <w:szCs w:val="22"/>
        </w:rPr>
        <w:t>及</w:t>
      </w:r>
      <w:r>
        <w:rPr>
          <w:rFonts w:cs="Times New Roman"/>
          <w:b/>
          <w:sz w:val="28"/>
          <w:szCs w:val="22"/>
        </w:rPr>
        <w:t>“</w:t>
      </w:r>
      <w:r>
        <w:rPr>
          <w:rFonts w:cs="Times New Roman"/>
          <w:b/>
          <w:sz w:val="28"/>
          <w:szCs w:val="22"/>
        </w:rPr>
        <w:t>以新带老</w:t>
      </w:r>
      <w:r>
        <w:rPr>
          <w:rFonts w:cs="Times New Roman"/>
          <w:b/>
          <w:sz w:val="28"/>
          <w:szCs w:val="22"/>
        </w:rPr>
        <w:t>”</w:t>
      </w:r>
      <w:bookmarkStart w:id="501" w:name="OLE_LINK499"/>
      <w:r>
        <w:rPr>
          <w:rFonts w:cs="Times New Roman"/>
          <w:b/>
          <w:sz w:val="28"/>
          <w:szCs w:val="22"/>
        </w:rPr>
        <w:t>改进意见</w:t>
      </w:r>
      <w:bookmarkEnd w:id="501"/>
    </w:p>
    <w:p w:rsidR="00C645C9" w:rsidRDefault="00F955D9">
      <w:pPr>
        <w:adjustRightInd w:val="0"/>
        <w:snapToGrid w:val="0"/>
        <w:spacing w:line="360" w:lineRule="auto"/>
        <w:ind w:firstLineChars="200" w:firstLine="480"/>
        <w:rPr>
          <w:rFonts w:cs="Times New Roman"/>
          <w:szCs w:val="22"/>
        </w:rPr>
      </w:pPr>
      <w:bookmarkStart w:id="502" w:name="OLE_LINK498"/>
      <w:r>
        <w:rPr>
          <w:rFonts w:cs="Times New Roman" w:hint="eastAsia"/>
          <w:szCs w:val="22"/>
        </w:rPr>
        <w:t>（</w:t>
      </w:r>
      <w:r>
        <w:rPr>
          <w:rFonts w:cs="Times New Roman" w:hint="eastAsia"/>
          <w:szCs w:val="22"/>
        </w:rPr>
        <w:t>1</w:t>
      </w:r>
      <w:r>
        <w:rPr>
          <w:rFonts w:cs="Times New Roman" w:hint="eastAsia"/>
          <w:szCs w:val="22"/>
        </w:rPr>
        <w:t>）现有工程环境问题</w:t>
      </w:r>
    </w:p>
    <w:bookmarkEnd w:id="502"/>
    <w:p w:rsidR="00C645C9" w:rsidRDefault="00F955D9">
      <w:pPr>
        <w:adjustRightInd w:val="0"/>
        <w:snapToGrid w:val="0"/>
        <w:spacing w:line="360" w:lineRule="auto"/>
        <w:ind w:firstLineChars="200" w:firstLine="480"/>
        <w:rPr>
          <w:rFonts w:cs="Times New Roman"/>
          <w:szCs w:val="22"/>
        </w:rPr>
      </w:pPr>
      <w:r>
        <w:rPr>
          <w:rFonts w:cs="Times New Roman"/>
          <w:szCs w:val="22"/>
        </w:rPr>
        <w:t>根据现场踏勘，新北</w:t>
      </w:r>
      <w:r>
        <w:rPr>
          <w:rFonts w:cs="Times New Roman"/>
          <w:szCs w:val="22"/>
        </w:rPr>
        <w:t>1X</w:t>
      </w:r>
      <w:r>
        <w:rPr>
          <w:rFonts w:cs="Times New Roman" w:hint="eastAsia"/>
          <w:szCs w:val="22"/>
        </w:rPr>
        <w:t>井</w:t>
      </w:r>
      <w:r>
        <w:rPr>
          <w:rFonts w:cs="Times New Roman"/>
          <w:szCs w:val="22"/>
        </w:rPr>
        <w:t>井场及周围</w:t>
      </w:r>
      <w:r>
        <w:rPr>
          <w:rFonts w:cs="Times New Roman" w:hint="eastAsia"/>
          <w:szCs w:val="22"/>
        </w:rPr>
        <w:t>已平整，</w:t>
      </w:r>
      <w:r>
        <w:rPr>
          <w:rFonts w:cs="Times New Roman"/>
          <w:szCs w:val="22"/>
        </w:rPr>
        <w:t>但</w:t>
      </w:r>
      <w:r>
        <w:rPr>
          <w:rFonts w:cs="Times New Roman" w:hint="eastAsia"/>
          <w:szCs w:val="22"/>
        </w:rPr>
        <w:t>井场有部分</w:t>
      </w:r>
      <w:bookmarkStart w:id="503" w:name="OLE_LINK1161"/>
      <w:bookmarkStart w:id="504" w:name="OLE_LINK1162"/>
      <w:r>
        <w:rPr>
          <w:rFonts w:cs="Times New Roman" w:hint="eastAsia"/>
          <w:szCs w:val="22"/>
        </w:rPr>
        <w:t>护栏</w:t>
      </w:r>
      <w:bookmarkEnd w:id="503"/>
      <w:r>
        <w:rPr>
          <w:rFonts w:cs="Times New Roman" w:hint="eastAsia"/>
          <w:szCs w:val="22"/>
        </w:rPr>
        <w:t>破损</w:t>
      </w:r>
      <w:bookmarkEnd w:id="504"/>
      <w:r>
        <w:rPr>
          <w:rFonts w:cs="Times New Roman"/>
          <w:szCs w:val="22"/>
        </w:rPr>
        <w:t>。油区道路总体规范，</w:t>
      </w:r>
      <w:bookmarkStart w:id="505" w:name="OLE_LINK381"/>
      <w:r>
        <w:rPr>
          <w:rFonts w:cs="Times New Roman"/>
          <w:szCs w:val="22"/>
        </w:rPr>
        <w:t>但</w:t>
      </w:r>
      <w:bookmarkEnd w:id="505"/>
      <w:r>
        <w:rPr>
          <w:rFonts w:cs="Times New Roman"/>
          <w:szCs w:val="22"/>
        </w:rPr>
        <w:t>部分地段有车辆乱碾乱轧的痕迹</w:t>
      </w:r>
      <w:r>
        <w:rPr>
          <w:rFonts w:cs="Times New Roman" w:hint="eastAsia"/>
          <w:szCs w:val="22"/>
        </w:rPr>
        <w:t>。</w:t>
      </w:r>
    </w:p>
    <w:p w:rsidR="00C645C9" w:rsidRDefault="00F955D9">
      <w:pPr>
        <w:adjustRightInd w:val="0"/>
        <w:snapToGrid w:val="0"/>
        <w:jc w:val="center"/>
        <w:rPr>
          <w:rFonts w:eastAsia="黑体" w:cs="Times New Roman"/>
          <w:bCs/>
          <w:sz w:val="21"/>
          <w:szCs w:val="16"/>
        </w:rPr>
      </w:pPr>
      <w:r>
        <w:rPr>
          <w:rFonts w:eastAsia="黑体" w:cs="Times New Roman"/>
          <w:bCs/>
          <w:sz w:val="21"/>
          <w:szCs w:val="16"/>
        </w:rPr>
        <w:t>图</w:t>
      </w:r>
      <w:r>
        <w:rPr>
          <w:rFonts w:eastAsia="黑体" w:cs="Times New Roman"/>
          <w:bCs/>
          <w:sz w:val="21"/>
          <w:szCs w:val="16"/>
        </w:rPr>
        <w:t>3.</w:t>
      </w:r>
      <w:r>
        <w:rPr>
          <w:rFonts w:eastAsia="黑体" w:cs="Times New Roman" w:hint="eastAsia"/>
          <w:bCs/>
          <w:sz w:val="21"/>
          <w:szCs w:val="16"/>
        </w:rPr>
        <w:t>1</w:t>
      </w:r>
      <w:r>
        <w:rPr>
          <w:rFonts w:eastAsia="黑体" w:cs="Times New Roman"/>
          <w:bCs/>
          <w:sz w:val="21"/>
          <w:szCs w:val="16"/>
        </w:rPr>
        <w:t xml:space="preserve">-1   </w:t>
      </w:r>
      <w:bookmarkStart w:id="506" w:name="OLE_LINK206"/>
      <w:r>
        <w:rPr>
          <w:rFonts w:eastAsia="黑体" w:cs="Times New Roman"/>
          <w:bCs/>
          <w:sz w:val="21"/>
          <w:szCs w:val="16"/>
        </w:rPr>
        <w:t>新北</w:t>
      </w:r>
      <w:r>
        <w:rPr>
          <w:rFonts w:eastAsia="黑体" w:cs="Times New Roman"/>
          <w:bCs/>
          <w:sz w:val="21"/>
          <w:szCs w:val="16"/>
        </w:rPr>
        <w:t>1X</w:t>
      </w:r>
      <w:r>
        <w:rPr>
          <w:rFonts w:eastAsia="黑体" w:cs="Times New Roman"/>
          <w:bCs/>
          <w:sz w:val="21"/>
          <w:szCs w:val="16"/>
        </w:rPr>
        <w:t>井</w:t>
      </w:r>
      <w:bookmarkEnd w:id="506"/>
      <w:r>
        <w:rPr>
          <w:rFonts w:eastAsia="黑体" w:cs="Times New Roman"/>
          <w:bCs/>
          <w:sz w:val="21"/>
          <w:szCs w:val="16"/>
        </w:rPr>
        <w:t>现状环境</w:t>
      </w:r>
    </w:p>
    <w:p w:rsidR="00C645C9" w:rsidRDefault="00F955D9">
      <w:pPr>
        <w:adjustRightInd w:val="0"/>
        <w:snapToGrid w:val="0"/>
        <w:spacing w:line="360" w:lineRule="auto"/>
        <w:ind w:firstLineChars="200" w:firstLine="480"/>
      </w:pPr>
      <w:r>
        <w:t>（</w:t>
      </w:r>
      <w:r>
        <w:t>2</w:t>
      </w:r>
      <w:r>
        <w:t>）</w:t>
      </w:r>
      <w:r>
        <w:rPr>
          <w:rFonts w:cs="Times New Roman" w:hint="eastAsia"/>
          <w:szCs w:val="22"/>
        </w:rPr>
        <w:t>改进意见</w:t>
      </w:r>
    </w:p>
    <w:p w:rsidR="00C645C9" w:rsidRDefault="00F955D9">
      <w:pPr>
        <w:adjustRightInd w:val="0"/>
        <w:snapToGrid w:val="0"/>
        <w:spacing w:line="360" w:lineRule="auto"/>
        <w:ind w:firstLineChars="200" w:firstLine="480"/>
        <w:rPr>
          <w:rFonts w:cs="Times New Roman"/>
          <w:szCs w:val="22"/>
        </w:rPr>
      </w:pPr>
      <w:r>
        <w:rPr>
          <w:rFonts w:cs="Times New Roman" w:hint="eastAsia"/>
          <w:szCs w:val="22"/>
        </w:rPr>
        <w:t>本工程实施完成后，</w:t>
      </w:r>
      <w:r>
        <w:rPr>
          <w:rFonts w:cs="Times New Roman" w:hint="eastAsia"/>
          <w:szCs w:val="22"/>
        </w:rPr>
        <w:t>对井场护栏进行修复，</w:t>
      </w:r>
      <w:r>
        <w:rPr>
          <w:rFonts w:cs="Times New Roman" w:hint="eastAsia"/>
          <w:szCs w:val="22"/>
        </w:rPr>
        <w:t>对井场永久占地外等区域土壤进行耙松，种植区域适宜植被进行恢复，注意施工过程中避开大风天气。尽快开展竣工验收工作。</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507" w:name="_Toc13754"/>
      <w:bookmarkStart w:id="508" w:name="_Toc21579"/>
      <w:r>
        <w:rPr>
          <w:rFonts w:ascii="Times New Roman" w:hAnsi="Times New Roman" w:cs="Times New Roman"/>
          <w:color w:val="auto"/>
          <w:lang w:eastAsia="zh-CN"/>
        </w:rPr>
        <w:t>3.</w:t>
      </w:r>
      <w:r>
        <w:rPr>
          <w:rFonts w:ascii="Times New Roman" w:hAnsi="Times New Roman" w:cs="Times New Roman" w:hint="eastAsia"/>
          <w:color w:val="auto"/>
          <w:lang w:eastAsia="zh-CN"/>
        </w:rPr>
        <w:t>2</w:t>
      </w:r>
      <w:bookmarkEnd w:id="507"/>
      <w:r>
        <w:rPr>
          <w:rFonts w:ascii="Times New Roman" w:hAnsi="Times New Roman" w:cs="Times New Roman" w:hint="eastAsia"/>
          <w:color w:val="auto"/>
          <w:lang w:eastAsia="zh-CN"/>
        </w:rPr>
        <w:t>拟建工程</w:t>
      </w:r>
      <w:bookmarkEnd w:id="508"/>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509" w:name="_Toc32424"/>
      <w:bookmarkStart w:id="510" w:name="_Toc30189"/>
      <w:bookmarkStart w:id="511" w:name="_Toc11569"/>
      <w:r>
        <w:rPr>
          <w:rFonts w:ascii="Times New Roman" w:hAnsi="Times New Roman" w:cs="Times New Roman"/>
          <w:color w:val="auto"/>
          <w:lang w:eastAsia="zh-CN"/>
        </w:rPr>
        <w:t>3.</w:t>
      </w:r>
      <w:r>
        <w:rPr>
          <w:rFonts w:ascii="Times New Roman" w:hAnsi="Times New Roman" w:cs="Times New Roman" w:hint="eastAsia"/>
          <w:color w:val="auto"/>
          <w:lang w:eastAsia="zh-CN"/>
        </w:rPr>
        <w:t>2</w:t>
      </w:r>
      <w:r>
        <w:rPr>
          <w:rFonts w:ascii="Times New Roman" w:hAnsi="Times New Roman" w:cs="Times New Roman"/>
          <w:color w:val="auto"/>
          <w:lang w:eastAsia="zh-CN"/>
        </w:rPr>
        <w:t>.1</w:t>
      </w:r>
      <w:bookmarkEnd w:id="509"/>
      <w:bookmarkEnd w:id="510"/>
      <w:bookmarkEnd w:id="511"/>
      <w:r>
        <w:rPr>
          <w:rFonts w:ascii="Times New Roman" w:hAnsi="Times New Roman" w:cs="Times New Roman"/>
          <w:color w:val="auto"/>
          <w:lang w:eastAsia="zh-CN"/>
        </w:rPr>
        <w:t>项目概况</w:t>
      </w:r>
    </w:p>
    <w:p w:rsidR="00C645C9" w:rsidRDefault="00F955D9">
      <w:pPr>
        <w:pStyle w:val="4"/>
        <w:widowControl w:val="0"/>
        <w:adjustRightInd w:val="0"/>
        <w:snapToGrid w:val="0"/>
        <w:rPr>
          <w:rFonts w:ascii="Times New Roman" w:hAnsi="Times New Roman" w:cs="Times New Roman"/>
          <w:color w:val="auto"/>
          <w:szCs w:val="24"/>
          <w:lang w:eastAsia="zh-CN"/>
        </w:rPr>
      </w:pPr>
      <w:hyperlink r:id="rId19" w:history="1">
        <w:r>
          <w:rPr>
            <w:rFonts w:ascii="Times New Roman" w:hAnsi="Times New Roman" w:cs="Times New Roman"/>
            <w:color w:val="auto"/>
            <w:lang w:eastAsia="zh-CN"/>
          </w:rPr>
          <w:t>3.</w:t>
        </w:r>
        <w:r>
          <w:rPr>
            <w:rFonts w:ascii="Times New Roman" w:hAnsi="Times New Roman" w:cs="Times New Roman" w:hint="eastAsia"/>
            <w:color w:val="auto"/>
            <w:lang w:eastAsia="zh-CN"/>
          </w:rPr>
          <w:t>2</w:t>
        </w:r>
        <w:r>
          <w:rPr>
            <w:rFonts w:ascii="Times New Roman" w:hAnsi="Times New Roman" w:cs="Times New Roman"/>
            <w:color w:val="auto"/>
            <w:lang w:eastAsia="zh-CN"/>
          </w:rPr>
          <w:t>.1.1</w:t>
        </w:r>
      </w:hyperlink>
      <w:r>
        <w:rPr>
          <w:rFonts w:ascii="Times New Roman" w:hAnsi="Times New Roman" w:cs="Times New Roman"/>
          <w:color w:val="auto"/>
          <w:lang w:eastAsia="zh-CN"/>
        </w:rPr>
        <w:t>项目名称和性质</w:t>
      </w:r>
    </w:p>
    <w:p w:rsidR="00C645C9" w:rsidRDefault="00F955D9">
      <w:pPr>
        <w:pStyle w:val="a5"/>
        <w:kinsoku w:val="0"/>
        <w:autoSpaceDE w:val="0"/>
        <w:autoSpaceDN w:val="0"/>
        <w:snapToGrid w:val="0"/>
        <w:ind w:firstLineChars="200" w:firstLine="460"/>
        <w:textAlignment w:val="baseline"/>
        <w:rPr>
          <w:rFonts w:ascii="Times New Roman" w:hAnsi="Times New Roman" w:cs="Times New Roman"/>
        </w:rPr>
      </w:pPr>
      <w:r>
        <w:rPr>
          <w:rFonts w:ascii="Times New Roman" w:hAnsi="Times New Roman" w:cs="Times New Roman"/>
          <w:spacing w:val="-5"/>
        </w:rPr>
        <w:t>项目名称：</w:t>
      </w:r>
      <w:r>
        <w:rPr>
          <w:rFonts w:ascii="Times New Roman" w:hAnsi="Times New Roman" w:cs="Times New Roman" w:hint="eastAsia"/>
          <w:spacing w:val="-5"/>
        </w:rPr>
        <w:t>新北区块试采工程</w:t>
      </w:r>
    </w:p>
    <w:p w:rsidR="00C645C9" w:rsidRDefault="00F955D9">
      <w:pPr>
        <w:pStyle w:val="a5"/>
        <w:kinsoku w:val="0"/>
        <w:autoSpaceDE w:val="0"/>
        <w:autoSpaceDN w:val="0"/>
        <w:snapToGrid w:val="0"/>
        <w:ind w:firstLineChars="200" w:firstLine="460"/>
        <w:textAlignment w:val="baseline"/>
        <w:rPr>
          <w:rFonts w:ascii="Times New Roman" w:hAnsi="Times New Roman" w:cs="Times New Roman"/>
          <w:spacing w:val="-19"/>
        </w:rPr>
      </w:pPr>
      <w:bookmarkStart w:id="512" w:name="OLE_LINK500"/>
      <w:r>
        <w:rPr>
          <w:rFonts w:ascii="Times New Roman" w:hAnsi="Times New Roman" w:cs="Times New Roman" w:hint="eastAsia"/>
          <w:spacing w:val="-5"/>
        </w:rPr>
        <w:t>建设</w:t>
      </w:r>
      <w:r>
        <w:rPr>
          <w:rFonts w:ascii="Times New Roman" w:hAnsi="Times New Roman" w:cs="Times New Roman"/>
          <w:spacing w:val="-5"/>
        </w:rPr>
        <w:t>性质</w:t>
      </w:r>
      <w:r>
        <w:rPr>
          <w:rFonts w:ascii="Times New Roman" w:hAnsi="Times New Roman" w:cs="Times New Roman"/>
          <w:spacing w:val="-19"/>
        </w:rPr>
        <w:t>：</w:t>
      </w:r>
      <w:r>
        <w:rPr>
          <w:rFonts w:ascii="Times New Roman" w:hAnsi="Times New Roman" w:cs="Times New Roman" w:hint="eastAsia"/>
          <w:spacing w:val="-19"/>
        </w:rPr>
        <w:t>改</w:t>
      </w:r>
      <w:r>
        <w:rPr>
          <w:rFonts w:ascii="Times New Roman" w:hAnsi="Times New Roman" w:cs="Times New Roman"/>
          <w:spacing w:val="-19"/>
        </w:rPr>
        <w:t>扩建</w:t>
      </w:r>
      <w:bookmarkEnd w:id="512"/>
    </w:p>
    <w:p w:rsidR="00C645C9" w:rsidRDefault="00F955D9" w:rsidP="005718BB">
      <w:pPr>
        <w:pStyle w:val="a6"/>
        <w:ind w:firstLine="460"/>
      </w:pPr>
      <w:r>
        <w:rPr>
          <w:spacing w:val="-5"/>
          <w:szCs w:val="24"/>
        </w:rPr>
        <w:t>建设周期</w:t>
      </w:r>
      <w:r>
        <w:rPr>
          <w:spacing w:val="-19"/>
          <w:szCs w:val="24"/>
        </w:rPr>
        <w:t>：</w:t>
      </w:r>
      <w:r>
        <w:rPr>
          <w:rFonts w:hint="eastAsia"/>
          <w:spacing w:val="-19"/>
          <w:szCs w:val="24"/>
        </w:rPr>
        <w:t>27</w:t>
      </w:r>
      <w:r>
        <w:rPr>
          <w:rFonts w:hint="eastAsia"/>
          <w:spacing w:val="-19"/>
          <w:szCs w:val="24"/>
        </w:rPr>
        <w:t>0</w:t>
      </w:r>
      <w:r>
        <w:rPr>
          <w:rFonts w:hint="eastAsia"/>
          <w:spacing w:val="-19"/>
          <w:szCs w:val="24"/>
        </w:rPr>
        <w:t>天</w:t>
      </w:r>
    </w:p>
    <w:p w:rsidR="00C645C9" w:rsidRDefault="00F955D9">
      <w:pPr>
        <w:pStyle w:val="4"/>
        <w:adjustRightInd w:val="0"/>
        <w:snapToGrid w:val="0"/>
        <w:rPr>
          <w:rFonts w:ascii="Times New Roman" w:hAnsi="Times New Roman" w:cs="Times New Roman"/>
          <w:color w:val="auto"/>
          <w:szCs w:val="24"/>
          <w:lang w:eastAsia="zh-CN"/>
        </w:rPr>
      </w:pPr>
      <w:r>
        <w:rPr>
          <w:rFonts w:ascii="Times New Roman" w:hAnsi="Times New Roman" w:cs="Times New Roman"/>
          <w:color w:val="auto"/>
          <w:lang w:eastAsia="zh-CN"/>
        </w:rPr>
        <w:t>3.</w:t>
      </w:r>
      <w:r>
        <w:rPr>
          <w:rFonts w:ascii="Times New Roman" w:hAnsi="Times New Roman" w:cs="Times New Roman" w:hint="eastAsia"/>
          <w:color w:val="auto"/>
          <w:lang w:eastAsia="zh-CN"/>
        </w:rPr>
        <w:t>2</w:t>
      </w:r>
      <w:r>
        <w:rPr>
          <w:rFonts w:ascii="Times New Roman" w:hAnsi="Times New Roman" w:cs="Times New Roman"/>
          <w:color w:val="auto"/>
          <w:lang w:eastAsia="zh-CN"/>
        </w:rPr>
        <w:t>.1.2</w:t>
      </w:r>
      <w:r>
        <w:rPr>
          <w:rFonts w:ascii="Times New Roman" w:hAnsi="Times New Roman" w:cs="Times New Roman"/>
          <w:color w:val="auto"/>
          <w:lang w:eastAsia="zh-CN"/>
        </w:rPr>
        <w:t>建设地点</w:t>
      </w:r>
    </w:p>
    <w:p w:rsidR="00C645C9" w:rsidRDefault="00F955D9">
      <w:pPr>
        <w:adjustRightInd w:val="0"/>
        <w:snapToGrid w:val="0"/>
        <w:spacing w:line="360" w:lineRule="auto"/>
        <w:ind w:firstLineChars="200" w:firstLine="460"/>
        <w:jc w:val="both"/>
        <w:rPr>
          <w:rFonts w:cs="Times New Roman"/>
        </w:rPr>
      </w:pPr>
      <w:r>
        <w:rPr>
          <w:rFonts w:cs="Times New Roman" w:hint="eastAsia"/>
          <w:spacing w:val="-5"/>
        </w:rPr>
        <w:t>新北区块试采工程</w:t>
      </w:r>
      <w:r>
        <w:rPr>
          <w:rFonts w:cs="Times New Roman"/>
        </w:rPr>
        <w:t>位于阿克苏地区</w:t>
      </w:r>
      <w:r>
        <w:rPr>
          <w:rFonts w:cs="Times New Roman" w:hint="eastAsia"/>
        </w:rPr>
        <w:t>新和</w:t>
      </w:r>
      <w:r>
        <w:rPr>
          <w:rFonts w:cs="Times New Roman"/>
        </w:rPr>
        <w:t>县境内，北部距库车市约</w:t>
      </w:r>
      <w:r>
        <w:rPr>
          <w:rFonts w:cs="Times New Roman"/>
        </w:rPr>
        <w:t>41km</w:t>
      </w:r>
      <w:r>
        <w:rPr>
          <w:rFonts w:cs="Times New Roman"/>
        </w:rPr>
        <w:t>，南部距新和县约</w:t>
      </w:r>
      <w:r>
        <w:rPr>
          <w:rFonts w:cs="Times New Roman"/>
        </w:rPr>
        <w:t>9km</w:t>
      </w:r>
      <w:r>
        <w:rPr>
          <w:rFonts w:cs="Times New Roman"/>
        </w:rPr>
        <w:t>，由雅克拉采气厂管辖。本工程不涉及中央及自治区生态环境保护督察整改问题。</w:t>
      </w:r>
      <w:r>
        <w:rPr>
          <w:rFonts w:cs="Times New Roman"/>
          <w:kern w:val="24"/>
        </w:rPr>
        <w:t>本</w:t>
      </w:r>
      <w:r>
        <w:rPr>
          <w:rFonts w:cs="Times New Roman" w:hint="eastAsia"/>
          <w:kern w:val="24"/>
        </w:rPr>
        <w:t>工程</w:t>
      </w:r>
      <w:r>
        <w:rPr>
          <w:rFonts w:cs="Times New Roman"/>
        </w:rPr>
        <w:t>地理</w:t>
      </w:r>
      <w:bookmarkStart w:id="513" w:name="OLE_LINK189"/>
      <w:r>
        <w:rPr>
          <w:rFonts w:cs="Times New Roman"/>
        </w:rPr>
        <w:t>坐标</w:t>
      </w:r>
      <w:bookmarkEnd w:id="513"/>
      <w:r>
        <w:rPr>
          <w:rFonts w:cs="Times New Roman" w:hint="eastAsia"/>
        </w:rPr>
        <w:t>见表</w:t>
      </w:r>
      <w:r>
        <w:rPr>
          <w:rFonts w:cs="Times New Roman" w:hint="eastAsia"/>
        </w:rPr>
        <w:t>3.2-1</w:t>
      </w:r>
      <w:r>
        <w:rPr>
          <w:rFonts w:cs="Times New Roman" w:hint="eastAsia"/>
        </w:rPr>
        <w:t>。</w:t>
      </w:r>
      <w:r>
        <w:rPr>
          <w:rFonts w:cs="Times New Roman"/>
          <w:spacing w:val="-3"/>
        </w:rPr>
        <w:t>地理位置见</w:t>
      </w:r>
      <w:r>
        <w:rPr>
          <w:rFonts w:cs="Times New Roman"/>
          <w:spacing w:val="-3"/>
        </w:rPr>
        <w:t>图</w:t>
      </w:r>
      <w:r>
        <w:rPr>
          <w:rFonts w:cs="Times New Roman"/>
          <w:spacing w:val="-3"/>
        </w:rPr>
        <w:t>3.</w:t>
      </w:r>
      <w:r>
        <w:rPr>
          <w:rFonts w:cs="Times New Roman" w:hint="eastAsia"/>
          <w:spacing w:val="-3"/>
        </w:rPr>
        <w:t>2</w:t>
      </w:r>
      <w:r>
        <w:rPr>
          <w:rFonts w:cs="Times New Roman"/>
          <w:spacing w:val="-3"/>
        </w:rPr>
        <w:t>-1</w:t>
      </w:r>
      <w:r>
        <w:rPr>
          <w:rFonts w:cs="Times New Roman"/>
          <w:spacing w:val="-3"/>
        </w:rPr>
        <w:t>。</w:t>
      </w:r>
    </w:p>
    <w:p w:rsidR="00C645C9" w:rsidRDefault="00F955D9">
      <w:pPr>
        <w:adjustRightInd w:val="0"/>
        <w:snapToGrid w:val="0"/>
        <w:jc w:val="center"/>
        <w:rPr>
          <w:rFonts w:cs="Times New Roman"/>
        </w:rPr>
      </w:pPr>
      <w:r>
        <w:rPr>
          <w:rFonts w:eastAsia="黑体" w:cs="Times New Roman"/>
          <w:sz w:val="21"/>
          <w:szCs w:val="21"/>
          <w:lang w:bidi="ar"/>
        </w:rPr>
        <w:t>表</w:t>
      </w:r>
      <w:r>
        <w:rPr>
          <w:rFonts w:eastAsia="黑体" w:cs="Times New Roman"/>
          <w:sz w:val="21"/>
          <w:szCs w:val="21"/>
          <w:lang w:bidi="ar"/>
        </w:rPr>
        <w:t>3.</w:t>
      </w:r>
      <w:r>
        <w:rPr>
          <w:rFonts w:eastAsia="黑体" w:cs="Times New Roman" w:hint="eastAsia"/>
          <w:sz w:val="21"/>
          <w:szCs w:val="21"/>
          <w:lang w:bidi="ar"/>
        </w:rPr>
        <w:t>2-1</w:t>
      </w:r>
      <w:r>
        <w:rPr>
          <w:rFonts w:eastAsia="黑体" w:cs="Times New Roman"/>
          <w:sz w:val="21"/>
          <w:szCs w:val="21"/>
          <w:lang w:bidi="ar"/>
        </w:rPr>
        <w:t xml:space="preserve">   </w:t>
      </w:r>
      <w:r>
        <w:rPr>
          <w:rFonts w:eastAsia="黑体" w:cs="Times New Roman" w:hint="eastAsia"/>
          <w:sz w:val="21"/>
          <w:szCs w:val="21"/>
          <w:lang w:bidi="ar"/>
        </w:rPr>
        <w:t>本</w:t>
      </w:r>
      <w:r>
        <w:rPr>
          <w:rFonts w:eastAsia="黑体" w:cs="Times New Roman"/>
          <w:sz w:val="21"/>
          <w:szCs w:val="21"/>
          <w:lang w:bidi="ar"/>
        </w:rPr>
        <w:t>工程坐标一览表</w:t>
      </w:r>
    </w:p>
    <w:tbl>
      <w:tblPr>
        <w:tblStyle w:val="af3"/>
        <w:tblW w:w="8695" w:type="dxa"/>
        <w:tblLook w:val="04A0" w:firstRow="1" w:lastRow="0" w:firstColumn="1" w:lastColumn="0" w:noHBand="0" w:noVBand="1"/>
      </w:tblPr>
      <w:tblGrid>
        <w:gridCol w:w="2575"/>
        <w:gridCol w:w="3705"/>
        <w:gridCol w:w="2415"/>
      </w:tblGrid>
      <w:tr w:rsidR="00C645C9">
        <w:tc>
          <w:tcPr>
            <w:tcW w:w="257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名称</w:t>
            </w:r>
          </w:p>
        </w:tc>
        <w:tc>
          <w:tcPr>
            <w:tcW w:w="370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坐标</w:t>
            </w:r>
          </w:p>
        </w:tc>
        <w:tc>
          <w:tcPr>
            <w:tcW w:w="241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备注</w:t>
            </w:r>
          </w:p>
        </w:tc>
      </w:tr>
      <w:tr w:rsidR="00C645C9">
        <w:tc>
          <w:tcPr>
            <w:tcW w:w="257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新北</w:t>
            </w:r>
            <w:r>
              <w:rPr>
                <w:rFonts w:cs="Times New Roman" w:hint="eastAsia"/>
                <w:sz w:val="21"/>
                <w:szCs w:val="21"/>
              </w:rPr>
              <w:t>1X</w:t>
            </w:r>
            <w:r>
              <w:rPr>
                <w:rFonts w:cs="Times New Roman" w:hint="eastAsia"/>
                <w:sz w:val="21"/>
                <w:szCs w:val="21"/>
              </w:rPr>
              <w:t>井</w:t>
            </w:r>
          </w:p>
        </w:tc>
        <w:tc>
          <w:tcPr>
            <w:tcW w:w="370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w:t>
            </w:r>
          </w:p>
        </w:tc>
        <w:tc>
          <w:tcPr>
            <w:tcW w:w="241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老井侧钻井</w:t>
            </w:r>
          </w:p>
        </w:tc>
      </w:tr>
      <w:tr w:rsidR="00C645C9">
        <w:tc>
          <w:tcPr>
            <w:tcW w:w="257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新北</w:t>
            </w:r>
            <w:r>
              <w:rPr>
                <w:rFonts w:cs="Times New Roman" w:hint="eastAsia"/>
                <w:sz w:val="21"/>
                <w:szCs w:val="21"/>
              </w:rPr>
              <w:t>7</w:t>
            </w:r>
            <w:r>
              <w:rPr>
                <w:rFonts w:cs="Times New Roman" w:hint="eastAsia"/>
                <w:sz w:val="21"/>
                <w:szCs w:val="21"/>
              </w:rPr>
              <w:t>井</w:t>
            </w:r>
          </w:p>
        </w:tc>
        <w:tc>
          <w:tcPr>
            <w:tcW w:w="3705" w:type="dxa"/>
            <w:vAlign w:val="center"/>
          </w:tcPr>
          <w:p w:rsidR="00C645C9" w:rsidRDefault="00F955D9">
            <w:pPr>
              <w:widowControl/>
              <w:adjustRightInd w:val="0"/>
              <w:snapToGrid w:val="0"/>
              <w:jc w:val="center"/>
              <w:rPr>
                <w:rFonts w:cs="Times New Roman"/>
                <w:sz w:val="21"/>
                <w:szCs w:val="21"/>
              </w:rPr>
            </w:pPr>
            <w:r>
              <w:rPr>
                <w:rFonts w:cs="Times New Roman" w:hint="eastAsia"/>
                <w:sz w:val="21"/>
                <w:szCs w:val="21"/>
              </w:rPr>
              <w:t>**</w:t>
            </w:r>
          </w:p>
        </w:tc>
        <w:tc>
          <w:tcPr>
            <w:tcW w:w="2415" w:type="dxa"/>
            <w:vAlign w:val="center"/>
          </w:tcPr>
          <w:p w:rsidR="00C645C9" w:rsidRDefault="00F955D9">
            <w:pPr>
              <w:widowControl/>
              <w:adjustRightInd w:val="0"/>
              <w:snapToGrid w:val="0"/>
              <w:jc w:val="center"/>
              <w:rPr>
                <w:rFonts w:cs="Times New Roman"/>
                <w:sz w:val="21"/>
                <w:szCs w:val="21"/>
              </w:rPr>
            </w:pPr>
            <w:bookmarkStart w:id="514" w:name="OLE_LINK1220"/>
            <w:r>
              <w:rPr>
                <w:rFonts w:cs="Times New Roman"/>
                <w:sz w:val="21"/>
                <w:szCs w:val="21"/>
              </w:rPr>
              <w:t>新钻井</w:t>
            </w:r>
            <w:bookmarkEnd w:id="514"/>
          </w:p>
        </w:tc>
      </w:tr>
    </w:tbl>
    <w:p w:rsidR="00C645C9" w:rsidRDefault="00F955D9">
      <w:pPr>
        <w:pStyle w:val="a5"/>
        <w:widowControl w:val="0"/>
        <w:snapToGrid w:val="0"/>
        <w:jc w:val="both"/>
        <w:outlineLvl w:val="3"/>
        <w:rPr>
          <w:rFonts w:ascii="Times New Roman" w:hAnsi="Times New Roman" w:cs="Times New Roman"/>
          <w:b/>
          <w:bCs/>
        </w:rPr>
      </w:pPr>
      <w:r>
        <w:rPr>
          <w:rFonts w:ascii="Times New Roman" w:hAnsi="Times New Roman" w:cs="Times New Roman"/>
          <w:b/>
          <w:bCs/>
        </w:rPr>
        <w:lastRenderedPageBreak/>
        <w:t>3.</w:t>
      </w:r>
      <w:r>
        <w:rPr>
          <w:rFonts w:ascii="Times New Roman" w:hAnsi="Times New Roman" w:cs="Times New Roman" w:hint="eastAsia"/>
          <w:b/>
          <w:bCs/>
        </w:rPr>
        <w:t>2</w:t>
      </w:r>
      <w:r>
        <w:rPr>
          <w:rFonts w:ascii="Times New Roman" w:hAnsi="Times New Roman" w:cs="Times New Roman"/>
          <w:b/>
          <w:bCs/>
        </w:rPr>
        <w:t>.1.3</w:t>
      </w:r>
      <w:r>
        <w:rPr>
          <w:rFonts w:ascii="Times New Roman" w:hAnsi="Times New Roman" w:cs="Times New Roman"/>
          <w:b/>
          <w:bCs/>
        </w:rPr>
        <w:t>建设规模</w:t>
      </w:r>
    </w:p>
    <w:p w:rsidR="00C645C9" w:rsidRDefault="00F955D9" w:rsidP="005718BB">
      <w:pPr>
        <w:pStyle w:val="a6"/>
        <w:ind w:firstLine="480"/>
      </w:pPr>
      <w:bookmarkStart w:id="515" w:name="OLE_LINK389"/>
      <w:bookmarkStart w:id="516" w:name="OLE_LINK388"/>
      <w:bookmarkStart w:id="517" w:name="OLE_LINK1239"/>
      <w:r>
        <w:rPr>
          <w:szCs w:val="24"/>
        </w:rPr>
        <w:t>本</w:t>
      </w:r>
      <w:r>
        <w:rPr>
          <w:rFonts w:hint="eastAsia"/>
          <w:szCs w:val="24"/>
        </w:rPr>
        <w:t>工程</w:t>
      </w:r>
      <w:r>
        <w:rPr>
          <w:szCs w:val="24"/>
        </w:rPr>
        <w:t>主要建设内容包括：</w:t>
      </w:r>
      <w:r>
        <w:rPr>
          <w:szCs w:val="24"/>
        </w:rPr>
        <w:t>①</w:t>
      </w:r>
      <w:r>
        <w:rPr>
          <w:szCs w:val="24"/>
        </w:rPr>
        <w:t>部署采</w:t>
      </w:r>
      <w:r>
        <w:rPr>
          <w:rFonts w:hint="eastAsia"/>
          <w:szCs w:val="24"/>
        </w:rPr>
        <w:t>气</w:t>
      </w:r>
      <w:r>
        <w:rPr>
          <w:szCs w:val="24"/>
        </w:rPr>
        <w:t>井</w:t>
      </w:r>
      <w:r>
        <w:rPr>
          <w:rFonts w:hint="eastAsia"/>
          <w:szCs w:val="24"/>
        </w:rPr>
        <w:t>2</w:t>
      </w:r>
      <w:r>
        <w:rPr>
          <w:szCs w:val="24"/>
        </w:rPr>
        <w:t>口（包括</w:t>
      </w:r>
      <w:bookmarkStart w:id="518" w:name="OLE_LINK2"/>
      <w:r>
        <w:rPr>
          <w:szCs w:val="24"/>
        </w:rPr>
        <w:t>新北</w:t>
      </w:r>
      <w:r>
        <w:rPr>
          <w:szCs w:val="24"/>
        </w:rPr>
        <w:t>1X</w:t>
      </w:r>
      <w:r>
        <w:rPr>
          <w:szCs w:val="24"/>
        </w:rPr>
        <w:t>井</w:t>
      </w:r>
      <w:bookmarkEnd w:id="518"/>
      <w:r>
        <w:rPr>
          <w:szCs w:val="24"/>
        </w:rPr>
        <w:t>、</w:t>
      </w:r>
      <w:bookmarkStart w:id="519" w:name="OLE_LINK6"/>
      <w:r>
        <w:rPr>
          <w:rFonts w:hint="eastAsia"/>
          <w:szCs w:val="24"/>
        </w:rPr>
        <w:t>新北</w:t>
      </w:r>
      <w:r>
        <w:rPr>
          <w:rFonts w:hint="eastAsia"/>
          <w:szCs w:val="24"/>
        </w:rPr>
        <w:t>7</w:t>
      </w:r>
      <w:r>
        <w:rPr>
          <w:szCs w:val="24"/>
        </w:rPr>
        <w:t>井</w:t>
      </w:r>
      <w:bookmarkEnd w:id="519"/>
      <w:r>
        <w:rPr>
          <w:szCs w:val="24"/>
        </w:rPr>
        <w:t>），其中</w:t>
      </w:r>
      <w:bookmarkStart w:id="520" w:name="OLE_LINK212"/>
      <w:r>
        <w:rPr>
          <w:rFonts w:hint="eastAsia"/>
          <w:szCs w:val="24"/>
        </w:rPr>
        <w:t>新北</w:t>
      </w:r>
      <w:r>
        <w:rPr>
          <w:rFonts w:hint="eastAsia"/>
          <w:szCs w:val="24"/>
        </w:rPr>
        <w:t>7</w:t>
      </w:r>
      <w:r>
        <w:rPr>
          <w:szCs w:val="24"/>
        </w:rPr>
        <w:t>井</w:t>
      </w:r>
      <w:bookmarkEnd w:id="520"/>
      <w:r>
        <w:rPr>
          <w:szCs w:val="24"/>
        </w:rPr>
        <w:t>为</w:t>
      </w:r>
      <w:bookmarkStart w:id="521" w:name="OLE_LINK16"/>
      <w:r>
        <w:rPr>
          <w:szCs w:val="24"/>
        </w:rPr>
        <w:t>新钻井</w:t>
      </w:r>
      <w:bookmarkEnd w:id="521"/>
      <w:r>
        <w:rPr>
          <w:szCs w:val="24"/>
        </w:rPr>
        <w:t>，</w:t>
      </w:r>
      <w:bookmarkStart w:id="522" w:name="OLE_LINK219"/>
      <w:bookmarkStart w:id="523" w:name="OLE_LINK1231"/>
      <w:bookmarkStart w:id="524" w:name="OLE_LINK20"/>
      <w:r>
        <w:t>井深</w:t>
      </w:r>
      <w:bookmarkEnd w:id="522"/>
      <w:r>
        <w:rPr>
          <w:rFonts w:hint="eastAsia"/>
        </w:rPr>
        <w:t>6331.28m</w:t>
      </w:r>
      <w:bookmarkEnd w:id="523"/>
      <w:r>
        <w:rPr>
          <w:szCs w:val="24"/>
        </w:rPr>
        <w:t>；</w:t>
      </w:r>
      <w:bookmarkStart w:id="525" w:name="OLE_LINK213"/>
      <w:r>
        <w:rPr>
          <w:rFonts w:hint="eastAsia"/>
          <w:szCs w:val="24"/>
        </w:rPr>
        <w:t>新北</w:t>
      </w:r>
      <w:r>
        <w:rPr>
          <w:rFonts w:hint="eastAsia"/>
          <w:szCs w:val="24"/>
        </w:rPr>
        <w:t>1X</w:t>
      </w:r>
      <w:bookmarkEnd w:id="524"/>
      <w:r>
        <w:rPr>
          <w:rFonts w:hint="eastAsia"/>
          <w:szCs w:val="24"/>
        </w:rPr>
        <w:t>井</w:t>
      </w:r>
      <w:bookmarkEnd w:id="525"/>
      <w:r>
        <w:rPr>
          <w:rFonts w:hint="eastAsia"/>
          <w:szCs w:val="24"/>
        </w:rPr>
        <w:t>为老井侧钻井</w:t>
      </w:r>
      <w:r>
        <w:rPr>
          <w:szCs w:val="24"/>
        </w:rPr>
        <w:t>。</w:t>
      </w:r>
      <w:r>
        <w:rPr>
          <w:szCs w:val="24"/>
        </w:rPr>
        <w:fldChar w:fldCharType="begin"/>
      </w:r>
      <w:r>
        <w:rPr>
          <w:szCs w:val="24"/>
        </w:rPr>
        <w:instrText xml:space="preserve"> = 2 \* GB3 \* MERGEFORMAT </w:instrText>
      </w:r>
      <w:r>
        <w:rPr>
          <w:szCs w:val="24"/>
        </w:rPr>
        <w:fldChar w:fldCharType="separate"/>
      </w:r>
      <w:r>
        <w:rPr>
          <w:szCs w:val="24"/>
        </w:rPr>
        <w:t>②</w:t>
      </w:r>
      <w:r>
        <w:rPr>
          <w:szCs w:val="24"/>
        </w:rPr>
        <w:fldChar w:fldCharType="end"/>
      </w:r>
      <w:r>
        <w:rPr>
          <w:rFonts w:hint="eastAsia"/>
          <w:szCs w:val="24"/>
        </w:rPr>
        <w:t>2</w:t>
      </w:r>
      <w:r>
        <w:rPr>
          <w:rFonts w:hint="eastAsia"/>
          <w:szCs w:val="24"/>
        </w:rPr>
        <w:t>座井场</w:t>
      </w:r>
      <w:r>
        <w:rPr>
          <w:kern w:val="2"/>
          <w:szCs w:val="24"/>
        </w:rPr>
        <w:t>内</w:t>
      </w:r>
      <w:bookmarkStart w:id="526" w:name="OLE_LINK11"/>
      <w:r>
        <w:rPr>
          <w:rFonts w:hint="eastAsia"/>
          <w:kern w:val="2"/>
          <w:szCs w:val="24"/>
        </w:rPr>
        <w:t>均</w:t>
      </w:r>
      <w:r>
        <w:rPr>
          <w:kern w:val="2"/>
          <w:szCs w:val="24"/>
        </w:rPr>
        <w:t>建设</w:t>
      </w:r>
      <w:bookmarkEnd w:id="526"/>
      <w:r>
        <w:rPr>
          <w:kern w:val="2"/>
          <w:szCs w:val="24"/>
        </w:rPr>
        <w:t>油气分离流程</w:t>
      </w:r>
      <w:r>
        <w:rPr>
          <w:rFonts w:hint="eastAsia"/>
          <w:kern w:val="2"/>
          <w:szCs w:val="24"/>
        </w:rPr>
        <w:t>1</w:t>
      </w:r>
      <w:r>
        <w:rPr>
          <w:rFonts w:hint="eastAsia"/>
          <w:kern w:val="2"/>
          <w:szCs w:val="24"/>
        </w:rPr>
        <w:t>套</w:t>
      </w:r>
      <w:r>
        <w:rPr>
          <w:rFonts w:hint="eastAsia"/>
          <w:szCs w:val="24"/>
        </w:rPr>
        <w:t>（</w:t>
      </w:r>
      <w:r>
        <w:rPr>
          <w:rFonts w:hint="eastAsia"/>
          <w:szCs w:val="24"/>
        </w:rPr>
        <w:t>凝析油处理规模</w:t>
      </w:r>
      <w:r>
        <w:rPr>
          <w:rFonts w:hint="eastAsia"/>
          <w:szCs w:val="24"/>
        </w:rPr>
        <w:t>50t/d</w:t>
      </w:r>
      <w:r>
        <w:rPr>
          <w:rFonts w:hint="eastAsia"/>
          <w:szCs w:val="24"/>
        </w:rPr>
        <w:t>；</w:t>
      </w:r>
      <w:r>
        <w:rPr>
          <w:rFonts w:hint="eastAsia"/>
          <w:szCs w:val="24"/>
        </w:rPr>
        <w:t>天然气处理规模</w:t>
      </w:r>
      <w:r>
        <w:rPr>
          <w:rFonts w:hint="eastAsia"/>
          <w:szCs w:val="24"/>
        </w:rPr>
        <w:t>10</w:t>
      </w:r>
      <w:r>
        <w:rPr>
          <w:rFonts w:hint="eastAsia"/>
          <w:szCs w:val="24"/>
        </w:rPr>
        <w:t>×</w:t>
      </w:r>
      <w:r>
        <w:rPr>
          <w:rFonts w:hint="eastAsia"/>
          <w:szCs w:val="24"/>
        </w:rPr>
        <w:t>10</w:t>
      </w:r>
      <w:r>
        <w:rPr>
          <w:rFonts w:hint="eastAsia"/>
          <w:szCs w:val="24"/>
          <w:vertAlign w:val="superscript"/>
        </w:rPr>
        <w:t>4</w:t>
      </w:r>
      <w:bookmarkStart w:id="527" w:name="OLE_LINK1043"/>
      <w:r>
        <w:rPr>
          <w:rFonts w:hint="eastAsia"/>
          <w:szCs w:val="24"/>
        </w:rPr>
        <w:t>Nm</w:t>
      </w:r>
      <w:r>
        <w:rPr>
          <w:rFonts w:hint="eastAsia"/>
          <w:szCs w:val="24"/>
          <w:vertAlign w:val="superscript"/>
        </w:rPr>
        <w:t>3</w:t>
      </w:r>
      <w:r>
        <w:rPr>
          <w:rFonts w:hint="eastAsia"/>
          <w:szCs w:val="24"/>
        </w:rPr>
        <w:t>/d</w:t>
      </w:r>
      <w:bookmarkEnd w:id="527"/>
      <w:r>
        <w:rPr>
          <w:rFonts w:hint="eastAsia"/>
          <w:szCs w:val="24"/>
        </w:rPr>
        <w:t>）</w:t>
      </w:r>
      <w:r>
        <w:rPr>
          <w:szCs w:val="24"/>
        </w:rPr>
        <w:t>，</w:t>
      </w:r>
      <w:r>
        <w:rPr>
          <w:szCs w:val="24"/>
        </w:rPr>
        <w:t>新建</w:t>
      </w:r>
      <w:r>
        <w:rPr>
          <w:rFonts w:hint="eastAsia"/>
          <w:szCs w:val="24"/>
        </w:rPr>
        <w:t>水套炉</w:t>
      </w:r>
      <w:r>
        <w:rPr>
          <w:rFonts w:hint="eastAsia"/>
          <w:szCs w:val="24"/>
        </w:rPr>
        <w:t>1</w:t>
      </w:r>
      <w:r>
        <w:rPr>
          <w:rFonts w:hint="eastAsia"/>
          <w:szCs w:val="24"/>
        </w:rPr>
        <w:t>座、高压分离器</w:t>
      </w:r>
      <w:bookmarkStart w:id="528" w:name="OLE_LINK1045"/>
      <w:r>
        <w:rPr>
          <w:rFonts w:hint="eastAsia"/>
          <w:szCs w:val="24"/>
        </w:rPr>
        <w:t>1</w:t>
      </w:r>
      <w:r>
        <w:rPr>
          <w:rFonts w:hint="eastAsia"/>
          <w:szCs w:val="24"/>
        </w:rPr>
        <w:t>座</w:t>
      </w:r>
      <w:bookmarkEnd w:id="528"/>
      <w:r>
        <w:rPr>
          <w:rFonts w:hint="eastAsia"/>
          <w:szCs w:val="24"/>
        </w:rPr>
        <w:t>、闪蒸分离器</w:t>
      </w:r>
      <w:r>
        <w:rPr>
          <w:rFonts w:hint="eastAsia"/>
          <w:szCs w:val="24"/>
        </w:rPr>
        <w:t>1</w:t>
      </w:r>
      <w:r>
        <w:rPr>
          <w:rFonts w:hint="eastAsia"/>
          <w:szCs w:val="24"/>
        </w:rPr>
        <w:t>座、多功能储集器</w:t>
      </w:r>
      <w:r>
        <w:rPr>
          <w:rFonts w:hint="eastAsia"/>
          <w:szCs w:val="24"/>
        </w:rPr>
        <w:t>2</w:t>
      </w:r>
      <w:r>
        <w:rPr>
          <w:rFonts w:hint="eastAsia"/>
          <w:szCs w:val="24"/>
        </w:rPr>
        <w:t>座、一体化污水处理装置</w:t>
      </w:r>
      <w:r>
        <w:rPr>
          <w:rFonts w:hint="eastAsia"/>
          <w:szCs w:val="24"/>
        </w:rPr>
        <w:t>1</w:t>
      </w:r>
      <w:r>
        <w:rPr>
          <w:rFonts w:hint="eastAsia"/>
          <w:szCs w:val="24"/>
        </w:rPr>
        <w:t>座、过滤分离器橇</w:t>
      </w:r>
      <w:r>
        <w:rPr>
          <w:rFonts w:hint="eastAsia"/>
          <w:szCs w:val="24"/>
        </w:rPr>
        <w:t>1</w:t>
      </w:r>
      <w:r>
        <w:rPr>
          <w:rFonts w:hint="eastAsia"/>
          <w:szCs w:val="24"/>
        </w:rPr>
        <w:t>座、</w:t>
      </w:r>
      <w:r>
        <w:rPr>
          <w:szCs w:val="24"/>
        </w:rPr>
        <w:t>分子筛脱水撬</w:t>
      </w:r>
      <w:r>
        <w:rPr>
          <w:rFonts w:hint="eastAsia"/>
          <w:szCs w:val="24"/>
        </w:rPr>
        <w:t>1</w:t>
      </w:r>
      <w:r>
        <w:rPr>
          <w:rFonts w:hint="eastAsia"/>
          <w:szCs w:val="24"/>
        </w:rPr>
        <w:t>座、低温分离橇</w:t>
      </w:r>
      <w:r>
        <w:rPr>
          <w:rFonts w:hint="eastAsia"/>
          <w:szCs w:val="24"/>
        </w:rPr>
        <w:t>1</w:t>
      </w:r>
      <w:r>
        <w:rPr>
          <w:rFonts w:hint="eastAsia"/>
          <w:szCs w:val="24"/>
        </w:rPr>
        <w:t>座、外输计量橇</w:t>
      </w:r>
      <w:r>
        <w:rPr>
          <w:rFonts w:hint="eastAsia"/>
          <w:szCs w:val="24"/>
        </w:rPr>
        <w:t>1</w:t>
      </w:r>
      <w:r>
        <w:rPr>
          <w:rFonts w:hint="eastAsia"/>
          <w:szCs w:val="24"/>
        </w:rPr>
        <w:t>座、</w:t>
      </w:r>
      <w:r>
        <w:rPr>
          <w:szCs w:val="24"/>
        </w:rPr>
        <w:t>火炬</w:t>
      </w:r>
      <w:r>
        <w:rPr>
          <w:rFonts w:hint="eastAsia"/>
          <w:szCs w:val="24"/>
        </w:rPr>
        <w:t>1</w:t>
      </w:r>
      <w:r>
        <w:rPr>
          <w:rFonts w:hint="eastAsia"/>
          <w:szCs w:val="24"/>
        </w:rPr>
        <w:t>座</w:t>
      </w:r>
      <w:r>
        <w:rPr>
          <w:szCs w:val="24"/>
        </w:rPr>
        <w:t>、站内管网</w:t>
      </w:r>
      <w:r>
        <w:rPr>
          <w:szCs w:val="24"/>
        </w:rPr>
        <w:t>。</w:t>
      </w:r>
      <w:r>
        <w:rPr>
          <w:szCs w:val="24"/>
        </w:rPr>
        <w:fldChar w:fldCharType="begin"/>
      </w:r>
      <w:r>
        <w:rPr>
          <w:szCs w:val="24"/>
        </w:rPr>
        <w:instrText xml:space="preserve"> = 3 \* GB3 \* MERGEFORMAT </w:instrText>
      </w:r>
      <w:r>
        <w:rPr>
          <w:szCs w:val="24"/>
        </w:rPr>
        <w:fldChar w:fldCharType="separate"/>
      </w:r>
      <w:r>
        <w:rPr>
          <w:szCs w:val="24"/>
        </w:rPr>
        <w:t>③</w:t>
      </w:r>
      <w:r>
        <w:rPr>
          <w:szCs w:val="24"/>
        </w:rPr>
        <w:fldChar w:fldCharType="end"/>
      </w:r>
      <w:r>
        <w:rPr>
          <w:szCs w:val="24"/>
        </w:rPr>
        <w:t>天然气外输：</w:t>
      </w:r>
      <w:r>
        <w:rPr>
          <w:szCs w:val="24"/>
        </w:rPr>
        <w:t>天然气脱水脱烃后就地销售给地方企业。</w:t>
      </w:r>
      <w:r>
        <w:rPr>
          <w:szCs w:val="24"/>
        </w:rPr>
        <w:t>④</w:t>
      </w:r>
      <w:r>
        <w:rPr>
          <w:szCs w:val="24"/>
        </w:rPr>
        <w:t>凝析油</w:t>
      </w:r>
      <w:r>
        <w:rPr>
          <w:szCs w:val="24"/>
        </w:rPr>
        <w:t>外输：</w:t>
      </w:r>
      <w:bookmarkStart w:id="529" w:name="OLE_LINK769"/>
      <w:r>
        <w:rPr>
          <w:szCs w:val="24"/>
        </w:rPr>
        <w:t>油气分离后凝析油装车外运至雅克拉集气处理站处理</w:t>
      </w:r>
      <w:bookmarkEnd w:id="529"/>
      <w:r>
        <w:rPr>
          <w:szCs w:val="24"/>
        </w:rPr>
        <w:t>。</w:t>
      </w:r>
      <w:r>
        <w:rPr>
          <w:szCs w:val="24"/>
        </w:rPr>
        <w:fldChar w:fldCharType="begin"/>
      </w:r>
      <w:r>
        <w:rPr>
          <w:szCs w:val="24"/>
        </w:rPr>
        <w:instrText xml:space="preserve"> = 5 \* GB3 \* MERGEFORMAT </w:instrText>
      </w:r>
      <w:r>
        <w:rPr>
          <w:szCs w:val="24"/>
        </w:rPr>
        <w:fldChar w:fldCharType="separate"/>
      </w:r>
      <w:r>
        <w:rPr>
          <w:szCs w:val="24"/>
        </w:rPr>
        <w:t>⑤</w:t>
      </w:r>
      <w:r>
        <w:rPr>
          <w:szCs w:val="24"/>
        </w:rPr>
        <w:fldChar w:fldCharType="end"/>
      </w:r>
      <w:r>
        <w:rPr>
          <w:kern w:val="2"/>
          <w:szCs w:val="24"/>
        </w:rPr>
        <w:t>建设电力、自控、</w:t>
      </w:r>
      <w:r>
        <w:rPr>
          <w:kern w:val="2"/>
          <w:szCs w:val="24"/>
        </w:rPr>
        <w:t>结</w:t>
      </w:r>
      <w:r>
        <w:rPr>
          <w:szCs w:val="24"/>
        </w:rPr>
        <w:t>构、通信、消防等公辅工程。</w:t>
      </w:r>
      <w:r>
        <w:rPr>
          <w:rFonts w:hint="eastAsia"/>
          <w:szCs w:val="24"/>
        </w:rPr>
        <w:t>本工程产能规模为</w:t>
      </w:r>
      <w:bookmarkStart w:id="530" w:name="OLE_LINK1346"/>
      <w:r>
        <w:rPr>
          <w:rFonts w:hint="eastAsia"/>
          <w:szCs w:val="24"/>
        </w:rPr>
        <w:t>凝析油</w:t>
      </w:r>
      <w:r>
        <w:rPr>
          <w:rFonts w:hint="eastAsia"/>
          <w:szCs w:val="24"/>
        </w:rPr>
        <w:t>40</w:t>
      </w:r>
      <w:r>
        <w:rPr>
          <w:szCs w:val="24"/>
        </w:rPr>
        <w:t>t/</w:t>
      </w:r>
      <w:r>
        <w:rPr>
          <w:rFonts w:hint="eastAsia"/>
          <w:szCs w:val="24"/>
        </w:rPr>
        <w:t>d</w:t>
      </w:r>
      <w:r>
        <w:rPr>
          <w:rFonts w:hint="eastAsia"/>
          <w:szCs w:val="24"/>
        </w:rPr>
        <w:t>，天然气</w:t>
      </w:r>
      <w:bookmarkStart w:id="531" w:name="OLE_LINK208"/>
      <w:r>
        <w:rPr>
          <w:rFonts w:hint="eastAsia"/>
          <w:szCs w:val="24"/>
        </w:rPr>
        <w:t>8</w:t>
      </w:r>
      <w:bookmarkStart w:id="532" w:name="OLE_LINK1080"/>
      <w:r>
        <w:rPr>
          <w:rFonts w:hint="eastAsia"/>
          <w:szCs w:val="24"/>
        </w:rPr>
        <w:t>×</w:t>
      </w:r>
      <w:bookmarkStart w:id="533" w:name="OLE_LINK207"/>
      <w:bookmarkEnd w:id="531"/>
      <w:r>
        <w:rPr>
          <w:rFonts w:hint="eastAsia"/>
          <w:szCs w:val="24"/>
        </w:rPr>
        <w:t>10</w:t>
      </w:r>
      <w:r>
        <w:rPr>
          <w:rFonts w:hint="eastAsia"/>
          <w:szCs w:val="24"/>
          <w:vertAlign w:val="superscript"/>
        </w:rPr>
        <w:t>4</w:t>
      </w:r>
      <w:bookmarkEnd w:id="532"/>
      <w:r>
        <w:rPr>
          <w:rFonts w:hint="eastAsia"/>
          <w:szCs w:val="24"/>
        </w:rPr>
        <w:t>m</w:t>
      </w:r>
      <w:r>
        <w:rPr>
          <w:szCs w:val="24"/>
          <w:vertAlign w:val="superscript"/>
        </w:rPr>
        <w:t>3</w:t>
      </w:r>
      <w:r>
        <w:rPr>
          <w:szCs w:val="24"/>
        </w:rPr>
        <w:t>/</w:t>
      </w:r>
      <w:r>
        <w:rPr>
          <w:rFonts w:hint="eastAsia"/>
          <w:szCs w:val="24"/>
        </w:rPr>
        <w:t>d</w:t>
      </w:r>
      <w:bookmarkEnd w:id="530"/>
      <w:bookmarkEnd w:id="533"/>
      <w:r>
        <w:rPr>
          <w:rFonts w:hint="eastAsia"/>
          <w:szCs w:val="24"/>
        </w:rPr>
        <w:t>。</w:t>
      </w:r>
      <w:bookmarkEnd w:id="515"/>
      <w:bookmarkEnd w:id="516"/>
    </w:p>
    <w:bookmarkEnd w:id="517"/>
    <w:p w:rsidR="00C645C9" w:rsidRDefault="00F955D9">
      <w:pPr>
        <w:pStyle w:val="a5"/>
        <w:kinsoku w:val="0"/>
        <w:autoSpaceDE w:val="0"/>
        <w:autoSpaceDN w:val="0"/>
        <w:snapToGrid w:val="0"/>
        <w:ind w:right="66"/>
        <w:jc w:val="both"/>
        <w:textAlignment w:val="baseline"/>
        <w:outlineLvl w:val="3"/>
        <w:rPr>
          <w:rFonts w:ascii="Times New Roman" w:hAnsi="Times New Roman" w:cs="Times New Roman"/>
          <w:b/>
          <w:bCs/>
        </w:rPr>
      </w:pPr>
      <w:r>
        <w:rPr>
          <w:rFonts w:ascii="Times New Roman" w:hAnsi="Times New Roman" w:cs="Times New Roman"/>
          <w:b/>
          <w:bCs/>
        </w:rPr>
        <w:t>3.</w:t>
      </w:r>
      <w:r>
        <w:rPr>
          <w:rFonts w:ascii="Times New Roman" w:hAnsi="Times New Roman" w:cs="Times New Roman" w:hint="eastAsia"/>
          <w:b/>
          <w:bCs/>
        </w:rPr>
        <w:t>2</w:t>
      </w:r>
      <w:r>
        <w:rPr>
          <w:rFonts w:ascii="Times New Roman" w:hAnsi="Times New Roman" w:cs="Times New Roman"/>
          <w:b/>
          <w:bCs/>
        </w:rPr>
        <w:t>.1.4</w:t>
      </w:r>
      <w:r>
        <w:rPr>
          <w:rFonts w:ascii="Times New Roman" w:hAnsi="Times New Roman" w:cs="Times New Roman"/>
          <w:b/>
          <w:bCs/>
        </w:rPr>
        <w:t>工程组成</w:t>
      </w:r>
    </w:p>
    <w:p w:rsidR="00C645C9" w:rsidRDefault="00F955D9">
      <w:pPr>
        <w:pStyle w:val="a5"/>
        <w:kinsoku w:val="0"/>
        <w:autoSpaceDE w:val="0"/>
        <w:autoSpaceDN w:val="0"/>
        <w:snapToGrid w:val="0"/>
        <w:ind w:right="66" w:firstLineChars="200" w:firstLine="480"/>
        <w:jc w:val="both"/>
        <w:textAlignment w:val="baseline"/>
        <w:rPr>
          <w:rFonts w:ascii="Times New Roman" w:hAnsi="Times New Roman" w:cs="Times New Roman"/>
        </w:rPr>
      </w:pPr>
      <w:r>
        <w:rPr>
          <w:rFonts w:ascii="Times New Roman" w:hAnsi="Times New Roman" w:cs="Times New Roman"/>
        </w:rPr>
        <w:t>本工程组成包括主体工程、</w:t>
      </w:r>
      <w:bookmarkStart w:id="534" w:name="OLE_LINK215"/>
      <w:r>
        <w:rPr>
          <w:rFonts w:ascii="Times New Roman" w:hAnsi="Times New Roman" w:cs="Times New Roman"/>
        </w:rPr>
        <w:t>公辅工程</w:t>
      </w:r>
      <w:bookmarkEnd w:id="534"/>
      <w:r>
        <w:rPr>
          <w:rFonts w:ascii="Times New Roman" w:hAnsi="Times New Roman" w:cs="Times New Roman"/>
        </w:rPr>
        <w:t>、环保工程、依托工程等</w:t>
      </w:r>
      <w:r>
        <w:rPr>
          <w:rFonts w:ascii="Times New Roman" w:hAnsi="Times New Roman" w:cs="Times New Roman"/>
        </w:rPr>
        <w:t>。</w:t>
      </w:r>
      <w:r>
        <w:rPr>
          <w:rFonts w:ascii="Times New Roman" w:hAnsi="Times New Roman" w:cs="Times New Roman"/>
        </w:rPr>
        <w:t>工程组成见表</w:t>
      </w:r>
      <w:r>
        <w:rPr>
          <w:rFonts w:ascii="Times New Roman" w:hAnsi="Times New Roman" w:cs="Times New Roman"/>
        </w:rPr>
        <w:t>3.</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p>
    <w:p w:rsidR="00C645C9" w:rsidRDefault="00F955D9">
      <w:pPr>
        <w:pStyle w:val="a6"/>
        <w:spacing w:line="240" w:lineRule="auto"/>
        <w:ind w:firstLineChars="0" w:firstLine="0"/>
        <w:jc w:val="center"/>
      </w:pPr>
      <w:bookmarkStart w:id="535" w:name="OLE_LINK33"/>
      <w:r>
        <w:rPr>
          <w:rFonts w:eastAsia="黑体"/>
          <w:sz w:val="21"/>
          <w:szCs w:val="21"/>
          <w:lang w:bidi="ar"/>
        </w:rPr>
        <w:t>表</w:t>
      </w:r>
      <w:r>
        <w:rPr>
          <w:rFonts w:eastAsia="黑体"/>
          <w:sz w:val="21"/>
          <w:szCs w:val="21"/>
          <w:lang w:bidi="ar"/>
        </w:rPr>
        <w:t>3.</w:t>
      </w:r>
      <w:r>
        <w:rPr>
          <w:rFonts w:eastAsia="黑体" w:hint="eastAsia"/>
          <w:sz w:val="21"/>
          <w:szCs w:val="21"/>
          <w:lang w:bidi="ar"/>
        </w:rPr>
        <w:t>2-1</w:t>
      </w:r>
      <w:r>
        <w:rPr>
          <w:rFonts w:eastAsia="黑体"/>
          <w:sz w:val="21"/>
          <w:szCs w:val="21"/>
          <w:lang w:bidi="ar"/>
        </w:rPr>
        <w:t xml:space="preserve">   </w:t>
      </w:r>
      <w:r>
        <w:rPr>
          <w:rFonts w:eastAsia="黑体"/>
          <w:sz w:val="21"/>
          <w:szCs w:val="21"/>
          <w:lang w:bidi="ar"/>
        </w:rPr>
        <w:t>工程组成一览表</w:t>
      </w:r>
      <w:bookmarkEnd w:id="535"/>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654"/>
        <w:gridCol w:w="1069"/>
        <w:gridCol w:w="1164"/>
        <w:gridCol w:w="4779"/>
        <w:gridCol w:w="664"/>
      </w:tblGrid>
      <w:tr w:rsidR="00C645C9">
        <w:trPr>
          <w:trHeight w:val="401"/>
          <w:jc w:val="center"/>
        </w:trPr>
        <w:tc>
          <w:tcPr>
            <w:tcW w:w="402"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序号</w:t>
            </w:r>
          </w:p>
        </w:tc>
        <w:tc>
          <w:tcPr>
            <w:tcW w:w="654" w:type="dxa"/>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项目</w:t>
            </w:r>
          </w:p>
          <w:p w:rsidR="00C645C9" w:rsidRDefault="00F955D9">
            <w:pPr>
              <w:jc w:val="center"/>
              <w:textAlignment w:val="center"/>
              <w:rPr>
                <w:rFonts w:cs="Times New Roman"/>
                <w:sz w:val="21"/>
                <w:szCs w:val="21"/>
              </w:rPr>
            </w:pPr>
            <w:r>
              <w:rPr>
                <w:rFonts w:cs="Times New Roman"/>
                <w:sz w:val="21"/>
                <w:szCs w:val="21"/>
                <w:lang w:bidi="ar"/>
              </w:rPr>
              <w:t>名称</w:t>
            </w:r>
          </w:p>
        </w:tc>
        <w:tc>
          <w:tcPr>
            <w:tcW w:w="2233" w:type="dxa"/>
            <w:gridSpan w:val="2"/>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lang w:bidi="ar"/>
              </w:rPr>
              <w:t>类型</w:t>
            </w:r>
          </w:p>
        </w:tc>
        <w:tc>
          <w:tcPr>
            <w:tcW w:w="4779"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工程内容及规模</w:t>
            </w:r>
          </w:p>
        </w:tc>
        <w:tc>
          <w:tcPr>
            <w:tcW w:w="664"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备注</w:t>
            </w:r>
          </w:p>
        </w:tc>
      </w:tr>
      <w:tr w:rsidR="00C645C9">
        <w:trPr>
          <w:trHeight w:val="161"/>
          <w:jc w:val="center"/>
        </w:trPr>
        <w:tc>
          <w:tcPr>
            <w:tcW w:w="402" w:type="dxa"/>
            <w:vMerge w:val="restart"/>
            <w:shd w:val="clear" w:color="auto" w:fill="auto"/>
            <w:vAlign w:val="center"/>
          </w:tcPr>
          <w:p w:rsidR="00C645C9" w:rsidRDefault="00F955D9">
            <w:pPr>
              <w:jc w:val="center"/>
              <w:textAlignment w:val="center"/>
              <w:rPr>
                <w:rFonts w:cs="Times New Roman"/>
                <w:sz w:val="21"/>
                <w:szCs w:val="21"/>
              </w:rPr>
            </w:pPr>
            <w:bookmarkStart w:id="536" w:name="OLE_LINK222" w:colFirst="4" w:colLast="4"/>
            <w:r>
              <w:rPr>
                <w:rFonts w:cs="Times New Roman"/>
                <w:sz w:val="21"/>
                <w:szCs w:val="21"/>
                <w:lang w:bidi="ar"/>
              </w:rPr>
              <w:t>1</w:t>
            </w:r>
          </w:p>
        </w:tc>
        <w:tc>
          <w:tcPr>
            <w:tcW w:w="654" w:type="dxa"/>
            <w:vMerge w:val="restart"/>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产能</w:t>
            </w:r>
          </w:p>
        </w:tc>
        <w:tc>
          <w:tcPr>
            <w:tcW w:w="2233" w:type="dxa"/>
            <w:gridSpan w:val="2"/>
            <w:shd w:val="clear" w:color="auto" w:fill="auto"/>
            <w:vAlign w:val="center"/>
          </w:tcPr>
          <w:p w:rsidR="00C645C9" w:rsidRDefault="00F955D9">
            <w:pPr>
              <w:jc w:val="center"/>
              <w:textAlignment w:val="bottom"/>
              <w:rPr>
                <w:rFonts w:cs="Times New Roman"/>
                <w:sz w:val="21"/>
                <w:szCs w:val="21"/>
              </w:rPr>
            </w:pPr>
            <w:r>
              <w:rPr>
                <w:rFonts w:cs="Times New Roman" w:hint="eastAsia"/>
                <w:sz w:val="21"/>
                <w:szCs w:val="21"/>
              </w:rPr>
              <w:t>天然气</w:t>
            </w:r>
          </w:p>
        </w:tc>
        <w:tc>
          <w:tcPr>
            <w:tcW w:w="4779" w:type="dxa"/>
            <w:shd w:val="clear" w:color="auto" w:fill="auto"/>
            <w:vAlign w:val="center"/>
          </w:tcPr>
          <w:p w:rsidR="00C645C9" w:rsidRDefault="00F955D9">
            <w:pPr>
              <w:jc w:val="center"/>
              <w:textAlignment w:val="bottom"/>
              <w:rPr>
                <w:rFonts w:cs="Times New Roman"/>
                <w:sz w:val="21"/>
                <w:szCs w:val="21"/>
              </w:rPr>
            </w:pPr>
            <w:bookmarkStart w:id="537" w:name="OLE_LINK210"/>
            <w:r>
              <w:rPr>
                <w:rFonts w:cs="Times New Roman" w:hint="eastAsia"/>
                <w:sz w:val="21"/>
                <w:szCs w:val="21"/>
                <w:lang w:bidi="ar"/>
              </w:rPr>
              <w:t>8</w:t>
            </w:r>
            <w:bookmarkEnd w:id="537"/>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4</w:t>
            </w:r>
            <w:r>
              <w:rPr>
                <w:rFonts w:cs="Times New Roman" w:hint="eastAsia"/>
                <w:sz w:val="21"/>
                <w:szCs w:val="21"/>
                <w:lang w:bidi="ar"/>
              </w:rPr>
              <w:t>m</w:t>
            </w:r>
            <w:r>
              <w:rPr>
                <w:rFonts w:cs="Times New Roman" w:hint="eastAsia"/>
                <w:sz w:val="21"/>
                <w:szCs w:val="21"/>
                <w:vertAlign w:val="superscript"/>
                <w:lang w:bidi="ar"/>
              </w:rPr>
              <w:t>3</w:t>
            </w:r>
            <w:r>
              <w:rPr>
                <w:rFonts w:cs="Times New Roman" w:hint="eastAsia"/>
                <w:sz w:val="21"/>
                <w:szCs w:val="21"/>
                <w:lang w:bidi="ar"/>
              </w:rPr>
              <w:t>/d</w:t>
            </w:r>
          </w:p>
        </w:tc>
        <w:tc>
          <w:tcPr>
            <w:tcW w:w="664" w:type="dxa"/>
            <w:shd w:val="clear" w:color="auto" w:fill="auto"/>
            <w:vAlign w:val="center"/>
          </w:tcPr>
          <w:p w:rsidR="00C645C9" w:rsidRDefault="00F955D9">
            <w:pPr>
              <w:jc w:val="center"/>
              <w:textAlignment w:val="bottom"/>
              <w:rPr>
                <w:rFonts w:cs="Times New Roman"/>
                <w:sz w:val="21"/>
                <w:szCs w:val="21"/>
                <w:lang w:bidi="ar"/>
              </w:rPr>
            </w:pPr>
            <w:r>
              <w:rPr>
                <w:rFonts w:cs="Times New Roman" w:hint="eastAsia"/>
                <w:sz w:val="21"/>
                <w:szCs w:val="21"/>
                <w:lang w:bidi="ar"/>
              </w:rPr>
              <w:t>-</w:t>
            </w:r>
          </w:p>
        </w:tc>
      </w:tr>
      <w:tr w:rsidR="00C645C9">
        <w:trPr>
          <w:trHeight w:val="161"/>
          <w:jc w:val="center"/>
        </w:trPr>
        <w:tc>
          <w:tcPr>
            <w:tcW w:w="402" w:type="dxa"/>
            <w:vMerge/>
            <w:shd w:val="clear" w:color="auto" w:fill="auto"/>
            <w:vAlign w:val="center"/>
          </w:tcPr>
          <w:p w:rsidR="00C645C9" w:rsidRDefault="00C645C9">
            <w:pPr>
              <w:jc w:val="center"/>
              <w:textAlignment w:val="center"/>
              <w:rPr>
                <w:rFonts w:cs="Times New Roman"/>
                <w:sz w:val="21"/>
                <w:szCs w:val="21"/>
                <w:lang w:bidi="ar"/>
              </w:rPr>
            </w:pPr>
          </w:p>
        </w:tc>
        <w:tc>
          <w:tcPr>
            <w:tcW w:w="654" w:type="dxa"/>
            <w:vMerge/>
            <w:shd w:val="clear" w:color="auto" w:fill="auto"/>
            <w:vAlign w:val="center"/>
          </w:tcPr>
          <w:p w:rsidR="00C645C9" w:rsidRDefault="00C645C9">
            <w:pPr>
              <w:jc w:val="center"/>
              <w:textAlignment w:val="center"/>
              <w:rPr>
                <w:rFonts w:cs="Times New Roman"/>
                <w:sz w:val="21"/>
                <w:szCs w:val="21"/>
                <w:lang w:bidi="ar"/>
              </w:rPr>
            </w:pPr>
          </w:p>
        </w:tc>
        <w:tc>
          <w:tcPr>
            <w:tcW w:w="2233" w:type="dxa"/>
            <w:gridSpan w:val="2"/>
            <w:shd w:val="clear" w:color="auto" w:fill="auto"/>
            <w:vAlign w:val="center"/>
          </w:tcPr>
          <w:p w:rsidR="00C645C9" w:rsidRDefault="00F955D9">
            <w:pPr>
              <w:jc w:val="center"/>
              <w:textAlignment w:val="bottom"/>
              <w:rPr>
                <w:rFonts w:cs="Times New Roman"/>
                <w:sz w:val="21"/>
                <w:szCs w:val="21"/>
                <w:lang w:bidi="ar"/>
              </w:rPr>
            </w:pPr>
            <w:r>
              <w:rPr>
                <w:rFonts w:cs="Times New Roman" w:hint="eastAsia"/>
                <w:sz w:val="21"/>
                <w:szCs w:val="21"/>
                <w:lang w:bidi="ar"/>
              </w:rPr>
              <w:t>凝析油</w:t>
            </w:r>
          </w:p>
        </w:tc>
        <w:tc>
          <w:tcPr>
            <w:tcW w:w="4779" w:type="dxa"/>
            <w:shd w:val="clear" w:color="auto" w:fill="auto"/>
            <w:vAlign w:val="center"/>
          </w:tcPr>
          <w:p w:rsidR="00C645C9" w:rsidRDefault="00F955D9">
            <w:pPr>
              <w:jc w:val="center"/>
              <w:textAlignment w:val="bottom"/>
              <w:rPr>
                <w:rFonts w:cs="Times New Roman"/>
                <w:sz w:val="21"/>
                <w:szCs w:val="21"/>
                <w:lang w:bidi="ar"/>
              </w:rPr>
            </w:pPr>
            <w:r>
              <w:rPr>
                <w:rFonts w:cs="Times New Roman" w:hint="eastAsia"/>
                <w:sz w:val="21"/>
                <w:szCs w:val="21"/>
                <w:lang w:bidi="ar"/>
              </w:rPr>
              <w:t>40</w:t>
            </w:r>
            <w:r>
              <w:rPr>
                <w:rFonts w:cs="Times New Roman"/>
                <w:sz w:val="21"/>
                <w:szCs w:val="21"/>
                <w:lang w:bidi="ar"/>
              </w:rPr>
              <w:t>t/</w:t>
            </w:r>
            <w:r>
              <w:rPr>
                <w:rFonts w:cs="Times New Roman" w:hint="eastAsia"/>
                <w:sz w:val="21"/>
                <w:szCs w:val="21"/>
                <w:lang w:bidi="ar"/>
              </w:rPr>
              <w:t>d</w:t>
            </w:r>
          </w:p>
        </w:tc>
        <w:tc>
          <w:tcPr>
            <w:tcW w:w="664" w:type="dxa"/>
            <w:shd w:val="clear" w:color="auto" w:fill="auto"/>
            <w:vAlign w:val="center"/>
          </w:tcPr>
          <w:p w:rsidR="00C645C9" w:rsidRDefault="00F955D9">
            <w:pPr>
              <w:jc w:val="center"/>
              <w:textAlignment w:val="bottom"/>
              <w:rPr>
                <w:rFonts w:cs="Times New Roman"/>
                <w:sz w:val="21"/>
                <w:szCs w:val="21"/>
                <w:lang w:bidi="ar"/>
              </w:rPr>
            </w:pPr>
            <w:r>
              <w:rPr>
                <w:rFonts w:cs="Times New Roman" w:hint="eastAsia"/>
                <w:sz w:val="21"/>
                <w:szCs w:val="21"/>
                <w:lang w:bidi="ar"/>
              </w:rPr>
              <w:t>-</w:t>
            </w:r>
          </w:p>
        </w:tc>
      </w:tr>
      <w:tr w:rsidR="00C645C9">
        <w:trPr>
          <w:trHeight w:val="208"/>
          <w:jc w:val="center"/>
        </w:trPr>
        <w:tc>
          <w:tcPr>
            <w:tcW w:w="402" w:type="dxa"/>
            <w:vMerge w:val="restart"/>
            <w:shd w:val="clear" w:color="auto" w:fill="auto"/>
            <w:vAlign w:val="center"/>
          </w:tcPr>
          <w:p w:rsidR="00C645C9" w:rsidRDefault="00F955D9">
            <w:pPr>
              <w:jc w:val="center"/>
              <w:textAlignment w:val="center"/>
              <w:rPr>
                <w:rFonts w:cs="Times New Roman"/>
                <w:sz w:val="21"/>
                <w:szCs w:val="21"/>
              </w:rPr>
            </w:pPr>
            <w:bookmarkStart w:id="538" w:name="OLE_LINK211" w:colFirst="2" w:colLast="5"/>
            <w:bookmarkEnd w:id="536"/>
            <w:r>
              <w:rPr>
                <w:rFonts w:cs="Times New Roman"/>
                <w:sz w:val="21"/>
                <w:szCs w:val="21"/>
                <w:lang w:bidi="ar"/>
              </w:rPr>
              <w:t>2</w:t>
            </w:r>
          </w:p>
        </w:tc>
        <w:tc>
          <w:tcPr>
            <w:tcW w:w="654" w:type="dxa"/>
            <w:vMerge w:val="restart"/>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主体</w:t>
            </w:r>
          </w:p>
          <w:p w:rsidR="00C645C9" w:rsidRDefault="00F955D9">
            <w:pPr>
              <w:jc w:val="center"/>
              <w:textAlignment w:val="center"/>
              <w:rPr>
                <w:rFonts w:cs="Times New Roman"/>
                <w:sz w:val="21"/>
                <w:szCs w:val="21"/>
              </w:rPr>
            </w:pPr>
            <w:r>
              <w:rPr>
                <w:rFonts w:cs="Times New Roman"/>
                <w:sz w:val="21"/>
                <w:szCs w:val="21"/>
                <w:lang w:bidi="ar"/>
              </w:rPr>
              <w:t>工程</w:t>
            </w:r>
          </w:p>
        </w:tc>
        <w:tc>
          <w:tcPr>
            <w:tcW w:w="1069" w:type="dxa"/>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lang w:bidi="ar"/>
              </w:rPr>
              <w:t>钻井</w:t>
            </w:r>
          </w:p>
          <w:p w:rsidR="00C645C9" w:rsidRDefault="00F955D9">
            <w:pPr>
              <w:jc w:val="center"/>
              <w:textAlignment w:val="center"/>
              <w:rPr>
                <w:rFonts w:cs="Times New Roman"/>
                <w:sz w:val="21"/>
                <w:szCs w:val="21"/>
              </w:rPr>
            </w:pPr>
            <w:r>
              <w:rPr>
                <w:rFonts w:cs="Times New Roman"/>
                <w:sz w:val="21"/>
                <w:szCs w:val="21"/>
                <w:lang w:bidi="ar"/>
              </w:rPr>
              <w:t>工程</w:t>
            </w:r>
          </w:p>
        </w:tc>
        <w:tc>
          <w:tcPr>
            <w:tcW w:w="1164" w:type="dxa"/>
            <w:shd w:val="clear" w:color="auto" w:fill="auto"/>
            <w:vAlign w:val="center"/>
          </w:tcPr>
          <w:p w:rsidR="00C645C9" w:rsidRDefault="00F955D9">
            <w:pPr>
              <w:snapToGrid w:val="0"/>
              <w:jc w:val="center"/>
              <w:rPr>
                <w:rFonts w:cs="Times New Roman"/>
                <w:sz w:val="21"/>
                <w:szCs w:val="21"/>
                <w:lang w:bidi="ar"/>
              </w:rPr>
            </w:pPr>
            <w:bookmarkStart w:id="539" w:name="OLE_LINK218"/>
            <w:r>
              <w:rPr>
                <w:rFonts w:cs="Times New Roman"/>
                <w:sz w:val="21"/>
                <w:szCs w:val="21"/>
              </w:rPr>
              <w:t>新北</w:t>
            </w:r>
            <w:r>
              <w:rPr>
                <w:rFonts w:cs="Times New Roman"/>
                <w:sz w:val="21"/>
                <w:szCs w:val="21"/>
              </w:rPr>
              <w:t>1X</w:t>
            </w:r>
            <w:r>
              <w:rPr>
                <w:rFonts w:cs="Times New Roman"/>
                <w:sz w:val="21"/>
                <w:szCs w:val="21"/>
              </w:rPr>
              <w:t>井</w:t>
            </w:r>
            <w:r>
              <w:rPr>
                <w:rFonts w:cs="Times New Roman" w:hint="eastAsia"/>
                <w:sz w:val="21"/>
                <w:szCs w:val="21"/>
              </w:rPr>
              <w:t>、</w:t>
            </w:r>
            <w:r>
              <w:rPr>
                <w:rFonts w:cs="Times New Roman" w:hint="eastAsia"/>
                <w:sz w:val="21"/>
                <w:szCs w:val="21"/>
              </w:rPr>
              <w:t>新北</w:t>
            </w:r>
            <w:r>
              <w:rPr>
                <w:rFonts w:cs="Times New Roman" w:hint="eastAsia"/>
                <w:sz w:val="21"/>
                <w:szCs w:val="21"/>
              </w:rPr>
              <w:t>7</w:t>
            </w:r>
            <w:r>
              <w:rPr>
                <w:rFonts w:cs="Times New Roman"/>
                <w:sz w:val="21"/>
                <w:szCs w:val="21"/>
              </w:rPr>
              <w:t>井</w:t>
            </w:r>
            <w:bookmarkEnd w:id="539"/>
          </w:p>
        </w:tc>
        <w:tc>
          <w:tcPr>
            <w:tcW w:w="4779" w:type="dxa"/>
            <w:shd w:val="clear" w:color="auto" w:fill="auto"/>
            <w:vAlign w:val="center"/>
          </w:tcPr>
          <w:p w:rsidR="00C645C9" w:rsidRDefault="00F955D9">
            <w:pPr>
              <w:jc w:val="both"/>
              <w:textAlignment w:val="center"/>
              <w:rPr>
                <w:rFonts w:cs="Times New Roman"/>
                <w:sz w:val="21"/>
                <w:szCs w:val="21"/>
              </w:rPr>
            </w:pPr>
            <w:r>
              <w:rPr>
                <w:rFonts w:cs="Times New Roman"/>
                <w:sz w:val="21"/>
                <w:szCs w:val="21"/>
              </w:rPr>
              <w:t>新北</w:t>
            </w:r>
            <w:r>
              <w:rPr>
                <w:rFonts w:cs="Times New Roman"/>
                <w:sz w:val="21"/>
                <w:szCs w:val="21"/>
              </w:rPr>
              <w:t>1X</w:t>
            </w:r>
            <w:r>
              <w:rPr>
                <w:rFonts w:cs="Times New Roman"/>
                <w:sz w:val="21"/>
                <w:szCs w:val="21"/>
              </w:rPr>
              <w:t>井</w:t>
            </w:r>
            <w:r>
              <w:rPr>
                <w:rFonts w:hint="eastAsia"/>
                <w:sz w:val="21"/>
                <w:szCs w:val="21"/>
              </w:rPr>
              <w:t>已经</w:t>
            </w:r>
            <w:r>
              <w:rPr>
                <w:rFonts w:hint="eastAsia"/>
                <w:sz w:val="21"/>
                <w:szCs w:val="21"/>
              </w:rPr>
              <w:t>单独开展</w:t>
            </w:r>
            <w:r>
              <w:rPr>
                <w:sz w:val="21"/>
                <w:szCs w:val="21"/>
              </w:rPr>
              <w:t>钻井环评</w:t>
            </w:r>
            <w:r>
              <w:rPr>
                <w:rFonts w:hint="eastAsia"/>
                <w:sz w:val="21"/>
                <w:szCs w:val="21"/>
              </w:rPr>
              <w:t>，</w:t>
            </w:r>
            <w:r>
              <w:rPr>
                <w:rFonts w:hint="eastAsia"/>
                <w:sz w:val="21"/>
                <w:szCs w:val="21"/>
              </w:rPr>
              <w:t>本次进行侧钻</w:t>
            </w:r>
            <w:r>
              <w:rPr>
                <w:sz w:val="21"/>
                <w:szCs w:val="21"/>
              </w:rPr>
              <w:t>。</w:t>
            </w:r>
            <w:r>
              <w:rPr>
                <w:rFonts w:cs="Times New Roman" w:hint="eastAsia"/>
                <w:sz w:val="21"/>
                <w:szCs w:val="21"/>
              </w:rPr>
              <w:t>新北</w:t>
            </w:r>
            <w:r>
              <w:rPr>
                <w:rFonts w:cs="Times New Roman" w:hint="eastAsia"/>
                <w:sz w:val="21"/>
                <w:szCs w:val="21"/>
              </w:rPr>
              <w:t>7</w:t>
            </w:r>
            <w:r>
              <w:rPr>
                <w:rFonts w:cs="Times New Roman"/>
                <w:sz w:val="21"/>
                <w:szCs w:val="21"/>
              </w:rPr>
              <w:t>井</w:t>
            </w:r>
            <w:r>
              <w:rPr>
                <w:sz w:val="21"/>
                <w:szCs w:val="21"/>
              </w:rPr>
              <w:t>为新钻井，</w:t>
            </w:r>
            <w:r>
              <w:rPr>
                <w:rFonts w:hint="eastAsia"/>
                <w:sz w:val="21"/>
                <w:szCs w:val="21"/>
              </w:rPr>
              <w:t>井深</w:t>
            </w:r>
            <w:r>
              <w:rPr>
                <w:rFonts w:hint="eastAsia"/>
                <w:sz w:val="21"/>
                <w:szCs w:val="21"/>
              </w:rPr>
              <w:t>6331.28m</w:t>
            </w:r>
            <w:r>
              <w:rPr>
                <w:sz w:val="21"/>
                <w:szCs w:val="21"/>
              </w:rPr>
              <w:t>。井场外设置放喷池</w:t>
            </w:r>
            <w:r>
              <w:rPr>
                <w:sz w:val="21"/>
                <w:szCs w:val="21"/>
              </w:rPr>
              <w:t>2</w:t>
            </w:r>
            <w:r>
              <w:rPr>
                <w:sz w:val="21"/>
                <w:szCs w:val="21"/>
              </w:rPr>
              <w:t>座，</w:t>
            </w:r>
            <w:r>
              <w:rPr>
                <w:sz w:val="21"/>
                <w:szCs w:val="21"/>
              </w:rPr>
              <w:t>2×200m</w:t>
            </w:r>
            <w:r>
              <w:rPr>
                <w:sz w:val="21"/>
                <w:szCs w:val="21"/>
                <w:vertAlign w:val="superscript"/>
              </w:rPr>
              <w:t>3</w:t>
            </w:r>
            <w:r>
              <w:rPr>
                <w:sz w:val="21"/>
                <w:szCs w:val="21"/>
              </w:rPr>
              <w:t>；井场设置应急池</w:t>
            </w:r>
            <w:r>
              <w:rPr>
                <w:sz w:val="21"/>
                <w:szCs w:val="21"/>
              </w:rPr>
              <w:t>1</w:t>
            </w:r>
            <w:r>
              <w:rPr>
                <w:sz w:val="21"/>
                <w:szCs w:val="21"/>
              </w:rPr>
              <w:t>座，</w:t>
            </w:r>
            <w:r>
              <w:rPr>
                <w:sz w:val="21"/>
                <w:szCs w:val="21"/>
              </w:rPr>
              <w:t>600m</w:t>
            </w:r>
            <w:r>
              <w:rPr>
                <w:sz w:val="21"/>
                <w:szCs w:val="21"/>
                <w:vertAlign w:val="superscript"/>
              </w:rPr>
              <w:t>3</w:t>
            </w:r>
            <w:r>
              <w:rPr>
                <w:sz w:val="21"/>
                <w:szCs w:val="21"/>
              </w:rPr>
              <w:t>，井场设便携式</w:t>
            </w:r>
            <w:r>
              <w:rPr>
                <w:sz w:val="21"/>
                <w:szCs w:val="21"/>
              </w:rPr>
              <w:t>H</w:t>
            </w:r>
            <w:r>
              <w:rPr>
                <w:sz w:val="21"/>
                <w:szCs w:val="21"/>
                <w:vertAlign w:val="subscript"/>
              </w:rPr>
              <w:t>2</w:t>
            </w:r>
            <w:r>
              <w:rPr>
                <w:sz w:val="21"/>
                <w:szCs w:val="21"/>
              </w:rPr>
              <w:t>S</w:t>
            </w:r>
            <w:r>
              <w:rPr>
                <w:sz w:val="21"/>
                <w:szCs w:val="21"/>
              </w:rPr>
              <w:t>监测仪</w:t>
            </w:r>
            <w:r>
              <w:rPr>
                <w:rFonts w:hint="eastAsia"/>
                <w:sz w:val="21"/>
                <w:szCs w:val="21"/>
              </w:rPr>
              <w:t>。</w:t>
            </w:r>
          </w:p>
        </w:tc>
        <w:tc>
          <w:tcPr>
            <w:tcW w:w="664" w:type="dxa"/>
            <w:shd w:val="clear" w:color="auto" w:fill="auto"/>
            <w:vAlign w:val="center"/>
          </w:tcPr>
          <w:p w:rsidR="00C645C9" w:rsidRDefault="00F955D9">
            <w:pPr>
              <w:jc w:val="both"/>
              <w:textAlignment w:val="center"/>
              <w:rPr>
                <w:rFonts w:cs="Times New Roman"/>
                <w:sz w:val="21"/>
                <w:szCs w:val="21"/>
                <w:lang w:bidi="ar"/>
              </w:rPr>
            </w:pPr>
            <w:bookmarkStart w:id="540" w:name="OLE_LINK209"/>
            <w:r>
              <w:rPr>
                <w:rFonts w:cs="Times New Roman" w:hint="eastAsia"/>
                <w:sz w:val="21"/>
                <w:szCs w:val="21"/>
                <w:lang w:bidi="ar"/>
              </w:rPr>
              <w:t>新建</w:t>
            </w:r>
            <w:bookmarkEnd w:id="540"/>
          </w:p>
        </w:tc>
      </w:tr>
      <w:bookmarkEnd w:id="538"/>
      <w:tr w:rsidR="00C645C9">
        <w:trPr>
          <w:trHeight w:val="208"/>
          <w:jc w:val="center"/>
        </w:trPr>
        <w:tc>
          <w:tcPr>
            <w:tcW w:w="402" w:type="dxa"/>
            <w:vMerge/>
            <w:shd w:val="clear" w:color="auto" w:fill="auto"/>
            <w:vAlign w:val="center"/>
          </w:tcPr>
          <w:p w:rsidR="00C645C9" w:rsidRDefault="00C645C9">
            <w:pPr>
              <w:jc w:val="center"/>
              <w:textAlignment w:val="center"/>
              <w:rPr>
                <w:rFonts w:cs="Times New Roman"/>
                <w:sz w:val="21"/>
                <w:szCs w:val="21"/>
                <w:lang w:bidi="ar"/>
              </w:rPr>
            </w:pPr>
          </w:p>
        </w:tc>
        <w:tc>
          <w:tcPr>
            <w:tcW w:w="654" w:type="dxa"/>
            <w:vMerge/>
            <w:shd w:val="clear" w:color="auto" w:fill="auto"/>
            <w:vAlign w:val="center"/>
          </w:tcPr>
          <w:p w:rsidR="00C645C9" w:rsidRDefault="00C645C9">
            <w:pPr>
              <w:jc w:val="center"/>
              <w:textAlignment w:val="center"/>
              <w:rPr>
                <w:rFonts w:cs="Times New Roman"/>
                <w:sz w:val="21"/>
                <w:szCs w:val="21"/>
                <w:lang w:bidi="ar"/>
              </w:rPr>
            </w:pPr>
          </w:p>
        </w:tc>
        <w:tc>
          <w:tcPr>
            <w:tcW w:w="1069" w:type="dxa"/>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地面</w:t>
            </w:r>
          </w:p>
          <w:p w:rsidR="00C645C9" w:rsidRDefault="00F955D9">
            <w:pPr>
              <w:jc w:val="center"/>
              <w:textAlignment w:val="center"/>
              <w:rPr>
                <w:rFonts w:cs="Times New Roman"/>
                <w:sz w:val="21"/>
                <w:szCs w:val="21"/>
                <w:lang w:bidi="ar"/>
              </w:rPr>
            </w:pPr>
            <w:r>
              <w:rPr>
                <w:rFonts w:cs="Times New Roman"/>
                <w:sz w:val="21"/>
                <w:szCs w:val="21"/>
                <w:lang w:bidi="ar"/>
              </w:rPr>
              <w:t>工程</w:t>
            </w:r>
          </w:p>
        </w:tc>
        <w:tc>
          <w:tcPr>
            <w:tcW w:w="1164" w:type="dxa"/>
            <w:shd w:val="clear" w:color="auto" w:fill="auto"/>
            <w:vAlign w:val="center"/>
          </w:tcPr>
          <w:p w:rsidR="00C645C9" w:rsidRDefault="00F955D9">
            <w:pPr>
              <w:snapToGrid w:val="0"/>
              <w:jc w:val="center"/>
              <w:rPr>
                <w:rFonts w:cs="Times New Roman"/>
                <w:sz w:val="21"/>
                <w:szCs w:val="21"/>
              </w:rPr>
            </w:pPr>
            <w:r>
              <w:rPr>
                <w:rFonts w:cs="Times New Roman" w:hint="eastAsia"/>
                <w:sz w:val="21"/>
                <w:szCs w:val="21"/>
              </w:rPr>
              <w:t>天然气处理装置</w:t>
            </w:r>
          </w:p>
        </w:tc>
        <w:tc>
          <w:tcPr>
            <w:tcW w:w="4779" w:type="dxa"/>
            <w:shd w:val="clear" w:color="auto" w:fill="auto"/>
            <w:vAlign w:val="center"/>
          </w:tcPr>
          <w:p w:rsidR="00C645C9" w:rsidRDefault="00F955D9">
            <w:pPr>
              <w:jc w:val="both"/>
              <w:textAlignment w:val="center"/>
              <w:rPr>
                <w:rFonts w:cs="Times New Roman"/>
                <w:sz w:val="21"/>
                <w:szCs w:val="21"/>
              </w:rPr>
            </w:pPr>
            <w:bookmarkStart w:id="541" w:name="OLE_LINK605"/>
            <w:bookmarkStart w:id="542" w:name="OLE_LINK739"/>
            <w:r>
              <w:rPr>
                <w:rFonts w:cs="Times New Roman" w:hint="eastAsia"/>
                <w:sz w:val="21"/>
                <w:szCs w:val="21"/>
              </w:rPr>
              <w:t>2</w:t>
            </w:r>
            <w:r>
              <w:rPr>
                <w:rFonts w:cs="Times New Roman" w:hint="eastAsia"/>
                <w:sz w:val="21"/>
                <w:szCs w:val="21"/>
              </w:rPr>
              <w:t>座井场</w:t>
            </w:r>
            <w:bookmarkEnd w:id="541"/>
            <w:r>
              <w:rPr>
                <w:rFonts w:cs="Times New Roman" w:hint="eastAsia"/>
                <w:sz w:val="21"/>
                <w:szCs w:val="21"/>
              </w:rPr>
              <w:t>内</w:t>
            </w:r>
            <w:bookmarkEnd w:id="542"/>
            <w:r>
              <w:rPr>
                <w:rFonts w:cs="Times New Roman" w:hint="eastAsia"/>
                <w:sz w:val="21"/>
                <w:szCs w:val="21"/>
              </w:rPr>
              <w:t>均新建</w:t>
            </w:r>
            <w:bookmarkStart w:id="543" w:name="OLE_LINK771"/>
            <w:r>
              <w:rPr>
                <w:rFonts w:cs="Times New Roman" w:hint="eastAsia"/>
                <w:sz w:val="21"/>
                <w:szCs w:val="21"/>
              </w:rPr>
              <w:t>天然气处理装置</w:t>
            </w:r>
            <w:bookmarkEnd w:id="543"/>
            <w:r>
              <w:rPr>
                <w:rFonts w:cs="Times New Roman" w:hint="eastAsia"/>
                <w:sz w:val="21"/>
                <w:szCs w:val="21"/>
              </w:rPr>
              <w:t>1</w:t>
            </w:r>
            <w:r>
              <w:rPr>
                <w:rFonts w:cs="Times New Roman" w:hint="eastAsia"/>
                <w:sz w:val="21"/>
                <w:szCs w:val="21"/>
              </w:rPr>
              <w:t>套（天然气处理规模</w:t>
            </w:r>
            <w:r>
              <w:rPr>
                <w:rFonts w:cs="Times New Roman" w:hint="eastAsia"/>
                <w:sz w:val="21"/>
                <w:szCs w:val="21"/>
              </w:rPr>
              <w:t>10</w:t>
            </w:r>
            <w:r>
              <w:rPr>
                <w:rFonts w:cs="Times New Roman" w:hint="eastAsia"/>
                <w:sz w:val="21"/>
                <w:szCs w:val="21"/>
              </w:rPr>
              <w:t>×</w:t>
            </w:r>
            <w:r>
              <w:rPr>
                <w:rFonts w:cs="Times New Roman" w:hint="eastAsia"/>
                <w:sz w:val="21"/>
                <w:szCs w:val="21"/>
              </w:rPr>
              <w:t>10</w:t>
            </w:r>
            <w:r>
              <w:rPr>
                <w:rFonts w:cs="Times New Roman" w:hint="eastAsia"/>
                <w:sz w:val="21"/>
                <w:szCs w:val="21"/>
                <w:vertAlign w:val="superscript"/>
              </w:rPr>
              <w:t>4</w:t>
            </w:r>
            <w:r>
              <w:rPr>
                <w:rFonts w:cs="Times New Roman" w:hint="eastAsia"/>
                <w:sz w:val="21"/>
                <w:szCs w:val="21"/>
              </w:rPr>
              <w:t>Nm</w:t>
            </w:r>
            <w:r>
              <w:rPr>
                <w:rFonts w:cs="Times New Roman" w:hint="eastAsia"/>
                <w:sz w:val="21"/>
                <w:szCs w:val="21"/>
                <w:vertAlign w:val="superscript"/>
              </w:rPr>
              <w:t>3</w:t>
            </w:r>
            <w:r>
              <w:rPr>
                <w:rFonts w:cs="Times New Roman" w:hint="eastAsia"/>
                <w:sz w:val="21"/>
                <w:szCs w:val="21"/>
              </w:rPr>
              <w:t>/d</w:t>
            </w:r>
            <w:r>
              <w:rPr>
                <w:rFonts w:cs="Times New Roman" w:hint="eastAsia"/>
                <w:sz w:val="21"/>
                <w:szCs w:val="21"/>
              </w:rPr>
              <w:t>），</w:t>
            </w:r>
            <w:r>
              <w:rPr>
                <w:rFonts w:cs="Times New Roman"/>
                <w:sz w:val="21"/>
                <w:szCs w:val="21"/>
              </w:rPr>
              <w:t>新建</w:t>
            </w:r>
            <w:r>
              <w:rPr>
                <w:rFonts w:cs="Times New Roman" w:hint="eastAsia"/>
                <w:sz w:val="21"/>
                <w:szCs w:val="21"/>
              </w:rPr>
              <w:t>火炬</w:t>
            </w:r>
            <w:r>
              <w:rPr>
                <w:rFonts w:cs="Times New Roman" w:hint="eastAsia"/>
                <w:sz w:val="21"/>
                <w:szCs w:val="21"/>
              </w:rPr>
              <w:t>1</w:t>
            </w:r>
            <w:r>
              <w:rPr>
                <w:rFonts w:cs="Times New Roman" w:hint="eastAsia"/>
                <w:sz w:val="21"/>
                <w:szCs w:val="21"/>
              </w:rPr>
              <w:t>座、</w:t>
            </w:r>
            <w:r>
              <w:rPr>
                <w:rFonts w:cs="Times New Roman"/>
                <w:sz w:val="21"/>
                <w:szCs w:val="21"/>
              </w:rPr>
              <w:t>火炬分液罐</w:t>
            </w:r>
            <w:r>
              <w:rPr>
                <w:rFonts w:cs="Times New Roman" w:hint="eastAsia"/>
                <w:sz w:val="21"/>
                <w:szCs w:val="21"/>
              </w:rPr>
              <w:t>+</w:t>
            </w:r>
            <w:r>
              <w:rPr>
                <w:rFonts w:cs="Times New Roman" w:hint="eastAsia"/>
                <w:sz w:val="21"/>
                <w:szCs w:val="21"/>
              </w:rPr>
              <w:t>凝液回收泵撬</w:t>
            </w:r>
            <w:r>
              <w:rPr>
                <w:rFonts w:cs="Times New Roman" w:hint="eastAsia"/>
                <w:sz w:val="21"/>
                <w:szCs w:val="21"/>
              </w:rPr>
              <w:t>1</w:t>
            </w:r>
            <w:r>
              <w:rPr>
                <w:rFonts w:cs="Times New Roman" w:hint="eastAsia"/>
                <w:sz w:val="21"/>
                <w:szCs w:val="21"/>
              </w:rPr>
              <w:t>套、分子筛脱水撬</w:t>
            </w:r>
            <w:r>
              <w:rPr>
                <w:rFonts w:cs="Times New Roman" w:hint="eastAsia"/>
                <w:sz w:val="21"/>
                <w:szCs w:val="21"/>
              </w:rPr>
              <w:t>1</w:t>
            </w:r>
            <w:r>
              <w:rPr>
                <w:rFonts w:cs="Times New Roman" w:hint="eastAsia"/>
                <w:sz w:val="21"/>
                <w:szCs w:val="21"/>
              </w:rPr>
              <w:t>套、外输计量橇</w:t>
            </w:r>
            <w:r>
              <w:rPr>
                <w:rFonts w:cs="Times New Roman" w:hint="eastAsia"/>
                <w:sz w:val="21"/>
                <w:szCs w:val="21"/>
              </w:rPr>
              <w:t>1</w:t>
            </w:r>
            <w:r>
              <w:rPr>
                <w:rFonts w:cs="Times New Roman" w:hint="eastAsia"/>
                <w:sz w:val="21"/>
                <w:szCs w:val="21"/>
              </w:rPr>
              <w:t>座、工具间</w:t>
            </w:r>
            <w:r>
              <w:rPr>
                <w:rFonts w:cs="Times New Roman" w:hint="eastAsia"/>
                <w:sz w:val="21"/>
                <w:szCs w:val="21"/>
              </w:rPr>
              <w:t>1</w:t>
            </w:r>
            <w:r>
              <w:rPr>
                <w:rFonts w:cs="Times New Roman" w:hint="eastAsia"/>
                <w:sz w:val="21"/>
                <w:szCs w:val="21"/>
              </w:rPr>
              <w:t>座、站内管网</w:t>
            </w:r>
            <w:r>
              <w:rPr>
                <w:rFonts w:cs="Times New Roman" w:hint="eastAsia"/>
                <w:sz w:val="21"/>
                <w:szCs w:val="21"/>
              </w:rPr>
              <w:t>1</w:t>
            </w:r>
            <w:r>
              <w:rPr>
                <w:rFonts w:cs="Times New Roman" w:hint="eastAsia"/>
                <w:sz w:val="21"/>
                <w:szCs w:val="21"/>
              </w:rPr>
              <w:t>项等。</w:t>
            </w:r>
          </w:p>
        </w:tc>
        <w:tc>
          <w:tcPr>
            <w:tcW w:w="664" w:type="dxa"/>
            <w:shd w:val="clear" w:color="auto" w:fill="auto"/>
            <w:vAlign w:val="center"/>
          </w:tcPr>
          <w:p w:rsidR="00C645C9" w:rsidRDefault="00F955D9">
            <w:pPr>
              <w:jc w:val="both"/>
              <w:textAlignment w:val="center"/>
              <w:rPr>
                <w:rFonts w:cs="Times New Roman"/>
                <w:sz w:val="21"/>
                <w:szCs w:val="21"/>
                <w:lang w:bidi="ar"/>
              </w:rPr>
            </w:pPr>
            <w:r>
              <w:rPr>
                <w:rFonts w:cs="Times New Roman" w:hint="eastAsia"/>
                <w:sz w:val="21"/>
                <w:szCs w:val="21"/>
                <w:lang w:bidi="ar"/>
              </w:rPr>
              <w:t>新建</w:t>
            </w:r>
          </w:p>
        </w:tc>
      </w:tr>
      <w:tr w:rsidR="00C645C9">
        <w:trPr>
          <w:trHeight w:val="80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noWrap/>
            <w:vAlign w:val="center"/>
          </w:tcPr>
          <w:p w:rsidR="00C645C9" w:rsidRDefault="00C645C9">
            <w:pPr>
              <w:jc w:val="center"/>
              <w:rPr>
                <w:rFonts w:cs="Times New Roman"/>
                <w:sz w:val="21"/>
                <w:szCs w:val="21"/>
              </w:rPr>
            </w:pPr>
          </w:p>
        </w:tc>
        <w:tc>
          <w:tcPr>
            <w:tcW w:w="1069" w:type="dxa"/>
            <w:vMerge w:val="restart"/>
            <w:shd w:val="clear" w:color="auto" w:fill="auto"/>
            <w:vAlign w:val="center"/>
          </w:tcPr>
          <w:p w:rsidR="00C645C9" w:rsidRDefault="00F955D9">
            <w:pPr>
              <w:jc w:val="center"/>
              <w:rPr>
                <w:rFonts w:cs="Times New Roman"/>
                <w:sz w:val="21"/>
                <w:szCs w:val="21"/>
              </w:rPr>
            </w:pPr>
            <w:r>
              <w:rPr>
                <w:rFonts w:cs="Times New Roman"/>
                <w:sz w:val="21"/>
                <w:szCs w:val="21"/>
              </w:rPr>
              <w:t>油气</w:t>
            </w:r>
            <w:r>
              <w:rPr>
                <w:rFonts w:cs="Times New Roman" w:hint="eastAsia"/>
                <w:sz w:val="21"/>
                <w:szCs w:val="21"/>
              </w:rPr>
              <w:t>处理</w:t>
            </w:r>
            <w:r>
              <w:rPr>
                <w:rFonts w:cs="Times New Roman"/>
                <w:sz w:val="21"/>
                <w:szCs w:val="21"/>
              </w:rPr>
              <w:t>工程</w:t>
            </w:r>
          </w:p>
        </w:tc>
        <w:tc>
          <w:tcPr>
            <w:tcW w:w="1164" w:type="dxa"/>
            <w:shd w:val="clear" w:color="auto" w:fill="auto"/>
            <w:vAlign w:val="center"/>
          </w:tcPr>
          <w:p w:rsidR="00C645C9" w:rsidRDefault="00F955D9">
            <w:pPr>
              <w:jc w:val="center"/>
              <w:rPr>
                <w:rFonts w:cs="Times New Roman"/>
                <w:sz w:val="21"/>
                <w:szCs w:val="21"/>
                <w:lang w:bidi="ar"/>
              </w:rPr>
            </w:pPr>
            <w:r>
              <w:rPr>
                <w:rFonts w:cs="Times New Roman" w:hint="eastAsia"/>
                <w:sz w:val="21"/>
                <w:szCs w:val="21"/>
              </w:rPr>
              <w:t>水套</w:t>
            </w:r>
            <w:r>
              <w:rPr>
                <w:rFonts w:cs="Times New Roman"/>
                <w:sz w:val="21"/>
                <w:szCs w:val="21"/>
              </w:rPr>
              <w:t>加热炉</w:t>
            </w:r>
          </w:p>
        </w:tc>
        <w:tc>
          <w:tcPr>
            <w:tcW w:w="4779" w:type="dxa"/>
            <w:shd w:val="clear" w:color="auto" w:fill="auto"/>
            <w:vAlign w:val="center"/>
          </w:tcPr>
          <w:p w:rsidR="00C645C9" w:rsidRDefault="00F955D9">
            <w:pPr>
              <w:jc w:val="both"/>
              <w:rPr>
                <w:rFonts w:cs="Times New Roman"/>
                <w:sz w:val="21"/>
                <w:szCs w:val="21"/>
                <w:lang w:bidi="ar"/>
              </w:rPr>
            </w:pPr>
            <w:r>
              <w:rPr>
                <w:rFonts w:cs="Times New Roman" w:hint="eastAsia"/>
                <w:sz w:val="21"/>
                <w:szCs w:val="21"/>
              </w:rPr>
              <w:t>2</w:t>
            </w:r>
            <w:r>
              <w:rPr>
                <w:rFonts w:cs="Times New Roman" w:hint="eastAsia"/>
                <w:sz w:val="21"/>
                <w:szCs w:val="21"/>
              </w:rPr>
              <w:t>座井场内均</w:t>
            </w:r>
            <w:r>
              <w:rPr>
                <w:rFonts w:cs="Times New Roman" w:hint="eastAsia"/>
                <w:sz w:val="21"/>
                <w:szCs w:val="21"/>
              </w:rPr>
              <w:t>新建</w:t>
            </w:r>
            <w:r>
              <w:rPr>
                <w:rFonts w:cs="Times New Roman"/>
                <w:sz w:val="21"/>
                <w:szCs w:val="21"/>
              </w:rPr>
              <w:t>2</w:t>
            </w:r>
            <w:r>
              <w:rPr>
                <w:rFonts w:cs="Times New Roman"/>
                <w:sz w:val="21"/>
                <w:szCs w:val="21"/>
              </w:rPr>
              <w:t>00kW</w:t>
            </w:r>
            <w:bookmarkStart w:id="544" w:name="OLE_LINK738"/>
            <w:r>
              <w:rPr>
                <w:rFonts w:cs="Times New Roman" w:hint="eastAsia"/>
                <w:sz w:val="21"/>
                <w:szCs w:val="21"/>
              </w:rPr>
              <w:t>水套</w:t>
            </w:r>
            <w:r>
              <w:rPr>
                <w:rFonts w:cs="Times New Roman"/>
                <w:sz w:val="21"/>
                <w:szCs w:val="21"/>
              </w:rPr>
              <w:t>加热炉</w:t>
            </w:r>
            <w:r>
              <w:rPr>
                <w:rFonts w:cs="Times New Roman" w:hint="eastAsia"/>
                <w:sz w:val="21"/>
                <w:szCs w:val="21"/>
              </w:rPr>
              <w:t>1</w:t>
            </w:r>
            <w:r>
              <w:rPr>
                <w:rFonts w:cs="Times New Roman"/>
                <w:sz w:val="21"/>
                <w:szCs w:val="21"/>
              </w:rPr>
              <w:t>座</w:t>
            </w:r>
            <w:bookmarkEnd w:id="544"/>
            <w:r>
              <w:rPr>
                <w:rFonts w:cs="Times New Roman"/>
                <w:sz w:val="21"/>
                <w:szCs w:val="21"/>
              </w:rPr>
              <w:t>，</w:t>
            </w:r>
            <w:r>
              <w:rPr>
                <w:rFonts w:cs="Times New Roman"/>
                <w:sz w:val="21"/>
                <w:szCs w:val="21"/>
              </w:rPr>
              <w:t>用于井口加热。</w:t>
            </w:r>
            <w:r>
              <w:rPr>
                <w:rFonts w:cs="Times New Roman" w:hint="eastAsia"/>
                <w:sz w:val="21"/>
                <w:szCs w:val="21"/>
              </w:rPr>
              <w:t>共计</w:t>
            </w:r>
            <w:r>
              <w:rPr>
                <w:rFonts w:cs="Times New Roman" w:hint="eastAsia"/>
                <w:sz w:val="21"/>
                <w:szCs w:val="21"/>
              </w:rPr>
              <w:t>水套</w:t>
            </w:r>
            <w:r>
              <w:rPr>
                <w:rFonts w:cs="Times New Roman"/>
                <w:sz w:val="21"/>
                <w:szCs w:val="21"/>
              </w:rPr>
              <w:t>加热炉</w:t>
            </w:r>
            <w:r>
              <w:rPr>
                <w:rFonts w:cs="Times New Roman" w:hint="eastAsia"/>
                <w:sz w:val="21"/>
                <w:szCs w:val="21"/>
              </w:rPr>
              <w:t>2</w:t>
            </w:r>
            <w:r>
              <w:rPr>
                <w:rFonts w:cs="Times New Roman"/>
                <w:sz w:val="21"/>
                <w:szCs w:val="21"/>
              </w:rPr>
              <w:t>座</w:t>
            </w:r>
            <w:r>
              <w:rPr>
                <w:rFonts w:cs="Times New Roman" w:hint="eastAsia"/>
                <w:sz w:val="21"/>
                <w:szCs w:val="21"/>
              </w:rPr>
              <w:t>。</w:t>
            </w:r>
          </w:p>
        </w:tc>
        <w:tc>
          <w:tcPr>
            <w:tcW w:w="664" w:type="dxa"/>
            <w:shd w:val="clear" w:color="auto" w:fill="auto"/>
            <w:vAlign w:val="center"/>
          </w:tcPr>
          <w:p w:rsidR="00C645C9" w:rsidRDefault="00F955D9">
            <w:pPr>
              <w:jc w:val="both"/>
              <w:rPr>
                <w:rFonts w:cs="Times New Roman"/>
              </w:rPr>
            </w:pPr>
            <w:r>
              <w:rPr>
                <w:rFonts w:cs="Times New Roman" w:hint="eastAsia"/>
                <w:sz w:val="21"/>
                <w:szCs w:val="21"/>
                <w:lang w:bidi="ar"/>
              </w:rPr>
              <w:t>新建</w:t>
            </w:r>
          </w:p>
        </w:tc>
      </w:tr>
      <w:tr w:rsidR="00C645C9">
        <w:trPr>
          <w:trHeight w:val="80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noWrap/>
            <w:vAlign w:val="center"/>
          </w:tcPr>
          <w:p w:rsidR="00C645C9" w:rsidRDefault="00C645C9">
            <w:pPr>
              <w:jc w:val="center"/>
              <w:rPr>
                <w:rFonts w:cs="Times New Roman"/>
                <w:sz w:val="21"/>
                <w:szCs w:val="21"/>
              </w:rPr>
            </w:pPr>
          </w:p>
        </w:tc>
        <w:tc>
          <w:tcPr>
            <w:tcW w:w="1069" w:type="dxa"/>
            <w:vMerge/>
            <w:shd w:val="clear" w:color="auto" w:fill="auto"/>
            <w:vAlign w:val="center"/>
          </w:tcPr>
          <w:p w:rsidR="00C645C9" w:rsidRDefault="00C645C9">
            <w:pPr>
              <w:jc w:val="center"/>
              <w:rPr>
                <w:rFonts w:cs="Times New Roman"/>
                <w:sz w:val="21"/>
                <w:szCs w:val="21"/>
              </w:rPr>
            </w:pPr>
          </w:p>
        </w:tc>
        <w:tc>
          <w:tcPr>
            <w:tcW w:w="1164" w:type="dxa"/>
            <w:shd w:val="clear" w:color="auto" w:fill="auto"/>
            <w:vAlign w:val="center"/>
          </w:tcPr>
          <w:p w:rsidR="00C645C9" w:rsidRDefault="00F955D9">
            <w:pPr>
              <w:jc w:val="center"/>
              <w:rPr>
                <w:rFonts w:cs="Times New Roman"/>
                <w:sz w:val="21"/>
                <w:szCs w:val="21"/>
              </w:rPr>
            </w:pPr>
            <w:r>
              <w:rPr>
                <w:rFonts w:cs="Times New Roman" w:hint="eastAsia"/>
                <w:sz w:val="21"/>
                <w:szCs w:val="21"/>
              </w:rPr>
              <w:t>站内管网</w:t>
            </w:r>
          </w:p>
        </w:tc>
        <w:tc>
          <w:tcPr>
            <w:tcW w:w="4779" w:type="dxa"/>
            <w:shd w:val="clear" w:color="auto" w:fill="auto"/>
            <w:vAlign w:val="center"/>
          </w:tcPr>
          <w:p w:rsidR="00C645C9" w:rsidRDefault="00F955D9">
            <w:pPr>
              <w:jc w:val="both"/>
              <w:rPr>
                <w:rFonts w:cs="Times New Roman"/>
                <w:sz w:val="21"/>
                <w:szCs w:val="21"/>
              </w:rPr>
            </w:pPr>
            <w:bookmarkStart w:id="545" w:name="OLE_LINK284"/>
            <w:r>
              <w:rPr>
                <w:rFonts w:cs="Times New Roman" w:hint="eastAsia"/>
                <w:sz w:val="21"/>
                <w:szCs w:val="21"/>
              </w:rPr>
              <w:t>单井井口至天然气处理装置、拉油储罐出油管线</w:t>
            </w:r>
            <w:r>
              <w:rPr>
                <w:rFonts w:cs="Times New Roman" w:hint="eastAsia"/>
                <w:sz w:val="21"/>
                <w:szCs w:val="21"/>
              </w:rPr>
              <w:t>，</w:t>
            </w:r>
            <w:r>
              <w:rPr>
                <w:rFonts w:cs="Times New Roman" w:hint="eastAsia"/>
                <w:sz w:val="21"/>
                <w:szCs w:val="21"/>
              </w:rPr>
              <w:t>2</w:t>
            </w:r>
            <w:r>
              <w:rPr>
                <w:rFonts w:cs="Times New Roman" w:hint="eastAsia"/>
                <w:sz w:val="21"/>
                <w:szCs w:val="21"/>
              </w:rPr>
              <w:t>口井合计</w:t>
            </w:r>
            <w:r>
              <w:rPr>
                <w:rFonts w:cs="Times New Roman"/>
                <w:spacing w:val="-10"/>
                <w:sz w:val="21"/>
                <w:szCs w:val="21"/>
              </w:rPr>
              <w:t>0.163</w:t>
            </w:r>
            <w:r>
              <w:rPr>
                <w:rFonts w:cs="Times New Roman" w:hint="eastAsia"/>
                <w:spacing w:val="-10"/>
                <w:sz w:val="21"/>
                <w:szCs w:val="21"/>
              </w:rPr>
              <w:t>k</w:t>
            </w:r>
            <w:r>
              <w:rPr>
                <w:rFonts w:cs="Times New Roman" w:hint="eastAsia"/>
                <w:sz w:val="21"/>
                <w:szCs w:val="21"/>
              </w:rPr>
              <w:t>m</w:t>
            </w:r>
            <w:r>
              <w:rPr>
                <w:rFonts w:cs="Times New Roman" w:hint="eastAsia"/>
                <w:sz w:val="21"/>
                <w:szCs w:val="21"/>
              </w:rPr>
              <w:t>，明线铺设</w:t>
            </w:r>
            <w:r>
              <w:rPr>
                <w:rFonts w:cs="Times New Roman" w:hint="eastAsia"/>
                <w:sz w:val="21"/>
                <w:szCs w:val="21"/>
              </w:rPr>
              <w:t>。</w:t>
            </w:r>
            <w:bookmarkEnd w:id="545"/>
          </w:p>
        </w:tc>
        <w:tc>
          <w:tcPr>
            <w:tcW w:w="664" w:type="dxa"/>
            <w:shd w:val="clear" w:color="auto" w:fill="auto"/>
            <w:vAlign w:val="center"/>
          </w:tcPr>
          <w:p w:rsidR="00C645C9" w:rsidRDefault="00F955D9">
            <w:pPr>
              <w:jc w:val="both"/>
              <w:rPr>
                <w:rFonts w:cs="Times New Roman"/>
                <w:sz w:val="21"/>
                <w:szCs w:val="21"/>
                <w:lang w:bidi="ar"/>
              </w:rPr>
            </w:pPr>
            <w:r>
              <w:rPr>
                <w:rFonts w:cs="Times New Roman" w:hint="eastAsia"/>
                <w:sz w:val="21"/>
                <w:szCs w:val="21"/>
                <w:lang w:bidi="ar"/>
              </w:rPr>
              <w:t>新建</w:t>
            </w:r>
          </w:p>
        </w:tc>
      </w:tr>
      <w:tr w:rsidR="00C645C9">
        <w:trPr>
          <w:trHeight w:val="309"/>
          <w:jc w:val="center"/>
        </w:trPr>
        <w:tc>
          <w:tcPr>
            <w:tcW w:w="402" w:type="dxa"/>
            <w:vMerge w:val="restart"/>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3</w:t>
            </w:r>
          </w:p>
        </w:tc>
        <w:tc>
          <w:tcPr>
            <w:tcW w:w="654" w:type="dxa"/>
            <w:vMerge w:val="restart"/>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公辅工程</w:t>
            </w:r>
          </w:p>
        </w:tc>
        <w:tc>
          <w:tcPr>
            <w:tcW w:w="2233" w:type="dxa"/>
            <w:gridSpan w:val="2"/>
            <w:shd w:val="clear" w:color="auto" w:fill="auto"/>
            <w:vAlign w:val="center"/>
          </w:tcPr>
          <w:p w:rsidR="00C645C9" w:rsidRDefault="00F955D9">
            <w:pPr>
              <w:adjustRightInd w:val="0"/>
              <w:snapToGrid w:val="0"/>
              <w:spacing w:line="240" w:lineRule="atLeast"/>
              <w:jc w:val="center"/>
              <w:rPr>
                <w:rFonts w:cs="Times New Roman"/>
                <w:sz w:val="21"/>
                <w:szCs w:val="21"/>
                <w:lang w:bidi="ar"/>
              </w:rPr>
            </w:pPr>
            <w:r>
              <w:rPr>
                <w:rFonts w:cs="Times New Roman" w:hint="eastAsia"/>
                <w:sz w:val="21"/>
                <w:szCs w:val="21"/>
              </w:rPr>
              <w:t>供水</w:t>
            </w:r>
            <w:r>
              <w:rPr>
                <w:rFonts w:cs="Times New Roman"/>
                <w:sz w:val="21"/>
                <w:szCs w:val="21"/>
              </w:rPr>
              <w:t>工程</w:t>
            </w:r>
          </w:p>
        </w:tc>
        <w:tc>
          <w:tcPr>
            <w:tcW w:w="4779" w:type="dxa"/>
            <w:shd w:val="clear" w:color="auto" w:fill="auto"/>
            <w:vAlign w:val="center"/>
          </w:tcPr>
          <w:p w:rsidR="00C645C9" w:rsidRDefault="00F955D9">
            <w:pPr>
              <w:adjustRightInd w:val="0"/>
              <w:snapToGrid w:val="0"/>
              <w:spacing w:line="240" w:lineRule="atLeast"/>
              <w:rPr>
                <w:rFonts w:cs="Times New Roman"/>
                <w:sz w:val="21"/>
                <w:szCs w:val="21"/>
                <w:lang w:bidi="ar"/>
              </w:rPr>
            </w:pPr>
            <w:r>
              <w:rPr>
                <w:rFonts w:cs="Times New Roman"/>
                <w:kern w:val="2"/>
                <w:sz w:val="21"/>
                <w:szCs w:val="21"/>
              </w:rPr>
              <w:t>生产用水、生活用水采用水罐车就近拉运至井场。</w:t>
            </w:r>
          </w:p>
        </w:tc>
        <w:tc>
          <w:tcPr>
            <w:tcW w:w="664" w:type="dxa"/>
            <w:shd w:val="clear" w:color="auto" w:fill="auto"/>
            <w:vAlign w:val="center"/>
          </w:tcPr>
          <w:p w:rsidR="00C645C9" w:rsidRDefault="00F955D9">
            <w:pPr>
              <w:textAlignment w:val="center"/>
              <w:rPr>
                <w:rFonts w:cs="Times New Roman"/>
                <w:sz w:val="21"/>
                <w:szCs w:val="21"/>
                <w:lang w:bidi="ar"/>
              </w:rPr>
            </w:pPr>
            <w:bookmarkStart w:id="546" w:name="OLE_LINK772"/>
            <w:r>
              <w:rPr>
                <w:rFonts w:cs="Times New Roman" w:hint="eastAsia"/>
                <w:sz w:val="21"/>
                <w:szCs w:val="21"/>
                <w:lang w:bidi="ar"/>
              </w:rPr>
              <w:t>新建</w:t>
            </w:r>
            <w:bookmarkEnd w:id="546"/>
          </w:p>
        </w:tc>
      </w:tr>
      <w:tr w:rsidR="00C645C9">
        <w:trPr>
          <w:trHeight w:val="309"/>
          <w:jc w:val="center"/>
        </w:trPr>
        <w:tc>
          <w:tcPr>
            <w:tcW w:w="402" w:type="dxa"/>
            <w:vMerge/>
            <w:shd w:val="clear" w:color="auto" w:fill="auto"/>
            <w:vAlign w:val="center"/>
          </w:tcPr>
          <w:p w:rsidR="00C645C9" w:rsidRDefault="00C645C9">
            <w:pPr>
              <w:jc w:val="center"/>
              <w:textAlignment w:val="center"/>
              <w:rPr>
                <w:rFonts w:cs="Times New Roman"/>
                <w:sz w:val="21"/>
                <w:szCs w:val="21"/>
              </w:rPr>
            </w:pPr>
          </w:p>
        </w:tc>
        <w:tc>
          <w:tcPr>
            <w:tcW w:w="654" w:type="dxa"/>
            <w:vMerge/>
            <w:shd w:val="clear" w:color="auto" w:fill="auto"/>
            <w:vAlign w:val="center"/>
          </w:tcPr>
          <w:p w:rsidR="00C645C9" w:rsidRDefault="00C645C9">
            <w:pPr>
              <w:jc w:val="center"/>
              <w:textAlignment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供电工程</w:t>
            </w:r>
          </w:p>
        </w:tc>
        <w:tc>
          <w:tcPr>
            <w:tcW w:w="4779" w:type="dxa"/>
            <w:shd w:val="clear" w:color="auto" w:fill="auto"/>
            <w:vAlign w:val="center"/>
          </w:tcPr>
          <w:p w:rsidR="00C645C9" w:rsidRDefault="00F955D9">
            <w:pPr>
              <w:textAlignment w:val="center"/>
              <w:rPr>
                <w:rFonts w:cs="Times New Roman"/>
                <w:sz w:val="21"/>
                <w:szCs w:val="21"/>
              </w:rPr>
            </w:pPr>
            <w:r>
              <w:rPr>
                <w:rFonts w:cs="Times New Roman"/>
                <w:sz w:val="21"/>
                <w:szCs w:val="21"/>
                <w:lang w:bidi="ar"/>
              </w:rPr>
              <w:t>新建</w:t>
            </w:r>
            <w:r>
              <w:rPr>
                <w:rFonts w:cs="Times New Roman"/>
                <w:sz w:val="21"/>
                <w:szCs w:val="21"/>
                <w:lang w:bidi="ar"/>
              </w:rPr>
              <w:t>10kV</w:t>
            </w:r>
            <w:r>
              <w:rPr>
                <w:rFonts w:cs="Times New Roman"/>
                <w:sz w:val="21"/>
                <w:szCs w:val="21"/>
                <w:lang w:bidi="ar"/>
              </w:rPr>
              <w:t>电力线</w:t>
            </w:r>
            <w:r>
              <w:rPr>
                <w:rFonts w:cs="Times New Roman"/>
                <w:sz w:val="21"/>
                <w:szCs w:val="21"/>
                <w:lang w:bidi="ar"/>
              </w:rPr>
              <w:t>1.1km</w:t>
            </w:r>
            <w:r>
              <w:rPr>
                <w:rFonts w:cs="Times New Roman"/>
                <w:sz w:val="21"/>
                <w:szCs w:val="21"/>
                <w:lang w:bidi="ar"/>
              </w:rPr>
              <w:t>，利旧</w:t>
            </w:r>
            <w:r>
              <w:rPr>
                <w:rFonts w:cs="Times New Roman"/>
                <w:sz w:val="21"/>
                <w:szCs w:val="21"/>
                <w:lang w:bidi="ar"/>
              </w:rPr>
              <w:t>400kVA</w:t>
            </w:r>
            <w:r>
              <w:rPr>
                <w:rFonts w:cs="Times New Roman"/>
                <w:sz w:val="21"/>
                <w:szCs w:val="21"/>
                <w:lang w:bidi="ar"/>
              </w:rPr>
              <w:t>变压器</w:t>
            </w:r>
            <w:r>
              <w:rPr>
                <w:rFonts w:cs="Times New Roman" w:hint="eastAsia"/>
                <w:sz w:val="21"/>
                <w:szCs w:val="21"/>
                <w:lang w:bidi="ar"/>
              </w:rPr>
              <w:t>2</w:t>
            </w:r>
            <w:r>
              <w:rPr>
                <w:rFonts w:cs="Times New Roman"/>
                <w:sz w:val="21"/>
                <w:szCs w:val="21"/>
                <w:lang w:bidi="ar"/>
              </w:rPr>
              <w:t>座</w:t>
            </w:r>
            <w:r>
              <w:rPr>
                <w:rFonts w:cs="Times New Roman"/>
                <w:sz w:val="21"/>
                <w:szCs w:val="21"/>
                <w:lang w:bidi="ar"/>
              </w:rPr>
              <w:t>。新建撬装低压配电室</w:t>
            </w:r>
            <w:r>
              <w:rPr>
                <w:rFonts w:cs="Times New Roman" w:hint="eastAsia"/>
                <w:sz w:val="21"/>
                <w:szCs w:val="21"/>
                <w:lang w:bidi="ar"/>
              </w:rPr>
              <w:t>2</w:t>
            </w:r>
            <w:r>
              <w:rPr>
                <w:rFonts w:cs="Times New Roman"/>
                <w:sz w:val="21"/>
                <w:szCs w:val="21"/>
                <w:lang w:bidi="ar"/>
              </w:rPr>
              <w:t>座</w:t>
            </w:r>
            <w:r>
              <w:rPr>
                <w:rFonts w:cs="Times New Roman" w:hint="eastAsia"/>
                <w:sz w:val="21"/>
                <w:szCs w:val="21"/>
                <w:lang w:bidi="ar"/>
              </w:rPr>
              <w:t>。</w:t>
            </w:r>
            <w:r>
              <w:rPr>
                <w:rFonts w:hint="eastAsia"/>
                <w:sz w:val="21"/>
                <w:szCs w:val="21"/>
              </w:rPr>
              <w:t>柴油发电机</w:t>
            </w:r>
            <w:r>
              <w:rPr>
                <w:rFonts w:hint="eastAsia"/>
                <w:sz w:val="21"/>
                <w:szCs w:val="21"/>
              </w:rPr>
              <w:t>1</w:t>
            </w:r>
            <w:r>
              <w:rPr>
                <w:rFonts w:hint="eastAsia"/>
                <w:sz w:val="21"/>
                <w:szCs w:val="21"/>
              </w:rPr>
              <w:t>台</w:t>
            </w:r>
            <w:r>
              <w:rPr>
                <w:rFonts w:hint="eastAsia"/>
                <w:sz w:val="21"/>
                <w:szCs w:val="21"/>
              </w:rPr>
              <w:t>（</w:t>
            </w:r>
            <w:r>
              <w:rPr>
                <w:rFonts w:hint="eastAsia"/>
                <w:sz w:val="21"/>
                <w:szCs w:val="21"/>
              </w:rPr>
              <w:t>备用</w:t>
            </w:r>
            <w:r>
              <w:rPr>
                <w:rFonts w:hint="eastAsia"/>
                <w:sz w:val="21"/>
                <w:szCs w:val="21"/>
              </w:rPr>
              <w:t>）。</w:t>
            </w:r>
          </w:p>
        </w:tc>
        <w:tc>
          <w:tcPr>
            <w:tcW w:w="664" w:type="dxa"/>
            <w:shd w:val="clear" w:color="auto" w:fill="auto"/>
            <w:vAlign w:val="center"/>
          </w:tcPr>
          <w:p w:rsidR="00C645C9" w:rsidRDefault="00F955D9">
            <w:pPr>
              <w:textAlignment w:val="center"/>
              <w:rPr>
                <w:rFonts w:cs="Times New Roman"/>
                <w:sz w:val="21"/>
                <w:szCs w:val="21"/>
              </w:rPr>
            </w:pPr>
            <w:bookmarkStart w:id="547" w:name="OLE_LINK247"/>
            <w:r>
              <w:rPr>
                <w:rFonts w:cs="Times New Roman" w:hint="eastAsia"/>
                <w:sz w:val="21"/>
                <w:szCs w:val="21"/>
                <w:lang w:bidi="ar"/>
              </w:rPr>
              <w:t>新建</w:t>
            </w:r>
            <w:bookmarkEnd w:id="547"/>
          </w:p>
        </w:tc>
      </w:tr>
      <w:tr w:rsidR="00C645C9">
        <w:trPr>
          <w:trHeight w:val="159"/>
          <w:jc w:val="center"/>
        </w:trPr>
        <w:tc>
          <w:tcPr>
            <w:tcW w:w="402" w:type="dxa"/>
            <w:vMerge/>
            <w:shd w:val="clear" w:color="auto" w:fill="auto"/>
            <w:vAlign w:val="center"/>
          </w:tcPr>
          <w:p w:rsidR="00C645C9" w:rsidRDefault="00C645C9">
            <w:pPr>
              <w:jc w:val="center"/>
              <w:textAlignment w:val="center"/>
              <w:rPr>
                <w:rFonts w:cs="Times New Roman"/>
                <w:sz w:val="21"/>
                <w:szCs w:val="21"/>
                <w:lang w:bidi="ar"/>
              </w:rPr>
            </w:pPr>
          </w:p>
        </w:tc>
        <w:tc>
          <w:tcPr>
            <w:tcW w:w="654" w:type="dxa"/>
            <w:vMerge/>
            <w:shd w:val="clear" w:color="auto" w:fill="auto"/>
            <w:vAlign w:val="center"/>
          </w:tcPr>
          <w:p w:rsidR="00C645C9" w:rsidRDefault="00C645C9">
            <w:pPr>
              <w:jc w:val="center"/>
              <w:textAlignment w:val="center"/>
              <w:rPr>
                <w:rFonts w:cs="Times New Roman"/>
                <w:sz w:val="21"/>
                <w:szCs w:val="21"/>
                <w:lang w:bidi="ar"/>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自控</w:t>
            </w:r>
            <w:r>
              <w:rPr>
                <w:rFonts w:cs="Times New Roman"/>
                <w:sz w:val="21"/>
                <w:szCs w:val="21"/>
                <w:lang w:bidi="ar"/>
              </w:rPr>
              <w:t>工程</w:t>
            </w:r>
          </w:p>
        </w:tc>
        <w:tc>
          <w:tcPr>
            <w:tcW w:w="4779" w:type="dxa"/>
            <w:shd w:val="clear" w:color="auto" w:fill="auto"/>
            <w:vAlign w:val="center"/>
          </w:tcPr>
          <w:p w:rsidR="00C645C9" w:rsidRDefault="00F955D9">
            <w:pPr>
              <w:textAlignment w:val="center"/>
              <w:rPr>
                <w:rFonts w:cs="Times New Roman"/>
                <w:sz w:val="21"/>
                <w:szCs w:val="21"/>
                <w:lang w:bidi="ar"/>
              </w:rPr>
            </w:pPr>
            <w:bookmarkStart w:id="548" w:name="OLE_LINK740"/>
            <w:r>
              <w:rPr>
                <w:rFonts w:cs="Times New Roman" w:hint="eastAsia"/>
                <w:sz w:val="21"/>
                <w:szCs w:val="21"/>
              </w:rPr>
              <w:t>2</w:t>
            </w:r>
            <w:r>
              <w:rPr>
                <w:rFonts w:cs="Times New Roman" w:hint="eastAsia"/>
                <w:sz w:val="21"/>
                <w:szCs w:val="21"/>
              </w:rPr>
              <w:t>座井场内均</w:t>
            </w:r>
            <w:bookmarkEnd w:id="548"/>
            <w:r>
              <w:rPr>
                <w:rFonts w:cs="Times New Roman"/>
                <w:sz w:val="21"/>
                <w:szCs w:val="21"/>
                <w:lang w:bidi="ar"/>
              </w:rPr>
              <w:t>新建站控系统（</w:t>
            </w:r>
            <w:r>
              <w:rPr>
                <w:rFonts w:cs="Times New Roman"/>
                <w:sz w:val="21"/>
                <w:szCs w:val="21"/>
                <w:lang w:bidi="ar"/>
              </w:rPr>
              <w:t>PLC</w:t>
            </w:r>
            <w:r>
              <w:rPr>
                <w:rFonts w:cs="Times New Roman"/>
                <w:sz w:val="21"/>
                <w:szCs w:val="21"/>
                <w:lang w:bidi="ar"/>
              </w:rPr>
              <w:t>）</w:t>
            </w:r>
            <w:r>
              <w:rPr>
                <w:rFonts w:cs="Times New Roman" w:hint="eastAsia"/>
                <w:sz w:val="21"/>
                <w:szCs w:val="21"/>
                <w:lang w:bidi="ar"/>
              </w:rPr>
              <w:t>1</w:t>
            </w:r>
            <w:r>
              <w:rPr>
                <w:rFonts w:cs="Times New Roman"/>
                <w:sz w:val="21"/>
                <w:szCs w:val="21"/>
                <w:lang w:bidi="ar"/>
              </w:rPr>
              <w:t>套</w:t>
            </w:r>
            <w:r>
              <w:rPr>
                <w:rFonts w:cs="Times New Roman"/>
                <w:sz w:val="21"/>
                <w:szCs w:val="21"/>
                <w:lang w:bidi="ar"/>
              </w:rPr>
              <w:t>。</w:t>
            </w:r>
          </w:p>
        </w:tc>
        <w:tc>
          <w:tcPr>
            <w:tcW w:w="664" w:type="dxa"/>
            <w:shd w:val="clear" w:color="auto" w:fill="auto"/>
            <w:vAlign w:val="center"/>
          </w:tcPr>
          <w:p w:rsidR="00C645C9" w:rsidRDefault="00F955D9">
            <w:pPr>
              <w:textAlignment w:val="center"/>
              <w:rPr>
                <w:rFonts w:cs="Times New Roman"/>
                <w:sz w:val="21"/>
                <w:szCs w:val="21"/>
                <w:lang w:bidi="ar"/>
              </w:rPr>
            </w:pPr>
            <w:r>
              <w:rPr>
                <w:rFonts w:cs="Times New Roman" w:hint="eastAsia"/>
                <w:sz w:val="21"/>
                <w:szCs w:val="21"/>
                <w:lang w:bidi="ar"/>
              </w:rPr>
              <w:t>新建</w:t>
            </w:r>
          </w:p>
        </w:tc>
      </w:tr>
      <w:tr w:rsidR="00C645C9">
        <w:trPr>
          <w:trHeight w:val="222"/>
          <w:jc w:val="center"/>
        </w:trPr>
        <w:tc>
          <w:tcPr>
            <w:tcW w:w="402" w:type="dxa"/>
            <w:vMerge/>
            <w:shd w:val="clear" w:color="auto" w:fill="auto"/>
            <w:vAlign w:val="center"/>
          </w:tcPr>
          <w:p w:rsidR="00C645C9" w:rsidRDefault="00C645C9">
            <w:pPr>
              <w:jc w:val="center"/>
              <w:rPr>
                <w:rFonts w:cs="Times New Roman"/>
                <w:sz w:val="21"/>
                <w:szCs w:val="21"/>
              </w:rPr>
            </w:pPr>
            <w:bookmarkStart w:id="549" w:name="OLE_LINK220" w:colFirst="3" w:colLast="4"/>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通信工程</w:t>
            </w:r>
          </w:p>
        </w:tc>
        <w:tc>
          <w:tcPr>
            <w:tcW w:w="4779" w:type="dxa"/>
            <w:shd w:val="clear" w:color="auto" w:fill="auto"/>
            <w:vAlign w:val="center"/>
          </w:tcPr>
          <w:p w:rsidR="00C645C9" w:rsidRDefault="00F955D9">
            <w:pPr>
              <w:textAlignment w:val="center"/>
              <w:rPr>
                <w:rFonts w:cs="Times New Roman"/>
                <w:sz w:val="21"/>
                <w:szCs w:val="21"/>
              </w:rPr>
            </w:pPr>
            <w:r>
              <w:rPr>
                <w:rFonts w:cs="Times New Roman"/>
                <w:sz w:val="21"/>
                <w:szCs w:val="21"/>
                <w:lang w:bidi="ar"/>
              </w:rPr>
              <w:t>新建工艺装置区设置视频监控，防爆等级不低于</w:t>
            </w:r>
            <w:r>
              <w:rPr>
                <w:rFonts w:cs="Times New Roman"/>
                <w:sz w:val="21"/>
                <w:szCs w:val="21"/>
                <w:lang w:bidi="ar"/>
              </w:rPr>
              <w:t xml:space="preserve">ExdⅡB </w:t>
            </w:r>
            <w:r>
              <w:rPr>
                <w:rFonts w:cs="Times New Roman"/>
                <w:sz w:val="21"/>
                <w:szCs w:val="21"/>
                <w:lang w:bidi="ar"/>
              </w:rPr>
              <w:t>T4</w:t>
            </w:r>
            <w:r>
              <w:rPr>
                <w:rFonts w:cs="Times New Roman"/>
                <w:sz w:val="21"/>
                <w:szCs w:val="21"/>
                <w:lang w:bidi="ar"/>
              </w:rPr>
              <w:t>，视频数据采用光缆接入控制室视频监控系统</w:t>
            </w:r>
            <w:r>
              <w:rPr>
                <w:rFonts w:cs="Times New Roman"/>
                <w:sz w:val="21"/>
                <w:szCs w:val="21"/>
                <w:lang w:bidi="ar"/>
              </w:rPr>
              <w:t>。</w:t>
            </w:r>
          </w:p>
        </w:tc>
        <w:tc>
          <w:tcPr>
            <w:tcW w:w="664" w:type="dxa"/>
            <w:shd w:val="clear" w:color="auto" w:fill="auto"/>
            <w:vAlign w:val="center"/>
          </w:tcPr>
          <w:p w:rsidR="00C645C9" w:rsidRDefault="00F955D9">
            <w:pPr>
              <w:textAlignment w:val="center"/>
              <w:rPr>
                <w:rFonts w:cs="Times New Roman"/>
                <w:sz w:val="21"/>
                <w:szCs w:val="21"/>
              </w:rPr>
            </w:pPr>
            <w:r>
              <w:rPr>
                <w:rFonts w:cs="Times New Roman" w:hint="eastAsia"/>
                <w:sz w:val="21"/>
                <w:szCs w:val="21"/>
                <w:lang w:bidi="ar"/>
              </w:rPr>
              <w:t>新建</w:t>
            </w:r>
          </w:p>
        </w:tc>
      </w:tr>
      <w:bookmarkEnd w:id="549"/>
      <w:tr w:rsidR="00C645C9">
        <w:trPr>
          <w:trHeight w:val="28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lang w:bidi="ar"/>
              </w:rPr>
              <w:t>消防</w:t>
            </w:r>
            <w:r>
              <w:rPr>
                <w:rFonts w:cs="Times New Roman"/>
                <w:sz w:val="21"/>
                <w:szCs w:val="21"/>
                <w:lang w:bidi="ar"/>
              </w:rPr>
              <w:t>工程</w:t>
            </w:r>
          </w:p>
        </w:tc>
        <w:tc>
          <w:tcPr>
            <w:tcW w:w="4779" w:type="dxa"/>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21"/>
                <w:lang w:bidi="ar"/>
              </w:rPr>
              <w:t>新建装置区设置手提式磷酸铵盐干粉灭火器</w:t>
            </w:r>
            <w:r>
              <w:rPr>
                <w:rFonts w:cs="Times New Roman" w:hint="eastAsia"/>
                <w:sz w:val="21"/>
                <w:szCs w:val="21"/>
                <w:lang w:bidi="ar"/>
              </w:rPr>
              <w:t>30</w:t>
            </w:r>
            <w:r>
              <w:rPr>
                <w:rFonts w:cs="Times New Roman" w:hint="eastAsia"/>
                <w:sz w:val="21"/>
                <w:szCs w:val="21"/>
                <w:lang w:bidi="ar"/>
              </w:rPr>
              <w:lastRenderedPageBreak/>
              <w:t>具，推车式磷酸铵盐干粉灭火器</w:t>
            </w:r>
            <w:r>
              <w:rPr>
                <w:rFonts w:cs="Times New Roman" w:hint="eastAsia"/>
                <w:sz w:val="21"/>
                <w:szCs w:val="21"/>
                <w:lang w:bidi="ar"/>
              </w:rPr>
              <w:t>10</w:t>
            </w:r>
            <w:r>
              <w:rPr>
                <w:rFonts w:cs="Times New Roman" w:hint="eastAsia"/>
                <w:sz w:val="21"/>
                <w:szCs w:val="21"/>
                <w:lang w:bidi="ar"/>
              </w:rPr>
              <w:t>具</w:t>
            </w:r>
            <w:r>
              <w:rPr>
                <w:rFonts w:cs="Times New Roman"/>
                <w:sz w:val="21"/>
                <w:szCs w:val="21"/>
                <w:lang w:bidi="ar"/>
              </w:rPr>
              <w:t>。</w:t>
            </w:r>
          </w:p>
        </w:tc>
        <w:tc>
          <w:tcPr>
            <w:tcW w:w="664" w:type="dxa"/>
            <w:shd w:val="clear" w:color="auto" w:fill="auto"/>
            <w:vAlign w:val="center"/>
          </w:tcPr>
          <w:p w:rsidR="00C645C9" w:rsidRDefault="00F955D9">
            <w:pPr>
              <w:jc w:val="both"/>
              <w:textAlignment w:val="center"/>
              <w:rPr>
                <w:rFonts w:cs="Times New Roman"/>
                <w:sz w:val="21"/>
                <w:szCs w:val="21"/>
                <w:lang w:bidi="ar"/>
              </w:rPr>
            </w:pPr>
            <w:r>
              <w:rPr>
                <w:rFonts w:cs="Times New Roman" w:hint="eastAsia"/>
                <w:sz w:val="21"/>
                <w:szCs w:val="21"/>
                <w:lang w:bidi="ar"/>
              </w:rPr>
              <w:lastRenderedPageBreak/>
              <w:t>新建</w:t>
            </w:r>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道路工程</w:t>
            </w:r>
          </w:p>
        </w:tc>
        <w:tc>
          <w:tcPr>
            <w:tcW w:w="4779" w:type="dxa"/>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21"/>
                <w:lang w:bidi="ar"/>
              </w:rPr>
              <w:t>依托本工程附近已建道路。</w:t>
            </w:r>
          </w:p>
        </w:tc>
        <w:tc>
          <w:tcPr>
            <w:tcW w:w="664" w:type="dxa"/>
            <w:shd w:val="clear" w:color="auto" w:fill="auto"/>
            <w:vAlign w:val="center"/>
          </w:tcPr>
          <w:p w:rsidR="00C645C9" w:rsidRDefault="00F955D9">
            <w:pPr>
              <w:jc w:val="both"/>
              <w:textAlignment w:val="center"/>
              <w:rPr>
                <w:rFonts w:cs="Times New Roman"/>
                <w:sz w:val="21"/>
                <w:szCs w:val="21"/>
                <w:lang w:bidi="ar"/>
              </w:rPr>
            </w:pPr>
            <w:r>
              <w:rPr>
                <w:rFonts w:cs="Times New Roman" w:hint="eastAsia"/>
                <w:sz w:val="21"/>
                <w:szCs w:val="21"/>
                <w:lang w:bidi="ar"/>
              </w:rPr>
              <w:t>利旧</w:t>
            </w:r>
          </w:p>
        </w:tc>
      </w:tr>
      <w:tr w:rsidR="00C645C9">
        <w:trPr>
          <w:trHeight w:val="276"/>
          <w:jc w:val="center"/>
        </w:trPr>
        <w:tc>
          <w:tcPr>
            <w:tcW w:w="402" w:type="dxa"/>
            <w:vMerge w:val="restart"/>
            <w:shd w:val="clear" w:color="auto" w:fill="auto"/>
            <w:vAlign w:val="center"/>
          </w:tcPr>
          <w:p w:rsidR="00C645C9" w:rsidRDefault="00F955D9">
            <w:pPr>
              <w:jc w:val="center"/>
              <w:rPr>
                <w:rFonts w:cs="Times New Roman"/>
                <w:sz w:val="21"/>
                <w:szCs w:val="21"/>
              </w:rPr>
            </w:pPr>
            <w:r>
              <w:rPr>
                <w:rFonts w:cs="Times New Roman" w:hint="eastAsia"/>
                <w:sz w:val="21"/>
                <w:szCs w:val="21"/>
              </w:rPr>
              <w:t>4</w:t>
            </w:r>
          </w:p>
        </w:tc>
        <w:tc>
          <w:tcPr>
            <w:tcW w:w="654" w:type="dxa"/>
            <w:vMerge w:val="restart"/>
            <w:shd w:val="clear" w:color="auto" w:fill="auto"/>
            <w:vAlign w:val="center"/>
          </w:tcPr>
          <w:p w:rsidR="00C645C9" w:rsidRDefault="00F955D9">
            <w:pPr>
              <w:jc w:val="center"/>
              <w:rPr>
                <w:rFonts w:cs="Times New Roman"/>
                <w:sz w:val="21"/>
                <w:szCs w:val="21"/>
              </w:rPr>
            </w:pPr>
            <w:r>
              <w:rPr>
                <w:rFonts w:cs="Times New Roman"/>
                <w:sz w:val="21"/>
                <w:szCs w:val="21"/>
              </w:rPr>
              <w:t>环保工程</w:t>
            </w: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废气</w:t>
            </w:r>
          </w:p>
        </w:tc>
        <w:tc>
          <w:tcPr>
            <w:tcW w:w="4779" w:type="dxa"/>
            <w:shd w:val="clear" w:color="auto" w:fill="auto"/>
            <w:vAlign w:val="center"/>
          </w:tcPr>
          <w:p w:rsidR="00C645C9" w:rsidRDefault="00F955D9">
            <w:pPr>
              <w:pStyle w:val="afb"/>
              <w:jc w:val="both"/>
            </w:pPr>
            <w:r>
              <w:t>施工期：</w:t>
            </w:r>
            <w:r>
              <w:rPr>
                <w:rFonts w:hint="eastAsia"/>
              </w:rPr>
              <w:t>施工扬尘采取洒水抑尘措施，焊接使用无毒低尘焊条，运输车辆定期检修，燃用合格油品。</w:t>
            </w:r>
          </w:p>
          <w:p w:rsidR="00C645C9" w:rsidRDefault="00F955D9">
            <w:pPr>
              <w:pStyle w:val="afb"/>
              <w:jc w:val="both"/>
            </w:pPr>
            <w:r>
              <w:t>运营期：加热炉使用净化后的天然气作燃料，烟气通过排气筒排放</w:t>
            </w:r>
            <w:r>
              <w:rPr>
                <w:rFonts w:hint="eastAsia"/>
              </w:rPr>
              <w:t>。</w:t>
            </w:r>
            <w:r>
              <w:rPr>
                <w:bCs/>
                <w:szCs w:val="21"/>
              </w:rPr>
              <w:t>天然气采用密闭流程</w:t>
            </w:r>
            <w:r>
              <w:rPr>
                <w:rFonts w:hint="eastAsia"/>
              </w:rPr>
              <w:t>，</w:t>
            </w:r>
            <w:bookmarkStart w:id="550" w:name="OLE_LINK236"/>
            <w:r>
              <w:rPr>
                <w:rFonts w:hint="eastAsia"/>
                <w:bCs/>
              </w:rPr>
              <w:t>凝析油</w:t>
            </w:r>
            <w:bookmarkEnd w:id="550"/>
            <w:r>
              <w:rPr>
                <w:bCs/>
              </w:rPr>
              <w:t>采用装车拉运，</w:t>
            </w:r>
            <w:r>
              <w:rPr>
                <w:rFonts w:hint="eastAsia"/>
                <w:bCs/>
              </w:rPr>
              <w:t>凝析油</w:t>
            </w:r>
            <w:r>
              <w:t>装车时的</w:t>
            </w:r>
            <w:r>
              <w:t>VOCs</w:t>
            </w:r>
            <w:r>
              <w:t>通过密闭装车鹤管返回加热炉炉膛伴烧</w:t>
            </w:r>
            <w:r>
              <w:rPr>
                <w:rFonts w:hint="eastAsia"/>
              </w:rPr>
              <w:t>，事故状态下</w:t>
            </w:r>
            <w:r>
              <w:t>去往</w:t>
            </w:r>
            <w:r>
              <w:rPr>
                <w:rFonts w:hint="eastAsia"/>
              </w:rPr>
              <w:t>井场</w:t>
            </w:r>
            <w:r>
              <w:t>火炬放空燃烧处理。</w:t>
            </w:r>
            <w:r>
              <w:rPr>
                <w:bCs/>
              </w:rPr>
              <w:t>可减少烃类气体排放，减少对大气的污染。</w:t>
            </w:r>
          </w:p>
          <w:p w:rsidR="00C645C9" w:rsidRDefault="00F955D9">
            <w:pPr>
              <w:pStyle w:val="afb"/>
              <w:jc w:val="both"/>
              <w:rPr>
                <w:szCs w:val="21"/>
                <w:lang w:bidi="ar"/>
              </w:rPr>
            </w:pPr>
            <w:r>
              <w:t>退役期：废气主要为施工扬尘，采取洒水抑尘的措施</w:t>
            </w:r>
            <w:r>
              <w:rPr>
                <w:rFonts w:hint="eastAsia"/>
              </w:rPr>
              <w:t>。</w:t>
            </w:r>
          </w:p>
        </w:tc>
        <w:tc>
          <w:tcPr>
            <w:tcW w:w="664" w:type="dxa"/>
            <w:shd w:val="clear" w:color="auto" w:fill="auto"/>
            <w:vAlign w:val="center"/>
          </w:tcPr>
          <w:p w:rsidR="00C645C9" w:rsidRDefault="00F955D9">
            <w:pPr>
              <w:pStyle w:val="afb"/>
            </w:pPr>
            <w:bookmarkStart w:id="551" w:name="OLE_LINK216"/>
            <w:r>
              <w:rPr>
                <w:rFonts w:hint="eastAsia"/>
              </w:rPr>
              <w:t>-</w:t>
            </w:r>
            <w:bookmarkEnd w:id="551"/>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废水</w:t>
            </w:r>
          </w:p>
        </w:tc>
        <w:tc>
          <w:tcPr>
            <w:tcW w:w="4779" w:type="dxa"/>
            <w:shd w:val="clear" w:color="auto" w:fill="auto"/>
            <w:vAlign w:val="center"/>
          </w:tcPr>
          <w:p w:rsidR="00C645C9" w:rsidRDefault="00F955D9">
            <w:pPr>
              <w:pStyle w:val="afb"/>
              <w:jc w:val="both"/>
            </w:pPr>
            <w:r>
              <w:t>施工期：</w:t>
            </w:r>
            <w:r>
              <w:t>钻井废水连同钻井泥浆、岩屑一同进入泥浆不落地处理系统处理，处理后的废水全部回用，不外排</w:t>
            </w:r>
            <w:r>
              <w:rPr>
                <w:rFonts w:hint="eastAsia"/>
              </w:rPr>
              <w:t>。试油采出水采用储液罐内收集运至塔河油田绿色环保工作站处理。酸化压裂废水采用专用废液收集罐收集后运至塔河油田绿色环保工作站处理。</w:t>
            </w:r>
            <w:r>
              <w:t>管线试压废水属于清净废水，试压完成后用于区域降尘</w:t>
            </w:r>
            <w:r>
              <w:rPr>
                <w:rFonts w:hint="eastAsia"/>
              </w:rPr>
              <w:t>。</w:t>
            </w:r>
            <w:bookmarkStart w:id="552" w:name="OLE_LINK274"/>
            <w:r>
              <w:t>生活污水</w:t>
            </w:r>
            <w:r>
              <w:rPr>
                <w:rFonts w:hint="eastAsia"/>
              </w:rPr>
              <w:t>经井场一体化污水处理装置处理后，水质达到《农村生活污水处理排放标准》（</w:t>
            </w:r>
            <w:r>
              <w:rPr>
                <w:rFonts w:hint="eastAsia"/>
              </w:rPr>
              <w:t xml:space="preserve">DB65 </w:t>
            </w:r>
            <w:r>
              <w:rPr>
                <w:rFonts w:hint="eastAsia"/>
              </w:rPr>
              <w:t>4275-2019</w:t>
            </w:r>
            <w:r>
              <w:rPr>
                <w:rFonts w:hint="eastAsia"/>
              </w:rPr>
              <w:t>）表二的</w:t>
            </w:r>
            <w:r>
              <w:rPr>
                <w:rFonts w:hint="eastAsia"/>
              </w:rPr>
              <w:t>B</w:t>
            </w:r>
            <w:r>
              <w:rPr>
                <w:rFonts w:hint="eastAsia"/>
              </w:rPr>
              <w:t>级标准、《农田灌溉水质标准》（</w:t>
            </w:r>
            <w:r>
              <w:rPr>
                <w:rFonts w:hint="eastAsia"/>
              </w:rPr>
              <w:t>GB 5084-2021</w:t>
            </w:r>
            <w:r>
              <w:rPr>
                <w:rFonts w:hint="eastAsia"/>
              </w:rPr>
              <w:t>）表一旱地作物标准后用于井场及道路降尘</w:t>
            </w:r>
            <w:bookmarkEnd w:id="552"/>
            <w:r>
              <w:rPr>
                <w:rFonts w:hint="eastAsia"/>
              </w:rPr>
              <w:t>。</w:t>
            </w:r>
          </w:p>
          <w:p w:rsidR="00C645C9" w:rsidRDefault="00F955D9">
            <w:pPr>
              <w:pStyle w:val="afb"/>
              <w:jc w:val="both"/>
            </w:pPr>
            <w:bookmarkStart w:id="553" w:name="OLE_LINK217"/>
            <w:r>
              <w:t>运营期</w:t>
            </w:r>
            <w:bookmarkEnd w:id="553"/>
            <w:r>
              <w:t>：废水包括</w:t>
            </w:r>
            <w:bookmarkStart w:id="554" w:name="OLE_LINK89"/>
            <w:r>
              <w:rPr>
                <w:rFonts w:hint="eastAsia"/>
              </w:rPr>
              <w:t>生产废</w:t>
            </w:r>
            <w:r>
              <w:t>水、</w:t>
            </w:r>
            <w:bookmarkEnd w:id="554"/>
            <w:r>
              <w:rPr>
                <w:rFonts w:hint="eastAsia"/>
              </w:rPr>
              <w:t>井下作业废水、</w:t>
            </w:r>
            <w:r>
              <w:t>生活污水。</w:t>
            </w:r>
            <w:r>
              <w:rPr>
                <w:rFonts w:hint="eastAsia"/>
              </w:rPr>
              <w:t>生产废</w:t>
            </w:r>
            <w:r>
              <w:t>水、</w:t>
            </w:r>
            <w:r>
              <w:rPr>
                <w:rFonts w:hint="eastAsia"/>
              </w:rPr>
              <w:t>井下作业废水</w:t>
            </w:r>
            <w:r>
              <w:t>经专用</w:t>
            </w:r>
            <w:r>
              <w:rPr>
                <w:rFonts w:hint="eastAsia"/>
              </w:rPr>
              <w:t>储液罐</w:t>
            </w:r>
            <w:r>
              <w:rPr>
                <w:kern w:val="24"/>
              </w:rPr>
              <w:t>收集后</w:t>
            </w:r>
            <w:r>
              <w:rPr>
                <w:rFonts w:hint="eastAsia"/>
              </w:rPr>
              <w:t>拉运至塔河油田绿色环保工作站处理</w:t>
            </w:r>
            <w:r>
              <w:rPr>
                <w:rFonts w:hint="eastAsia"/>
              </w:rPr>
              <w:t>。</w:t>
            </w:r>
            <w:r>
              <w:t>运营期</w:t>
            </w:r>
            <w:r>
              <w:rPr>
                <w:rFonts w:hint="eastAsia"/>
              </w:rPr>
              <w:t>无新增</w:t>
            </w:r>
            <w:r>
              <w:t>生活污水</w:t>
            </w:r>
            <w:r>
              <w:rPr>
                <w:rFonts w:hint="eastAsia"/>
              </w:rPr>
              <w:t>。</w:t>
            </w:r>
          </w:p>
          <w:p w:rsidR="00C645C9" w:rsidRDefault="00F955D9">
            <w:pPr>
              <w:pStyle w:val="afb"/>
              <w:jc w:val="both"/>
              <w:rPr>
                <w:szCs w:val="21"/>
                <w:lang w:bidi="ar"/>
              </w:rPr>
            </w:pPr>
            <w:r>
              <w:t>退役期：无废水产生。</w:t>
            </w:r>
          </w:p>
        </w:tc>
        <w:tc>
          <w:tcPr>
            <w:tcW w:w="664" w:type="dxa"/>
            <w:shd w:val="clear" w:color="auto" w:fill="auto"/>
            <w:vAlign w:val="center"/>
          </w:tcPr>
          <w:p w:rsidR="00C645C9" w:rsidRDefault="00F955D9">
            <w:pPr>
              <w:jc w:val="center"/>
            </w:pPr>
            <w:r>
              <w:rPr>
                <w:rFonts w:hint="eastAsia"/>
              </w:rPr>
              <w:t>-</w:t>
            </w:r>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噪声</w:t>
            </w:r>
          </w:p>
        </w:tc>
        <w:tc>
          <w:tcPr>
            <w:tcW w:w="4779" w:type="dxa"/>
            <w:shd w:val="clear" w:color="auto" w:fill="auto"/>
            <w:vAlign w:val="center"/>
          </w:tcPr>
          <w:p w:rsidR="00C645C9" w:rsidRDefault="00F955D9">
            <w:pPr>
              <w:pStyle w:val="afb"/>
              <w:jc w:val="both"/>
            </w:pPr>
            <w:r>
              <w:t>施工期：选用低噪声施工设备，合理安排作业时间</w:t>
            </w:r>
            <w:r>
              <w:rPr>
                <w:rFonts w:hint="eastAsia"/>
              </w:rPr>
              <w:t>。</w:t>
            </w:r>
          </w:p>
          <w:p w:rsidR="00C645C9" w:rsidRDefault="00F955D9">
            <w:pPr>
              <w:pStyle w:val="afb"/>
              <w:jc w:val="both"/>
            </w:pPr>
            <w:r>
              <w:t>运营期：选用低噪声设备、基础减振</w:t>
            </w:r>
            <w:r>
              <w:rPr>
                <w:rFonts w:hint="eastAsia"/>
              </w:rPr>
              <w:t>。</w:t>
            </w:r>
          </w:p>
          <w:p w:rsidR="00C645C9" w:rsidRDefault="00F955D9">
            <w:pPr>
              <w:pStyle w:val="afb"/>
              <w:jc w:val="both"/>
              <w:rPr>
                <w:szCs w:val="21"/>
                <w:lang w:bidi="ar"/>
              </w:rPr>
            </w:pPr>
            <w:r>
              <w:t>退役期：合理安排作业时间</w:t>
            </w:r>
            <w:r>
              <w:rPr>
                <w:rFonts w:hint="eastAsia"/>
              </w:rPr>
              <w:t>。</w:t>
            </w:r>
          </w:p>
        </w:tc>
        <w:tc>
          <w:tcPr>
            <w:tcW w:w="664" w:type="dxa"/>
            <w:shd w:val="clear" w:color="auto" w:fill="auto"/>
            <w:vAlign w:val="center"/>
          </w:tcPr>
          <w:p w:rsidR="00C645C9" w:rsidRDefault="00F955D9">
            <w:pPr>
              <w:jc w:val="center"/>
            </w:pPr>
            <w:r>
              <w:rPr>
                <w:rFonts w:hint="eastAsia"/>
              </w:rPr>
              <w:t>-</w:t>
            </w:r>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固废</w:t>
            </w:r>
          </w:p>
        </w:tc>
        <w:tc>
          <w:tcPr>
            <w:tcW w:w="4779" w:type="dxa"/>
            <w:shd w:val="clear" w:color="auto" w:fill="auto"/>
            <w:vAlign w:val="center"/>
          </w:tcPr>
          <w:p w:rsidR="00C645C9" w:rsidRDefault="00F955D9">
            <w:pPr>
              <w:pStyle w:val="afb"/>
              <w:jc w:val="both"/>
            </w:pPr>
            <w:r>
              <w:t>施工期：</w:t>
            </w:r>
            <w:r>
              <w:rPr>
                <w:rFonts w:hint="eastAsia"/>
              </w:rPr>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hint="eastAsia"/>
              </w:rPr>
              <w:t>DB65/T 3997-2017</w:t>
            </w:r>
            <w:r>
              <w:rPr>
                <w:rFonts w:hint="eastAsia"/>
              </w:rPr>
              <w:t>）中综合利用污染物限值要求，同时石油烃满足《土壤环境质量</w:t>
            </w:r>
            <w:r>
              <w:rPr>
                <w:rFonts w:hint="eastAsia"/>
              </w:rPr>
              <w:t xml:space="preserve"> </w:t>
            </w:r>
            <w:r>
              <w:rPr>
                <w:rFonts w:hint="eastAsia"/>
              </w:rPr>
              <w:t>建设用地土壤污染风险管控标准（试行）》（</w:t>
            </w:r>
            <w:r>
              <w:rPr>
                <w:rFonts w:hint="eastAsia"/>
              </w:rPr>
              <w:t>GB36600-2018</w:t>
            </w:r>
            <w:r>
              <w:rPr>
                <w:rFonts w:hint="eastAsia"/>
              </w:rPr>
              <w:t>）中表</w:t>
            </w:r>
            <w:r>
              <w:rPr>
                <w:rFonts w:hint="eastAsia"/>
              </w:rPr>
              <w:t>2</w:t>
            </w:r>
            <w:r>
              <w:rPr>
                <w:rFonts w:hint="eastAsia"/>
              </w:rPr>
              <w:t>第二类用地风险筛选值后，可用于铺垫油区内的井场等；磺化水基泥浆在现场进行固液分离，分离后的液体回用于钻井液配备，固相拉运至塔河油田绿色环保工作站的含油污泥处理</w:t>
            </w:r>
            <w:r>
              <w:rPr>
                <w:rFonts w:hint="eastAsia"/>
              </w:rPr>
              <w:t>系统处置。油基泥浆采用油基泥浆不落地系统在井场进行固液分离，液相回用于钻井，固相使用专用罐收集后，拉运至塔河油田绿色环保工作站的含油污泥处理系统处置</w:t>
            </w:r>
            <w:r>
              <w:rPr>
                <w:rFonts w:hint="eastAsia"/>
              </w:rPr>
              <w:t>。</w:t>
            </w:r>
            <w:r>
              <w:t>施工期固废主要为施工土方、施工废料和生活垃圾。施工土方全部用于井场平整</w:t>
            </w:r>
            <w:r>
              <w:rPr>
                <w:bCs/>
                <w:szCs w:val="21"/>
              </w:rPr>
              <w:t>或回填至周边低洼场地</w:t>
            </w:r>
            <w:r>
              <w:rPr>
                <w:rFonts w:hint="eastAsia"/>
              </w:rPr>
              <w:t>。</w:t>
            </w:r>
            <w:bookmarkStart w:id="555" w:name="OLE_LINK645"/>
            <w:r>
              <w:rPr>
                <w:rFonts w:hint="eastAsia"/>
              </w:rPr>
              <w:t>施工废料应首先考虑回收利用，不可回收利用部分由库车绿能环</w:t>
            </w:r>
            <w:r>
              <w:rPr>
                <w:rFonts w:hint="eastAsia"/>
              </w:rPr>
              <w:lastRenderedPageBreak/>
              <w:t>保科技有限公司拉运至库车经济开发区工业固废填埋场合规处置</w:t>
            </w:r>
            <w:r>
              <w:rPr>
                <w:rFonts w:hint="eastAsia"/>
              </w:rPr>
              <w:t>。</w:t>
            </w:r>
            <w:bookmarkStart w:id="556" w:name="OLE_LINK742"/>
            <w:r>
              <w:rPr>
                <w:rFonts w:hint="eastAsia"/>
              </w:rPr>
              <w:t>生活垃圾集中收集后，委托库车绿能环保科技有限公司清运处置</w:t>
            </w:r>
            <w:bookmarkEnd w:id="556"/>
            <w:r>
              <w:t>。</w:t>
            </w:r>
            <w:bookmarkEnd w:id="555"/>
          </w:p>
          <w:p w:rsidR="00C645C9" w:rsidRDefault="00F955D9">
            <w:pPr>
              <w:pStyle w:val="afb"/>
              <w:jc w:val="both"/>
            </w:pPr>
            <w:r>
              <w:t>运营期：废防渗材料</w:t>
            </w:r>
            <w:r>
              <w:rPr>
                <w:rFonts w:hint="eastAsia"/>
              </w:rPr>
              <w:t>、清罐底泥等</w:t>
            </w:r>
            <w:r>
              <w:t>属于危险废物，</w:t>
            </w:r>
            <w:r>
              <w:rPr>
                <w:rFonts w:hint="eastAsia"/>
              </w:rPr>
              <w:t>委托</w:t>
            </w:r>
            <w:r>
              <w:rPr>
                <w:rFonts w:hint="eastAsia"/>
              </w:rPr>
              <w:t>持有危险废物经营许可证的单位利用处置</w:t>
            </w:r>
            <w:r>
              <w:rPr>
                <w:rFonts w:hint="eastAsia"/>
              </w:rPr>
              <w:t>。</w:t>
            </w:r>
            <w:r>
              <w:rPr>
                <w:rFonts w:hint="eastAsia"/>
              </w:rPr>
              <w:t>落地油要求</w:t>
            </w:r>
            <w:r>
              <w:rPr>
                <w:rFonts w:hint="eastAsia"/>
              </w:rPr>
              <w:t>100%</w:t>
            </w:r>
            <w:r>
              <w:rPr>
                <w:rFonts w:hint="eastAsia"/>
              </w:rPr>
              <w:t>回收，不在施工站场储存，直接在作业施工现场由施工人员</w:t>
            </w:r>
            <w:bookmarkStart w:id="557" w:name="OLE_LINK223"/>
            <w:r>
              <w:rPr>
                <w:rFonts w:hint="eastAsia"/>
              </w:rPr>
              <w:t>回收至罐车内，罐车采用密闭的专用罐车，统一由塔河油田绿色环保工作站进行无害化处理</w:t>
            </w:r>
            <w:bookmarkEnd w:id="557"/>
            <w:r>
              <w:rPr>
                <w:rFonts w:hint="eastAsia"/>
              </w:rPr>
              <w:t>。</w:t>
            </w:r>
          </w:p>
          <w:p w:rsidR="00C645C9" w:rsidRDefault="00F955D9">
            <w:pPr>
              <w:pStyle w:val="afb"/>
              <w:jc w:val="both"/>
              <w:rPr>
                <w:szCs w:val="21"/>
                <w:lang w:bidi="ar"/>
              </w:rPr>
            </w:pPr>
            <w:r>
              <w:t>退役期：退役期设备拆除过程中产生的落地油</w:t>
            </w:r>
            <w:r>
              <w:rPr>
                <w:rFonts w:hint="eastAsia"/>
              </w:rPr>
              <w:t>回收至罐车内，罐车采用密闭的专用罐车，统一由塔河油田绿色环保工作站进行无害化处理</w:t>
            </w:r>
            <w:r>
              <w:rPr>
                <w:rFonts w:hint="eastAsia"/>
              </w:rPr>
              <w:t>。</w:t>
            </w:r>
          </w:p>
        </w:tc>
        <w:tc>
          <w:tcPr>
            <w:tcW w:w="664" w:type="dxa"/>
            <w:shd w:val="clear" w:color="auto" w:fill="auto"/>
            <w:vAlign w:val="center"/>
          </w:tcPr>
          <w:p w:rsidR="00C645C9" w:rsidRDefault="00F955D9">
            <w:pPr>
              <w:jc w:val="center"/>
            </w:pPr>
            <w:r>
              <w:rPr>
                <w:rFonts w:hint="eastAsia"/>
              </w:rPr>
              <w:lastRenderedPageBreak/>
              <w:t>-</w:t>
            </w:r>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pStyle w:val="afb"/>
              <w:rPr>
                <w:szCs w:val="21"/>
                <w:lang w:bidi="ar"/>
              </w:rPr>
            </w:pPr>
            <w:r>
              <w:t>生态</w:t>
            </w:r>
          </w:p>
        </w:tc>
        <w:tc>
          <w:tcPr>
            <w:tcW w:w="4779" w:type="dxa"/>
            <w:shd w:val="clear" w:color="auto" w:fill="auto"/>
            <w:vAlign w:val="center"/>
          </w:tcPr>
          <w:p w:rsidR="00C645C9" w:rsidRDefault="00F955D9">
            <w:pPr>
              <w:pStyle w:val="afb"/>
              <w:jc w:val="both"/>
            </w:pPr>
            <w:r>
              <w:t>施工期：严格控制施工作业带宽度</w:t>
            </w:r>
            <w:r>
              <w:rPr>
                <w:rFonts w:hint="eastAsia"/>
              </w:rPr>
              <w:t>、</w:t>
            </w:r>
            <w:r>
              <w:t>临时堆土防尘网苫盖设置限行彩条旗</w:t>
            </w:r>
            <w:r>
              <w:rPr>
                <w:rFonts w:hint="eastAsia"/>
              </w:rPr>
              <w:t>。</w:t>
            </w:r>
          </w:p>
          <w:p w:rsidR="00C645C9" w:rsidRDefault="00F955D9">
            <w:pPr>
              <w:pStyle w:val="afb"/>
              <w:jc w:val="both"/>
            </w:pPr>
            <w:r>
              <w:t>运营期：定时巡查井场</w:t>
            </w:r>
            <w:r>
              <w:rPr>
                <w:rFonts w:hint="eastAsia"/>
              </w:rPr>
              <w:t>。</w:t>
            </w:r>
          </w:p>
          <w:p w:rsidR="00C645C9" w:rsidRDefault="00F955D9">
            <w:pPr>
              <w:pStyle w:val="afb"/>
              <w:jc w:val="both"/>
            </w:pPr>
            <w:r>
              <w:t>退役期：地面设施拆除</w:t>
            </w:r>
            <w:r>
              <w:rPr>
                <w:rFonts w:hint="eastAsia"/>
              </w:rPr>
              <w:t>、</w:t>
            </w:r>
            <w:r>
              <w:rPr>
                <w:bCs/>
                <w:szCs w:val="21"/>
                <w:lang w:bidi="ar"/>
              </w:rPr>
              <w:t>封井和井场清理等工作</w:t>
            </w:r>
            <w:r>
              <w:rPr>
                <w:rFonts w:hint="eastAsia"/>
                <w:bCs/>
                <w:szCs w:val="21"/>
                <w:lang w:bidi="ar"/>
              </w:rPr>
              <w:t>。</w:t>
            </w:r>
          </w:p>
        </w:tc>
        <w:tc>
          <w:tcPr>
            <w:tcW w:w="664" w:type="dxa"/>
            <w:shd w:val="clear" w:color="auto" w:fill="auto"/>
            <w:vAlign w:val="center"/>
          </w:tcPr>
          <w:p w:rsidR="00C645C9" w:rsidRDefault="00F955D9">
            <w:pPr>
              <w:jc w:val="center"/>
            </w:pPr>
            <w:r>
              <w:rPr>
                <w:rFonts w:hint="eastAsia"/>
              </w:rPr>
              <w:t>-</w:t>
            </w:r>
          </w:p>
        </w:tc>
      </w:tr>
      <w:tr w:rsidR="00C645C9">
        <w:trPr>
          <w:trHeight w:val="276"/>
          <w:jc w:val="center"/>
        </w:trPr>
        <w:tc>
          <w:tcPr>
            <w:tcW w:w="402" w:type="dxa"/>
            <w:vMerge/>
            <w:shd w:val="clear" w:color="auto" w:fill="auto"/>
            <w:vAlign w:val="center"/>
          </w:tcPr>
          <w:p w:rsidR="00C645C9" w:rsidRDefault="00C645C9">
            <w:pPr>
              <w:jc w:val="center"/>
              <w:rPr>
                <w:rFonts w:cs="Times New Roman"/>
                <w:sz w:val="21"/>
                <w:szCs w:val="21"/>
              </w:rPr>
            </w:pPr>
          </w:p>
        </w:tc>
        <w:tc>
          <w:tcPr>
            <w:tcW w:w="654" w:type="dxa"/>
            <w:vMerge/>
            <w:shd w:val="clear" w:color="auto" w:fill="auto"/>
            <w:vAlign w:val="center"/>
          </w:tcPr>
          <w:p w:rsidR="00C645C9" w:rsidRDefault="00C645C9">
            <w:pPr>
              <w:jc w:val="center"/>
              <w:rPr>
                <w:rFonts w:cs="Times New Roman"/>
                <w:sz w:val="21"/>
                <w:szCs w:val="21"/>
              </w:rPr>
            </w:pPr>
          </w:p>
        </w:tc>
        <w:tc>
          <w:tcPr>
            <w:tcW w:w="2233" w:type="dxa"/>
            <w:gridSpan w:val="2"/>
            <w:shd w:val="clear" w:color="auto" w:fill="auto"/>
            <w:vAlign w:val="center"/>
          </w:tcPr>
          <w:p w:rsidR="00C645C9" w:rsidRDefault="00F955D9">
            <w:pPr>
              <w:pStyle w:val="afb"/>
              <w:rPr>
                <w:szCs w:val="21"/>
                <w:lang w:bidi="ar"/>
              </w:rPr>
            </w:pPr>
            <w:r>
              <w:t>环境风险</w:t>
            </w:r>
          </w:p>
        </w:tc>
        <w:tc>
          <w:tcPr>
            <w:tcW w:w="4779" w:type="dxa"/>
            <w:shd w:val="clear" w:color="auto" w:fill="auto"/>
            <w:vAlign w:val="center"/>
          </w:tcPr>
          <w:p w:rsidR="00C645C9" w:rsidRDefault="00F955D9">
            <w:pPr>
              <w:pStyle w:val="afb"/>
              <w:jc w:val="both"/>
            </w:pPr>
            <w:r>
              <w:t>井场</w:t>
            </w:r>
            <w:r>
              <w:rPr>
                <w:bCs/>
                <w:szCs w:val="21"/>
              </w:rPr>
              <w:t>设置可燃气体报警仪和硫化氢检测仪</w:t>
            </w:r>
            <w:r>
              <w:rPr>
                <w:rFonts w:hint="eastAsia"/>
              </w:rPr>
              <w:t>，事故状态下及时放空</w:t>
            </w:r>
            <w:r>
              <w:t>。</w:t>
            </w:r>
          </w:p>
        </w:tc>
        <w:tc>
          <w:tcPr>
            <w:tcW w:w="664" w:type="dxa"/>
            <w:shd w:val="clear" w:color="auto" w:fill="auto"/>
            <w:vAlign w:val="center"/>
          </w:tcPr>
          <w:p w:rsidR="00C645C9" w:rsidRDefault="00F955D9">
            <w:pPr>
              <w:jc w:val="center"/>
            </w:pPr>
            <w:r>
              <w:rPr>
                <w:rFonts w:hint="eastAsia"/>
              </w:rPr>
              <w:t>-</w:t>
            </w:r>
          </w:p>
        </w:tc>
      </w:tr>
      <w:tr w:rsidR="00C645C9">
        <w:trPr>
          <w:trHeight w:val="186"/>
          <w:jc w:val="center"/>
        </w:trPr>
        <w:tc>
          <w:tcPr>
            <w:tcW w:w="402" w:type="dxa"/>
            <w:vMerge w:val="restart"/>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4</w:t>
            </w:r>
          </w:p>
        </w:tc>
        <w:tc>
          <w:tcPr>
            <w:tcW w:w="654" w:type="dxa"/>
            <w:vMerge w:val="restart"/>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依托</w:t>
            </w:r>
            <w:r>
              <w:rPr>
                <w:rFonts w:cs="Times New Roman"/>
                <w:sz w:val="21"/>
                <w:szCs w:val="21"/>
                <w:lang w:bidi="ar"/>
              </w:rPr>
              <w:t xml:space="preserve"> </w:t>
            </w:r>
            <w:r>
              <w:rPr>
                <w:rFonts w:cs="Times New Roman"/>
                <w:sz w:val="21"/>
                <w:szCs w:val="21"/>
                <w:lang w:bidi="ar"/>
              </w:rPr>
              <w:t>工程</w:t>
            </w:r>
          </w:p>
        </w:tc>
        <w:tc>
          <w:tcPr>
            <w:tcW w:w="1069" w:type="dxa"/>
            <w:shd w:val="clear" w:color="auto" w:fill="auto"/>
            <w:vAlign w:val="center"/>
          </w:tcPr>
          <w:p w:rsidR="00C645C9" w:rsidRDefault="00F955D9">
            <w:pPr>
              <w:jc w:val="center"/>
              <w:textAlignment w:val="center"/>
              <w:rPr>
                <w:rFonts w:cs="Times New Roman"/>
                <w:sz w:val="21"/>
                <w:szCs w:val="21"/>
                <w:lang w:bidi="ar"/>
              </w:rPr>
            </w:pPr>
            <w:bookmarkStart w:id="558" w:name="OLE_LINK448"/>
            <w:r>
              <w:rPr>
                <w:rFonts w:cs="Times New Roman" w:hint="eastAsia"/>
                <w:sz w:val="21"/>
                <w:szCs w:val="21"/>
                <w:lang w:bidi="ar"/>
              </w:rPr>
              <w:t>钻井泥浆、岩屑、落地油、试油期采出水、钻井废水、酸化压裂废水、</w:t>
            </w:r>
            <w:bookmarkStart w:id="559" w:name="OLE_LINK1082"/>
            <w:r>
              <w:rPr>
                <w:rFonts w:cs="Times New Roman" w:hint="eastAsia"/>
                <w:sz w:val="21"/>
                <w:szCs w:val="21"/>
                <w:lang w:bidi="ar"/>
              </w:rPr>
              <w:t>生产废水</w:t>
            </w:r>
            <w:bookmarkStart w:id="560" w:name="OLE_LINK451"/>
            <w:bookmarkEnd w:id="559"/>
            <w:r>
              <w:rPr>
                <w:rFonts w:cs="Times New Roman" w:hint="eastAsia"/>
                <w:sz w:val="21"/>
                <w:szCs w:val="21"/>
                <w:lang w:bidi="ar"/>
              </w:rPr>
              <w:t>、井下作业废水</w:t>
            </w:r>
            <w:bookmarkEnd w:id="558"/>
            <w:bookmarkEnd w:id="560"/>
            <w:r>
              <w:rPr>
                <w:rFonts w:cs="Times New Roman" w:hint="eastAsia"/>
                <w:sz w:val="21"/>
                <w:szCs w:val="21"/>
                <w:lang w:bidi="ar"/>
              </w:rPr>
              <w:t>、</w:t>
            </w:r>
          </w:p>
        </w:tc>
        <w:tc>
          <w:tcPr>
            <w:tcW w:w="1164" w:type="dxa"/>
            <w:shd w:val="clear" w:color="auto" w:fill="auto"/>
            <w:vAlign w:val="center"/>
          </w:tcPr>
          <w:p w:rsidR="00C645C9" w:rsidRDefault="00F955D9">
            <w:pPr>
              <w:jc w:val="center"/>
              <w:textAlignment w:val="center"/>
              <w:rPr>
                <w:rFonts w:cs="Times New Roman"/>
                <w:sz w:val="21"/>
              </w:rPr>
            </w:pPr>
            <w:r>
              <w:rPr>
                <w:rFonts w:cs="Times New Roman"/>
                <w:sz w:val="21"/>
                <w:szCs w:val="18"/>
              </w:rPr>
              <w:t>西北油田分公司油田工程服务中心绿色环保工作站（塔河油田</w:t>
            </w:r>
            <w:bookmarkStart w:id="561" w:name="OLE_LINK741"/>
            <w:r>
              <w:rPr>
                <w:rFonts w:cs="Times New Roman"/>
                <w:sz w:val="21"/>
                <w:szCs w:val="18"/>
              </w:rPr>
              <w:t>绿色环保</w:t>
            </w:r>
            <w:r>
              <w:rPr>
                <w:rFonts w:cs="Times New Roman" w:hint="eastAsia"/>
                <w:sz w:val="21"/>
                <w:szCs w:val="18"/>
              </w:rPr>
              <w:t>工作</w:t>
            </w:r>
            <w:r>
              <w:rPr>
                <w:rFonts w:cs="Times New Roman"/>
                <w:sz w:val="21"/>
                <w:szCs w:val="18"/>
              </w:rPr>
              <w:t>站</w:t>
            </w:r>
            <w:bookmarkEnd w:id="561"/>
            <w:r>
              <w:rPr>
                <w:rFonts w:cs="Times New Roman"/>
                <w:sz w:val="21"/>
                <w:szCs w:val="18"/>
              </w:rPr>
              <w:t>）</w:t>
            </w:r>
          </w:p>
        </w:tc>
        <w:tc>
          <w:tcPr>
            <w:tcW w:w="4779" w:type="dxa"/>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18"/>
              </w:rPr>
              <w:t>钻井泥浆、岩屑、落地油，依托西北油田分公司油田工程服务中心绿色环保工作站处理。油污泥处理系统（主要处理对象为含油量＞</w:t>
            </w:r>
            <w:r>
              <w:rPr>
                <w:rFonts w:cs="Times New Roman"/>
                <w:sz w:val="21"/>
                <w:szCs w:val="18"/>
              </w:rPr>
              <w:t>5%</w:t>
            </w:r>
            <w:r>
              <w:rPr>
                <w:rFonts w:cs="Times New Roman"/>
                <w:sz w:val="21"/>
                <w:szCs w:val="18"/>
              </w:rPr>
              <w:t>油泥），设计年处理含油污泥的量为</w:t>
            </w:r>
            <w:r>
              <w:rPr>
                <w:rFonts w:cs="Times New Roman"/>
                <w:sz w:val="21"/>
                <w:szCs w:val="18"/>
              </w:rPr>
              <w:t>6</w:t>
            </w:r>
            <w:r>
              <w:rPr>
                <w:rFonts w:cs="Times New Roman"/>
                <w:sz w:val="21"/>
                <w:szCs w:val="18"/>
              </w:rPr>
              <w:t>万</w:t>
            </w:r>
            <w:r>
              <w:rPr>
                <w:rFonts w:cs="Times New Roman"/>
                <w:sz w:val="21"/>
                <w:szCs w:val="18"/>
              </w:rPr>
              <w:t>m³</w:t>
            </w:r>
            <w:r>
              <w:rPr>
                <w:rFonts w:cs="Times New Roman"/>
                <w:sz w:val="21"/>
                <w:szCs w:val="18"/>
              </w:rPr>
              <w:t>，有</w:t>
            </w:r>
            <w:r>
              <w:rPr>
                <w:rFonts w:cs="Times New Roman"/>
                <w:sz w:val="21"/>
                <w:szCs w:val="18"/>
              </w:rPr>
              <w:t>4</w:t>
            </w:r>
            <w:r>
              <w:rPr>
                <w:rFonts w:cs="Times New Roman"/>
                <w:sz w:val="21"/>
                <w:szCs w:val="18"/>
              </w:rPr>
              <w:t>套</w:t>
            </w:r>
            <w:bookmarkStart w:id="562" w:name="OLE_LINK1173"/>
            <w:r>
              <w:rPr>
                <w:rFonts w:cs="Times New Roman"/>
                <w:sz w:val="21"/>
                <w:szCs w:val="18"/>
              </w:rPr>
              <w:t>5</w:t>
            </w:r>
            <w:r>
              <w:rPr>
                <w:rFonts w:cs="Times New Roman"/>
                <w:sz w:val="21"/>
                <w:szCs w:val="18"/>
              </w:rPr>
              <w:t>项分离装置</w:t>
            </w:r>
            <w:bookmarkEnd w:id="562"/>
            <w:r>
              <w:rPr>
                <w:rFonts w:cs="Times New Roman"/>
                <w:sz w:val="21"/>
                <w:szCs w:val="18"/>
              </w:rPr>
              <w:t>；受浸土（主要指含油量＜</w:t>
            </w:r>
            <w:r>
              <w:rPr>
                <w:rFonts w:cs="Times New Roman"/>
                <w:sz w:val="21"/>
                <w:szCs w:val="18"/>
              </w:rPr>
              <w:t>5%</w:t>
            </w:r>
            <w:r>
              <w:rPr>
                <w:rFonts w:cs="Times New Roman"/>
                <w:sz w:val="21"/>
                <w:szCs w:val="18"/>
              </w:rPr>
              <w:t>的污油泥）依托中石化西南石油工程有限公司巴州分公司（规模</w:t>
            </w:r>
            <w:r>
              <w:rPr>
                <w:rFonts w:cs="Times New Roman"/>
                <w:sz w:val="21"/>
                <w:szCs w:val="18"/>
              </w:rPr>
              <w:t>7</w:t>
            </w:r>
            <w:r>
              <w:rPr>
                <w:rFonts w:cs="Times New Roman"/>
                <w:sz w:val="21"/>
                <w:szCs w:val="18"/>
              </w:rPr>
              <w:t>万吨</w:t>
            </w:r>
            <w:r>
              <w:rPr>
                <w:rFonts w:cs="Times New Roman"/>
                <w:sz w:val="21"/>
                <w:szCs w:val="18"/>
              </w:rPr>
              <w:t>/a</w:t>
            </w:r>
            <w:r>
              <w:rPr>
                <w:rFonts w:cs="Times New Roman"/>
                <w:sz w:val="21"/>
                <w:szCs w:val="18"/>
              </w:rPr>
              <w:t>）和阿克苏塔河环保工程有限公司处理（规模</w:t>
            </w:r>
            <w:r>
              <w:rPr>
                <w:rFonts w:cs="Times New Roman"/>
                <w:sz w:val="21"/>
                <w:szCs w:val="18"/>
              </w:rPr>
              <w:t>15</w:t>
            </w:r>
            <w:r>
              <w:rPr>
                <w:rFonts w:cs="Times New Roman"/>
                <w:sz w:val="21"/>
                <w:szCs w:val="18"/>
              </w:rPr>
              <w:t>万吨</w:t>
            </w:r>
            <w:r>
              <w:rPr>
                <w:rFonts w:cs="Times New Roman"/>
                <w:sz w:val="21"/>
                <w:szCs w:val="18"/>
              </w:rPr>
              <w:t>/a</w:t>
            </w:r>
            <w:r>
              <w:rPr>
                <w:rFonts w:cs="Times New Roman"/>
                <w:sz w:val="21"/>
                <w:szCs w:val="18"/>
              </w:rPr>
              <w:t>）处</w:t>
            </w:r>
            <w:r>
              <w:rPr>
                <w:rFonts w:cs="Times New Roman"/>
                <w:sz w:val="21"/>
                <w:szCs w:val="18"/>
              </w:rPr>
              <w:t>理；废液处置能力</w:t>
            </w:r>
            <w:r>
              <w:rPr>
                <w:rFonts w:cs="Times New Roman"/>
                <w:sz w:val="21"/>
                <w:szCs w:val="18"/>
              </w:rPr>
              <w:t>65m</w:t>
            </w:r>
            <w:r>
              <w:rPr>
                <w:rFonts w:cs="Times New Roman"/>
                <w:sz w:val="21"/>
                <w:szCs w:val="18"/>
                <w:vertAlign w:val="superscript"/>
              </w:rPr>
              <w:t>3</w:t>
            </w:r>
            <w:r>
              <w:rPr>
                <w:rFonts w:cs="Times New Roman"/>
                <w:sz w:val="21"/>
                <w:szCs w:val="18"/>
              </w:rPr>
              <w:t>/h</w:t>
            </w:r>
            <w:r>
              <w:rPr>
                <w:rFonts w:cs="Times New Roman"/>
                <w:sz w:val="21"/>
                <w:szCs w:val="18"/>
              </w:rPr>
              <w:t>，在站内自行处理。</w:t>
            </w:r>
            <w:r>
              <w:rPr>
                <w:rFonts w:cs="Times New Roman" w:hint="eastAsia"/>
                <w:sz w:val="21"/>
                <w:szCs w:val="21"/>
                <w:lang w:bidi="ar"/>
              </w:rPr>
              <w:t>钻井废水连同钻井泥浆岩屑一同进入泥浆不落地处理系统处理，处理后的废水全部回用，不外排。试油采出水在储液罐内收集，依托塔河油田绿色环保工作站处置。酸化压裂废水采用专用废液收集罐收集后，拉运至塔河油田绿色环保工作站处理。</w:t>
            </w:r>
            <w:bookmarkStart w:id="563" w:name="OLE_LINK450"/>
            <w:r>
              <w:rPr>
                <w:rFonts w:cs="Times New Roman" w:hint="eastAsia"/>
                <w:sz w:val="21"/>
                <w:szCs w:val="21"/>
                <w:lang w:bidi="ar"/>
              </w:rPr>
              <w:t>生产废水</w:t>
            </w:r>
            <w:bookmarkEnd w:id="563"/>
            <w:r>
              <w:rPr>
                <w:rFonts w:cs="Times New Roman"/>
                <w:sz w:val="21"/>
                <w:szCs w:val="21"/>
                <w:lang w:bidi="ar"/>
              </w:rPr>
              <w:t>由罐车拉运至塔河油田绿色环保工作站处理</w:t>
            </w:r>
            <w:r>
              <w:rPr>
                <w:rFonts w:cs="Times New Roman"/>
                <w:sz w:val="21"/>
                <w:szCs w:val="21"/>
                <w:lang w:bidi="ar"/>
              </w:rPr>
              <w:t>。</w:t>
            </w:r>
            <w:r>
              <w:rPr>
                <w:rFonts w:cs="Times New Roman" w:hint="eastAsia"/>
                <w:sz w:val="21"/>
                <w:szCs w:val="21"/>
                <w:lang w:bidi="ar"/>
              </w:rPr>
              <w:t>井下作业废水自带回收罐回收井下作业废水，依托塔河油田绿色环保工作站处理。</w:t>
            </w:r>
          </w:p>
        </w:tc>
        <w:tc>
          <w:tcPr>
            <w:tcW w:w="664" w:type="dxa"/>
            <w:shd w:val="clear" w:color="auto" w:fill="auto"/>
            <w:vAlign w:val="center"/>
          </w:tcPr>
          <w:p w:rsidR="00C645C9" w:rsidRDefault="00F955D9">
            <w:pPr>
              <w:jc w:val="center"/>
              <w:textAlignment w:val="center"/>
              <w:rPr>
                <w:rFonts w:cs="Times New Roman"/>
                <w:sz w:val="21"/>
                <w:szCs w:val="21"/>
                <w:lang w:bidi="ar"/>
              </w:rPr>
            </w:pPr>
            <w:r>
              <w:rPr>
                <w:rFonts w:hint="eastAsia"/>
              </w:rPr>
              <w:t>-</w:t>
            </w:r>
          </w:p>
        </w:tc>
      </w:tr>
      <w:tr w:rsidR="00C645C9">
        <w:trPr>
          <w:trHeight w:val="176"/>
          <w:jc w:val="center"/>
        </w:trPr>
        <w:tc>
          <w:tcPr>
            <w:tcW w:w="402" w:type="dxa"/>
            <w:vMerge/>
            <w:shd w:val="clear" w:color="auto" w:fill="auto"/>
            <w:vAlign w:val="center"/>
          </w:tcPr>
          <w:p w:rsidR="00C645C9" w:rsidRDefault="00C645C9">
            <w:pPr>
              <w:jc w:val="center"/>
              <w:rPr>
                <w:rFonts w:cs="Times New Roman"/>
                <w:sz w:val="21"/>
                <w:szCs w:val="21"/>
              </w:rPr>
            </w:pPr>
            <w:bookmarkStart w:id="564" w:name="_Toc26363"/>
            <w:bookmarkStart w:id="565" w:name="_Toc15750"/>
          </w:p>
        </w:tc>
        <w:tc>
          <w:tcPr>
            <w:tcW w:w="654" w:type="dxa"/>
            <w:vMerge/>
            <w:shd w:val="clear" w:color="auto" w:fill="auto"/>
            <w:vAlign w:val="center"/>
          </w:tcPr>
          <w:p w:rsidR="00C645C9" w:rsidRDefault="00C645C9">
            <w:pPr>
              <w:jc w:val="center"/>
              <w:rPr>
                <w:rFonts w:cs="Times New Roman"/>
                <w:sz w:val="21"/>
                <w:szCs w:val="21"/>
              </w:rPr>
            </w:pPr>
          </w:p>
        </w:tc>
        <w:tc>
          <w:tcPr>
            <w:tcW w:w="1069" w:type="dxa"/>
            <w:shd w:val="clear" w:color="auto" w:fill="auto"/>
            <w:vAlign w:val="center"/>
          </w:tcPr>
          <w:p w:rsidR="00C645C9" w:rsidRDefault="00F955D9">
            <w:pPr>
              <w:jc w:val="center"/>
              <w:textAlignment w:val="center"/>
              <w:rPr>
                <w:rFonts w:cs="Times New Roman"/>
                <w:sz w:val="21"/>
                <w:szCs w:val="18"/>
              </w:rPr>
            </w:pPr>
            <w:r>
              <w:rPr>
                <w:rFonts w:cs="Times New Roman" w:hint="eastAsia"/>
                <w:sz w:val="21"/>
                <w:szCs w:val="18"/>
              </w:rPr>
              <w:t>生活垃圾</w:t>
            </w:r>
          </w:p>
        </w:tc>
        <w:tc>
          <w:tcPr>
            <w:tcW w:w="1164" w:type="dxa"/>
            <w:shd w:val="clear" w:color="auto" w:fill="auto"/>
            <w:vAlign w:val="center"/>
          </w:tcPr>
          <w:p w:rsidR="00C645C9" w:rsidRDefault="00F955D9">
            <w:pPr>
              <w:jc w:val="center"/>
              <w:rPr>
                <w:rFonts w:cs="Times New Roman"/>
                <w:sz w:val="21"/>
                <w:szCs w:val="18"/>
              </w:rPr>
            </w:pPr>
            <w:bookmarkStart w:id="566" w:name="OLE_LINK449"/>
            <w:r>
              <w:rPr>
                <w:rFonts w:cs="Times New Roman"/>
                <w:sz w:val="21"/>
                <w:szCs w:val="18"/>
              </w:rPr>
              <w:t>库车绿能环保科技有限公司</w:t>
            </w:r>
            <w:bookmarkEnd w:id="566"/>
          </w:p>
        </w:tc>
        <w:tc>
          <w:tcPr>
            <w:tcW w:w="4779" w:type="dxa"/>
            <w:shd w:val="clear" w:color="auto" w:fill="auto"/>
            <w:vAlign w:val="center"/>
          </w:tcPr>
          <w:p w:rsidR="00C645C9" w:rsidRDefault="00F955D9">
            <w:pPr>
              <w:jc w:val="both"/>
              <w:rPr>
                <w:rFonts w:cs="Times New Roman"/>
                <w:sz w:val="21"/>
                <w:szCs w:val="18"/>
              </w:rPr>
            </w:pPr>
            <w:r>
              <w:rPr>
                <w:rFonts w:cs="Times New Roman"/>
                <w:sz w:val="21"/>
                <w:szCs w:val="18"/>
              </w:rPr>
              <w:t>生活垃圾集中收集后定期由</w:t>
            </w:r>
            <w:r>
              <w:rPr>
                <w:rFonts w:cs="Times New Roman"/>
                <w:sz w:val="21"/>
                <w:szCs w:val="18"/>
              </w:rPr>
              <w:t>库车绿能环保科技有限公司</w:t>
            </w:r>
            <w:r>
              <w:rPr>
                <w:rFonts w:cs="Times New Roman"/>
                <w:sz w:val="21"/>
                <w:szCs w:val="18"/>
              </w:rPr>
              <w:t>清运处置</w:t>
            </w:r>
            <w:r>
              <w:rPr>
                <w:rFonts w:cs="Times New Roman" w:hint="eastAsia"/>
                <w:sz w:val="21"/>
                <w:szCs w:val="18"/>
              </w:rPr>
              <w:t>。</w:t>
            </w:r>
          </w:p>
        </w:tc>
        <w:tc>
          <w:tcPr>
            <w:tcW w:w="664" w:type="dxa"/>
            <w:shd w:val="clear" w:color="auto" w:fill="auto"/>
            <w:vAlign w:val="center"/>
          </w:tcPr>
          <w:p w:rsidR="00C645C9" w:rsidRDefault="00F955D9">
            <w:pPr>
              <w:jc w:val="center"/>
            </w:pPr>
            <w:r>
              <w:rPr>
                <w:rFonts w:hint="eastAsia"/>
              </w:rPr>
              <w:t>-</w:t>
            </w:r>
          </w:p>
        </w:tc>
      </w:tr>
    </w:tbl>
    <w:p w:rsidR="00C645C9" w:rsidRDefault="00C645C9">
      <w:pPr>
        <w:pStyle w:val="a5"/>
        <w:kinsoku w:val="0"/>
        <w:autoSpaceDE w:val="0"/>
        <w:autoSpaceDN w:val="0"/>
        <w:snapToGrid w:val="0"/>
        <w:ind w:right="66"/>
        <w:jc w:val="both"/>
        <w:textAlignment w:val="baseline"/>
        <w:rPr>
          <w:rFonts w:ascii="Times New Roman" w:hAnsi="Times New Roman" w:cs="Times New Roman"/>
          <w:b/>
          <w:bCs/>
        </w:rPr>
        <w:sectPr w:rsidR="00C645C9">
          <w:headerReference w:type="default" r:id="rId20"/>
          <w:footerReference w:type="default" r:id="rId21"/>
          <w:pgSz w:w="11905" w:h="16838"/>
          <w:pgMar w:top="1389" w:right="1729" w:bottom="1202" w:left="1769" w:header="935" w:footer="1134" w:gutter="0"/>
          <w:cols w:space="0"/>
          <w:docGrid w:linePitch="312"/>
        </w:sectPr>
      </w:pPr>
    </w:p>
    <w:p w:rsidR="00C645C9" w:rsidRDefault="00C645C9">
      <w:pPr>
        <w:adjustRightInd w:val="0"/>
        <w:snapToGrid w:val="0"/>
        <w:jc w:val="center"/>
        <w:rPr>
          <w:rFonts w:cs="Times New Roman"/>
          <w:spacing w:val="-3"/>
        </w:rPr>
      </w:pPr>
    </w:p>
    <w:p w:rsidR="00C645C9" w:rsidRDefault="00F955D9">
      <w:pPr>
        <w:pStyle w:val="af7"/>
        <w:widowControl w:val="0"/>
        <w:outlineLvl w:val="9"/>
        <w:rPr>
          <w:spacing w:val="-3"/>
          <w:sz w:val="24"/>
        </w:rPr>
      </w:pPr>
      <w:r>
        <w:t>图</w:t>
      </w:r>
      <w:bookmarkStart w:id="569" w:name="OLE_LINK1008"/>
      <w:r>
        <w:t>3.</w:t>
      </w:r>
      <w:r>
        <w:rPr>
          <w:rFonts w:hint="eastAsia"/>
        </w:rPr>
        <w:t>2</w:t>
      </w:r>
      <w:r>
        <w:t>-1</w:t>
      </w:r>
      <w:bookmarkEnd w:id="569"/>
      <w:r>
        <w:t xml:space="preserve">   </w:t>
      </w:r>
      <w:r>
        <w:t>本</w:t>
      </w:r>
      <w:r>
        <w:rPr>
          <w:rFonts w:hint="eastAsia"/>
        </w:rPr>
        <w:t>工程</w:t>
      </w:r>
      <w:r>
        <w:t>地理位置图</w:t>
      </w:r>
    </w:p>
    <w:p w:rsidR="00C645C9" w:rsidRDefault="00C645C9">
      <w:pPr>
        <w:sectPr w:rsidR="00C645C9">
          <w:pgSz w:w="16838" w:h="11905" w:orient="landscape"/>
          <w:pgMar w:top="1769" w:right="1389" w:bottom="1729" w:left="1202" w:header="935" w:footer="1134" w:gutter="0"/>
          <w:cols w:space="0"/>
          <w:docGrid w:linePitch="312"/>
        </w:sectPr>
      </w:pPr>
    </w:p>
    <w:p w:rsidR="00C645C9" w:rsidRDefault="00F955D9">
      <w:pPr>
        <w:pStyle w:val="a5"/>
        <w:kinsoku w:val="0"/>
        <w:autoSpaceDE w:val="0"/>
        <w:autoSpaceDN w:val="0"/>
        <w:snapToGrid w:val="0"/>
        <w:ind w:right="66"/>
        <w:jc w:val="both"/>
        <w:textAlignment w:val="baseline"/>
        <w:outlineLvl w:val="3"/>
        <w:rPr>
          <w:rFonts w:ascii="Times New Roman" w:hAnsi="Times New Roman" w:cs="Times New Roman"/>
        </w:rPr>
      </w:pPr>
      <w:r>
        <w:rPr>
          <w:rFonts w:ascii="Times New Roman" w:hAnsi="Times New Roman" w:cs="Times New Roman"/>
          <w:b/>
          <w:bCs/>
        </w:rPr>
        <w:lastRenderedPageBreak/>
        <w:t>3.</w:t>
      </w:r>
      <w:r>
        <w:rPr>
          <w:rFonts w:ascii="Times New Roman" w:hAnsi="Times New Roman" w:cs="Times New Roman" w:hint="eastAsia"/>
          <w:b/>
          <w:bCs/>
        </w:rPr>
        <w:t>2</w:t>
      </w:r>
      <w:r>
        <w:rPr>
          <w:rFonts w:ascii="Times New Roman" w:hAnsi="Times New Roman" w:cs="Times New Roman"/>
          <w:b/>
          <w:bCs/>
        </w:rPr>
        <w:t>.1.5</w:t>
      </w:r>
      <w:r>
        <w:rPr>
          <w:rFonts w:ascii="Times New Roman" w:hAnsi="Times New Roman" w:cs="Times New Roman"/>
          <w:b/>
          <w:bCs/>
        </w:rPr>
        <w:t>工程投资</w:t>
      </w:r>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总投资约</w:t>
      </w:r>
      <w:bookmarkStart w:id="570" w:name="OLE_LINK1118"/>
      <w:r>
        <w:rPr>
          <w:rFonts w:ascii="Times New Roman" w:hAnsi="Times New Roman" w:cs="Times New Roman"/>
        </w:rPr>
        <w:t>452.5</w:t>
      </w:r>
      <w:bookmarkEnd w:id="570"/>
      <w:r>
        <w:rPr>
          <w:rFonts w:ascii="Times New Roman" w:hAnsi="Times New Roman" w:cs="Times New Roman"/>
        </w:rPr>
        <w:t>万元</w:t>
      </w:r>
      <w:r>
        <w:rPr>
          <w:rFonts w:ascii="Times New Roman" w:hAnsi="Times New Roman" w:cs="Times New Roman"/>
        </w:rPr>
        <w:t>。</w:t>
      </w:r>
    </w:p>
    <w:p w:rsidR="00C645C9" w:rsidRDefault="00F955D9">
      <w:pPr>
        <w:pStyle w:val="a5"/>
        <w:kinsoku w:val="0"/>
        <w:autoSpaceDE w:val="0"/>
        <w:autoSpaceDN w:val="0"/>
        <w:snapToGrid w:val="0"/>
        <w:ind w:right="66"/>
        <w:jc w:val="both"/>
        <w:textAlignment w:val="baseline"/>
        <w:outlineLvl w:val="3"/>
        <w:rPr>
          <w:rFonts w:ascii="Times New Roman" w:hAnsi="Times New Roman" w:cs="Times New Roman"/>
          <w:b/>
          <w:bCs/>
        </w:rPr>
      </w:pPr>
      <w:r>
        <w:rPr>
          <w:rFonts w:ascii="Times New Roman" w:hAnsi="Times New Roman" w:cs="Times New Roman"/>
          <w:b/>
          <w:bCs/>
        </w:rPr>
        <w:t>3.</w:t>
      </w:r>
      <w:r>
        <w:rPr>
          <w:rFonts w:ascii="Times New Roman" w:hAnsi="Times New Roman" w:cs="Times New Roman" w:hint="eastAsia"/>
          <w:b/>
          <w:bCs/>
        </w:rPr>
        <w:t>2</w:t>
      </w:r>
      <w:r>
        <w:rPr>
          <w:rFonts w:ascii="Times New Roman" w:hAnsi="Times New Roman" w:cs="Times New Roman"/>
          <w:b/>
          <w:bCs/>
        </w:rPr>
        <w:t>.1.6</w:t>
      </w:r>
      <w:r>
        <w:rPr>
          <w:rFonts w:ascii="Times New Roman" w:hAnsi="Times New Roman" w:cs="Times New Roman"/>
          <w:b/>
          <w:bCs/>
        </w:rPr>
        <w:t>劳动组织及定员</w:t>
      </w:r>
    </w:p>
    <w:p w:rsidR="00C645C9" w:rsidRDefault="00F955D9">
      <w:pPr>
        <w:pStyle w:val="a5"/>
        <w:kinsoku w:val="0"/>
        <w:autoSpaceDE w:val="0"/>
        <w:autoSpaceDN w:val="0"/>
        <w:snapToGrid w:val="0"/>
        <w:ind w:firstLineChars="200" w:firstLine="480"/>
        <w:jc w:val="both"/>
        <w:textAlignment w:val="baseline"/>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不新增劳动定员，均依托现有</w:t>
      </w:r>
      <w:r>
        <w:rPr>
          <w:rFonts w:ascii="Times New Roman" w:hAnsi="Times New Roman" w:cs="Times New Roman" w:hint="eastAsia"/>
        </w:rPr>
        <w:t>雅克拉采气厂</w:t>
      </w:r>
      <w:r>
        <w:rPr>
          <w:rFonts w:ascii="Times New Roman" w:hAnsi="Times New Roman" w:cs="Times New Roman"/>
        </w:rPr>
        <w:t>工作人员。</w:t>
      </w:r>
    </w:p>
    <w:p w:rsidR="00C645C9" w:rsidRDefault="00F955D9">
      <w:pPr>
        <w:pStyle w:val="a5"/>
        <w:kinsoku w:val="0"/>
        <w:autoSpaceDE w:val="0"/>
        <w:autoSpaceDN w:val="0"/>
        <w:snapToGrid w:val="0"/>
        <w:ind w:right="66"/>
        <w:jc w:val="both"/>
        <w:textAlignment w:val="baseline"/>
        <w:outlineLvl w:val="2"/>
        <w:rPr>
          <w:rFonts w:ascii="Times New Roman" w:hAnsi="Times New Roman" w:cs="Times New Roman"/>
          <w:b/>
          <w:snapToGrid w:val="0"/>
          <w:sz w:val="28"/>
          <w:szCs w:val="21"/>
        </w:rPr>
      </w:pPr>
      <w:r>
        <w:rPr>
          <w:rFonts w:ascii="Times New Roman" w:hAnsi="Times New Roman" w:cs="Times New Roman"/>
          <w:b/>
          <w:snapToGrid w:val="0"/>
          <w:sz w:val="28"/>
          <w:szCs w:val="21"/>
        </w:rPr>
        <w:t>3.</w:t>
      </w:r>
      <w:r>
        <w:rPr>
          <w:rFonts w:ascii="Times New Roman" w:hAnsi="Times New Roman" w:cs="Times New Roman" w:hint="eastAsia"/>
          <w:b/>
          <w:snapToGrid w:val="0"/>
          <w:sz w:val="28"/>
          <w:szCs w:val="21"/>
        </w:rPr>
        <w:t>2</w:t>
      </w:r>
      <w:r>
        <w:rPr>
          <w:rFonts w:ascii="Times New Roman" w:hAnsi="Times New Roman" w:cs="Times New Roman"/>
          <w:b/>
          <w:snapToGrid w:val="0"/>
          <w:sz w:val="28"/>
          <w:szCs w:val="21"/>
        </w:rPr>
        <w:t>.2</w:t>
      </w:r>
      <w:bookmarkStart w:id="571" w:name="_Hlk65162652"/>
      <w:bookmarkEnd w:id="564"/>
      <w:bookmarkEnd w:id="565"/>
      <w:r>
        <w:rPr>
          <w:rFonts w:ascii="Times New Roman" w:hAnsi="Times New Roman" w:cs="Times New Roman"/>
          <w:b/>
          <w:snapToGrid w:val="0"/>
          <w:sz w:val="28"/>
          <w:szCs w:val="21"/>
        </w:rPr>
        <w:t>油气资源概况</w:t>
      </w:r>
    </w:p>
    <w:p w:rsidR="00C645C9" w:rsidRDefault="00F955D9">
      <w:pPr>
        <w:pStyle w:val="a5"/>
        <w:kinsoku w:val="0"/>
        <w:autoSpaceDE w:val="0"/>
        <w:autoSpaceDN w:val="0"/>
        <w:snapToGrid w:val="0"/>
        <w:ind w:firstLineChars="200" w:firstLine="480"/>
        <w:jc w:val="both"/>
        <w:textAlignment w:val="baseline"/>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bookmarkStart w:id="572" w:name="OLE_LINK226"/>
      <w:r>
        <w:rPr>
          <w:rFonts w:ascii="Times New Roman" w:hAnsi="Times New Roman" w:cs="Times New Roman" w:hint="eastAsia"/>
        </w:rPr>
        <w:t>天然气</w:t>
      </w:r>
      <w:bookmarkEnd w:id="571"/>
      <w:bookmarkEnd w:id="572"/>
      <w:r>
        <w:rPr>
          <w:rFonts w:ascii="Times New Roman" w:hAnsi="Times New Roman" w:cs="Times New Roman" w:hint="eastAsia"/>
        </w:rPr>
        <w:t>性质</w:t>
      </w:r>
    </w:p>
    <w:p w:rsidR="00C645C9" w:rsidRDefault="00F955D9">
      <w:pPr>
        <w:pStyle w:val="a5"/>
        <w:kinsoku w:val="0"/>
        <w:autoSpaceDE w:val="0"/>
        <w:autoSpaceDN w:val="0"/>
        <w:snapToGrid w:val="0"/>
        <w:ind w:firstLineChars="200" w:firstLine="480"/>
        <w:jc w:val="both"/>
        <w:textAlignment w:val="baseline"/>
        <w:rPr>
          <w:rFonts w:ascii="Times New Roman" w:hAnsi="Times New Roman" w:cs="Times New Roman"/>
        </w:rPr>
      </w:pPr>
      <w:bookmarkStart w:id="573" w:name="OLE_LINK227"/>
      <w:r>
        <w:rPr>
          <w:rFonts w:ascii="Times New Roman" w:hAnsi="Times New Roman" w:cs="Times New Roman" w:hint="eastAsia"/>
        </w:rPr>
        <w:t>根据</w:t>
      </w:r>
      <w:bookmarkEnd w:id="573"/>
      <w:r>
        <w:rPr>
          <w:rFonts w:ascii="Times New Roman" w:hAnsi="Times New Roman" w:cs="Times New Roman"/>
        </w:rPr>
        <w:t>新北</w:t>
      </w:r>
      <w:r>
        <w:rPr>
          <w:rFonts w:ascii="Times New Roman" w:hAnsi="Times New Roman" w:cs="Times New Roman"/>
        </w:rPr>
        <w:t>1X</w:t>
      </w:r>
      <w:r>
        <w:rPr>
          <w:rFonts w:ascii="Times New Roman" w:hAnsi="Times New Roman" w:cs="Times New Roman"/>
        </w:rPr>
        <w:t>井</w:t>
      </w:r>
      <w:r>
        <w:rPr>
          <w:rFonts w:ascii="Times New Roman" w:hAnsi="Times New Roman" w:cs="Times New Roman" w:hint="eastAsia"/>
        </w:rPr>
        <w:t>天然气</w:t>
      </w:r>
      <w:r>
        <w:rPr>
          <w:rFonts w:ascii="Times New Roman" w:hAnsi="Times New Roman" w:cs="Times New Roman"/>
        </w:rPr>
        <w:t>分析结果，天然气平均相对密度为</w:t>
      </w:r>
      <w:bookmarkStart w:id="574" w:name="OLE_LINK774"/>
      <w:r>
        <w:rPr>
          <w:rFonts w:ascii="Times New Roman" w:hAnsi="Times New Roman" w:cs="Times New Roman"/>
        </w:rPr>
        <w:t>0.663</w:t>
      </w:r>
      <w:bookmarkEnd w:id="574"/>
      <w:r>
        <w:rPr>
          <w:rFonts w:ascii="Times New Roman" w:hAnsi="Times New Roman" w:cs="Times New Roman"/>
        </w:rPr>
        <w:t>kg/m</w:t>
      </w:r>
      <w:r>
        <w:rPr>
          <w:rFonts w:ascii="Times New Roman" w:hAnsi="Times New Roman" w:cs="Times New Roman"/>
          <w:vertAlign w:val="superscript"/>
        </w:rPr>
        <w:t>3</w:t>
      </w:r>
      <w:r>
        <w:rPr>
          <w:rFonts w:ascii="Times New Roman" w:hAnsi="Times New Roman" w:cs="Times New Roman" w:hint="eastAsia"/>
        </w:rPr>
        <w:t>；</w:t>
      </w:r>
      <w:r>
        <w:rPr>
          <w:rFonts w:ascii="Times New Roman" w:hAnsi="Times New Roman" w:cs="Times New Roman"/>
        </w:rPr>
        <w:t>甲烷平均含量为</w:t>
      </w:r>
      <w:bookmarkStart w:id="575" w:name="OLE_LINK1525"/>
      <w:r>
        <w:rPr>
          <w:rFonts w:ascii="Times New Roman" w:hAnsi="Times New Roman" w:cs="Times New Roman" w:hint="eastAsia"/>
        </w:rPr>
        <w:t>79.81</w:t>
      </w:r>
      <w:bookmarkEnd w:id="575"/>
      <w:r>
        <w:rPr>
          <w:rFonts w:ascii="Times New Roman" w:hAnsi="Times New Roman" w:cs="Times New Roman"/>
        </w:rPr>
        <w:t>%</w:t>
      </w:r>
      <w:r>
        <w:rPr>
          <w:rFonts w:ascii="Times New Roman" w:hAnsi="Times New Roman" w:cs="Times New Roman"/>
        </w:rPr>
        <w:t>，</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平均含量为</w:t>
      </w:r>
      <w:r>
        <w:rPr>
          <w:rFonts w:ascii="Times New Roman" w:hAnsi="Times New Roman" w:cs="Times New Roman"/>
        </w:rPr>
        <w:t>2.37%</w:t>
      </w:r>
      <w:r>
        <w:rPr>
          <w:rFonts w:ascii="Times New Roman" w:hAnsi="Times New Roman" w:cs="Times New Roman"/>
        </w:rPr>
        <w:t>，</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平均含量</w:t>
      </w:r>
      <w:r>
        <w:rPr>
          <w:rFonts w:ascii="Times New Roman" w:hAnsi="Times New Roman" w:cs="Times New Roman"/>
        </w:rPr>
        <w:t>为</w:t>
      </w:r>
      <w:r>
        <w:rPr>
          <w:rFonts w:ascii="Times New Roman" w:hAnsi="Times New Roman" w:cs="Times New Roman"/>
        </w:rPr>
        <w:t>1.04</w:t>
      </w:r>
      <w:r>
        <w:rPr>
          <w:rFonts w:ascii="Times New Roman" w:hAnsi="Times New Roman" w:cs="Times New Roman"/>
        </w:rPr>
        <w:t>％。</w:t>
      </w:r>
    </w:p>
    <w:p w:rsidR="00C645C9" w:rsidRDefault="00F955D9">
      <w:pPr>
        <w:spacing w:line="360" w:lineRule="auto"/>
        <w:ind w:firstLineChars="200" w:firstLine="480"/>
        <w:jc w:val="both"/>
        <w:rPr>
          <w:rFonts w:cs="Times New Roman"/>
        </w:rPr>
      </w:pPr>
      <w:r>
        <w:rPr>
          <w:rFonts w:cs="Times New Roman"/>
        </w:rPr>
        <w:t>（</w:t>
      </w:r>
      <w:r>
        <w:rPr>
          <w:rFonts w:cs="Times New Roman"/>
        </w:rPr>
        <w:t>2</w:t>
      </w:r>
      <w:r>
        <w:rPr>
          <w:rFonts w:cs="Times New Roman"/>
        </w:rPr>
        <w:t>）</w:t>
      </w:r>
      <w:r>
        <w:rPr>
          <w:rFonts w:cs="Times New Roman" w:hint="eastAsia"/>
        </w:rPr>
        <w:t>凝析油性质</w:t>
      </w:r>
    </w:p>
    <w:p w:rsidR="00C645C9" w:rsidRDefault="00F955D9">
      <w:pPr>
        <w:spacing w:line="360" w:lineRule="auto"/>
        <w:ind w:firstLineChars="200" w:firstLine="480"/>
        <w:jc w:val="both"/>
        <w:rPr>
          <w:rFonts w:cs="Times New Roman"/>
        </w:rPr>
      </w:pPr>
      <w:bookmarkStart w:id="576" w:name="OLE_LINK228"/>
      <w:bookmarkStart w:id="577" w:name="OLE_LINK225"/>
      <w:r>
        <w:rPr>
          <w:rFonts w:cs="Times New Roman" w:hint="eastAsia"/>
        </w:rPr>
        <w:t>根据</w:t>
      </w:r>
      <w:bookmarkEnd w:id="576"/>
      <w:r>
        <w:rPr>
          <w:rFonts w:cs="Times New Roman"/>
        </w:rPr>
        <w:t>新北</w:t>
      </w:r>
      <w:r>
        <w:rPr>
          <w:rFonts w:cs="Times New Roman"/>
        </w:rPr>
        <w:t>1X</w:t>
      </w:r>
      <w:r>
        <w:rPr>
          <w:rFonts w:cs="Times New Roman"/>
        </w:rPr>
        <w:t>井油样分析结果，</w:t>
      </w:r>
      <w:bookmarkEnd w:id="577"/>
      <w:r>
        <w:rPr>
          <w:rFonts w:cs="Times New Roman"/>
        </w:rPr>
        <w:t>凝析油地面密度平均为</w:t>
      </w:r>
      <w:r>
        <w:rPr>
          <w:rFonts w:cs="Times New Roman"/>
        </w:rPr>
        <w:t>0.7724g/cm</w:t>
      </w:r>
      <w:r>
        <w:rPr>
          <w:rFonts w:cs="Times New Roman"/>
          <w:vertAlign w:val="superscript"/>
        </w:rPr>
        <w:t>3</w:t>
      </w:r>
      <w:r>
        <w:rPr>
          <w:rFonts w:cs="Times New Roman"/>
        </w:rPr>
        <w:t>；运动粘度平均为</w:t>
      </w:r>
      <w:r>
        <w:rPr>
          <w:rFonts w:cs="Times New Roman"/>
        </w:rPr>
        <w:t>1.74mm</w:t>
      </w:r>
      <w:r>
        <w:rPr>
          <w:rFonts w:cs="Times New Roman"/>
          <w:vertAlign w:val="superscript"/>
        </w:rPr>
        <w:t>2</w:t>
      </w:r>
      <w:r>
        <w:rPr>
          <w:rFonts w:cs="Times New Roman"/>
        </w:rPr>
        <w:t>/s</w:t>
      </w:r>
      <w:r>
        <w:rPr>
          <w:rFonts w:cs="Times New Roman"/>
        </w:rPr>
        <w:t>；含硫量为</w:t>
      </w:r>
      <w:r>
        <w:rPr>
          <w:rFonts w:cs="Times New Roman"/>
        </w:rPr>
        <w:t>0.04%</w:t>
      </w:r>
      <w:r>
        <w:rPr>
          <w:rFonts w:cs="Times New Roman"/>
        </w:rPr>
        <w:t>；含蜡量一般为</w:t>
      </w:r>
      <w:r>
        <w:rPr>
          <w:rFonts w:cs="Times New Roman"/>
        </w:rPr>
        <w:t>2.72%</w:t>
      </w:r>
      <w:r>
        <w:rPr>
          <w:rFonts w:cs="Times New Roman"/>
        </w:rPr>
        <w:t>，凝固点为</w:t>
      </w:r>
      <w:r>
        <w:rPr>
          <w:rFonts w:cs="Times New Roman"/>
        </w:rPr>
        <w:t>6.5℃</w:t>
      </w:r>
      <w:r>
        <w:rPr>
          <w:rFonts w:cs="Times New Roman"/>
        </w:rPr>
        <w:t>。根据凝析油物性分类标准，预测凝析油属于低密度、低粘度、低含硫、高含蜡的凝析油。</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rPr>
        <w:t>3</w:t>
      </w:r>
      <w:r>
        <w:rPr>
          <w:rFonts w:cs="Times New Roman"/>
        </w:rPr>
        <w:t>）采出水</w:t>
      </w:r>
      <w:r>
        <w:rPr>
          <w:rFonts w:cs="Times New Roman" w:hint="eastAsia"/>
        </w:rPr>
        <w:t>性质</w:t>
      </w:r>
    </w:p>
    <w:p w:rsidR="00C645C9" w:rsidRDefault="00F955D9">
      <w:pPr>
        <w:adjustRightInd w:val="0"/>
        <w:snapToGrid w:val="0"/>
        <w:spacing w:line="360" w:lineRule="auto"/>
        <w:ind w:firstLineChars="200" w:firstLine="480"/>
        <w:jc w:val="both"/>
        <w:rPr>
          <w:rFonts w:cs="Times New Roman"/>
        </w:rPr>
      </w:pPr>
      <w:r>
        <w:rPr>
          <w:rFonts w:cs="Times New Roman"/>
        </w:rPr>
        <w:t>新北</w:t>
      </w:r>
      <w:r>
        <w:rPr>
          <w:rFonts w:cs="Times New Roman"/>
        </w:rPr>
        <w:t>1X</w:t>
      </w:r>
      <w:r>
        <w:rPr>
          <w:rFonts w:cs="Times New Roman"/>
        </w:rPr>
        <w:t>井前期试油期间，未见水。参考邻区玉东、羊塔克水分析资料，水型为氯化钙，矿化度</w:t>
      </w:r>
      <w:r>
        <w:rPr>
          <w:rFonts w:cs="Times New Roman"/>
        </w:rPr>
        <w:t>6.5~17.2×10</w:t>
      </w:r>
      <w:r>
        <w:rPr>
          <w:rFonts w:cs="Times New Roman"/>
          <w:vertAlign w:val="superscript"/>
        </w:rPr>
        <w:t>4</w:t>
      </w:r>
      <w:r>
        <w:rPr>
          <w:rFonts w:cs="Times New Roman"/>
        </w:rPr>
        <w:t>mg/L</w:t>
      </w:r>
      <w:r>
        <w:rPr>
          <w:rFonts w:cs="Times New Roman"/>
        </w:rPr>
        <w:t>。</w:t>
      </w:r>
      <w:bookmarkStart w:id="578" w:name="OLE_LINK251"/>
    </w:p>
    <w:bookmarkEnd w:id="578"/>
    <w:p w:rsidR="00C645C9" w:rsidRDefault="00F955D9">
      <w:pPr>
        <w:pStyle w:val="3"/>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3.</w:t>
      </w:r>
      <w:r>
        <w:rPr>
          <w:rFonts w:ascii="Times New Roman" w:hAnsi="Times New Roman" w:cs="Times New Roman" w:hint="eastAsia"/>
          <w:color w:val="auto"/>
          <w:lang w:eastAsia="zh-CN"/>
        </w:rPr>
        <w:t>2</w:t>
      </w:r>
      <w:r>
        <w:rPr>
          <w:rFonts w:ascii="Times New Roman" w:hAnsi="Times New Roman" w:cs="Times New Roman"/>
          <w:color w:val="auto"/>
          <w:lang w:eastAsia="zh-CN"/>
        </w:rPr>
        <w:t>.3</w:t>
      </w:r>
      <w:r>
        <w:rPr>
          <w:rFonts w:ascii="Times New Roman" w:hAnsi="Times New Roman" w:cs="Times New Roman"/>
          <w:color w:val="auto"/>
          <w:lang w:eastAsia="zh-CN"/>
        </w:rPr>
        <w:t>主要技术经济指标</w:t>
      </w:r>
    </w:p>
    <w:p w:rsidR="00C645C9" w:rsidRDefault="00F955D9">
      <w:pPr>
        <w:adjustRightInd w:val="0"/>
        <w:snapToGrid w:val="0"/>
        <w:spacing w:line="360" w:lineRule="auto"/>
        <w:ind w:firstLineChars="200" w:firstLine="480"/>
        <w:rPr>
          <w:rFonts w:cs="Times New Roman"/>
        </w:rPr>
      </w:pPr>
      <w:r>
        <w:rPr>
          <w:rFonts w:cs="Times New Roman"/>
        </w:rPr>
        <w:t>本</w:t>
      </w:r>
      <w:r>
        <w:rPr>
          <w:rFonts w:cs="Times New Roman" w:hint="eastAsia"/>
        </w:rPr>
        <w:t>工程</w:t>
      </w:r>
      <w:r>
        <w:rPr>
          <w:rFonts w:cs="Times New Roman"/>
        </w:rPr>
        <w:t>主要技术经济指标见表</w:t>
      </w:r>
      <w:r>
        <w:rPr>
          <w:rFonts w:cs="Times New Roman"/>
        </w:rPr>
        <w:t>3.</w:t>
      </w:r>
      <w:r>
        <w:rPr>
          <w:rFonts w:cs="Times New Roman" w:hint="eastAsia"/>
        </w:rPr>
        <w:t>2-2</w:t>
      </w:r>
      <w:r>
        <w:rPr>
          <w:rFonts w:cs="Times New Roman"/>
        </w:rPr>
        <w:t>。</w:t>
      </w:r>
    </w:p>
    <w:p w:rsidR="00C645C9" w:rsidRDefault="00F955D9" w:rsidP="005718BB">
      <w:pPr>
        <w:pStyle w:val="a6"/>
        <w:adjustRightInd w:val="0"/>
        <w:snapToGrid w:val="0"/>
        <w:spacing w:line="240" w:lineRule="auto"/>
        <w:ind w:firstLine="420"/>
        <w:jc w:val="center"/>
      </w:pPr>
      <w:bookmarkStart w:id="579" w:name="OLE_LINK254"/>
      <w:r>
        <w:rPr>
          <w:rFonts w:eastAsia="黑体"/>
          <w:sz w:val="21"/>
          <w:szCs w:val="21"/>
        </w:rPr>
        <w:t>表</w:t>
      </w:r>
      <w:bookmarkStart w:id="580" w:name="OLE_LINK244"/>
      <w:r>
        <w:rPr>
          <w:rFonts w:eastAsia="黑体"/>
          <w:sz w:val="21"/>
          <w:szCs w:val="21"/>
        </w:rPr>
        <w:t>3.</w:t>
      </w:r>
      <w:r>
        <w:rPr>
          <w:rFonts w:eastAsia="黑体" w:hint="eastAsia"/>
          <w:sz w:val="21"/>
          <w:szCs w:val="21"/>
        </w:rPr>
        <w:t>2-2</w:t>
      </w:r>
      <w:bookmarkEnd w:id="580"/>
      <w:r>
        <w:rPr>
          <w:rFonts w:eastAsia="黑体"/>
          <w:sz w:val="21"/>
          <w:szCs w:val="21"/>
        </w:rPr>
        <w:t xml:space="preserve">   </w:t>
      </w:r>
      <w:r>
        <w:rPr>
          <w:rFonts w:eastAsia="黑体"/>
          <w:sz w:val="21"/>
          <w:szCs w:val="21"/>
        </w:rPr>
        <w:t>本</w:t>
      </w:r>
      <w:r>
        <w:rPr>
          <w:rFonts w:eastAsia="黑体" w:hint="eastAsia"/>
          <w:sz w:val="21"/>
          <w:szCs w:val="21"/>
        </w:rPr>
        <w:t>工程</w:t>
      </w:r>
      <w:r>
        <w:rPr>
          <w:rFonts w:eastAsia="黑体"/>
          <w:sz w:val="21"/>
          <w:szCs w:val="21"/>
        </w:rPr>
        <w:t>主要技术经济指标一览表</w:t>
      </w:r>
      <w:bookmarkEnd w:id="579"/>
    </w:p>
    <w:tbl>
      <w:tblPr>
        <w:tblW w:w="499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8"/>
        <w:gridCol w:w="1457"/>
        <w:gridCol w:w="2057"/>
        <w:gridCol w:w="1344"/>
        <w:gridCol w:w="2729"/>
      </w:tblGrid>
      <w:tr w:rsidR="00C645C9">
        <w:trPr>
          <w:trHeight w:val="397"/>
          <w:jc w:val="center"/>
        </w:trPr>
        <w:tc>
          <w:tcPr>
            <w:tcW w:w="5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序号</w:t>
            </w:r>
          </w:p>
        </w:tc>
        <w:tc>
          <w:tcPr>
            <w:tcW w:w="2077" w:type="pct"/>
            <w:gridSpan w:val="2"/>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项目</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单位</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数量</w:t>
            </w:r>
          </w:p>
        </w:tc>
      </w:tr>
      <w:tr w:rsidR="00C645C9">
        <w:trPr>
          <w:trHeight w:val="397"/>
          <w:jc w:val="center"/>
        </w:trPr>
        <w:tc>
          <w:tcPr>
            <w:tcW w:w="5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1</w:t>
            </w:r>
          </w:p>
        </w:tc>
        <w:tc>
          <w:tcPr>
            <w:tcW w:w="861" w:type="pct"/>
            <w:vMerge w:val="restar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开发指标</w:t>
            </w: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井场数量</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座</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2</w:t>
            </w:r>
          </w:p>
        </w:tc>
      </w:tr>
      <w:tr w:rsidR="00C645C9">
        <w:trPr>
          <w:trHeight w:val="397"/>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2</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管道长度</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km</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0.163</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3</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天然气总产量</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10</w:t>
            </w:r>
            <w:r>
              <w:rPr>
                <w:rFonts w:cs="Times New Roman" w:hint="eastAsia"/>
                <w:spacing w:val="-10"/>
                <w:sz w:val="21"/>
                <w:szCs w:val="21"/>
                <w:vertAlign w:val="superscript"/>
              </w:rPr>
              <w:t>4</w:t>
            </w:r>
            <w:r>
              <w:rPr>
                <w:rFonts w:cs="Times New Roman"/>
                <w:spacing w:val="-10"/>
                <w:sz w:val="21"/>
                <w:szCs w:val="21"/>
              </w:rPr>
              <w:t>m</w:t>
            </w:r>
            <w:r>
              <w:rPr>
                <w:rFonts w:cs="Times New Roman"/>
                <w:spacing w:val="-10"/>
                <w:sz w:val="21"/>
                <w:szCs w:val="21"/>
                <w:vertAlign w:val="superscript"/>
              </w:rPr>
              <w:t>3</w:t>
            </w:r>
            <w:r>
              <w:rPr>
                <w:rFonts w:cs="Times New Roman"/>
                <w:spacing w:val="-10"/>
                <w:sz w:val="21"/>
                <w:szCs w:val="21"/>
              </w:rPr>
              <w:t>/d</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z w:val="21"/>
                <w:szCs w:val="21"/>
              </w:rPr>
              <w:t>8</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4</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凝析油</w:t>
            </w:r>
            <w:r>
              <w:rPr>
                <w:rFonts w:cs="Times New Roman"/>
                <w:spacing w:val="-10"/>
                <w:sz w:val="21"/>
                <w:szCs w:val="21"/>
              </w:rPr>
              <w:t>总产量</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bookmarkStart w:id="581" w:name="OLE_LINK239"/>
            <w:r>
              <w:rPr>
                <w:rFonts w:cs="Times New Roman"/>
                <w:spacing w:val="-10"/>
                <w:sz w:val="21"/>
                <w:szCs w:val="21"/>
              </w:rPr>
              <w:t>t/d</w:t>
            </w:r>
            <w:bookmarkEnd w:id="581"/>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z w:val="21"/>
                <w:szCs w:val="21"/>
              </w:rPr>
              <w:t>40</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5</w:t>
            </w:r>
          </w:p>
        </w:tc>
        <w:tc>
          <w:tcPr>
            <w:tcW w:w="861" w:type="pct"/>
            <w:vMerge w:val="restar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能耗指标</w:t>
            </w: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电力</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10</w:t>
            </w:r>
            <w:r>
              <w:rPr>
                <w:rFonts w:cs="Times New Roman"/>
                <w:spacing w:val="-10"/>
                <w:sz w:val="21"/>
                <w:szCs w:val="21"/>
                <w:vertAlign w:val="superscript"/>
              </w:rPr>
              <w:t>4</w:t>
            </w:r>
            <w:r>
              <w:rPr>
                <w:rFonts w:cs="Times New Roman"/>
                <w:spacing w:val="-10"/>
                <w:sz w:val="21"/>
                <w:szCs w:val="21"/>
              </w:rPr>
              <w:t>kWh/a</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 xml:space="preserve"> </w:t>
            </w:r>
            <w:bookmarkStart w:id="582" w:name="OLE_LINK1122"/>
            <w:r>
              <w:rPr>
                <w:rFonts w:cs="Times New Roman"/>
                <w:spacing w:val="-10"/>
                <w:sz w:val="21"/>
                <w:szCs w:val="21"/>
              </w:rPr>
              <w:t>196.2</w:t>
            </w:r>
            <w:bookmarkEnd w:id="582"/>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6</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天然气</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10</w:t>
            </w:r>
            <w:r>
              <w:rPr>
                <w:rFonts w:cs="Times New Roman" w:hint="eastAsia"/>
                <w:spacing w:val="-10"/>
                <w:sz w:val="21"/>
                <w:szCs w:val="21"/>
                <w:vertAlign w:val="superscript"/>
              </w:rPr>
              <w:t>4</w:t>
            </w:r>
            <w:r>
              <w:rPr>
                <w:rFonts w:cs="Times New Roman"/>
                <w:spacing w:val="-10"/>
                <w:sz w:val="21"/>
                <w:szCs w:val="21"/>
              </w:rPr>
              <w:t>m</w:t>
            </w:r>
            <w:r>
              <w:rPr>
                <w:rFonts w:cs="Times New Roman"/>
                <w:spacing w:val="-10"/>
                <w:sz w:val="21"/>
                <w:szCs w:val="21"/>
                <w:vertAlign w:val="superscript"/>
              </w:rPr>
              <w:t>3</w:t>
            </w:r>
            <w:r>
              <w:rPr>
                <w:rFonts w:cs="Times New Roman"/>
                <w:spacing w:val="-10"/>
                <w:sz w:val="21"/>
                <w:szCs w:val="21"/>
              </w:rPr>
              <w:t>/</w:t>
            </w:r>
            <w:r>
              <w:rPr>
                <w:rFonts w:cs="Times New Roman" w:hint="eastAsia"/>
                <w:spacing w:val="-10"/>
                <w:sz w:val="21"/>
                <w:szCs w:val="21"/>
              </w:rPr>
              <w:t>a</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37.48</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7</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润滑油</w:t>
            </w:r>
          </w:p>
        </w:tc>
        <w:tc>
          <w:tcPr>
            <w:tcW w:w="795"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t/</w:t>
            </w:r>
            <w:r>
              <w:rPr>
                <w:rFonts w:cs="Times New Roman" w:hint="eastAsia"/>
                <w:spacing w:val="-10"/>
                <w:sz w:val="21"/>
                <w:szCs w:val="21"/>
              </w:rPr>
              <w:t>a</w:t>
            </w:r>
          </w:p>
        </w:tc>
        <w:tc>
          <w:tcPr>
            <w:tcW w:w="16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0.5</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bookmarkStart w:id="583" w:name="OLE_LINK240" w:colFirst="4" w:colLast="4"/>
            <w:r>
              <w:rPr>
                <w:rFonts w:cs="Times New Roman" w:hint="eastAsia"/>
                <w:spacing w:val="-10"/>
                <w:sz w:val="21"/>
                <w:szCs w:val="21"/>
              </w:rPr>
              <w:t>8</w:t>
            </w:r>
          </w:p>
        </w:tc>
        <w:tc>
          <w:tcPr>
            <w:tcW w:w="861" w:type="pct"/>
            <w:vMerge w:val="restar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综合指标</w:t>
            </w:r>
          </w:p>
        </w:tc>
        <w:tc>
          <w:tcPr>
            <w:tcW w:w="121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总投资</w:t>
            </w:r>
          </w:p>
        </w:tc>
        <w:tc>
          <w:tcPr>
            <w:tcW w:w="79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万元</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452.5</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9</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环保投资</w:t>
            </w:r>
          </w:p>
        </w:tc>
        <w:tc>
          <w:tcPr>
            <w:tcW w:w="79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万元</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hint="eastAsia"/>
                <w:spacing w:val="-10"/>
                <w:sz w:val="21"/>
                <w:szCs w:val="21"/>
              </w:rPr>
              <w:t>43</w:t>
            </w:r>
          </w:p>
        </w:tc>
      </w:tr>
      <w:bookmarkEnd w:id="583"/>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1</w:t>
            </w:r>
            <w:r>
              <w:rPr>
                <w:rFonts w:cs="Times New Roman" w:hint="eastAsia"/>
                <w:spacing w:val="-10"/>
                <w:sz w:val="21"/>
                <w:szCs w:val="21"/>
              </w:rPr>
              <w:t>0</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pacing w:line="0" w:lineRule="atLeast"/>
              <w:jc w:val="center"/>
              <w:rPr>
                <w:rFonts w:cs="Times New Roman"/>
                <w:spacing w:val="-10"/>
                <w:sz w:val="21"/>
                <w:szCs w:val="21"/>
              </w:rPr>
            </w:pPr>
            <w:bookmarkStart w:id="584" w:name="OLE_LINK238"/>
            <w:r>
              <w:rPr>
                <w:rFonts w:cs="Times New Roman"/>
                <w:spacing w:val="-10"/>
                <w:sz w:val="21"/>
                <w:szCs w:val="21"/>
              </w:rPr>
              <w:t>永久占地</w:t>
            </w:r>
            <w:bookmarkEnd w:id="584"/>
            <w:r>
              <w:rPr>
                <w:rFonts w:cs="Times New Roman"/>
                <w:spacing w:val="-10"/>
                <w:sz w:val="21"/>
                <w:szCs w:val="21"/>
              </w:rPr>
              <w:t>面积</w:t>
            </w:r>
          </w:p>
        </w:tc>
        <w:tc>
          <w:tcPr>
            <w:tcW w:w="795"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hm</w:t>
            </w:r>
            <w:r>
              <w:rPr>
                <w:rFonts w:cs="Times New Roman"/>
                <w:spacing w:val="-10"/>
                <w:sz w:val="21"/>
                <w:szCs w:val="21"/>
                <w:vertAlign w:val="superscript"/>
              </w:rPr>
              <w:t>2</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hint="eastAsia"/>
                <w:sz w:val="21"/>
                <w:szCs w:val="21"/>
              </w:rPr>
              <w:t>3.43</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lastRenderedPageBreak/>
              <w:t>11</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临时占地面积</w:t>
            </w:r>
          </w:p>
        </w:tc>
        <w:tc>
          <w:tcPr>
            <w:tcW w:w="795"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hm</w:t>
            </w:r>
            <w:r>
              <w:rPr>
                <w:rFonts w:cs="Times New Roman"/>
                <w:spacing w:val="-10"/>
                <w:sz w:val="21"/>
                <w:szCs w:val="21"/>
                <w:vertAlign w:val="superscript"/>
              </w:rPr>
              <w:t>2</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hint="eastAsia"/>
                <w:spacing w:val="-10"/>
                <w:sz w:val="21"/>
                <w:szCs w:val="21"/>
              </w:rPr>
              <w:t>0.66</w:t>
            </w:r>
          </w:p>
        </w:tc>
      </w:tr>
      <w:tr w:rsidR="00C645C9">
        <w:trPr>
          <w:trHeight w:val="454"/>
          <w:jc w:val="center"/>
        </w:trPr>
        <w:tc>
          <w:tcPr>
            <w:tcW w:w="868"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12</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劳动定员</w:t>
            </w:r>
          </w:p>
        </w:tc>
        <w:tc>
          <w:tcPr>
            <w:tcW w:w="79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人</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无人值守</w:t>
            </w:r>
          </w:p>
        </w:tc>
      </w:tr>
      <w:tr w:rsidR="00C645C9">
        <w:trPr>
          <w:trHeight w:val="454"/>
          <w:jc w:val="center"/>
        </w:trPr>
        <w:tc>
          <w:tcPr>
            <w:tcW w:w="513"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13</w:t>
            </w:r>
          </w:p>
        </w:tc>
        <w:tc>
          <w:tcPr>
            <w:tcW w:w="861"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21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工作制度</w:t>
            </w:r>
          </w:p>
        </w:tc>
        <w:tc>
          <w:tcPr>
            <w:tcW w:w="795"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h</w:t>
            </w:r>
          </w:p>
        </w:tc>
        <w:tc>
          <w:tcPr>
            <w:tcW w:w="1613"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8760</w:t>
            </w:r>
          </w:p>
        </w:tc>
      </w:tr>
    </w:tbl>
    <w:p w:rsidR="00C645C9" w:rsidRDefault="00F955D9">
      <w:pPr>
        <w:pStyle w:val="a5"/>
        <w:widowControl w:val="0"/>
        <w:snapToGrid w:val="0"/>
        <w:outlineLvl w:val="2"/>
        <w:rPr>
          <w:rFonts w:ascii="Times New Roman" w:hAnsi="Times New Roman" w:cs="Times New Roman"/>
          <w:b/>
          <w:bCs/>
          <w:sz w:val="28"/>
          <w:szCs w:val="28"/>
        </w:rPr>
      </w:pPr>
      <w:bookmarkStart w:id="585" w:name="_Toc9234"/>
      <w:bookmarkStart w:id="586" w:name="_Toc4470"/>
      <w:r>
        <w:rPr>
          <w:rFonts w:ascii="Times New Roman" w:hAnsi="Times New Roman" w:cs="Times New Roman"/>
          <w:b/>
          <w:bCs/>
          <w:sz w:val="28"/>
          <w:szCs w:val="28"/>
        </w:rPr>
        <w:t>3.</w:t>
      </w:r>
      <w:r>
        <w:rPr>
          <w:rFonts w:ascii="Times New Roman" w:hAnsi="Times New Roman" w:cs="Times New Roman" w:hint="eastAsia"/>
          <w:b/>
          <w:bCs/>
          <w:sz w:val="28"/>
          <w:szCs w:val="28"/>
        </w:rPr>
        <w:t>2</w:t>
      </w:r>
      <w:r>
        <w:rPr>
          <w:rFonts w:ascii="Times New Roman" w:hAnsi="Times New Roman" w:cs="Times New Roman"/>
          <w:b/>
          <w:bCs/>
          <w:sz w:val="28"/>
          <w:szCs w:val="28"/>
        </w:rPr>
        <w:t>.4</w:t>
      </w:r>
      <w:bookmarkEnd w:id="585"/>
      <w:bookmarkEnd w:id="586"/>
      <w:r>
        <w:rPr>
          <w:rFonts w:ascii="Times New Roman" w:hAnsi="Times New Roman" w:cs="Times New Roman"/>
          <w:b/>
          <w:bCs/>
          <w:sz w:val="28"/>
          <w:szCs w:val="28"/>
        </w:rPr>
        <w:t>工程组成</w:t>
      </w:r>
    </w:p>
    <w:p w:rsidR="00C645C9" w:rsidRDefault="00F955D9">
      <w:pPr>
        <w:pStyle w:val="a5"/>
        <w:widowControl w:val="0"/>
        <w:snapToGrid w:val="0"/>
        <w:outlineLvl w:val="3"/>
        <w:rPr>
          <w:rFonts w:ascii="Times New Roman" w:hAnsi="Times New Roman" w:cs="Times New Roman"/>
          <w:b/>
          <w:bCs/>
          <w:spacing w:val="-3"/>
        </w:rPr>
      </w:pPr>
      <w:bookmarkStart w:id="587" w:name="_Toc8410"/>
      <w:bookmarkStart w:id="588" w:name="_Toc286"/>
      <w:r>
        <w:rPr>
          <w:rFonts w:ascii="Times New Roman" w:hAnsi="Times New Roman" w:cs="Times New Roman"/>
          <w:b/>
          <w:bCs/>
          <w:spacing w:val="-3"/>
        </w:rPr>
        <w:t>3.</w:t>
      </w:r>
      <w:r>
        <w:rPr>
          <w:rFonts w:ascii="Times New Roman" w:hAnsi="Times New Roman" w:cs="Times New Roman" w:hint="eastAsia"/>
          <w:b/>
          <w:bCs/>
          <w:spacing w:val="-3"/>
        </w:rPr>
        <w:t>2</w:t>
      </w:r>
      <w:r>
        <w:rPr>
          <w:rFonts w:ascii="Times New Roman" w:hAnsi="Times New Roman" w:cs="Times New Roman"/>
          <w:b/>
          <w:bCs/>
          <w:spacing w:val="-3"/>
        </w:rPr>
        <w:t>.</w:t>
      </w:r>
      <w:r>
        <w:rPr>
          <w:rFonts w:ascii="Times New Roman" w:hAnsi="Times New Roman" w:cs="Times New Roman" w:hint="eastAsia"/>
          <w:b/>
          <w:bCs/>
          <w:spacing w:val="-3"/>
        </w:rPr>
        <w:t>4.1</w:t>
      </w:r>
      <w:r>
        <w:rPr>
          <w:rFonts w:ascii="Times New Roman" w:hAnsi="Times New Roman" w:cs="Times New Roman"/>
          <w:b/>
          <w:bCs/>
          <w:spacing w:val="-3"/>
        </w:rPr>
        <w:t>总体开发方案</w:t>
      </w:r>
      <w:bookmarkEnd w:id="587"/>
      <w:bookmarkEnd w:id="588"/>
    </w:p>
    <w:p w:rsidR="00C645C9" w:rsidRDefault="00F955D9">
      <w:pPr>
        <w:pStyle w:val="a5"/>
        <w:widowControl w:val="0"/>
        <w:snapToGrid w:val="0"/>
        <w:ind w:firstLineChars="200" w:firstLine="480"/>
        <w:outlineLvl w:val="3"/>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开发部署</w:t>
      </w:r>
    </w:p>
    <w:p w:rsidR="00C645C9" w:rsidRDefault="00F955D9" w:rsidP="005718BB">
      <w:pPr>
        <w:pStyle w:val="afff3"/>
        <w:adjustRightInd w:val="0"/>
        <w:snapToGrid w:val="0"/>
        <w:spacing w:beforeLines="0" w:before="0" w:afterLines="0" w:after="0" w:line="360" w:lineRule="auto"/>
        <w:ind w:firstLine="480"/>
        <w:jc w:val="both"/>
        <w:rPr>
          <w:rFonts w:cs="Times New Roman"/>
          <w:spacing w:val="-3"/>
          <w:sz w:val="24"/>
        </w:rPr>
      </w:pPr>
      <w:bookmarkStart w:id="589" w:name="OLE_LINK232"/>
      <w:bookmarkStart w:id="590" w:name="OLE_LINK241"/>
      <w:r>
        <w:rPr>
          <w:rFonts w:cs="Times New Roman" w:hint="eastAsia"/>
          <w:sz w:val="24"/>
        </w:rPr>
        <w:t>本工程对</w:t>
      </w:r>
      <w:bookmarkStart w:id="591" w:name="OLE_LINK743"/>
      <w:r>
        <w:rPr>
          <w:rFonts w:cs="Times New Roman"/>
          <w:sz w:val="24"/>
        </w:rPr>
        <w:t>新北</w:t>
      </w:r>
      <w:r>
        <w:rPr>
          <w:rFonts w:cs="Times New Roman"/>
          <w:sz w:val="24"/>
        </w:rPr>
        <w:t>1X</w:t>
      </w:r>
      <w:bookmarkStart w:id="592" w:name="OLE_LINK229"/>
      <w:r>
        <w:rPr>
          <w:rFonts w:cs="Times New Roman"/>
          <w:sz w:val="24"/>
        </w:rPr>
        <w:t>井</w:t>
      </w:r>
      <w:r>
        <w:rPr>
          <w:rFonts w:cs="Times New Roman" w:hint="eastAsia"/>
          <w:sz w:val="24"/>
        </w:rPr>
        <w:t>场</w:t>
      </w:r>
      <w:bookmarkEnd w:id="589"/>
      <w:bookmarkEnd w:id="591"/>
      <w:bookmarkEnd w:id="592"/>
      <w:r>
        <w:rPr>
          <w:rFonts w:cs="Times New Roman" w:hint="eastAsia"/>
          <w:sz w:val="24"/>
        </w:rPr>
        <w:t>和新北</w:t>
      </w:r>
      <w:r>
        <w:rPr>
          <w:rFonts w:cs="Times New Roman" w:hint="eastAsia"/>
          <w:sz w:val="24"/>
        </w:rPr>
        <w:t>7</w:t>
      </w:r>
      <w:r>
        <w:rPr>
          <w:rFonts w:cs="Times New Roman"/>
          <w:sz w:val="24"/>
        </w:rPr>
        <w:t>井</w:t>
      </w:r>
      <w:r>
        <w:rPr>
          <w:rFonts w:cs="Times New Roman" w:hint="eastAsia"/>
          <w:sz w:val="24"/>
        </w:rPr>
        <w:t>场进行布置</w:t>
      </w:r>
      <w:r>
        <w:rPr>
          <w:rFonts w:cs="Times New Roman"/>
          <w:sz w:val="24"/>
        </w:rPr>
        <w:t>，井</w:t>
      </w:r>
      <w:r>
        <w:rPr>
          <w:rFonts w:cs="Times New Roman" w:hint="eastAsia"/>
          <w:sz w:val="24"/>
        </w:rPr>
        <w:t>场</w:t>
      </w:r>
      <w:r>
        <w:rPr>
          <w:rFonts w:cs="Times New Roman"/>
          <w:sz w:val="24"/>
        </w:rPr>
        <w:t>内设置值班室、工具间、仪表间</w:t>
      </w:r>
      <w:r>
        <w:rPr>
          <w:rFonts w:cs="Times New Roman" w:hint="eastAsia"/>
          <w:sz w:val="24"/>
        </w:rPr>
        <w:t>、</w:t>
      </w:r>
      <w:r>
        <w:rPr>
          <w:rFonts w:cs="Times New Roman" w:hint="eastAsia"/>
          <w:sz w:val="24"/>
        </w:rPr>
        <w:t>油气分离流程</w:t>
      </w:r>
      <w:r>
        <w:rPr>
          <w:rFonts w:cs="Times New Roman"/>
          <w:sz w:val="24"/>
        </w:rPr>
        <w:t>、</w:t>
      </w:r>
      <w:bookmarkStart w:id="593" w:name="OLE_LINK233"/>
      <w:r>
        <w:rPr>
          <w:rFonts w:cs="Times New Roman" w:hint="eastAsia"/>
          <w:sz w:val="24"/>
        </w:rPr>
        <w:t>脱水脱烃</w:t>
      </w:r>
      <w:bookmarkEnd w:id="593"/>
      <w:r>
        <w:rPr>
          <w:rFonts w:cs="Times New Roman" w:hint="eastAsia"/>
          <w:sz w:val="24"/>
        </w:rPr>
        <w:t>设备</w:t>
      </w:r>
      <w:r>
        <w:rPr>
          <w:rFonts w:cs="Times New Roman"/>
          <w:sz w:val="24"/>
        </w:rPr>
        <w:t>、</w:t>
      </w:r>
      <w:r>
        <w:rPr>
          <w:rFonts w:cs="Times New Roman" w:hint="eastAsia"/>
          <w:sz w:val="24"/>
        </w:rPr>
        <w:t>加热炉、</w:t>
      </w:r>
      <w:bookmarkStart w:id="594" w:name="OLE_LINK230"/>
      <w:r>
        <w:rPr>
          <w:rFonts w:cs="Times New Roman" w:hint="eastAsia"/>
          <w:sz w:val="24"/>
        </w:rPr>
        <w:t>火炬区</w:t>
      </w:r>
      <w:bookmarkEnd w:id="594"/>
      <w:r>
        <w:rPr>
          <w:rFonts w:cs="Times New Roman"/>
          <w:sz w:val="24"/>
        </w:rPr>
        <w:t>，同时预留</w:t>
      </w:r>
      <w:bookmarkStart w:id="595" w:name="OLE_LINK231"/>
      <w:r>
        <w:rPr>
          <w:rFonts w:cs="Times New Roman"/>
          <w:sz w:val="24"/>
        </w:rPr>
        <w:t>变压器</w:t>
      </w:r>
      <w:bookmarkEnd w:id="595"/>
      <w:r>
        <w:rPr>
          <w:rFonts w:cs="Times New Roman"/>
          <w:sz w:val="24"/>
        </w:rPr>
        <w:t>位置。火炬区位于井</w:t>
      </w:r>
      <w:r>
        <w:rPr>
          <w:rFonts w:cs="Times New Roman" w:hint="eastAsia"/>
          <w:sz w:val="24"/>
        </w:rPr>
        <w:t>场</w:t>
      </w:r>
      <w:r>
        <w:rPr>
          <w:rFonts w:cs="Times New Roman"/>
          <w:sz w:val="24"/>
        </w:rPr>
        <w:t>北侧</w:t>
      </w:r>
      <w:r>
        <w:rPr>
          <w:rFonts w:cs="Times New Roman" w:hint="eastAsia"/>
          <w:sz w:val="24"/>
        </w:rPr>
        <w:t>78</w:t>
      </w:r>
      <w:r>
        <w:rPr>
          <w:rFonts w:cs="Times New Roman"/>
          <w:sz w:val="24"/>
        </w:rPr>
        <w:t>m</w:t>
      </w:r>
      <w:r>
        <w:rPr>
          <w:rFonts w:cs="Times New Roman"/>
          <w:sz w:val="24"/>
        </w:rPr>
        <w:t>处。</w:t>
      </w:r>
      <w:bookmarkStart w:id="596" w:name="OLE_LINK243"/>
      <w:bookmarkEnd w:id="590"/>
      <w:r>
        <w:rPr>
          <w:rFonts w:cs="Times New Roman"/>
          <w:sz w:val="24"/>
        </w:rPr>
        <w:t>井口产液经井</w:t>
      </w:r>
      <w:r>
        <w:rPr>
          <w:rFonts w:cs="Times New Roman" w:hint="eastAsia"/>
          <w:sz w:val="24"/>
        </w:rPr>
        <w:t>场</w:t>
      </w:r>
      <w:r>
        <w:rPr>
          <w:rFonts w:cs="Times New Roman"/>
          <w:sz w:val="24"/>
        </w:rPr>
        <w:t>油气分离后，天然气</w:t>
      </w:r>
      <w:r>
        <w:rPr>
          <w:rFonts w:cs="Times New Roman" w:hint="eastAsia"/>
          <w:sz w:val="24"/>
        </w:rPr>
        <w:t>脱水脱烃</w:t>
      </w:r>
      <w:r>
        <w:rPr>
          <w:rFonts w:cs="Times New Roman"/>
          <w:sz w:val="24"/>
        </w:rPr>
        <w:t>经调压计量后就地销售</w:t>
      </w:r>
      <w:r>
        <w:rPr>
          <w:rFonts w:cs="Times New Roman" w:hint="eastAsia"/>
          <w:sz w:val="24"/>
        </w:rPr>
        <w:t>给地方企业</w:t>
      </w:r>
      <w:r>
        <w:rPr>
          <w:rFonts w:cs="Times New Roman"/>
          <w:sz w:val="24"/>
        </w:rPr>
        <w:t>，</w:t>
      </w:r>
      <w:bookmarkStart w:id="597" w:name="OLE_LINK234"/>
      <w:r>
        <w:rPr>
          <w:rFonts w:cs="Times New Roman"/>
          <w:sz w:val="24"/>
        </w:rPr>
        <w:t>凝析油装车外运至雅克拉集气处理站处理</w:t>
      </w:r>
      <w:bookmarkEnd w:id="597"/>
      <w:r>
        <w:rPr>
          <w:rFonts w:cs="Times New Roman"/>
          <w:sz w:val="24"/>
        </w:rPr>
        <w:t>。凝析油装车时的</w:t>
      </w:r>
      <w:r>
        <w:rPr>
          <w:rFonts w:cs="Times New Roman"/>
          <w:sz w:val="24"/>
        </w:rPr>
        <w:t>VOCs</w:t>
      </w:r>
      <w:r>
        <w:rPr>
          <w:rFonts w:cs="Times New Roman"/>
          <w:sz w:val="24"/>
        </w:rPr>
        <w:t>通过密闭装车鹤管返回加热炉炉膛伴烧</w:t>
      </w:r>
      <w:r>
        <w:rPr>
          <w:rFonts w:cs="Times New Roman" w:hint="eastAsia"/>
          <w:sz w:val="24"/>
        </w:rPr>
        <w:t>，事故状态下</w:t>
      </w:r>
      <w:r>
        <w:rPr>
          <w:rFonts w:cs="Times New Roman"/>
          <w:sz w:val="24"/>
        </w:rPr>
        <w:t>去往</w:t>
      </w:r>
      <w:r>
        <w:rPr>
          <w:rFonts w:cs="Times New Roman" w:hint="eastAsia"/>
          <w:sz w:val="24"/>
        </w:rPr>
        <w:t>井场</w:t>
      </w:r>
      <w:r>
        <w:rPr>
          <w:rFonts w:cs="Times New Roman"/>
          <w:sz w:val="24"/>
        </w:rPr>
        <w:t>火炬放空燃烧处理。</w:t>
      </w:r>
      <w:bookmarkStart w:id="598" w:name="OLE_LINK242"/>
      <w:bookmarkEnd w:id="596"/>
      <w:r>
        <w:rPr>
          <w:rFonts w:cs="Times New Roman" w:hint="eastAsia"/>
          <w:spacing w:val="-3"/>
          <w:sz w:val="24"/>
        </w:rPr>
        <w:t>本</w:t>
      </w:r>
      <w:bookmarkStart w:id="599" w:name="OLE_LINK237"/>
      <w:r>
        <w:rPr>
          <w:rFonts w:cs="Times New Roman" w:hint="eastAsia"/>
          <w:spacing w:val="-3"/>
          <w:sz w:val="24"/>
        </w:rPr>
        <w:t>工程</w:t>
      </w:r>
      <w:bookmarkEnd w:id="599"/>
      <w:r>
        <w:rPr>
          <w:rFonts w:cs="Times New Roman" w:hint="eastAsia"/>
          <w:spacing w:val="-3"/>
          <w:sz w:val="24"/>
        </w:rPr>
        <w:t>平面布置图见图</w:t>
      </w:r>
      <w:bookmarkEnd w:id="598"/>
      <w:r>
        <w:rPr>
          <w:rFonts w:cs="Times New Roman" w:hint="eastAsia"/>
          <w:spacing w:val="-3"/>
          <w:sz w:val="24"/>
        </w:rPr>
        <w:t>3</w:t>
      </w:r>
      <w:r>
        <w:rPr>
          <w:rFonts w:cs="Times New Roman"/>
          <w:spacing w:val="-3"/>
          <w:sz w:val="24"/>
        </w:rPr>
        <w:t>.2-</w:t>
      </w:r>
      <w:r>
        <w:rPr>
          <w:rFonts w:cs="Times New Roman" w:hint="eastAsia"/>
          <w:spacing w:val="-3"/>
          <w:sz w:val="24"/>
        </w:rPr>
        <w:t>2~3</w:t>
      </w:r>
      <w:r>
        <w:rPr>
          <w:rFonts w:cs="Times New Roman"/>
          <w:spacing w:val="-3"/>
          <w:sz w:val="24"/>
        </w:rPr>
        <w:t>。</w:t>
      </w:r>
    </w:p>
    <w:p w:rsidR="00C645C9" w:rsidRDefault="00F955D9">
      <w:pPr>
        <w:pStyle w:val="a5"/>
        <w:widowControl w:val="0"/>
        <w:snapToGrid w:val="0"/>
        <w:ind w:firstLineChars="200" w:firstLine="480"/>
        <w:outlineLvl w:val="3"/>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开发指标预测</w:t>
      </w:r>
    </w:p>
    <w:p w:rsidR="00C645C9" w:rsidRDefault="00F955D9" w:rsidP="005718BB">
      <w:pPr>
        <w:pStyle w:val="a6"/>
        <w:ind w:firstLine="480"/>
        <w:sectPr w:rsidR="00C645C9">
          <w:pgSz w:w="11905" w:h="16838"/>
          <w:pgMar w:top="1389" w:right="1729" w:bottom="1202" w:left="1769" w:header="935" w:footer="1134" w:gutter="0"/>
          <w:cols w:space="0"/>
          <w:docGrid w:linePitch="312"/>
        </w:sectPr>
      </w:pPr>
      <w:r>
        <w:rPr>
          <w:szCs w:val="22"/>
        </w:rPr>
        <w:t>新北</w:t>
      </w:r>
      <w:r>
        <w:rPr>
          <w:rFonts w:hint="eastAsia"/>
          <w:szCs w:val="22"/>
        </w:rPr>
        <w:t>区块</w:t>
      </w:r>
      <w:r>
        <w:rPr>
          <w:rFonts w:hAnsi="宋体" w:cs="宋体" w:hint="eastAsia"/>
          <w:szCs w:val="28"/>
        </w:rPr>
        <w:t>预计最高年产</w:t>
      </w:r>
      <w:r>
        <w:rPr>
          <w:rFonts w:hint="eastAsia"/>
        </w:rPr>
        <w:t>天然</w:t>
      </w:r>
      <w:r>
        <w:rPr>
          <w:rFonts w:hint="eastAsia"/>
        </w:rPr>
        <w:t>气</w:t>
      </w:r>
      <w:r>
        <w:rPr>
          <w:rFonts w:hint="eastAsia"/>
        </w:rPr>
        <w:t>0.18</w:t>
      </w:r>
      <w:r>
        <w:rPr>
          <w:rFonts w:hint="eastAsia"/>
        </w:rPr>
        <w:t>×</w:t>
      </w:r>
      <w:r>
        <w:rPr>
          <w:rFonts w:hint="eastAsia"/>
        </w:rPr>
        <w:t>10</w:t>
      </w:r>
      <w:r>
        <w:rPr>
          <w:rFonts w:hint="eastAsia"/>
          <w:vertAlign w:val="superscript"/>
        </w:rPr>
        <w:t>8</w:t>
      </w:r>
      <w:r>
        <w:rPr>
          <w:rFonts w:hint="eastAsia"/>
        </w:rPr>
        <w:t>m</w:t>
      </w:r>
      <w:r>
        <w:rPr>
          <w:vertAlign w:val="superscript"/>
        </w:rPr>
        <w:t>3</w:t>
      </w:r>
      <w:r>
        <w:t>/a</w:t>
      </w:r>
      <w:r>
        <w:rPr>
          <w:rFonts w:hAnsi="宋体" w:cs="宋体" w:hint="eastAsia"/>
          <w:szCs w:val="28"/>
        </w:rPr>
        <w:t>，</w:t>
      </w:r>
      <w:r>
        <w:rPr>
          <w:rFonts w:hint="eastAsia"/>
          <w:szCs w:val="24"/>
        </w:rPr>
        <w:t>凝析油</w:t>
      </w:r>
      <w:r>
        <w:rPr>
          <w:szCs w:val="24"/>
        </w:rPr>
        <w:t>0.</w:t>
      </w:r>
      <w:r>
        <w:rPr>
          <w:rFonts w:hint="eastAsia"/>
          <w:szCs w:val="24"/>
        </w:rPr>
        <w:t>67</w:t>
      </w:r>
      <w:r>
        <w:rPr>
          <w:rFonts w:hint="eastAsia"/>
        </w:rPr>
        <w:t>×</w:t>
      </w:r>
      <w:r>
        <w:rPr>
          <w:rFonts w:hint="eastAsia"/>
        </w:rPr>
        <w:t>10</w:t>
      </w:r>
      <w:r>
        <w:rPr>
          <w:rFonts w:hint="eastAsia"/>
          <w:vertAlign w:val="superscript"/>
        </w:rPr>
        <w:t>4</w:t>
      </w:r>
      <w:r>
        <w:t>t/a</w:t>
      </w:r>
      <w:r>
        <w:rPr>
          <w:rFonts w:hint="eastAsia"/>
        </w:rPr>
        <w:t>。</w:t>
      </w:r>
    </w:p>
    <w:p w:rsidR="00C645C9" w:rsidRDefault="00C645C9">
      <w:pPr>
        <w:pStyle w:val="a6"/>
        <w:spacing w:line="240" w:lineRule="auto"/>
        <w:ind w:firstLineChars="0" w:firstLine="0"/>
        <w:jc w:val="center"/>
      </w:pPr>
    </w:p>
    <w:p w:rsidR="00C645C9" w:rsidRDefault="00F955D9">
      <w:pPr>
        <w:spacing w:line="360" w:lineRule="auto"/>
        <w:jc w:val="center"/>
        <w:rPr>
          <w:rFonts w:eastAsia="黑体" w:cs="Times New Roman"/>
          <w:sz w:val="21"/>
          <w:szCs w:val="21"/>
        </w:rPr>
      </w:pPr>
      <w:r>
        <w:rPr>
          <w:rFonts w:eastAsia="黑体" w:cs="Times New Roman"/>
          <w:sz w:val="21"/>
          <w:szCs w:val="21"/>
        </w:rPr>
        <w:t>图</w:t>
      </w:r>
      <w:r>
        <w:rPr>
          <w:rFonts w:eastAsia="黑体" w:cs="Times New Roman"/>
          <w:sz w:val="21"/>
          <w:szCs w:val="21"/>
        </w:rPr>
        <w:t>3.</w:t>
      </w:r>
      <w:r>
        <w:rPr>
          <w:rFonts w:eastAsia="黑体" w:cs="Times New Roman" w:hint="eastAsia"/>
          <w:sz w:val="21"/>
          <w:szCs w:val="21"/>
        </w:rPr>
        <w:t>2</w:t>
      </w:r>
      <w:r>
        <w:rPr>
          <w:rFonts w:eastAsia="黑体" w:cs="Times New Roman"/>
          <w:sz w:val="21"/>
          <w:szCs w:val="21"/>
        </w:rPr>
        <w:t xml:space="preserve">-2   </w:t>
      </w:r>
      <w:bookmarkStart w:id="600" w:name="OLE_LINK1450"/>
      <w:bookmarkStart w:id="601" w:name="OLE_LINK1451"/>
      <w:r>
        <w:rPr>
          <w:rFonts w:eastAsia="黑体" w:cs="Times New Roman"/>
          <w:sz w:val="21"/>
          <w:szCs w:val="21"/>
        </w:rPr>
        <w:t>新北</w:t>
      </w:r>
      <w:r>
        <w:rPr>
          <w:rFonts w:eastAsia="黑体" w:cs="Times New Roman"/>
          <w:sz w:val="21"/>
          <w:szCs w:val="21"/>
        </w:rPr>
        <w:t>1X</w:t>
      </w:r>
      <w:r>
        <w:rPr>
          <w:rFonts w:eastAsia="黑体" w:cs="Times New Roman" w:hint="eastAsia"/>
          <w:sz w:val="21"/>
          <w:szCs w:val="21"/>
        </w:rPr>
        <w:t>井</w:t>
      </w:r>
      <w:bookmarkEnd w:id="600"/>
      <w:r>
        <w:rPr>
          <w:rFonts w:eastAsia="黑体" w:cs="Times New Roman" w:hint="eastAsia"/>
          <w:sz w:val="21"/>
          <w:szCs w:val="21"/>
        </w:rPr>
        <w:t>井场</w:t>
      </w:r>
      <w:r>
        <w:rPr>
          <w:rFonts w:eastAsia="黑体" w:cs="Times New Roman"/>
          <w:sz w:val="21"/>
          <w:szCs w:val="21"/>
        </w:rPr>
        <w:t>平面布置图</w:t>
      </w:r>
      <w:bookmarkEnd w:id="601"/>
    </w:p>
    <w:p w:rsidR="00C645C9" w:rsidRDefault="00F955D9">
      <w:pPr>
        <w:spacing w:line="360" w:lineRule="auto"/>
        <w:jc w:val="center"/>
        <w:rPr>
          <w:rFonts w:eastAsia="黑体" w:cs="Times New Roman"/>
          <w:sz w:val="21"/>
          <w:szCs w:val="21"/>
        </w:rPr>
      </w:pPr>
      <w:r>
        <w:rPr>
          <w:rFonts w:eastAsia="黑体" w:cs="Times New Roman"/>
          <w:sz w:val="21"/>
          <w:szCs w:val="21"/>
        </w:rPr>
        <w:t>图</w:t>
      </w:r>
      <w:r>
        <w:rPr>
          <w:rFonts w:eastAsia="黑体" w:cs="Times New Roman"/>
          <w:sz w:val="21"/>
          <w:szCs w:val="21"/>
        </w:rPr>
        <w:t>3.</w:t>
      </w:r>
      <w:r>
        <w:rPr>
          <w:rFonts w:eastAsia="黑体" w:cs="Times New Roman" w:hint="eastAsia"/>
          <w:sz w:val="21"/>
          <w:szCs w:val="21"/>
        </w:rPr>
        <w:t>2</w:t>
      </w:r>
      <w:r>
        <w:rPr>
          <w:rFonts w:eastAsia="黑体" w:cs="Times New Roman"/>
          <w:sz w:val="21"/>
          <w:szCs w:val="21"/>
        </w:rPr>
        <w:t>-</w:t>
      </w:r>
      <w:r>
        <w:rPr>
          <w:rFonts w:eastAsia="黑体" w:cs="Times New Roman" w:hint="eastAsia"/>
          <w:sz w:val="21"/>
          <w:szCs w:val="21"/>
        </w:rPr>
        <w:t>3</w:t>
      </w:r>
      <w:r>
        <w:rPr>
          <w:rFonts w:eastAsia="黑体" w:cs="Times New Roman"/>
          <w:sz w:val="21"/>
          <w:szCs w:val="21"/>
        </w:rPr>
        <w:t xml:space="preserve">   </w:t>
      </w:r>
      <w:r>
        <w:rPr>
          <w:rFonts w:eastAsia="黑体" w:cs="Times New Roman"/>
          <w:sz w:val="21"/>
          <w:szCs w:val="21"/>
        </w:rPr>
        <w:t>新北</w:t>
      </w:r>
      <w:r>
        <w:rPr>
          <w:rFonts w:eastAsia="黑体" w:cs="Times New Roman" w:hint="eastAsia"/>
          <w:sz w:val="21"/>
          <w:szCs w:val="21"/>
        </w:rPr>
        <w:t>7</w:t>
      </w:r>
      <w:r>
        <w:rPr>
          <w:rFonts w:eastAsia="黑体" w:cs="Times New Roman" w:hint="eastAsia"/>
          <w:sz w:val="21"/>
          <w:szCs w:val="21"/>
        </w:rPr>
        <w:t>井井场</w:t>
      </w:r>
      <w:r>
        <w:rPr>
          <w:rFonts w:eastAsia="黑体" w:cs="Times New Roman"/>
          <w:sz w:val="21"/>
          <w:szCs w:val="21"/>
        </w:rPr>
        <w:t>平面布置图</w:t>
      </w:r>
    </w:p>
    <w:p w:rsidR="00C645C9" w:rsidRDefault="00C645C9" w:rsidP="005718BB">
      <w:pPr>
        <w:pStyle w:val="a6"/>
        <w:ind w:firstLine="480"/>
        <w:sectPr w:rsidR="00C645C9">
          <w:pgSz w:w="16838" w:h="11905" w:orient="landscape"/>
          <w:pgMar w:top="1769" w:right="1389" w:bottom="1729" w:left="1202" w:header="935" w:footer="1134" w:gutter="0"/>
          <w:cols w:space="0"/>
          <w:docGrid w:linePitch="312"/>
        </w:sectPr>
      </w:pPr>
    </w:p>
    <w:p w:rsidR="00C645C9" w:rsidRDefault="00C645C9" w:rsidP="005718BB">
      <w:pPr>
        <w:pStyle w:val="a6"/>
        <w:ind w:firstLine="480"/>
      </w:pPr>
    </w:p>
    <w:p w:rsidR="00C645C9" w:rsidRDefault="00F955D9">
      <w:pPr>
        <w:pStyle w:val="4"/>
        <w:rPr>
          <w:rFonts w:ascii="Times New Roman" w:hAnsi="Times New Roman" w:cs="Times New Roman"/>
          <w:bCs/>
          <w:snapToGrid/>
          <w:color w:val="auto"/>
          <w:spacing w:val="-3"/>
          <w:szCs w:val="24"/>
          <w:lang w:eastAsia="zh-CN"/>
        </w:rPr>
      </w:pPr>
      <w:hyperlink r:id="rId22" w:history="1">
        <w:r>
          <w:rPr>
            <w:rFonts w:ascii="Times New Roman" w:hAnsi="Times New Roman" w:cs="Times New Roman"/>
            <w:bCs/>
            <w:snapToGrid/>
            <w:color w:val="auto"/>
            <w:spacing w:val="-3"/>
            <w:szCs w:val="24"/>
            <w:lang w:eastAsia="zh-CN"/>
          </w:rPr>
          <w:t>3.</w:t>
        </w:r>
        <w:r>
          <w:rPr>
            <w:rFonts w:ascii="Times New Roman" w:hAnsi="Times New Roman" w:cs="Times New Roman" w:hint="eastAsia"/>
            <w:bCs/>
            <w:snapToGrid/>
            <w:color w:val="auto"/>
            <w:spacing w:val="-3"/>
            <w:szCs w:val="24"/>
            <w:lang w:eastAsia="zh-CN"/>
          </w:rPr>
          <w:t>2</w:t>
        </w:r>
        <w:r>
          <w:rPr>
            <w:rFonts w:ascii="Times New Roman" w:hAnsi="Times New Roman" w:cs="Times New Roman"/>
            <w:bCs/>
            <w:snapToGrid/>
            <w:color w:val="auto"/>
            <w:spacing w:val="-3"/>
            <w:szCs w:val="24"/>
            <w:lang w:eastAsia="zh-CN"/>
          </w:rPr>
          <w:t>.4.</w:t>
        </w:r>
        <w:r>
          <w:rPr>
            <w:rFonts w:ascii="Times New Roman" w:hAnsi="Times New Roman" w:cs="Times New Roman" w:hint="eastAsia"/>
            <w:bCs/>
            <w:snapToGrid/>
            <w:color w:val="auto"/>
            <w:spacing w:val="-3"/>
            <w:szCs w:val="24"/>
            <w:lang w:eastAsia="zh-CN"/>
          </w:rPr>
          <w:t>2</w:t>
        </w:r>
      </w:hyperlink>
      <w:r>
        <w:rPr>
          <w:rFonts w:ascii="Times New Roman" w:hAnsi="Times New Roman" w:cs="Times New Roman" w:hint="eastAsia"/>
          <w:bCs/>
          <w:snapToGrid/>
          <w:color w:val="auto"/>
          <w:spacing w:val="-3"/>
          <w:szCs w:val="24"/>
          <w:lang w:eastAsia="zh-CN"/>
        </w:rPr>
        <w:t>主体工程</w:t>
      </w:r>
    </w:p>
    <w:p w:rsidR="00C645C9" w:rsidRDefault="00F955D9">
      <w:pPr>
        <w:pStyle w:val="4"/>
        <w:ind w:firstLineChars="200" w:firstLine="480"/>
        <w:rPr>
          <w:rFonts w:ascii="Times New Roman" w:hAnsi="Times New Roman" w:cs="Times New Roman"/>
          <w:b w:val="0"/>
          <w:snapToGrid/>
          <w:color w:val="auto"/>
          <w:szCs w:val="24"/>
          <w:lang w:eastAsia="zh-CN"/>
        </w:rPr>
      </w:pPr>
      <w:bookmarkStart w:id="602" w:name="OLE_LINK264"/>
      <w:r>
        <w:rPr>
          <w:rFonts w:ascii="Times New Roman" w:hAnsi="Times New Roman" w:cs="Times New Roman"/>
          <w:b w:val="0"/>
          <w:snapToGrid/>
          <w:color w:val="auto"/>
          <w:szCs w:val="24"/>
          <w:lang w:eastAsia="zh-CN"/>
        </w:rPr>
        <w:t>（</w:t>
      </w:r>
      <w:r>
        <w:rPr>
          <w:rFonts w:ascii="Times New Roman" w:hAnsi="Times New Roman" w:cs="Times New Roman" w:hint="eastAsia"/>
          <w:b w:val="0"/>
          <w:snapToGrid/>
          <w:color w:val="auto"/>
          <w:szCs w:val="24"/>
          <w:lang w:eastAsia="zh-CN"/>
        </w:rPr>
        <w:t>1</w:t>
      </w:r>
      <w:r>
        <w:rPr>
          <w:rFonts w:ascii="Times New Roman" w:hAnsi="Times New Roman" w:cs="Times New Roman"/>
          <w:b w:val="0"/>
          <w:snapToGrid/>
          <w:color w:val="auto"/>
          <w:szCs w:val="24"/>
          <w:lang w:eastAsia="zh-CN"/>
        </w:rPr>
        <w:t>）</w:t>
      </w:r>
      <w:bookmarkStart w:id="603" w:name="OLE_LINK746"/>
      <w:r>
        <w:rPr>
          <w:rFonts w:ascii="Times New Roman" w:hAnsi="Times New Roman" w:cs="Times New Roman" w:hint="eastAsia"/>
          <w:b w:val="0"/>
          <w:snapToGrid/>
          <w:color w:val="auto"/>
          <w:szCs w:val="24"/>
          <w:lang w:eastAsia="zh-CN"/>
        </w:rPr>
        <w:t>钻井</w:t>
      </w:r>
      <w:r>
        <w:rPr>
          <w:rFonts w:ascii="Times New Roman" w:hAnsi="Times New Roman" w:cs="Times New Roman"/>
          <w:b w:val="0"/>
          <w:snapToGrid/>
          <w:color w:val="auto"/>
          <w:szCs w:val="24"/>
          <w:lang w:eastAsia="zh-CN"/>
        </w:rPr>
        <w:t>工程</w:t>
      </w:r>
      <w:bookmarkEnd w:id="603"/>
    </w:p>
    <w:p w:rsidR="00C645C9" w:rsidRDefault="00F955D9">
      <w:pPr>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1 \* GB3 \* MERGEFORMAT </w:instrText>
      </w:r>
      <w:r>
        <w:rPr>
          <w:rFonts w:cs="Times New Roman" w:hint="eastAsia"/>
        </w:rPr>
        <w:fldChar w:fldCharType="separate"/>
      </w:r>
      <w:r>
        <w:rPr>
          <w:rFonts w:cs="Times New Roman" w:hint="eastAsia"/>
        </w:rPr>
        <w:t>①</w:t>
      </w:r>
      <w:r>
        <w:rPr>
          <w:rFonts w:cs="Times New Roman" w:hint="eastAsia"/>
        </w:rPr>
        <w:fldChar w:fldCharType="end"/>
      </w:r>
      <w:r>
        <w:rPr>
          <w:rFonts w:cs="Times New Roman" w:hint="eastAsia"/>
        </w:rPr>
        <w:t>钻井</w:t>
      </w:r>
      <w:r>
        <w:rPr>
          <w:rFonts w:cs="Times New Roman"/>
        </w:rPr>
        <w:t>工程</w:t>
      </w:r>
    </w:p>
    <w:p w:rsidR="00C645C9" w:rsidRDefault="00F955D9">
      <w:pPr>
        <w:spacing w:line="360" w:lineRule="auto"/>
        <w:ind w:firstLineChars="200" w:firstLine="480"/>
        <w:rPr>
          <w:rFonts w:cs="Times New Roman"/>
        </w:rPr>
      </w:pPr>
      <w:r>
        <w:rPr>
          <w:rFonts w:cs="Times New Roman" w:hint="eastAsia"/>
        </w:rPr>
        <w:t>本工程共部署</w:t>
      </w:r>
      <w:r>
        <w:rPr>
          <w:rFonts w:cs="Times New Roman" w:hint="eastAsia"/>
        </w:rPr>
        <w:t>2</w:t>
      </w:r>
      <w:r>
        <w:rPr>
          <w:rFonts w:cs="Times New Roman" w:hint="eastAsia"/>
        </w:rPr>
        <w:t>口井，其中</w:t>
      </w:r>
      <w:bookmarkStart w:id="604" w:name="OLE_LINK747"/>
      <w:bookmarkStart w:id="605" w:name="OLE_LINK745"/>
      <w:r>
        <w:rPr>
          <w:rFonts w:cs="Times New Roman" w:hint="eastAsia"/>
        </w:rPr>
        <w:t>新北</w:t>
      </w:r>
      <w:r>
        <w:rPr>
          <w:rFonts w:cs="Times New Roman" w:hint="eastAsia"/>
        </w:rPr>
        <w:t>1</w:t>
      </w:r>
      <w:bookmarkEnd w:id="604"/>
      <w:r>
        <w:rPr>
          <w:rFonts w:cs="Times New Roman" w:hint="eastAsia"/>
        </w:rPr>
        <w:t>X</w:t>
      </w:r>
      <w:r>
        <w:rPr>
          <w:rFonts w:cs="Times New Roman" w:hint="eastAsia"/>
        </w:rPr>
        <w:t>井</w:t>
      </w:r>
      <w:bookmarkEnd w:id="605"/>
      <w:r>
        <w:rPr>
          <w:rFonts w:cs="Times New Roman" w:hint="eastAsia"/>
        </w:rPr>
        <w:t>已单独做勘探井环评，并取得阿克苏地区生态环境局审批文件（阿地环审〔</w:t>
      </w:r>
      <w:r>
        <w:rPr>
          <w:rFonts w:cs="Times New Roman" w:hint="eastAsia"/>
        </w:rPr>
        <w:t>2022</w:t>
      </w:r>
      <w:r>
        <w:rPr>
          <w:rFonts w:cs="Times New Roman" w:hint="eastAsia"/>
        </w:rPr>
        <w:t>〕</w:t>
      </w:r>
      <w:r>
        <w:rPr>
          <w:rFonts w:cs="Times New Roman" w:hint="eastAsia"/>
        </w:rPr>
        <w:t xml:space="preserve">347 </w:t>
      </w:r>
      <w:r>
        <w:rPr>
          <w:rFonts w:cs="Times New Roman" w:hint="eastAsia"/>
        </w:rPr>
        <w:t>号），</w:t>
      </w:r>
      <w:r>
        <w:rPr>
          <w:rFonts w:cs="Times New Roman" w:hint="eastAsia"/>
        </w:rPr>
        <w:t>本工程</w:t>
      </w:r>
      <w:r>
        <w:rPr>
          <w:rFonts w:cs="Times New Roman" w:hint="eastAsia"/>
        </w:rPr>
        <w:t>新北</w:t>
      </w:r>
      <w:r>
        <w:rPr>
          <w:rFonts w:cs="Times New Roman" w:hint="eastAsia"/>
        </w:rPr>
        <w:t>1X</w:t>
      </w:r>
      <w:r>
        <w:rPr>
          <w:rFonts w:cs="Times New Roman" w:hint="eastAsia"/>
        </w:rPr>
        <w:t>井</w:t>
      </w:r>
      <w:r>
        <w:rPr>
          <w:rFonts w:cs="Times New Roman" w:hint="eastAsia"/>
        </w:rPr>
        <w:t>为老井侧钻井</w:t>
      </w:r>
      <w:r>
        <w:rPr>
          <w:rFonts w:cs="Times New Roman" w:hint="eastAsia"/>
        </w:rPr>
        <w:t>。</w:t>
      </w:r>
      <w:bookmarkStart w:id="606" w:name="OLE_LINK1253"/>
      <w:r>
        <w:rPr>
          <w:rFonts w:cs="Times New Roman" w:hint="eastAsia"/>
        </w:rPr>
        <w:t>新北</w:t>
      </w:r>
      <w:r>
        <w:rPr>
          <w:rFonts w:cs="Times New Roman" w:hint="eastAsia"/>
        </w:rPr>
        <w:t>7</w:t>
      </w:r>
      <w:r>
        <w:rPr>
          <w:rFonts w:cs="Times New Roman" w:hint="eastAsia"/>
        </w:rPr>
        <w:t>井</w:t>
      </w:r>
      <w:bookmarkEnd w:id="606"/>
      <w:r>
        <w:rPr>
          <w:rFonts w:cs="Times New Roman" w:hint="eastAsia"/>
        </w:rPr>
        <w:t>为</w:t>
      </w:r>
      <w:r>
        <w:rPr>
          <w:rFonts w:cs="Times New Roman" w:hint="eastAsia"/>
        </w:rPr>
        <w:t>新钻井</w:t>
      </w:r>
      <w:r>
        <w:rPr>
          <w:rFonts w:cs="Times New Roman" w:hint="eastAsia"/>
        </w:rPr>
        <w:t>，井深</w:t>
      </w:r>
      <w:r>
        <w:rPr>
          <w:rFonts w:cs="Times New Roman" w:hint="eastAsia"/>
        </w:rPr>
        <w:t>6331.28m</w:t>
      </w:r>
      <w:r>
        <w:rPr>
          <w:rFonts w:cs="Times New Roman" w:hint="eastAsia"/>
        </w:rPr>
        <w:t>。井场附近不设置施工营地，钻井队生活营地依托附近已有居住设施。本工程钻井工程主要工程量见表</w:t>
      </w:r>
      <w:bookmarkStart w:id="607" w:name="OLE_LINK748"/>
      <w:r>
        <w:rPr>
          <w:rFonts w:cs="Times New Roman" w:hint="eastAsia"/>
        </w:rPr>
        <w:t>3.2-3</w:t>
      </w:r>
      <w:bookmarkEnd w:id="607"/>
      <w:r>
        <w:rPr>
          <w:rFonts w:cs="Times New Roman" w:hint="eastAsia"/>
        </w:rPr>
        <w:t>。钻井期平面布置见图</w:t>
      </w:r>
      <w:r>
        <w:rPr>
          <w:rFonts w:cs="Times New Roman" w:hint="eastAsia"/>
        </w:rPr>
        <w:t>3.2-</w:t>
      </w:r>
      <w:r>
        <w:rPr>
          <w:rFonts w:cs="Times New Roman" w:hint="eastAsia"/>
        </w:rPr>
        <w:t>4</w:t>
      </w:r>
      <w:r>
        <w:rPr>
          <w:rFonts w:cs="Times New Roman" w:hint="eastAsia"/>
        </w:rPr>
        <w:t>。</w:t>
      </w:r>
    </w:p>
    <w:p w:rsidR="00C645C9" w:rsidRDefault="00F955D9">
      <w:pPr>
        <w:pStyle w:val="L"/>
        <w:adjustRightInd/>
        <w:snapToGrid/>
        <w:spacing w:before="0" w:after="0"/>
        <w:rPr>
          <w:rFonts w:cs="Times New Roman"/>
          <w:sz w:val="21"/>
          <w:szCs w:val="21"/>
          <w:lang w:val="en-GB"/>
        </w:rPr>
      </w:pPr>
      <w:bookmarkStart w:id="608" w:name="OLE_LINK754"/>
      <w:bookmarkStart w:id="609" w:name="OLE_LINK749"/>
      <w:bookmarkStart w:id="610" w:name="OLE_LINK1378"/>
      <w:r>
        <w:rPr>
          <w:rFonts w:cs="Times New Roman"/>
          <w:sz w:val="21"/>
          <w:szCs w:val="21"/>
          <w:lang w:val="en-GB"/>
        </w:rPr>
        <w:t>表</w:t>
      </w:r>
      <w:bookmarkStart w:id="611" w:name="OLE_LINK752"/>
      <w:r>
        <w:rPr>
          <w:rFonts w:cs="Times New Roman"/>
          <w:sz w:val="21"/>
          <w:szCs w:val="21"/>
          <w:lang w:val="en-GB"/>
        </w:rPr>
        <w:t xml:space="preserve">3.2-3 </w:t>
      </w:r>
      <w:bookmarkEnd w:id="608"/>
      <w:bookmarkEnd w:id="611"/>
      <w:r>
        <w:rPr>
          <w:rFonts w:cs="Times New Roman"/>
          <w:sz w:val="21"/>
          <w:szCs w:val="21"/>
          <w:lang w:val="en-GB"/>
        </w:rPr>
        <w:t xml:space="preserve"> </w:t>
      </w:r>
      <w:r>
        <w:rPr>
          <w:rFonts w:cs="Times New Roman"/>
          <w:sz w:val="21"/>
          <w:szCs w:val="21"/>
        </w:rPr>
        <w:t xml:space="preserve"> </w:t>
      </w:r>
      <w:r>
        <w:rPr>
          <w:rFonts w:cs="Times New Roman"/>
          <w:sz w:val="21"/>
          <w:szCs w:val="21"/>
          <w:lang w:val="en-GB"/>
        </w:rPr>
        <w:t>本工程</w:t>
      </w:r>
      <w:r>
        <w:rPr>
          <w:rFonts w:cs="Times New Roman" w:hint="eastAsia"/>
          <w:sz w:val="21"/>
          <w:szCs w:val="21"/>
        </w:rPr>
        <w:t>钻井</w:t>
      </w:r>
      <w:r>
        <w:rPr>
          <w:rFonts w:cs="Times New Roman"/>
          <w:sz w:val="21"/>
          <w:szCs w:val="21"/>
          <w:lang w:val="en-GB"/>
        </w:rPr>
        <w:t>工程主要工程量一览表</w:t>
      </w:r>
      <w:bookmarkEnd w:id="60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1338"/>
        <w:gridCol w:w="669"/>
        <w:gridCol w:w="788"/>
        <w:gridCol w:w="5070"/>
      </w:tblGrid>
      <w:tr w:rsidR="00C645C9">
        <w:trPr>
          <w:cantSplit/>
          <w:trHeight w:val="340"/>
          <w:jc w:val="center"/>
        </w:trPr>
        <w:tc>
          <w:tcPr>
            <w:tcW w:w="75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序号</w:t>
            </w:r>
          </w:p>
        </w:tc>
        <w:tc>
          <w:tcPr>
            <w:tcW w:w="133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名称</w:t>
            </w:r>
          </w:p>
        </w:tc>
        <w:tc>
          <w:tcPr>
            <w:tcW w:w="66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jc w:val="both"/>
              <w:rPr>
                <w:rFonts w:ascii="Times New Roman" w:hAnsi="Times New Roman"/>
                <w:sz w:val="21"/>
                <w:szCs w:val="21"/>
              </w:rPr>
            </w:pPr>
            <w:r>
              <w:rPr>
                <w:rFonts w:ascii="Times New Roman" w:hAnsi="Times New Roman"/>
                <w:sz w:val="21"/>
                <w:szCs w:val="21"/>
              </w:rPr>
              <w:t>单位</w:t>
            </w:r>
          </w:p>
        </w:tc>
        <w:tc>
          <w:tcPr>
            <w:tcW w:w="78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数量</w:t>
            </w:r>
          </w:p>
        </w:tc>
        <w:tc>
          <w:tcPr>
            <w:tcW w:w="5070" w:type="dxa"/>
            <w:tcBorders>
              <w:top w:val="single" w:sz="4" w:space="0" w:color="auto"/>
              <w:left w:val="single" w:sz="4" w:space="0" w:color="auto"/>
              <w:bottom w:val="single" w:sz="4" w:space="0" w:color="auto"/>
              <w:right w:val="single" w:sz="4" w:space="0" w:color="auto"/>
            </w:tcBorders>
            <w:vAlign w:val="center"/>
          </w:tcPr>
          <w:p w:rsidR="00C645C9" w:rsidRDefault="00F955D9" w:rsidP="005718BB">
            <w:pPr>
              <w:pStyle w:val="afe"/>
              <w:spacing w:before="24" w:after="24"/>
              <w:ind w:firstLine="420"/>
              <w:rPr>
                <w:rFonts w:ascii="Times New Roman" w:hAnsi="Times New Roman"/>
                <w:sz w:val="21"/>
                <w:szCs w:val="21"/>
              </w:rPr>
            </w:pPr>
            <w:r>
              <w:rPr>
                <w:rFonts w:ascii="Times New Roman" w:hAnsi="Times New Roman"/>
                <w:sz w:val="21"/>
                <w:szCs w:val="21"/>
              </w:rPr>
              <w:t>备注</w:t>
            </w:r>
          </w:p>
        </w:tc>
      </w:tr>
      <w:tr w:rsidR="00C645C9">
        <w:trPr>
          <w:cantSplit/>
          <w:trHeight w:val="340"/>
          <w:jc w:val="center"/>
        </w:trPr>
        <w:tc>
          <w:tcPr>
            <w:tcW w:w="755"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1</w:t>
            </w:r>
          </w:p>
        </w:tc>
        <w:tc>
          <w:tcPr>
            <w:tcW w:w="133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bookmarkStart w:id="612" w:name="OLE_LINK1377"/>
            <w:r>
              <w:rPr>
                <w:rFonts w:ascii="Times New Roman" w:hAnsi="Times New Roman"/>
                <w:sz w:val="21"/>
                <w:szCs w:val="21"/>
              </w:rPr>
              <w:t>井场</w:t>
            </w:r>
            <w:bookmarkEnd w:id="612"/>
            <w:r>
              <w:rPr>
                <w:rFonts w:ascii="Times New Roman" w:hAnsi="Times New Roman"/>
                <w:sz w:val="21"/>
                <w:szCs w:val="21"/>
              </w:rPr>
              <w:t>面积</w:t>
            </w:r>
          </w:p>
        </w:tc>
        <w:tc>
          <w:tcPr>
            <w:tcW w:w="66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78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hint="eastAsia"/>
                <w:sz w:val="21"/>
                <w:szCs w:val="21"/>
              </w:rPr>
              <w:t>34300</w:t>
            </w:r>
          </w:p>
        </w:tc>
        <w:tc>
          <w:tcPr>
            <w:tcW w:w="507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jc w:val="left"/>
              <w:rPr>
                <w:rFonts w:ascii="Times New Roman" w:hAnsi="Times New Roman"/>
                <w:sz w:val="21"/>
                <w:szCs w:val="21"/>
              </w:rPr>
            </w:pPr>
            <w:r>
              <w:rPr>
                <w:rFonts w:ascii="Times New Roman" w:hAnsi="Times New Roman" w:hint="eastAsia"/>
                <w:sz w:val="21"/>
                <w:szCs w:val="21"/>
              </w:rPr>
              <w:t>新北</w:t>
            </w:r>
            <w:r>
              <w:rPr>
                <w:rFonts w:ascii="Times New Roman" w:hAnsi="Times New Roman" w:hint="eastAsia"/>
                <w:sz w:val="21"/>
                <w:szCs w:val="21"/>
              </w:rPr>
              <w:t>1X</w:t>
            </w:r>
            <w:r>
              <w:rPr>
                <w:rFonts w:ascii="Times New Roman" w:hAnsi="Times New Roman" w:hint="eastAsia"/>
                <w:sz w:val="21"/>
                <w:szCs w:val="21"/>
              </w:rPr>
              <w:t>井</w:t>
            </w:r>
            <w:r>
              <w:rPr>
                <w:rFonts w:ascii="Times New Roman" w:hAnsi="Times New Roman"/>
                <w:sz w:val="21"/>
                <w:szCs w:val="21"/>
              </w:rPr>
              <w:t>占地面积</w:t>
            </w:r>
            <w:bookmarkStart w:id="613" w:name="OLE_LINK1376"/>
            <w:r>
              <w:rPr>
                <w:rFonts w:ascii="Times New Roman" w:hAnsi="Times New Roman" w:hint="eastAsia"/>
                <w:sz w:val="21"/>
                <w:szCs w:val="21"/>
              </w:rPr>
              <w:t>14</w:t>
            </w:r>
            <w:bookmarkEnd w:id="613"/>
            <w:r>
              <w:rPr>
                <w:rFonts w:ascii="Times New Roman" w:hAnsi="Times New Roman" w:hint="eastAsia"/>
                <w:sz w:val="21"/>
                <w:szCs w:val="21"/>
              </w:rPr>
              <w:t>300</w:t>
            </w:r>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w:t>
            </w:r>
            <w:bookmarkStart w:id="614" w:name="OLE_LINK1375"/>
            <w:r>
              <w:rPr>
                <w:rFonts w:ascii="Times New Roman" w:hAnsi="Times New Roman"/>
                <w:sz w:val="21"/>
                <w:szCs w:val="21"/>
              </w:rPr>
              <w:t>1</w:t>
            </w:r>
            <w:r>
              <w:rPr>
                <w:rFonts w:ascii="Times New Roman" w:hAnsi="Times New Roman" w:hint="eastAsia"/>
                <w:sz w:val="21"/>
                <w:szCs w:val="21"/>
              </w:rPr>
              <w:t>10</w:t>
            </w:r>
            <w:r>
              <w:rPr>
                <w:rFonts w:ascii="Times New Roman" w:hAnsi="Times New Roman"/>
                <w:sz w:val="21"/>
                <w:szCs w:val="21"/>
              </w:rPr>
              <w:t>m×1</w:t>
            </w:r>
            <w:r>
              <w:rPr>
                <w:rFonts w:ascii="Times New Roman" w:hAnsi="Times New Roman" w:hint="eastAsia"/>
                <w:sz w:val="21"/>
                <w:szCs w:val="21"/>
              </w:rPr>
              <w:t>3</w:t>
            </w:r>
            <w:r>
              <w:rPr>
                <w:rFonts w:ascii="Times New Roman" w:hAnsi="Times New Roman"/>
                <w:sz w:val="21"/>
                <w:szCs w:val="21"/>
              </w:rPr>
              <w:t>0m</w:t>
            </w:r>
            <w:bookmarkEnd w:id="614"/>
            <w:r>
              <w:rPr>
                <w:rFonts w:ascii="Times New Roman" w:hAnsi="Times New Roman"/>
                <w:sz w:val="21"/>
                <w:szCs w:val="21"/>
              </w:rPr>
              <w:t>）</w:t>
            </w:r>
            <w:r>
              <w:rPr>
                <w:rFonts w:ascii="Times New Roman" w:hAnsi="Times New Roman" w:hint="eastAsia"/>
                <w:sz w:val="21"/>
                <w:szCs w:val="21"/>
              </w:rPr>
              <w:t>，</w:t>
            </w:r>
            <w:r>
              <w:rPr>
                <w:rFonts w:ascii="Times New Roman" w:hAnsi="Times New Roman" w:hint="eastAsia"/>
                <w:sz w:val="21"/>
                <w:szCs w:val="21"/>
              </w:rPr>
              <w:t>新北</w:t>
            </w:r>
            <w:r>
              <w:rPr>
                <w:rFonts w:ascii="Times New Roman" w:hAnsi="Times New Roman" w:hint="eastAsia"/>
                <w:sz w:val="21"/>
                <w:szCs w:val="21"/>
              </w:rPr>
              <w:t>7</w:t>
            </w:r>
            <w:bookmarkStart w:id="615" w:name="OLE_LINK1373"/>
            <w:r>
              <w:rPr>
                <w:rFonts w:ascii="Times New Roman" w:hAnsi="Times New Roman" w:hint="eastAsia"/>
                <w:sz w:val="21"/>
                <w:szCs w:val="21"/>
              </w:rPr>
              <w:t>井</w:t>
            </w:r>
            <w:r>
              <w:rPr>
                <w:rFonts w:ascii="Times New Roman" w:hAnsi="Times New Roman"/>
                <w:sz w:val="21"/>
                <w:szCs w:val="21"/>
              </w:rPr>
              <w:t>占地面积</w:t>
            </w:r>
            <w:r>
              <w:rPr>
                <w:rFonts w:ascii="Times New Roman" w:hAnsi="Times New Roman" w:hint="eastAsia"/>
                <w:sz w:val="21"/>
                <w:szCs w:val="21"/>
              </w:rPr>
              <w:t>200</w:t>
            </w:r>
            <w:r>
              <w:rPr>
                <w:rFonts w:ascii="Times New Roman" w:hAnsi="Times New Roman"/>
                <w:sz w:val="21"/>
                <w:szCs w:val="21"/>
              </w:rPr>
              <w:t>00</w:t>
            </w:r>
            <w:r>
              <w:rPr>
                <w:rFonts w:ascii="Times New Roman" w:hAnsi="Times New Roman"/>
                <w:sz w:val="21"/>
                <w:szCs w:val="21"/>
              </w:rPr>
              <w:t>m</w:t>
            </w:r>
            <w:r>
              <w:rPr>
                <w:rFonts w:ascii="Times New Roman" w:hAnsi="Times New Roman"/>
                <w:sz w:val="21"/>
                <w:szCs w:val="21"/>
                <w:vertAlign w:val="superscript"/>
              </w:rPr>
              <w:t>2</w:t>
            </w:r>
            <w:bookmarkStart w:id="616" w:name="OLE_LINK1374"/>
            <w:bookmarkEnd w:id="615"/>
            <w:r>
              <w:rPr>
                <w:rFonts w:ascii="Times New Roman" w:hAnsi="Times New Roman"/>
                <w:sz w:val="21"/>
                <w:szCs w:val="21"/>
              </w:rPr>
              <w:t>（</w:t>
            </w:r>
            <w:r>
              <w:rPr>
                <w:rFonts w:ascii="Times New Roman" w:hAnsi="Times New Roman"/>
                <w:sz w:val="21"/>
                <w:szCs w:val="21"/>
              </w:rPr>
              <w:t>12</w:t>
            </w:r>
            <w:r>
              <w:rPr>
                <w:rFonts w:ascii="Times New Roman" w:hAnsi="Times New Roman" w:hint="eastAsia"/>
                <w:sz w:val="21"/>
                <w:szCs w:val="21"/>
              </w:rPr>
              <w:t>5</w:t>
            </w:r>
            <w:r>
              <w:rPr>
                <w:rFonts w:ascii="Times New Roman" w:hAnsi="Times New Roman"/>
                <w:sz w:val="21"/>
                <w:szCs w:val="21"/>
              </w:rPr>
              <w:t>m×1</w:t>
            </w:r>
            <w:r>
              <w:rPr>
                <w:rFonts w:ascii="Times New Roman" w:hAnsi="Times New Roman" w:hint="eastAsia"/>
                <w:sz w:val="21"/>
                <w:szCs w:val="21"/>
              </w:rPr>
              <w:t>6</w:t>
            </w:r>
            <w:r>
              <w:rPr>
                <w:rFonts w:ascii="Times New Roman" w:hAnsi="Times New Roman"/>
                <w:sz w:val="21"/>
                <w:szCs w:val="21"/>
              </w:rPr>
              <w:t>0m</w:t>
            </w:r>
            <w:r>
              <w:rPr>
                <w:rFonts w:ascii="Times New Roman" w:hAnsi="Times New Roman"/>
                <w:sz w:val="21"/>
                <w:szCs w:val="21"/>
              </w:rPr>
              <w:t>）</w:t>
            </w:r>
            <w:bookmarkEnd w:id="616"/>
            <w:r>
              <w:rPr>
                <w:rFonts w:ascii="Times New Roman" w:hAnsi="Times New Roman"/>
                <w:sz w:val="21"/>
                <w:szCs w:val="21"/>
              </w:rPr>
              <w:t>，</w:t>
            </w:r>
            <w:r>
              <w:rPr>
                <w:rFonts w:ascii="Times New Roman" w:hAnsi="Times New Roman" w:hint="eastAsia"/>
                <w:sz w:val="21"/>
                <w:szCs w:val="21"/>
              </w:rPr>
              <w:t>均为永久占地。</w:t>
            </w:r>
          </w:p>
        </w:tc>
      </w:tr>
      <w:tr w:rsidR="00C645C9">
        <w:trPr>
          <w:cantSplit/>
          <w:trHeight w:val="340"/>
          <w:jc w:val="center"/>
        </w:trPr>
        <w:tc>
          <w:tcPr>
            <w:tcW w:w="755" w:type="dxa"/>
            <w:vMerge w:val="restart"/>
            <w:tcBorders>
              <w:top w:val="single" w:sz="4" w:space="0" w:color="auto"/>
              <w:left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2</w:t>
            </w:r>
          </w:p>
        </w:tc>
        <w:tc>
          <w:tcPr>
            <w:tcW w:w="133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主放喷池</w:t>
            </w:r>
          </w:p>
        </w:tc>
        <w:tc>
          <w:tcPr>
            <w:tcW w:w="66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78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200</w:t>
            </w:r>
          </w:p>
        </w:tc>
        <w:tc>
          <w:tcPr>
            <w:tcW w:w="5070" w:type="dxa"/>
            <w:tcBorders>
              <w:top w:val="single" w:sz="4" w:space="0" w:color="auto"/>
              <w:left w:val="single" w:sz="4" w:space="0" w:color="auto"/>
              <w:bottom w:val="single" w:sz="4" w:space="0" w:color="auto"/>
              <w:right w:val="single" w:sz="4" w:space="0" w:color="auto"/>
            </w:tcBorders>
            <w:vAlign w:val="center"/>
          </w:tcPr>
          <w:p w:rsidR="00C645C9" w:rsidRDefault="00F955D9">
            <w:pPr>
              <w:rPr>
                <w:rFonts w:cs="Times New Roman"/>
                <w:sz w:val="21"/>
                <w:szCs w:val="21"/>
              </w:rPr>
            </w:pPr>
            <w:bookmarkStart w:id="617" w:name="OLE_LINK1252"/>
            <w:r>
              <w:rPr>
                <w:rFonts w:cs="Times New Roman" w:hint="eastAsia"/>
                <w:sz w:val="21"/>
                <w:szCs w:val="21"/>
              </w:rPr>
              <w:t>2</w:t>
            </w:r>
            <w:r>
              <w:rPr>
                <w:rFonts w:cs="Times New Roman" w:hint="eastAsia"/>
                <w:sz w:val="21"/>
                <w:szCs w:val="21"/>
              </w:rPr>
              <w:t>座</w:t>
            </w:r>
            <w:bookmarkEnd w:id="617"/>
            <w:r>
              <w:rPr>
                <w:rFonts w:cs="Times New Roman" w:hint="eastAsia"/>
                <w:sz w:val="21"/>
                <w:szCs w:val="21"/>
              </w:rPr>
              <w:t>，</w:t>
            </w:r>
            <w:r>
              <w:rPr>
                <w:rFonts w:cs="Times New Roman"/>
                <w:sz w:val="21"/>
                <w:szCs w:val="21"/>
              </w:rPr>
              <w:t>位于井场外</w:t>
            </w:r>
            <w:r>
              <w:rPr>
                <w:rFonts w:cs="Times New Roman"/>
                <w:sz w:val="21"/>
                <w:szCs w:val="21"/>
              </w:rPr>
              <w:t>。</w:t>
            </w:r>
            <w:bookmarkStart w:id="618" w:name="OLE_LINK1254"/>
            <w:r>
              <w:rPr>
                <w:rFonts w:cs="Times New Roman"/>
                <w:sz w:val="21"/>
                <w:szCs w:val="21"/>
              </w:rPr>
              <w:t>新北</w:t>
            </w:r>
            <w:r>
              <w:rPr>
                <w:rFonts w:cs="Times New Roman"/>
                <w:sz w:val="21"/>
                <w:szCs w:val="21"/>
              </w:rPr>
              <w:t>1X</w:t>
            </w:r>
            <w:r>
              <w:rPr>
                <w:rFonts w:cs="Times New Roman"/>
                <w:sz w:val="21"/>
                <w:szCs w:val="21"/>
              </w:rPr>
              <w:t>井</w:t>
            </w:r>
            <w:r>
              <w:rPr>
                <w:rFonts w:cs="Times New Roman" w:hint="eastAsia"/>
                <w:sz w:val="21"/>
                <w:szCs w:val="21"/>
              </w:rPr>
              <w:t>和新北</w:t>
            </w:r>
            <w:r>
              <w:rPr>
                <w:rFonts w:cs="Times New Roman" w:hint="eastAsia"/>
                <w:sz w:val="21"/>
                <w:szCs w:val="21"/>
              </w:rPr>
              <w:t>7</w:t>
            </w:r>
            <w:r>
              <w:rPr>
                <w:rFonts w:cs="Times New Roman" w:hint="eastAsia"/>
                <w:sz w:val="21"/>
                <w:szCs w:val="21"/>
              </w:rPr>
              <w:t>井各</w:t>
            </w:r>
            <w:r>
              <w:rPr>
                <w:rFonts w:cs="Times New Roman" w:hint="eastAsia"/>
                <w:sz w:val="21"/>
                <w:szCs w:val="21"/>
              </w:rPr>
              <w:t>1</w:t>
            </w:r>
            <w:r>
              <w:rPr>
                <w:rFonts w:cs="Times New Roman" w:hint="eastAsia"/>
                <w:sz w:val="21"/>
                <w:szCs w:val="21"/>
              </w:rPr>
              <w:t>座。</w:t>
            </w:r>
            <w:bookmarkEnd w:id="618"/>
          </w:p>
        </w:tc>
      </w:tr>
      <w:tr w:rsidR="00C645C9">
        <w:trPr>
          <w:cantSplit/>
          <w:trHeight w:val="340"/>
          <w:jc w:val="center"/>
        </w:trPr>
        <w:tc>
          <w:tcPr>
            <w:tcW w:w="755" w:type="dxa"/>
            <w:vMerge/>
            <w:tcBorders>
              <w:left w:val="single" w:sz="4" w:space="0" w:color="auto"/>
              <w:right w:val="single" w:sz="4" w:space="0" w:color="auto"/>
            </w:tcBorders>
            <w:vAlign w:val="center"/>
          </w:tcPr>
          <w:p w:rsidR="00C645C9" w:rsidRDefault="00C645C9">
            <w:pPr>
              <w:spacing w:beforeAutospacing="1" w:afterAutospacing="1"/>
              <w:jc w:val="center"/>
              <w:rPr>
                <w:rFonts w:cs="Times New Roman"/>
                <w:bCs/>
                <w:sz w:val="21"/>
                <w:szCs w:val="21"/>
              </w:rPr>
            </w:pPr>
          </w:p>
        </w:tc>
        <w:tc>
          <w:tcPr>
            <w:tcW w:w="133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副放喷池</w:t>
            </w:r>
          </w:p>
        </w:tc>
        <w:tc>
          <w:tcPr>
            <w:tcW w:w="66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cs="Times New Roman"/>
                <w:sz w:val="21"/>
                <w:szCs w:val="21"/>
              </w:rPr>
            </w:pPr>
            <w:r>
              <w:rPr>
                <w:rFonts w:cs="Times New Roman"/>
                <w:sz w:val="21"/>
                <w:szCs w:val="21"/>
              </w:rPr>
              <w:t>m</w:t>
            </w:r>
            <w:r>
              <w:rPr>
                <w:rFonts w:cs="Times New Roman"/>
                <w:sz w:val="21"/>
                <w:szCs w:val="21"/>
                <w:vertAlign w:val="superscript"/>
              </w:rPr>
              <w:t>3</w:t>
            </w:r>
          </w:p>
        </w:tc>
        <w:tc>
          <w:tcPr>
            <w:tcW w:w="788"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cs="Times New Roman"/>
                <w:bCs/>
                <w:sz w:val="21"/>
                <w:szCs w:val="21"/>
              </w:rPr>
            </w:pPr>
            <w:r>
              <w:rPr>
                <w:rFonts w:cs="Times New Roman"/>
                <w:bCs/>
                <w:sz w:val="21"/>
                <w:szCs w:val="21"/>
              </w:rPr>
              <w:t>2</w:t>
            </w:r>
            <w:r>
              <w:rPr>
                <w:rFonts w:cs="Times New Roman"/>
                <w:sz w:val="21"/>
                <w:szCs w:val="21"/>
              </w:rPr>
              <w:t>00</w:t>
            </w:r>
          </w:p>
        </w:tc>
        <w:tc>
          <w:tcPr>
            <w:tcW w:w="5070" w:type="dxa"/>
            <w:tcBorders>
              <w:top w:val="single" w:sz="4" w:space="0" w:color="auto"/>
              <w:left w:val="single" w:sz="4" w:space="0" w:color="auto"/>
              <w:bottom w:val="single" w:sz="4" w:space="0" w:color="auto"/>
              <w:right w:val="single" w:sz="4" w:space="0" w:color="auto"/>
            </w:tcBorders>
            <w:vAlign w:val="center"/>
          </w:tcPr>
          <w:p w:rsidR="00C645C9" w:rsidRDefault="00F955D9">
            <w:pPr>
              <w:rPr>
                <w:rFonts w:cs="Times New Roman"/>
                <w:bCs/>
                <w:sz w:val="21"/>
                <w:szCs w:val="21"/>
              </w:rPr>
            </w:pPr>
            <w:r>
              <w:rPr>
                <w:rFonts w:cs="Times New Roman" w:hint="eastAsia"/>
                <w:sz w:val="21"/>
                <w:szCs w:val="21"/>
              </w:rPr>
              <w:t>2</w:t>
            </w:r>
            <w:r>
              <w:rPr>
                <w:rFonts w:cs="Times New Roman" w:hint="eastAsia"/>
                <w:sz w:val="21"/>
                <w:szCs w:val="21"/>
              </w:rPr>
              <w:t>座，</w:t>
            </w:r>
            <w:r>
              <w:rPr>
                <w:rFonts w:cs="Times New Roman"/>
                <w:sz w:val="21"/>
                <w:szCs w:val="21"/>
              </w:rPr>
              <w:t>位于井场外</w:t>
            </w:r>
            <w:r>
              <w:rPr>
                <w:rFonts w:cs="Times New Roman"/>
                <w:sz w:val="21"/>
                <w:szCs w:val="21"/>
              </w:rPr>
              <w:t>。新北</w:t>
            </w:r>
            <w:r>
              <w:rPr>
                <w:rFonts w:cs="Times New Roman"/>
                <w:sz w:val="21"/>
                <w:szCs w:val="21"/>
              </w:rPr>
              <w:t>1X</w:t>
            </w:r>
            <w:r>
              <w:rPr>
                <w:rFonts w:cs="Times New Roman"/>
                <w:sz w:val="21"/>
                <w:szCs w:val="21"/>
              </w:rPr>
              <w:t>井</w:t>
            </w:r>
            <w:r>
              <w:rPr>
                <w:rFonts w:cs="Times New Roman" w:hint="eastAsia"/>
                <w:sz w:val="21"/>
                <w:szCs w:val="21"/>
              </w:rPr>
              <w:t>和新北</w:t>
            </w:r>
            <w:r>
              <w:rPr>
                <w:rFonts w:cs="Times New Roman" w:hint="eastAsia"/>
                <w:sz w:val="21"/>
                <w:szCs w:val="21"/>
              </w:rPr>
              <w:t>7</w:t>
            </w:r>
            <w:r>
              <w:rPr>
                <w:rFonts w:cs="Times New Roman" w:hint="eastAsia"/>
                <w:sz w:val="21"/>
                <w:szCs w:val="21"/>
              </w:rPr>
              <w:t>井各</w:t>
            </w:r>
            <w:r>
              <w:rPr>
                <w:rFonts w:cs="Times New Roman" w:hint="eastAsia"/>
                <w:sz w:val="21"/>
                <w:szCs w:val="21"/>
              </w:rPr>
              <w:t>1</w:t>
            </w:r>
            <w:r>
              <w:rPr>
                <w:rFonts w:cs="Times New Roman" w:hint="eastAsia"/>
                <w:sz w:val="21"/>
                <w:szCs w:val="21"/>
              </w:rPr>
              <w:t>座。</w:t>
            </w:r>
          </w:p>
        </w:tc>
      </w:tr>
      <w:tr w:rsidR="00C645C9">
        <w:trPr>
          <w:cantSplit/>
          <w:trHeight w:val="340"/>
          <w:jc w:val="center"/>
        </w:trPr>
        <w:tc>
          <w:tcPr>
            <w:tcW w:w="755" w:type="dxa"/>
            <w:tcBorders>
              <w:top w:val="single" w:sz="4" w:space="0" w:color="auto"/>
              <w:left w:val="single" w:sz="4" w:space="0" w:color="auto"/>
              <w:bottom w:val="single" w:sz="4" w:space="0" w:color="auto"/>
              <w:right w:val="single" w:sz="4" w:space="0" w:color="auto"/>
            </w:tcBorders>
            <w:vAlign w:val="center"/>
          </w:tcPr>
          <w:p w:rsidR="00C645C9" w:rsidRDefault="00F955D9">
            <w:pPr>
              <w:spacing w:beforeAutospacing="1" w:afterAutospacing="1"/>
              <w:jc w:val="center"/>
              <w:rPr>
                <w:rFonts w:cs="Times New Roman"/>
                <w:bCs/>
                <w:sz w:val="21"/>
                <w:szCs w:val="21"/>
              </w:rPr>
            </w:pPr>
            <w:r>
              <w:rPr>
                <w:rFonts w:cs="Times New Roman"/>
                <w:bCs/>
                <w:sz w:val="21"/>
                <w:szCs w:val="21"/>
              </w:rPr>
              <w:t>3</w:t>
            </w:r>
          </w:p>
        </w:tc>
        <w:tc>
          <w:tcPr>
            <w:tcW w:w="133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bookmarkStart w:id="619" w:name="OLE_LINK1278"/>
            <w:r>
              <w:rPr>
                <w:rFonts w:ascii="Times New Roman" w:hAnsi="Times New Roman"/>
                <w:sz w:val="21"/>
                <w:szCs w:val="21"/>
              </w:rPr>
              <w:t>临时生活区</w:t>
            </w:r>
            <w:bookmarkEnd w:id="619"/>
          </w:p>
        </w:tc>
        <w:tc>
          <w:tcPr>
            <w:tcW w:w="66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78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hint="eastAsia"/>
                <w:sz w:val="21"/>
                <w:szCs w:val="21"/>
              </w:rPr>
              <w:t>5800</w:t>
            </w:r>
          </w:p>
        </w:tc>
        <w:tc>
          <w:tcPr>
            <w:tcW w:w="507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e"/>
              <w:spacing w:before="24" w:after="24"/>
              <w:ind w:firstLineChars="0" w:firstLine="0"/>
              <w:jc w:val="both"/>
              <w:rPr>
                <w:rFonts w:ascii="Times New Roman" w:hAnsi="Times New Roman"/>
                <w:sz w:val="21"/>
                <w:szCs w:val="21"/>
              </w:rPr>
            </w:pPr>
            <w:r>
              <w:rPr>
                <w:rFonts w:ascii="Times New Roman" w:hAnsi="Times New Roman"/>
                <w:sz w:val="21"/>
                <w:szCs w:val="21"/>
              </w:rPr>
              <w:t>位于井场外。</w:t>
            </w:r>
          </w:p>
        </w:tc>
      </w:tr>
      <w:bookmarkEnd w:id="610"/>
    </w:tbl>
    <w:p w:rsidR="00C645C9" w:rsidRDefault="00C645C9">
      <w:pPr>
        <w:adjustRightInd w:val="0"/>
        <w:snapToGrid w:val="0"/>
        <w:jc w:val="center"/>
      </w:pPr>
    </w:p>
    <w:p w:rsidR="00C645C9" w:rsidRDefault="00F955D9">
      <w:pPr>
        <w:adjustRightInd w:val="0"/>
        <w:snapToGrid w:val="0"/>
        <w:jc w:val="center"/>
        <w:rPr>
          <w:rFonts w:eastAsia="黑体" w:cs="Times New Roman"/>
          <w:snapToGrid w:val="0"/>
          <w:sz w:val="21"/>
          <w:szCs w:val="21"/>
        </w:rPr>
      </w:pPr>
      <w:bookmarkStart w:id="620" w:name="OLE_LINK755"/>
      <w:r>
        <w:rPr>
          <w:rFonts w:eastAsia="黑体" w:cs="Times New Roman" w:hint="eastAsia"/>
          <w:snapToGrid w:val="0"/>
          <w:sz w:val="21"/>
          <w:szCs w:val="21"/>
        </w:rPr>
        <w:t>图</w:t>
      </w:r>
      <w:bookmarkStart w:id="621" w:name="OLE_LINK753"/>
      <w:r>
        <w:rPr>
          <w:rFonts w:eastAsia="黑体" w:cs="Times New Roman"/>
          <w:snapToGrid w:val="0"/>
          <w:sz w:val="21"/>
          <w:szCs w:val="21"/>
          <w:lang w:val="en-GB"/>
        </w:rPr>
        <w:t>3.2-</w:t>
      </w:r>
      <w:bookmarkEnd w:id="620"/>
      <w:bookmarkEnd w:id="621"/>
      <w:r>
        <w:rPr>
          <w:rFonts w:eastAsia="黑体" w:cs="Times New Roman" w:hint="eastAsia"/>
          <w:snapToGrid w:val="0"/>
          <w:sz w:val="21"/>
          <w:szCs w:val="21"/>
        </w:rPr>
        <w:t>4</w:t>
      </w:r>
      <w:r>
        <w:rPr>
          <w:rFonts w:eastAsia="黑体" w:cs="Times New Roman"/>
          <w:snapToGrid w:val="0"/>
          <w:sz w:val="21"/>
          <w:szCs w:val="21"/>
          <w:lang w:val="en-GB"/>
        </w:rPr>
        <w:t xml:space="preserve">  </w:t>
      </w:r>
      <w:r>
        <w:rPr>
          <w:rFonts w:eastAsia="黑体" w:cs="Times New Roman"/>
          <w:snapToGrid w:val="0"/>
          <w:sz w:val="21"/>
          <w:szCs w:val="21"/>
        </w:rPr>
        <w:t xml:space="preserve"> </w:t>
      </w:r>
      <w:r>
        <w:rPr>
          <w:rFonts w:eastAsia="黑体" w:cs="Times New Roman"/>
          <w:snapToGrid w:val="0"/>
          <w:sz w:val="21"/>
          <w:szCs w:val="21"/>
          <w:lang w:val="en-GB"/>
        </w:rPr>
        <w:t>钻井期平面布置示意图</w:t>
      </w:r>
    </w:p>
    <w:p w:rsidR="00C645C9" w:rsidRDefault="00F955D9">
      <w:pPr>
        <w:adjustRightInd w:val="0"/>
        <w:snapToGrid w:val="0"/>
        <w:spacing w:line="360" w:lineRule="auto"/>
        <w:ind w:firstLineChars="200" w:firstLine="480"/>
        <w:jc w:val="both"/>
        <w:rPr>
          <w:rFonts w:cs="Times New Roman"/>
        </w:rPr>
      </w:pPr>
      <w:r>
        <w:rPr>
          <w:rFonts w:cs="Times New Roman" w:hint="eastAsia"/>
        </w:rPr>
        <w:fldChar w:fldCharType="begin"/>
      </w:r>
      <w:r>
        <w:rPr>
          <w:rFonts w:cs="Times New Roman" w:hint="eastAsia"/>
        </w:rPr>
        <w:instrText xml:space="preserve"> = 2 \* GB3 \* MERGEFORMAT </w:instrText>
      </w:r>
      <w:r>
        <w:rPr>
          <w:rFonts w:cs="Times New Roman" w:hint="eastAsia"/>
        </w:rPr>
        <w:fldChar w:fldCharType="separate"/>
      </w:r>
      <w:r>
        <w:rPr>
          <w:rFonts w:cs="Times New Roman" w:hint="eastAsia"/>
        </w:rPr>
        <w:t>②</w:t>
      </w:r>
      <w:r>
        <w:rPr>
          <w:rFonts w:cs="Times New Roman" w:hint="eastAsia"/>
        </w:rPr>
        <w:fldChar w:fldCharType="end"/>
      </w:r>
      <w:r>
        <w:rPr>
          <w:rFonts w:cs="Times New Roman" w:hint="eastAsia"/>
        </w:rPr>
        <w:t>井身结构</w:t>
      </w:r>
    </w:p>
    <w:p w:rsidR="00C645C9" w:rsidRDefault="00F955D9">
      <w:pPr>
        <w:adjustRightInd w:val="0"/>
        <w:snapToGrid w:val="0"/>
        <w:spacing w:line="360" w:lineRule="auto"/>
        <w:ind w:firstLineChars="200" w:firstLine="480"/>
        <w:rPr>
          <w:rFonts w:cs="Times New Roman"/>
        </w:rPr>
      </w:pPr>
      <w:r>
        <w:rPr>
          <w:rFonts w:cs="Times New Roman" w:hint="eastAsia"/>
        </w:rPr>
        <w:t>本工程</w:t>
      </w:r>
      <w:r>
        <w:rPr>
          <w:rFonts w:cs="Times New Roman"/>
        </w:rPr>
        <w:t>计划部署</w:t>
      </w:r>
      <w:r>
        <w:rPr>
          <w:rFonts w:cs="Times New Roman" w:hint="eastAsia"/>
        </w:rPr>
        <w:t>2</w:t>
      </w:r>
      <w:r>
        <w:rPr>
          <w:rFonts w:cs="Times New Roman"/>
        </w:rPr>
        <w:t>口井，其中新钻井</w:t>
      </w:r>
      <w:r>
        <w:rPr>
          <w:rFonts w:cs="Times New Roman"/>
        </w:rPr>
        <w:t>1</w:t>
      </w:r>
      <w:r>
        <w:rPr>
          <w:rFonts w:cs="Times New Roman"/>
        </w:rPr>
        <w:t>口（</w:t>
      </w:r>
      <w:r>
        <w:rPr>
          <w:rFonts w:cs="Times New Roman" w:hint="eastAsia"/>
        </w:rPr>
        <w:t>新北</w:t>
      </w:r>
      <w:r>
        <w:rPr>
          <w:rFonts w:cs="Times New Roman" w:hint="eastAsia"/>
        </w:rPr>
        <w:t>7</w:t>
      </w:r>
      <w:r>
        <w:rPr>
          <w:rFonts w:cs="Times New Roman" w:hint="eastAsia"/>
        </w:rPr>
        <w:t>井</w:t>
      </w:r>
      <w:r>
        <w:rPr>
          <w:rFonts w:cs="Times New Roman"/>
        </w:rPr>
        <w:t>），</w:t>
      </w:r>
      <w:r>
        <w:rPr>
          <w:rFonts w:cs="Times New Roman" w:hint="eastAsia"/>
        </w:rPr>
        <w:t>老井侧钻井</w:t>
      </w:r>
      <w:r>
        <w:rPr>
          <w:rFonts w:cs="Times New Roman" w:hint="eastAsia"/>
        </w:rPr>
        <w:t>1</w:t>
      </w:r>
      <w:r>
        <w:rPr>
          <w:rFonts w:cs="Times New Roman" w:hint="eastAsia"/>
        </w:rPr>
        <w:t>口（</w:t>
      </w:r>
      <w:r>
        <w:rPr>
          <w:rFonts w:cs="Times New Roman" w:hint="eastAsia"/>
        </w:rPr>
        <w:t>新北</w:t>
      </w:r>
      <w:r>
        <w:rPr>
          <w:rFonts w:cs="Times New Roman" w:hint="eastAsia"/>
        </w:rPr>
        <w:t>1X</w:t>
      </w:r>
      <w:r>
        <w:rPr>
          <w:rFonts w:cs="Times New Roman" w:hint="eastAsia"/>
        </w:rPr>
        <w:t>井</w:t>
      </w:r>
      <w:r>
        <w:rPr>
          <w:rFonts w:cs="Times New Roman" w:hint="eastAsia"/>
        </w:rPr>
        <w:t>）。</w:t>
      </w:r>
      <w:r>
        <w:rPr>
          <w:rFonts w:cs="Times New Roman" w:hint="eastAsia"/>
        </w:rPr>
        <w:t>新北</w:t>
      </w:r>
      <w:r>
        <w:rPr>
          <w:rFonts w:cs="Times New Roman" w:hint="eastAsia"/>
        </w:rPr>
        <w:t>7</w:t>
      </w:r>
      <w:r>
        <w:rPr>
          <w:rFonts w:cs="Times New Roman"/>
        </w:rPr>
        <w:t>井</w:t>
      </w:r>
      <w:r>
        <w:rPr>
          <w:rFonts w:cs="Times New Roman"/>
        </w:rPr>
        <w:t>设计井深</w:t>
      </w:r>
      <w:bookmarkStart w:id="622" w:name="OLE_LINK751"/>
      <w:r>
        <w:rPr>
          <w:rFonts w:cs="Times New Roman" w:hint="eastAsia"/>
        </w:rPr>
        <w:t>6331.28m</w:t>
      </w:r>
      <w:bookmarkEnd w:id="622"/>
      <w:r>
        <w:rPr>
          <w:rFonts w:cs="Times New Roman"/>
        </w:rPr>
        <w:t>，四级井身结构，钻井采用</w:t>
      </w:r>
      <w:r>
        <w:rPr>
          <w:rFonts w:cs="Times New Roman"/>
        </w:rPr>
        <w:t>70D</w:t>
      </w:r>
      <w:r>
        <w:rPr>
          <w:rFonts w:cs="Times New Roman"/>
        </w:rPr>
        <w:t>钻机。目的层为白垩系巴什基奇克组。完钻后进行试油，获取有关技术参数。</w:t>
      </w:r>
    </w:p>
    <w:p w:rsidR="00C645C9" w:rsidRDefault="00F955D9" w:rsidP="005718BB">
      <w:pPr>
        <w:pStyle w:val="a6"/>
        <w:spacing w:line="240" w:lineRule="auto"/>
        <w:ind w:firstLine="420"/>
        <w:jc w:val="center"/>
        <w:rPr>
          <w:rFonts w:eastAsia="黑体"/>
          <w:snapToGrid w:val="0"/>
          <w:sz w:val="21"/>
        </w:rPr>
      </w:pPr>
      <w:bookmarkStart w:id="623" w:name="OLE_LINK756"/>
      <w:bookmarkStart w:id="624" w:name="OLE_LINK750"/>
      <w:bookmarkStart w:id="625" w:name="OLE_LINK1402"/>
      <w:r>
        <w:rPr>
          <w:rFonts w:eastAsia="黑体"/>
          <w:snapToGrid w:val="0"/>
          <w:sz w:val="21"/>
        </w:rPr>
        <w:t>表</w:t>
      </w:r>
      <w:r>
        <w:rPr>
          <w:sz w:val="21"/>
          <w:szCs w:val="21"/>
          <w:lang w:val="en-GB"/>
        </w:rPr>
        <w:t>3.2-</w:t>
      </w:r>
      <w:r>
        <w:rPr>
          <w:rFonts w:hint="eastAsia"/>
          <w:sz w:val="21"/>
          <w:szCs w:val="21"/>
        </w:rPr>
        <w:t>4</w:t>
      </w:r>
      <w:r>
        <w:rPr>
          <w:rFonts w:eastAsia="黑体"/>
          <w:snapToGrid w:val="0"/>
          <w:sz w:val="21"/>
        </w:rPr>
        <w:t xml:space="preserve">   </w:t>
      </w:r>
      <w:bookmarkStart w:id="626" w:name="OLE_LINK1257"/>
      <w:r>
        <w:rPr>
          <w:rFonts w:eastAsia="黑体" w:hint="eastAsia"/>
          <w:snapToGrid w:val="0"/>
          <w:sz w:val="21"/>
        </w:rPr>
        <w:t>新北</w:t>
      </w:r>
      <w:r>
        <w:rPr>
          <w:rFonts w:eastAsia="黑体" w:hint="eastAsia"/>
          <w:snapToGrid w:val="0"/>
          <w:sz w:val="21"/>
        </w:rPr>
        <w:t>1X</w:t>
      </w:r>
      <w:r>
        <w:rPr>
          <w:rFonts w:eastAsia="黑体" w:hint="eastAsia"/>
          <w:snapToGrid w:val="0"/>
          <w:sz w:val="21"/>
        </w:rPr>
        <w:t>井</w:t>
      </w:r>
      <w:bookmarkEnd w:id="626"/>
      <w:r>
        <w:rPr>
          <w:rFonts w:eastAsia="黑体"/>
          <w:snapToGrid w:val="0"/>
          <w:sz w:val="21"/>
        </w:rPr>
        <w:t>井身结构</w:t>
      </w:r>
    </w:p>
    <w:tbl>
      <w:tblPr>
        <w:tblW w:w="8231" w:type="dxa"/>
        <w:jc w:val="center"/>
        <w:tblLayout w:type="fixed"/>
        <w:tblLook w:val="04A0" w:firstRow="1" w:lastRow="0" w:firstColumn="1" w:lastColumn="0" w:noHBand="0" w:noVBand="1"/>
      </w:tblPr>
      <w:tblGrid>
        <w:gridCol w:w="690"/>
        <w:gridCol w:w="1474"/>
        <w:gridCol w:w="1680"/>
        <w:gridCol w:w="2790"/>
        <w:gridCol w:w="1597"/>
      </w:tblGrid>
      <w:tr w:rsidR="00C645C9">
        <w:trPr>
          <w:trHeight w:val="600"/>
          <w:jc w:val="center"/>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开钻顺序</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钻头直径</w:t>
            </w:r>
            <w:r>
              <w:rPr>
                <w:rFonts w:cs="Times New Roman"/>
                <w:sz w:val="21"/>
                <w:szCs w:val="21"/>
                <w:lang w:bidi="ar"/>
              </w:rPr>
              <w:t>（</w:t>
            </w:r>
            <w:r>
              <w:rPr>
                <w:rFonts w:cs="Times New Roman"/>
                <w:sz w:val="21"/>
                <w:szCs w:val="21"/>
                <w:lang w:bidi="ar"/>
              </w:rPr>
              <w:t>mm</w:t>
            </w:r>
            <w:r>
              <w:rPr>
                <w:rFonts w:cs="Times New Roman"/>
                <w:sz w:val="21"/>
                <w:szCs w:val="21"/>
                <w:lang w:bidi="ar"/>
              </w:rPr>
              <w: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井</w:t>
            </w:r>
            <w:r>
              <w:rPr>
                <w:rFonts w:cs="Times New Roman" w:hint="eastAsia"/>
                <w:sz w:val="21"/>
                <w:szCs w:val="21"/>
                <w:lang w:bidi="ar"/>
              </w:rPr>
              <w:t>段</w:t>
            </w:r>
          </w:p>
          <w:p w:rsidR="00C645C9" w:rsidRDefault="00F955D9">
            <w:pPr>
              <w:jc w:val="center"/>
              <w:textAlignment w:val="center"/>
              <w:rPr>
                <w:rFonts w:cs="Times New Roman"/>
                <w:sz w:val="21"/>
                <w:szCs w:val="21"/>
              </w:rPr>
            </w:pPr>
            <w:r>
              <w:rPr>
                <w:rFonts w:cs="Times New Roman"/>
                <w:sz w:val="21"/>
                <w:szCs w:val="21"/>
                <w:lang w:bidi="ar"/>
              </w:rPr>
              <w:t>（</w:t>
            </w:r>
            <w:r>
              <w:rPr>
                <w:rFonts w:cs="Times New Roman"/>
                <w:sz w:val="21"/>
                <w:szCs w:val="21"/>
                <w:lang w:bidi="ar"/>
              </w:rPr>
              <w:t>m</w:t>
            </w:r>
            <w:r>
              <w:rPr>
                <w:rFonts w:cs="Times New Roman"/>
                <w:sz w:val="21"/>
                <w:szCs w:val="21"/>
                <w:lang w:bidi="ar"/>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lang w:bidi="ar"/>
              </w:rPr>
              <w:t>进尺</w:t>
            </w:r>
            <w:r>
              <w:rPr>
                <w:rFonts w:cs="Times New Roman"/>
                <w:sz w:val="21"/>
                <w:szCs w:val="21"/>
                <w:lang w:bidi="ar"/>
              </w:rPr>
              <w:t>（</w:t>
            </w:r>
            <w:r>
              <w:rPr>
                <w:rFonts w:cs="Times New Roman"/>
                <w:sz w:val="21"/>
                <w:szCs w:val="21"/>
                <w:lang w:bidi="ar"/>
              </w:rPr>
              <w:t>m</w:t>
            </w:r>
            <w:r>
              <w:rPr>
                <w:rFonts w:cs="Times New Roman"/>
                <w:sz w:val="21"/>
                <w:szCs w:val="21"/>
                <w:lang w:bidi="ar"/>
              </w:rPr>
              <w:t>）</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rPr>
              <w:t>钻井液体系</w:t>
            </w:r>
          </w:p>
        </w:tc>
      </w:tr>
      <w:tr w:rsidR="00C645C9">
        <w:trPr>
          <w:trHeight w:val="315"/>
          <w:jc w:val="center"/>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bookmarkStart w:id="627" w:name="OLE_LINK1290"/>
            <w:r>
              <w:rPr>
                <w:rFonts w:cs="Times New Roman"/>
                <w:sz w:val="21"/>
                <w:szCs w:val="21"/>
                <w:lang w:bidi="ar"/>
              </w:rPr>
              <w:t>一开</w:t>
            </w:r>
            <w:bookmarkEnd w:id="627"/>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lang w:bidi="ar"/>
              </w:rPr>
              <w:t>346.1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lang w:bidi="ar"/>
              </w:rPr>
              <w:t>6</w:t>
            </w:r>
            <w:r>
              <w:rPr>
                <w:rFonts w:cs="Times New Roman" w:hint="eastAsia"/>
                <w:sz w:val="21"/>
                <w:szCs w:val="21"/>
                <w:lang w:bidi="ar"/>
              </w:rPr>
              <w:t>331.28-</w:t>
            </w:r>
            <w:r>
              <w:rPr>
                <w:rFonts w:cs="Times New Roman" w:hint="eastAsia"/>
                <w:sz w:val="21"/>
                <w:szCs w:val="21"/>
                <w:lang w:bidi="ar"/>
              </w:rPr>
              <w:t>7445.53</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lang w:bidi="ar"/>
              </w:rPr>
              <w:t>1200</w:t>
            </w:r>
          </w:p>
        </w:tc>
        <w:tc>
          <w:tcPr>
            <w:tcW w:w="1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rPr>
                <w:rFonts w:cs="Times New Roman"/>
                <w:sz w:val="21"/>
                <w:szCs w:val="21"/>
              </w:rPr>
            </w:pPr>
            <w:r>
              <w:rPr>
                <w:rFonts w:cs="Times New Roman"/>
                <w:sz w:val="21"/>
                <w:szCs w:val="21"/>
              </w:rPr>
              <w:t>油基</w:t>
            </w:r>
          </w:p>
        </w:tc>
      </w:tr>
    </w:tbl>
    <w:p w:rsidR="00C645C9" w:rsidRDefault="00F955D9">
      <w:pPr>
        <w:pStyle w:val="L"/>
        <w:spacing w:before="0" w:after="0"/>
        <w:rPr>
          <w:rFonts w:cs="Times New Roman"/>
          <w:sz w:val="21"/>
          <w:szCs w:val="21"/>
          <w:lang w:val="en-GB"/>
        </w:rPr>
      </w:pPr>
      <w:r>
        <w:rPr>
          <w:rFonts w:cs="Times New Roman"/>
          <w:sz w:val="21"/>
          <w:szCs w:val="21"/>
          <w:lang w:val="en-GB"/>
        </w:rPr>
        <w:t>表</w:t>
      </w:r>
      <w:bookmarkStart w:id="628" w:name="OLE_LINK1255"/>
      <w:r>
        <w:rPr>
          <w:rFonts w:cs="Times New Roman"/>
          <w:sz w:val="21"/>
          <w:szCs w:val="21"/>
          <w:lang w:val="en-GB"/>
        </w:rPr>
        <w:t>3.2-</w:t>
      </w:r>
      <w:bookmarkEnd w:id="623"/>
      <w:bookmarkEnd w:id="628"/>
      <w:r>
        <w:rPr>
          <w:rFonts w:cs="Times New Roman" w:hint="eastAsia"/>
          <w:sz w:val="21"/>
          <w:szCs w:val="21"/>
        </w:rPr>
        <w:t>5</w:t>
      </w:r>
      <w:r>
        <w:rPr>
          <w:rFonts w:cs="Times New Roman"/>
          <w:sz w:val="21"/>
          <w:szCs w:val="21"/>
          <w:lang w:val="en-GB"/>
        </w:rPr>
        <w:t xml:space="preserve"> </w:t>
      </w:r>
      <w:r>
        <w:rPr>
          <w:rFonts w:cs="Times New Roman" w:hint="eastAsia"/>
          <w:sz w:val="21"/>
          <w:szCs w:val="21"/>
        </w:rPr>
        <w:t xml:space="preserve">  </w:t>
      </w:r>
      <w:bookmarkStart w:id="629" w:name="OLE_LINK1262"/>
      <w:r>
        <w:rPr>
          <w:rFonts w:cs="Times New Roman" w:hint="eastAsia"/>
          <w:sz w:val="21"/>
          <w:szCs w:val="21"/>
          <w:lang w:val="en-GB"/>
        </w:rPr>
        <w:t>新北</w:t>
      </w:r>
      <w:r>
        <w:rPr>
          <w:rFonts w:cs="Times New Roman" w:hint="eastAsia"/>
          <w:sz w:val="21"/>
          <w:szCs w:val="21"/>
          <w:lang w:val="en-GB"/>
        </w:rPr>
        <w:t>7</w:t>
      </w:r>
      <w:r>
        <w:rPr>
          <w:rFonts w:cs="Times New Roman"/>
          <w:sz w:val="21"/>
          <w:szCs w:val="21"/>
          <w:lang w:val="en-GB"/>
        </w:rPr>
        <w:t>井</w:t>
      </w:r>
      <w:bookmarkEnd w:id="629"/>
      <w:r>
        <w:rPr>
          <w:rFonts w:cs="Times New Roman"/>
          <w:sz w:val="21"/>
          <w:szCs w:val="21"/>
          <w:lang w:val="en-GB"/>
        </w:rPr>
        <w:t>井身结构</w:t>
      </w:r>
    </w:p>
    <w:tbl>
      <w:tblPr>
        <w:tblW w:w="8171" w:type="dxa"/>
        <w:jc w:val="center"/>
        <w:tblLayout w:type="fixed"/>
        <w:tblLook w:val="04A0" w:firstRow="1" w:lastRow="0" w:firstColumn="1" w:lastColumn="0" w:noHBand="0" w:noVBand="1"/>
      </w:tblPr>
      <w:tblGrid>
        <w:gridCol w:w="656"/>
        <w:gridCol w:w="1490"/>
        <w:gridCol w:w="1668"/>
        <w:gridCol w:w="1312"/>
        <w:gridCol w:w="1492"/>
        <w:gridCol w:w="1553"/>
      </w:tblGrid>
      <w:tr w:rsidR="00C645C9">
        <w:trPr>
          <w:trHeight w:val="600"/>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开钻顺序</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钻头</w:t>
            </w:r>
            <w:r>
              <w:rPr>
                <w:rFonts w:cs="Times New Roman" w:hint="eastAsia"/>
                <w:sz w:val="21"/>
                <w:szCs w:val="21"/>
                <w:lang w:bidi="ar"/>
              </w:rPr>
              <w:t>尺寸</w:t>
            </w:r>
            <w:r>
              <w:rPr>
                <w:rFonts w:cs="Times New Roman"/>
                <w:sz w:val="21"/>
                <w:szCs w:val="21"/>
                <w:lang w:bidi="ar"/>
              </w:rPr>
              <w:t>（</w:t>
            </w:r>
            <w:r>
              <w:rPr>
                <w:rFonts w:cs="Times New Roman"/>
                <w:sz w:val="21"/>
                <w:szCs w:val="21"/>
                <w:lang w:bidi="ar"/>
              </w:rPr>
              <w:t>mm</w:t>
            </w:r>
            <w:r>
              <w:rPr>
                <w:rFonts w:cs="Times New Roman"/>
                <w:sz w:val="21"/>
                <w:szCs w:val="21"/>
                <w:lang w:bidi="ar"/>
              </w:rPr>
              <w:t>）</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630" w:name="OLE_LINK1268"/>
            <w:r>
              <w:rPr>
                <w:rFonts w:cs="Times New Roman"/>
                <w:sz w:val="21"/>
                <w:szCs w:val="21"/>
                <w:lang w:bidi="ar"/>
              </w:rPr>
              <w:t>井</w:t>
            </w:r>
            <w:r>
              <w:rPr>
                <w:rFonts w:cs="Times New Roman" w:hint="eastAsia"/>
                <w:sz w:val="21"/>
                <w:szCs w:val="21"/>
                <w:lang w:bidi="ar"/>
              </w:rPr>
              <w:t>段</w:t>
            </w:r>
          </w:p>
          <w:bookmarkEnd w:id="630"/>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w:t>
            </w:r>
            <w:r>
              <w:rPr>
                <w:rFonts w:cs="Times New Roman"/>
                <w:sz w:val="21"/>
                <w:szCs w:val="21"/>
                <w:lang w:bidi="ar"/>
              </w:rPr>
              <w:t>m</w:t>
            </w:r>
            <w:r>
              <w:rPr>
                <w:rFonts w:cs="Times New Roman" w:hint="eastAsia"/>
                <w:sz w:val="21"/>
                <w:szCs w:val="21"/>
                <w:lang w:bidi="ar"/>
              </w:rPr>
              <w:t>）</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631" w:name="OLE_LINK1261"/>
            <w:r>
              <w:rPr>
                <w:rFonts w:cs="Times New Roman" w:hint="eastAsia"/>
                <w:sz w:val="21"/>
                <w:szCs w:val="21"/>
                <w:lang w:bidi="ar"/>
              </w:rPr>
              <w:t>进尺</w:t>
            </w:r>
            <w:bookmarkEnd w:id="631"/>
            <w:r>
              <w:rPr>
                <w:rFonts w:cs="Times New Roman" w:hint="eastAsia"/>
                <w:sz w:val="21"/>
                <w:szCs w:val="21"/>
                <w:lang w:bidi="ar"/>
              </w:rPr>
              <w:t>（</w:t>
            </w:r>
            <w:r>
              <w:rPr>
                <w:rFonts w:cs="Times New Roman"/>
                <w:sz w:val="21"/>
                <w:szCs w:val="21"/>
                <w:lang w:bidi="ar"/>
              </w:rPr>
              <w:t>m</w:t>
            </w:r>
            <w:r>
              <w:rPr>
                <w:rFonts w:cs="Times New Roman" w:hint="eastAsia"/>
                <w:sz w:val="21"/>
                <w:szCs w:val="21"/>
                <w:lang w:bidi="ar"/>
              </w:rPr>
              <w:t>）</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套管</w:t>
            </w:r>
            <w:r>
              <w:rPr>
                <w:rFonts w:cs="Times New Roman" w:hint="eastAsia"/>
                <w:sz w:val="21"/>
                <w:szCs w:val="21"/>
                <w:lang w:bidi="ar"/>
              </w:rPr>
              <w:t>尺寸</w:t>
            </w:r>
            <w:r>
              <w:rPr>
                <w:rFonts w:cs="Times New Roman"/>
                <w:sz w:val="21"/>
                <w:szCs w:val="21"/>
                <w:lang w:bidi="ar"/>
              </w:rPr>
              <w:t>（</w:t>
            </w:r>
            <w:r>
              <w:rPr>
                <w:rFonts w:cs="Times New Roman"/>
                <w:sz w:val="21"/>
                <w:szCs w:val="21"/>
                <w:lang w:bidi="ar"/>
              </w:rPr>
              <w:t>mm</w:t>
            </w:r>
            <w:r>
              <w:rPr>
                <w:rFonts w:cs="Times New Roman"/>
                <w:sz w:val="21"/>
                <w:szCs w:val="21"/>
                <w:lang w:bidi="ar"/>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632" w:name="OLE_LINK1263"/>
            <w:r>
              <w:rPr>
                <w:rFonts w:cs="Times New Roman"/>
                <w:sz w:val="21"/>
                <w:szCs w:val="21"/>
              </w:rPr>
              <w:t>钻井液体系</w:t>
            </w:r>
            <w:bookmarkEnd w:id="632"/>
          </w:p>
        </w:tc>
      </w:tr>
      <w:tr w:rsidR="00C645C9">
        <w:trPr>
          <w:trHeight w:val="90"/>
          <w:jc w:val="center"/>
        </w:trPr>
        <w:tc>
          <w:tcPr>
            <w:tcW w:w="81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rPr>
              <w:t>斜井部分</w:t>
            </w:r>
          </w:p>
        </w:tc>
      </w:tr>
      <w:tr w:rsidR="00C645C9">
        <w:trPr>
          <w:trHeight w:val="90"/>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一开</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444.5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0-3200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633" w:name="OLE_LINK1256"/>
            <w:r>
              <w:rPr>
                <w:rFonts w:cs="Times New Roman" w:hint="eastAsia"/>
                <w:sz w:val="21"/>
                <w:szCs w:val="21"/>
                <w:lang w:bidi="ar"/>
              </w:rPr>
              <w:t>3200</w:t>
            </w:r>
            <w:bookmarkEnd w:id="633"/>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339.7</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lang w:bidi="ar"/>
              </w:rPr>
            </w:pPr>
            <w:r>
              <w:rPr>
                <w:rFonts w:cs="Times New Roman"/>
                <w:snapToGrid w:val="0"/>
                <w:sz w:val="21"/>
                <w:szCs w:val="21"/>
              </w:rPr>
              <w:t>膨润土</w:t>
            </w:r>
            <w:r>
              <w:rPr>
                <w:rFonts w:cs="Times New Roman"/>
                <w:snapToGrid w:val="0"/>
                <w:sz w:val="21"/>
                <w:szCs w:val="21"/>
              </w:rPr>
              <w:t>-</w:t>
            </w:r>
            <w:r>
              <w:rPr>
                <w:rFonts w:cs="Times New Roman"/>
                <w:snapToGrid w:val="0"/>
                <w:sz w:val="21"/>
                <w:szCs w:val="21"/>
              </w:rPr>
              <w:t>聚合物</w:t>
            </w:r>
          </w:p>
        </w:tc>
      </w:tr>
      <w:tr w:rsidR="00C645C9">
        <w:trPr>
          <w:trHeight w:val="315"/>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634" w:name="OLE_LINK1260" w:colFirst="2" w:colLast="2"/>
            <w:r>
              <w:rPr>
                <w:rFonts w:cs="Times New Roman"/>
                <w:sz w:val="21"/>
                <w:szCs w:val="21"/>
                <w:lang w:bidi="ar"/>
              </w:rPr>
              <w:t>二开</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311.2</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3200</w:t>
            </w:r>
            <w:r>
              <w:rPr>
                <w:rFonts w:cs="Times New Roman" w:hint="eastAsia"/>
                <w:sz w:val="21"/>
                <w:szCs w:val="21"/>
                <w:lang w:bidi="ar"/>
              </w:rPr>
              <w:t>-</w:t>
            </w:r>
            <w:bookmarkStart w:id="635" w:name="OLE_LINK1258"/>
            <w:r>
              <w:rPr>
                <w:rFonts w:cs="Times New Roman" w:hint="eastAsia"/>
                <w:sz w:val="21"/>
                <w:szCs w:val="21"/>
                <w:lang w:bidi="ar"/>
              </w:rPr>
              <w:t>5817.76</w:t>
            </w:r>
            <w:bookmarkEnd w:id="635"/>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2617.76</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250.83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r>
              <w:rPr>
                <w:rFonts w:cs="Times New Roman"/>
                <w:snapToGrid w:val="0"/>
                <w:sz w:val="21"/>
                <w:szCs w:val="21"/>
              </w:rPr>
              <w:t>聚合物</w:t>
            </w:r>
          </w:p>
        </w:tc>
      </w:tr>
      <w:tr w:rsidR="00C645C9">
        <w:trPr>
          <w:trHeight w:val="315"/>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三开</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215.9</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5817.76</w:t>
            </w:r>
            <w:r>
              <w:rPr>
                <w:rFonts w:cs="Times New Roman" w:hint="eastAsia"/>
                <w:sz w:val="21"/>
                <w:szCs w:val="21"/>
                <w:lang w:bidi="ar"/>
              </w:rPr>
              <w:t>-</w:t>
            </w:r>
            <w:bookmarkStart w:id="636" w:name="OLE_LINK1259"/>
            <w:r>
              <w:rPr>
                <w:rFonts w:cs="Times New Roman" w:hint="eastAsia"/>
                <w:sz w:val="21"/>
                <w:szCs w:val="21"/>
                <w:lang w:bidi="ar"/>
              </w:rPr>
              <w:t>6117.47</w:t>
            </w:r>
            <w:bookmarkEnd w:id="636"/>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299.71</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w:t>
            </w:r>
            <w:r>
              <w:rPr>
                <w:rFonts w:cs="Times New Roman" w:hint="eastAsia"/>
                <w:sz w:val="21"/>
                <w:szCs w:val="21"/>
                <w:lang w:bidi="ar"/>
              </w:rPr>
              <w:t>06.4</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r>
              <w:rPr>
                <w:rFonts w:cs="Times New Roman"/>
                <w:sz w:val="21"/>
                <w:szCs w:val="21"/>
              </w:rPr>
              <w:t>聚磺</w:t>
            </w:r>
          </w:p>
        </w:tc>
      </w:tr>
      <w:tr w:rsidR="00C645C9">
        <w:trPr>
          <w:trHeight w:val="349"/>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637" w:name="OLE_LINK1266" w:colFirst="3" w:colLast="3"/>
            <w:r>
              <w:rPr>
                <w:rFonts w:cs="Times New Roman" w:hint="eastAsia"/>
                <w:sz w:val="21"/>
                <w:szCs w:val="21"/>
                <w:lang w:bidi="ar"/>
              </w:rPr>
              <w:t>四开</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165.1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638" w:name="OLE_LINK1267"/>
            <w:r>
              <w:rPr>
                <w:rFonts w:cs="Times New Roman" w:hint="eastAsia"/>
                <w:sz w:val="21"/>
                <w:szCs w:val="21"/>
                <w:lang w:bidi="ar"/>
              </w:rPr>
              <w:t>6117.47-</w:t>
            </w:r>
            <w:bookmarkEnd w:id="638"/>
            <w:r>
              <w:rPr>
                <w:rFonts w:cs="Times New Roman" w:hint="eastAsia"/>
                <w:sz w:val="21"/>
                <w:szCs w:val="21"/>
                <w:lang w:bidi="ar"/>
              </w:rPr>
              <w:t>6</w:t>
            </w:r>
            <w:r>
              <w:rPr>
                <w:rFonts w:cs="Times New Roman" w:hint="eastAsia"/>
                <w:sz w:val="21"/>
                <w:szCs w:val="21"/>
                <w:lang w:bidi="ar"/>
              </w:rPr>
              <w:t>331.28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rPr>
              <w:t>213.81</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lang w:bidi="ar"/>
              </w:rPr>
              <w:t>1</w:t>
            </w:r>
            <w:r>
              <w:rPr>
                <w:rFonts w:cs="Times New Roman" w:hint="eastAsia"/>
                <w:sz w:val="21"/>
                <w:szCs w:val="21"/>
                <w:lang w:bidi="ar"/>
              </w:rPr>
              <w:t>27</w:t>
            </w:r>
          </w:p>
        </w:tc>
        <w:tc>
          <w:tcPr>
            <w:tcW w:w="1553" w:type="dxa"/>
            <w:tcBorders>
              <w:top w:val="single" w:sz="4" w:space="0" w:color="auto"/>
              <w:left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bookmarkStart w:id="639" w:name="OLE_LINK1264"/>
            <w:r>
              <w:rPr>
                <w:rFonts w:cs="Times New Roman"/>
                <w:sz w:val="21"/>
                <w:szCs w:val="21"/>
              </w:rPr>
              <w:t>油基</w:t>
            </w:r>
            <w:bookmarkEnd w:id="639"/>
          </w:p>
        </w:tc>
      </w:tr>
      <w:tr w:rsidR="00C645C9">
        <w:trPr>
          <w:trHeight w:val="108"/>
          <w:jc w:val="center"/>
        </w:trPr>
        <w:tc>
          <w:tcPr>
            <w:tcW w:w="81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bookmarkStart w:id="640" w:name="OLE_LINK1289"/>
            <w:bookmarkEnd w:id="637"/>
            <w:r>
              <w:rPr>
                <w:rFonts w:cs="Times New Roman" w:hint="eastAsia"/>
                <w:sz w:val="21"/>
                <w:szCs w:val="21"/>
              </w:rPr>
              <w:t>侧钻</w:t>
            </w:r>
            <w:bookmarkEnd w:id="640"/>
            <w:r>
              <w:rPr>
                <w:rFonts w:cs="Times New Roman" w:hint="eastAsia"/>
                <w:sz w:val="21"/>
                <w:szCs w:val="21"/>
              </w:rPr>
              <w:t>部分</w:t>
            </w:r>
          </w:p>
        </w:tc>
      </w:tr>
      <w:tr w:rsidR="00C645C9">
        <w:trPr>
          <w:trHeight w:val="349"/>
          <w:jc w:val="cent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一开</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165.1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6250</w:t>
            </w:r>
            <w:r>
              <w:rPr>
                <w:rFonts w:cs="Times New Roman" w:hint="eastAsia"/>
                <w:sz w:val="21"/>
                <w:szCs w:val="21"/>
                <w:lang w:bidi="ar"/>
              </w:rPr>
              <w:t>-6</w:t>
            </w:r>
            <w:r>
              <w:rPr>
                <w:rFonts w:cs="Times New Roman" w:hint="eastAsia"/>
                <w:sz w:val="21"/>
                <w:szCs w:val="21"/>
                <w:lang w:bidi="ar"/>
              </w:rPr>
              <w:t>331.28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641" w:name="OLE_LINK1265"/>
            <w:r>
              <w:rPr>
                <w:rFonts w:cs="Times New Roman" w:hint="eastAsia"/>
                <w:sz w:val="21"/>
                <w:szCs w:val="21"/>
                <w:lang w:bidi="ar"/>
              </w:rPr>
              <w:t>1200</w:t>
            </w:r>
            <w:bookmarkEnd w:id="641"/>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rPr>
                <w:rFonts w:cs="Times New Roman"/>
                <w:sz w:val="21"/>
                <w:szCs w:val="21"/>
                <w:lang w:bidi="ar"/>
              </w:rPr>
            </w:pPr>
            <w:r>
              <w:rPr>
                <w:rFonts w:cs="Times New Roman" w:hint="eastAsia"/>
                <w:sz w:val="21"/>
                <w:szCs w:val="21"/>
                <w:lang w:bidi="ar"/>
              </w:rPr>
              <w:t>1</w:t>
            </w:r>
            <w:r>
              <w:rPr>
                <w:rFonts w:cs="Times New Roman" w:hint="eastAsia"/>
                <w:sz w:val="21"/>
                <w:szCs w:val="21"/>
                <w:lang w:bidi="ar"/>
              </w:rPr>
              <w:t>27</w:t>
            </w:r>
          </w:p>
        </w:tc>
        <w:tc>
          <w:tcPr>
            <w:tcW w:w="1553" w:type="dxa"/>
            <w:tcBorders>
              <w:left w:val="single" w:sz="4" w:space="0" w:color="auto"/>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r>
              <w:rPr>
                <w:rFonts w:cs="Times New Roman"/>
                <w:sz w:val="21"/>
                <w:szCs w:val="21"/>
              </w:rPr>
              <w:t>油基</w:t>
            </w:r>
          </w:p>
        </w:tc>
      </w:tr>
    </w:tbl>
    <w:bookmarkEnd w:id="624"/>
    <w:bookmarkEnd w:id="634"/>
    <w:p w:rsidR="00C645C9" w:rsidRDefault="00F955D9">
      <w:pPr>
        <w:pStyle w:val="22"/>
        <w:ind w:leftChars="0" w:left="0"/>
        <w:rPr>
          <w:sz w:val="21"/>
          <w:szCs w:val="21"/>
        </w:rPr>
      </w:pPr>
      <w:r>
        <w:rPr>
          <w:rFonts w:hint="eastAsia"/>
          <w:sz w:val="21"/>
          <w:szCs w:val="21"/>
        </w:rPr>
        <w:lastRenderedPageBreak/>
        <w:t>备注：侧钻进尺按照</w:t>
      </w:r>
      <w:r>
        <w:rPr>
          <w:rFonts w:hint="eastAsia"/>
          <w:sz w:val="21"/>
          <w:szCs w:val="21"/>
        </w:rPr>
        <w:t>600m/</w:t>
      </w:r>
      <w:r>
        <w:rPr>
          <w:rFonts w:hint="eastAsia"/>
          <w:sz w:val="21"/>
          <w:szCs w:val="21"/>
        </w:rPr>
        <w:t>次计算，泥浆体系为磺化泥浆；本工程属于碎屑岩地层，侧钻</w:t>
      </w:r>
      <w:r>
        <w:rPr>
          <w:rFonts w:hint="eastAsia"/>
          <w:sz w:val="21"/>
          <w:szCs w:val="21"/>
        </w:rPr>
        <w:t>2</w:t>
      </w:r>
      <w:r>
        <w:rPr>
          <w:rFonts w:hint="eastAsia"/>
          <w:sz w:val="21"/>
          <w:szCs w:val="21"/>
        </w:rPr>
        <w:t>次。</w:t>
      </w:r>
    </w:p>
    <w:bookmarkEnd w:id="625"/>
    <w:p w:rsidR="00C645C9" w:rsidRDefault="00F955D9" w:rsidP="005718BB">
      <w:pPr>
        <w:pStyle w:val="a6"/>
        <w:ind w:firstLine="420"/>
        <w:jc w:val="center"/>
      </w:pPr>
      <w:r>
        <w:rPr>
          <w:rFonts w:eastAsia="黑体"/>
          <w:sz w:val="21"/>
          <w:szCs w:val="21"/>
          <w:lang w:bidi="ar"/>
        </w:rPr>
        <w:t>图</w:t>
      </w:r>
      <w:bookmarkStart w:id="642" w:name="OLE_LINK1282"/>
      <w:r>
        <w:rPr>
          <w:rFonts w:eastAsia="黑体"/>
          <w:snapToGrid w:val="0"/>
          <w:sz w:val="21"/>
          <w:szCs w:val="21"/>
          <w:lang w:val="en-GB"/>
        </w:rPr>
        <w:t>3.2-</w:t>
      </w:r>
      <w:bookmarkEnd w:id="642"/>
      <w:r>
        <w:rPr>
          <w:rFonts w:eastAsia="黑体" w:hint="eastAsia"/>
          <w:snapToGrid w:val="0"/>
          <w:sz w:val="21"/>
          <w:szCs w:val="21"/>
        </w:rPr>
        <w:t>5</w:t>
      </w:r>
      <w:r>
        <w:rPr>
          <w:rFonts w:eastAsia="黑体"/>
          <w:sz w:val="21"/>
          <w:szCs w:val="21"/>
          <w:lang w:bidi="ar"/>
        </w:rPr>
        <w:t xml:space="preserve">   </w:t>
      </w:r>
      <w:r>
        <w:rPr>
          <w:rFonts w:eastAsia="黑体"/>
          <w:snapToGrid w:val="0"/>
          <w:sz w:val="21"/>
        </w:rPr>
        <w:t>井身结构示意图</w:t>
      </w:r>
    </w:p>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rPr>
          <w:rFonts w:cs="Times New Roman" w:hint="eastAsia"/>
        </w:rPr>
        <w:t>③</w:t>
      </w:r>
      <w:r>
        <w:rPr>
          <w:rFonts w:cs="Times New Roman"/>
        </w:rPr>
        <w:fldChar w:fldCharType="end"/>
      </w:r>
      <w:r>
        <w:rPr>
          <w:rFonts w:cs="Times New Roman"/>
        </w:rPr>
        <w:t>钻井液</w:t>
      </w:r>
    </w:p>
    <w:p w:rsidR="00C645C9" w:rsidRDefault="00F955D9">
      <w:pPr>
        <w:pStyle w:val="00"/>
        <w:jc w:val="both"/>
        <w:rPr>
          <w:color w:val="auto"/>
        </w:rPr>
      </w:pPr>
      <w:r>
        <w:rPr>
          <w:color w:val="auto"/>
        </w:rPr>
        <w:t>本工程配制钻井液所用的原料为有机物类、无机盐类等，不含重金属。本工程采用聚合物钻井液</w:t>
      </w:r>
      <w:r>
        <w:rPr>
          <w:rFonts w:hint="eastAsia"/>
          <w:color w:val="auto"/>
        </w:rPr>
        <w:t>、</w:t>
      </w:r>
      <w:r>
        <w:rPr>
          <w:color w:val="auto"/>
        </w:rPr>
        <w:t>聚磺钻井液</w:t>
      </w:r>
      <w:r>
        <w:rPr>
          <w:rFonts w:hint="eastAsia"/>
          <w:color w:val="auto"/>
        </w:rPr>
        <w:t>和油基</w:t>
      </w:r>
      <w:r>
        <w:rPr>
          <w:color w:val="auto"/>
        </w:rPr>
        <w:t>钻井液，使用后全部回</w:t>
      </w:r>
      <w:r>
        <w:rPr>
          <w:color w:val="auto"/>
        </w:rPr>
        <w:t>收。</w:t>
      </w:r>
      <w:r>
        <w:rPr>
          <w:color w:val="auto"/>
        </w:rPr>
        <w:t>本工程钻井液体系见表</w:t>
      </w:r>
      <w:r>
        <w:rPr>
          <w:color w:val="auto"/>
        </w:rPr>
        <w:t>3.2-</w:t>
      </w:r>
      <w:r>
        <w:rPr>
          <w:rFonts w:hint="eastAsia"/>
          <w:color w:val="auto"/>
        </w:rPr>
        <w:t>6</w:t>
      </w:r>
      <w:r>
        <w:rPr>
          <w:color w:val="auto"/>
        </w:rPr>
        <w:t>。</w:t>
      </w:r>
    </w:p>
    <w:p w:rsidR="00C645C9" w:rsidRDefault="00F955D9">
      <w:pPr>
        <w:pStyle w:val="af7"/>
        <w:outlineLvl w:val="9"/>
        <w:rPr>
          <w:snapToGrid w:val="0"/>
          <w:kern w:val="2"/>
          <w:szCs w:val="21"/>
        </w:rPr>
      </w:pPr>
      <w:r>
        <w:rPr>
          <w:snapToGrid w:val="0"/>
          <w:kern w:val="2"/>
          <w:szCs w:val="21"/>
        </w:rPr>
        <w:t>表</w:t>
      </w:r>
      <w:r>
        <w:rPr>
          <w:snapToGrid w:val="0"/>
          <w:kern w:val="2"/>
          <w:szCs w:val="21"/>
        </w:rPr>
        <w:t>3.2-</w:t>
      </w:r>
      <w:r>
        <w:rPr>
          <w:rFonts w:hint="eastAsia"/>
          <w:snapToGrid w:val="0"/>
          <w:kern w:val="2"/>
          <w:szCs w:val="21"/>
        </w:rPr>
        <w:t>6</w:t>
      </w:r>
      <w:r>
        <w:rPr>
          <w:snapToGrid w:val="0"/>
          <w:kern w:val="2"/>
          <w:szCs w:val="21"/>
        </w:rPr>
        <w:t xml:space="preserve">   </w:t>
      </w:r>
      <w:r>
        <w:rPr>
          <w:snapToGrid w:val="0"/>
          <w:kern w:val="2"/>
          <w:szCs w:val="21"/>
        </w:rPr>
        <w:t>钻井液体系表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2" w:space="0" w:color="auto"/>
        </w:tblBorders>
        <w:tblLayout w:type="fixed"/>
        <w:tblLook w:val="04A0" w:firstRow="1" w:lastRow="0" w:firstColumn="1" w:lastColumn="0" w:noHBand="0" w:noVBand="1"/>
      </w:tblPr>
      <w:tblGrid>
        <w:gridCol w:w="925"/>
        <w:gridCol w:w="2009"/>
        <w:gridCol w:w="5689"/>
      </w:tblGrid>
      <w:tr w:rsidR="00C645C9">
        <w:trPr>
          <w:trHeight w:val="283"/>
          <w:jc w:val="center"/>
        </w:trPr>
        <w:tc>
          <w:tcPr>
            <w:tcW w:w="536" w:type="pct"/>
            <w:vAlign w:val="center"/>
          </w:tcPr>
          <w:p w:rsidR="00C645C9" w:rsidRDefault="00F955D9">
            <w:pPr>
              <w:pStyle w:val="afff4"/>
              <w:rPr>
                <w:rFonts w:cs="Times New Roman"/>
                <w:sz w:val="21"/>
                <w:szCs w:val="21"/>
              </w:rPr>
            </w:pPr>
            <w:r>
              <w:rPr>
                <w:rFonts w:cs="Times New Roman"/>
                <w:sz w:val="21"/>
                <w:szCs w:val="21"/>
              </w:rPr>
              <w:t>井段</w:t>
            </w:r>
          </w:p>
        </w:tc>
        <w:tc>
          <w:tcPr>
            <w:tcW w:w="1165" w:type="pct"/>
            <w:vAlign w:val="center"/>
          </w:tcPr>
          <w:p w:rsidR="00C645C9" w:rsidRDefault="00F955D9">
            <w:pPr>
              <w:pStyle w:val="afff4"/>
              <w:rPr>
                <w:rFonts w:cs="Times New Roman"/>
                <w:sz w:val="21"/>
                <w:szCs w:val="21"/>
              </w:rPr>
            </w:pPr>
            <w:r>
              <w:rPr>
                <w:rFonts w:cs="Times New Roman"/>
                <w:sz w:val="21"/>
                <w:szCs w:val="21"/>
              </w:rPr>
              <w:t>钻井液体系</w:t>
            </w:r>
          </w:p>
        </w:tc>
        <w:tc>
          <w:tcPr>
            <w:tcW w:w="3298" w:type="pct"/>
            <w:vAlign w:val="center"/>
          </w:tcPr>
          <w:p w:rsidR="00C645C9" w:rsidRDefault="00F955D9">
            <w:pPr>
              <w:pStyle w:val="afff4"/>
              <w:rPr>
                <w:rFonts w:cs="Times New Roman"/>
                <w:sz w:val="21"/>
                <w:szCs w:val="21"/>
              </w:rPr>
            </w:pPr>
            <w:r>
              <w:rPr>
                <w:rFonts w:cs="Times New Roman"/>
                <w:sz w:val="21"/>
                <w:szCs w:val="21"/>
              </w:rPr>
              <w:t>选择依据</w:t>
            </w:r>
          </w:p>
        </w:tc>
      </w:tr>
      <w:tr w:rsidR="00C645C9">
        <w:trPr>
          <w:trHeight w:val="283"/>
          <w:jc w:val="center"/>
        </w:trPr>
        <w:tc>
          <w:tcPr>
            <w:tcW w:w="536" w:type="pct"/>
            <w:vAlign w:val="center"/>
          </w:tcPr>
          <w:p w:rsidR="00C645C9" w:rsidRDefault="00F955D9">
            <w:pPr>
              <w:snapToGrid w:val="0"/>
              <w:spacing w:line="240" w:lineRule="exact"/>
              <w:jc w:val="center"/>
              <w:rPr>
                <w:rFonts w:cs="Times New Roman"/>
                <w:sz w:val="21"/>
                <w:szCs w:val="21"/>
              </w:rPr>
            </w:pPr>
            <w:r>
              <w:rPr>
                <w:rFonts w:cs="Times New Roman"/>
                <w:sz w:val="21"/>
                <w:szCs w:val="21"/>
              </w:rPr>
              <w:t>1</w:t>
            </w:r>
          </w:p>
        </w:tc>
        <w:tc>
          <w:tcPr>
            <w:tcW w:w="1165" w:type="pct"/>
            <w:noWrap/>
            <w:vAlign w:val="center"/>
          </w:tcPr>
          <w:p w:rsidR="00C645C9" w:rsidRDefault="00F955D9">
            <w:pPr>
              <w:widowControl w:val="0"/>
              <w:spacing w:line="240" w:lineRule="exact"/>
              <w:jc w:val="center"/>
              <w:rPr>
                <w:rFonts w:cs="Times New Roman"/>
                <w:sz w:val="21"/>
                <w:szCs w:val="21"/>
              </w:rPr>
            </w:pPr>
            <w:r>
              <w:rPr>
                <w:rFonts w:cs="Times New Roman"/>
                <w:snapToGrid w:val="0"/>
                <w:sz w:val="21"/>
                <w:szCs w:val="21"/>
              </w:rPr>
              <w:t>膨润土</w:t>
            </w:r>
            <w:r>
              <w:rPr>
                <w:rFonts w:cs="Times New Roman"/>
                <w:snapToGrid w:val="0"/>
                <w:sz w:val="21"/>
                <w:szCs w:val="21"/>
              </w:rPr>
              <w:t>-</w:t>
            </w:r>
            <w:r>
              <w:rPr>
                <w:rFonts w:cs="Times New Roman"/>
                <w:snapToGrid w:val="0"/>
                <w:sz w:val="21"/>
                <w:szCs w:val="21"/>
              </w:rPr>
              <w:t>聚合物</w:t>
            </w:r>
          </w:p>
        </w:tc>
        <w:tc>
          <w:tcPr>
            <w:tcW w:w="3298" w:type="pct"/>
            <w:noWrap/>
            <w:vAlign w:val="center"/>
          </w:tcPr>
          <w:p w:rsidR="00C645C9" w:rsidRDefault="00F955D9">
            <w:pPr>
              <w:adjustRightInd w:val="0"/>
              <w:snapToGrid w:val="0"/>
              <w:ind w:rightChars="-12" w:right="-29"/>
              <w:rPr>
                <w:rFonts w:cs="Times New Roman"/>
                <w:sz w:val="21"/>
                <w:szCs w:val="21"/>
              </w:rPr>
            </w:pPr>
            <w:r>
              <w:rPr>
                <w:rFonts w:cs="Times New Roman"/>
                <w:sz w:val="21"/>
                <w:szCs w:val="21"/>
              </w:rPr>
              <w:t>地层疏松易垮塌，采用高粘聚合物体系保持井眼稳定</w:t>
            </w:r>
            <w:r>
              <w:rPr>
                <w:rFonts w:cs="Times New Roman" w:hint="eastAsia"/>
                <w:snapToGrid w:val="0"/>
                <w:sz w:val="21"/>
                <w:szCs w:val="21"/>
              </w:rPr>
              <w:t>。</w:t>
            </w:r>
          </w:p>
        </w:tc>
      </w:tr>
      <w:tr w:rsidR="00C645C9">
        <w:trPr>
          <w:trHeight w:val="283"/>
          <w:jc w:val="center"/>
        </w:trPr>
        <w:tc>
          <w:tcPr>
            <w:tcW w:w="536" w:type="pct"/>
            <w:vAlign w:val="center"/>
          </w:tcPr>
          <w:p w:rsidR="00C645C9" w:rsidRDefault="00F955D9">
            <w:pPr>
              <w:snapToGrid w:val="0"/>
              <w:spacing w:line="240" w:lineRule="exact"/>
              <w:jc w:val="center"/>
              <w:rPr>
                <w:rFonts w:cs="Times New Roman"/>
                <w:sz w:val="21"/>
                <w:szCs w:val="21"/>
              </w:rPr>
            </w:pPr>
            <w:r>
              <w:rPr>
                <w:rFonts w:cs="Times New Roman"/>
                <w:sz w:val="21"/>
                <w:szCs w:val="21"/>
              </w:rPr>
              <w:t>2</w:t>
            </w:r>
          </w:p>
        </w:tc>
        <w:tc>
          <w:tcPr>
            <w:tcW w:w="1165" w:type="pct"/>
            <w:noWrap/>
            <w:vAlign w:val="center"/>
          </w:tcPr>
          <w:p w:rsidR="00C645C9" w:rsidRDefault="00F955D9">
            <w:pPr>
              <w:widowControl w:val="0"/>
              <w:spacing w:line="240" w:lineRule="exact"/>
              <w:jc w:val="center"/>
              <w:rPr>
                <w:rFonts w:cs="Times New Roman"/>
                <w:sz w:val="21"/>
                <w:szCs w:val="21"/>
              </w:rPr>
            </w:pPr>
            <w:r>
              <w:rPr>
                <w:rFonts w:cs="Times New Roman"/>
                <w:snapToGrid w:val="0"/>
                <w:sz w:val="21"/>
                <w:szCs w:val="21"/>
              </w:rPr>
              <w:t>聚合物</w:t>
            </w:r>
          </w:p>
        </w:tc>
        <w:tc>
          <w:tcPr>
            <w:tcW w:w="3298" w:type="pct"/>
            <w:noWrap/>
            <w:vAlign w:val="center"/>
          </w:tcPr>
          <w:p w:rsidR="00C645C9" w:rsidRDefault="00F955D9">
            <w:pPr>
              <w:pStyle w:val="afff4"/>
              <w:ind w:rightChars="-15" w:right="-36"/>
              <w:jc w:val="left"/>
              <w:rPr>
                <w:rFonts w:cs="Times New Roman"/>
                <w:snapToGrid w:val="0"/>
                <w:kern w:val="2"/>
                <w:sz w:val="21"/>
                <w:szCs w:val="21"/>
              </w:rPr>
            </w:pPr>
            <w:r>
              <w:rPr>
                <w:rFonts w:cs="Times New Roman"/>
                <w:sz w:val="21"/>
                <w:szCs w:val="21"/>
              </w:rPr>
              <w:t>泥岩地层易造浆，砂岩易渗漏，体系包被抑制性强</w:t>
            </w:r>
            <w:r>
              <w:rPr>
                <w:rFonts w:cs="Times New Roman" w:hint="eastAsia"/>
                <w:snapToGrid w:val="0"/>
                <w:sz w:val="21"/>
                <w:szCs w:val="21"/>
              </w:rPr>
              <w:t>。</w:t>
            </w:r>
          </w:p>
        </w:tc>
      </w:tr>
      <w:tr w:rsidR="00C645C9">
        <w:trPr>
          <w:trHeight w:val="283"/>
          <w:jc w:val="center"/>
        </w:trPr>
        <w:tc>
          <w:tcPr>
            <w:tcW w:w="536" w:type="pct"/>
            <w:vAlign w:val="center"/>
          </w:tcPr>
          <w:p w:rsidR="00C645C9" w:rsidRDefault="00F955D9">
            <w:pPr>
              <w:snapToGrid w:val="0"/>
              <w:spacing w:line="240" w:lineRule="exact"/>
              <w:jc w:val="center"/>
              <w:rPr>
                <w:rFonts w:cs="Times New Roman"/>
                <w:sz w:val="21"/>
                <w:szCs w:val="21"/>
              </w:rPr>
            </w:pPr>
            <w:r>
              <w:rPr>
                <w:rFonts w:cs="Times New Roman"/>
                <w:sz w:val="21"/>
                <w:szCs w:val="21"/>
              </w:rPr>
              <w:t>3</w:t>
            </w:r>
          </w:p>
        </w:tc>
        <w:tc>
          <w:tcPr>
            <w:tcW w:w="1165" w:type="pct"/>
            <w:noWrap/>
            <w:vAlign w:val="center"/>
          </w:tcPr>
          <w:p w:rsidR="00C645C9" w:rsidRDefault="00F955D9">
            <w:pPr>
              <w:widowControl w:val="0"/>
              <w:spacing w:line="240" w:lineRule="exact"/>
              <w:jc w:val="center"/>
              <w:rPr>
                <w:rFonts w:cs="Times New Roman"/>
                <w:sz w:val="21"/>
                <w:szCs w:val="21"/>
              </w:rPr>
            </w:pPr>
            <w:r>
              <w:rPr>
                <w:rFonts w:cs="Times New Roman"/>
                <w:sz w:val="21"/>
                <w:szCs w:val="21"/>
              </w:rPr>
              <w:t>聚磺</w:t>
            </w:r>
          </w:p>
        </w:tc>
        <w:tc>
          <w:tcPr>
            <w:tcW w:w="3298" w:type="pct"/>
            <w:noWrap/>
          </w:tcPr>
          <w:p w:rsidR="00C645C9" w:rsidRDefault="00F955D9">
            <w:pPr>
              <w:rPr>
                <w:rFonts w:cs="Times New Roman"/>
                <w:snapToGrid w:val="0"/>
                <w:kern w:val="2"/>
                <w:sz w:val="21"/>
                <w:szCs w:val="21"/>
              </w:rPr>
            </w:pPr>
            <w:r>
              <w:rPr>
                <w:rFonts w:cs="Times New Roman"/>
                <w:sz w:val="21"/>
                <w:szCs w:val="21"/>
              </w:rPr>
              <w:t>具有良好的防塌性、润滑性、抗温及储层保护效果</w:t>
            </w:r>
            <w:r>
              <w:rPr>
                <w:rFonts w:cs="Times New Roman" w:hint="eastAsia"/>
                <w:sz w:val="21"/>
                <w:szCs w:val="21"/>
              </w:rPr>
              <w:t>。</w:t>
            </w:r>
          </w:p>
        </w:tc>
      </w:tr>
      <w:tr w:rsidR="00C645C9">
        <w:trPr>
          <w:trHeight w:val="283"/>
          <w:jc w:val="center"/>
        </w:trPr>
        <w:tc>
          <w:tcPr>
            <w:tcW w:w="875" w:type="dxa"/>
            <w:vAlign w:val="center"/>
          </w:tcPr>
          <w:p w:rsidR="00C645C9" w:rsidRDefault="00F955D9">
            <w:pPr>
              <w:snapToGrid w:val="0"/>
              <w:spacing w:line="240" w:lineRule="exact"/>
              <w:jc w:val="center"/>
              <w:rPr>
                <w:rFonts w:cs="Times New Roman"/>
                <w:sz w:val="21"/>
                <w:szCs w:val="21"/>
              </w:rPr>
            </w:pPr>
            <w:r>
              <w:rPr>
                <w:rFonts w:cs="Times New Roman"/>
                <w:sz w:val="21"/>
                <w:szCs w:val="21"/>
              </w:rPr>
              <w:t>4</w:t>
            </w:r>
          </w:p>
        </w:tc>
        <w:tc>
          <w:tcPr>
            <w:tcW w:w="1900" w:type="dxa"/>
            <w:noWrap/>
            <w:vAlign w:val="center"/>
          </w:tcPr>
          <w:p w:rsidR="00C645C9" w:rsidRDefault="00F955D9">
            <w:pPr>
              <w:widowControl w:val="0"/>
              <w:spacing w:line="240" w:lineRule="exact"/>
              <w:jc w:val="center"/>
              <w:rPr>
                <w:rFonts w:cs="Times New Roman"/>
                <w:sz w:val="21"/>
                <w:szCs w:val="21"/>
              </w:rPr>
            </w:pPr>
            <w:r>
              <w:rPr>
                <w:rFonts w:cs="Times New Roman"/>
                <w:sz w:val="21"/>
                <w:szCs w:val="21"/>
              </w:rPr>
              <w:t>油基</w:t>
            </w:r>
          </w:p>
        </w:tc>
        <w:tc>
          <w:tcPr>
            <w:tcW w:w="5379" w:type="dxa"/>
            <w:noWrap/>
            <w:vAlign w:val="center"/>
          </w:tcPr>
          <w:p w:rsidR="00C645C9" w:rsidRDefault="00F955D9">
            <w:pPr>
              <w:adjustRightInd w:val="0"/>
              <w:snapToGrid w:val="0"/>
              <w:ind w:rightChars="-12" w:right="-29"/>
              <w:rPr>
                <w:rFonts w:cs="Times New Roman"/>
                <w:sz w:val="21"/>
                <w:szCs w:val="21"/>
              </w:rPr>
            </w:pPr>
            <w:r>
              <w:rPr>
                <w:rFonts w:cs="Times New Roman"/>
                <w:sz w:val="21"/>
                <w:szCs w:val="21"/>
              </w:rPr>
              <w:t>二叠、石炭系易塌，该体系具有良好的防塌、润滑性能</w:t>
            </w:r>
            <w:r>
              <w:rPr>
                <w:rFonts w:cs="Times New Roman" w:hint="eastAsia"/>
                <w:sz w:val="21"/>
                <w:szCs w:val="21"/>
              </w:rPr>
              <w:t>。</w:t>
            </w:r>
          </w:p>
        </w:tc>
      </w:tr>
    </w:tbl>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rPr>
          <w:rFonts w:cs="Times New Roman"/>
        </w:rPr>
        <w:t>④</w:t>
      </w:r>
      <w:r>
        <w:rPr>
          <w:rFonts w:cs="Times New Roman"/>
        </w:rPr>
        <w:fldChar w:fldCharType="end"/>
      </w:r>
      <w:bookmarkStart w:id="643" w:name="OLE_LINK759"/>
      <w:r>
        <w:rPr>
          <w:rFonts w:cs="Times New Roman"/>
        </w:rPr>
        <w:t>钻井设备</w:t>
      </w:r>
      <w:bookmarkEnd w:id="643"/>
    </w:p>
    <w:p w:rsidR="00C645C9" w:rsidRDefault="00F955D9">
      <w:pPr>
        <w:spacing w:line="360" w:lineRule="auto"/>
        <w:ind w:firstLineChars="200" w:firstLine="480"/>
        <w:rPr>
          <w:rFonts w:cs="Times New Roman"/>
        </w:rPr>
      </w:pPr>
      <w:r>
        <w:rPr>
          <w:rFonts w:cs="Times New Roman"/>
        </w:rPr>
        <w:t>钻井工程主要施工设备为机械钻机、运输车、装载机及配套设施，设备设施情况见表</w:t>
      </w:r>
      <w:bookmarkStart w:id="644" w:name="OLE_LINK758"/>
      <w:r>
        <w:rPr>
          <w:rFonts w:cs="Times New Roman" w:hint="eastAsia"/>
        </w:rPr>
        <w:t>3.2-</w:t>
      </w:r>
      <w:bookmarkEnd w:id="644"/>
      <w:r>
        <w:rPr>
          <w:rFonts w:cs="Times New Roman" w:hint="eastAsia"/>
        </w:rPr>
        <w:t>7</w:t>
      </w:r>
      <w:r>
        <w:rPr>
          <w:rFonts w:cs="Times New Roman" w:hint="eastAsia"/>
        </w:rPr>
        <w:t>。</w:t>
      </w:r>
    </w:p>
    <w:p w:rsidR="00C645C9" w:rsidRDefault="00F955D9" w:rsidP="005718BB">
      <w:pPr>
        <w:pStyle w:val="a6"/>
        <w:spacing w:line="240" w:lineRule="auto"/>
        <w:ind w:firstLine="420"/>
        <w:jc w:val="center"/>
        <w:rPr>
          <w:rFonts w:eastAsia="黑体"/>
          <w:snapToGrid w:val="0"/>
          <w:sz w:val="21"/>
        </w:rPr>
      </w:pPr>
      <w:r>
        <w:rPr>
          <w:rFonts w:eastAsia="黑体" w:hint="eastAsia"/>
          <w:snapToGrid w:val="0"/>
          <w:sz w:val="21"/>
        </w:rPr>
        <w:t>表</w:t>
      </w:r>
      <w:r>
        <w:rPr>
          <w:rFonts w:eastAsia="黑体" w:hint="eastAsia"/>
          <w:snapToGrid w:val="0"/>
          <w:sz w:val="21"/>
        </w:rPr>
        <w:t>3.2-</w:t>
      </w:r>
      <w:r>
        <w:rPr>
          <w:rFonts w:eastAsia="黑体" w:hint="eastAsia"/>
          <w:snapToGrid w:val="0"/>
          <w:sz w:val="21"/>
        </w:rPr>
        <w:t>7</w:t>
      </w:r>
      <w:r>
        <w:rPr>
          <w:rFonts w:eastAsia="黑体" w:hint="eastAsia"/>
          <w:snapToGrid w:val="0"/>
          <w:sz w:val="21"/>
        </w:rPr>
        <w:t xml:space="preserve">   </w:t>
      </w:r>
      <w:r>
        <w:rPr>
          <w:rFonts w:eastAsia="黑体"/>
          <w:snapToGrid w:val="0"/>
          <w:sz w:val="21"/>
        </w:rPr>
        <w:t>井场钻井设备一览表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3"/>
        <w:gridCol w:w="2535"/>
        <w:gridCol w:w="1171"/>
        <w:gridCol w:w="1085"/>
        <w:gridCol w:w="1606"/>
      </w:tblGrid>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设备或部件名称</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规格型号</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主参数</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单位</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数量</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机械钻机</w:t>
            </w:r>
          </w:p>
        </w:tc>
        <w:tc>
          <w:tcPr>
            <w:tcW w:w="1497" w:type="pct"/>
            <w:vAlign w:val="center"/>
          </w:tcPr>
          <w:p w:rsidR="00C645C9" w:rsidRDefault="00F955D9">
            <w:pPr>
              <w:adjustRightInd w:val="0"/>
              <w:spacing w:line="0" w:lineRule="atLeast"/>
              <w:jc w:val="center"/>
              <w:rPr>
                <w:rFonts w:cs="Times New Roman"/>
                <w:bCs/>
                <w:spacing w:val="-10"/>
                <w:sz w:val="21"/>
                <w:szCs w:val="21"/>
              </w:rPr>
            </w:pPr>
            <w:bookmarkStart w:id="645" w:name="OLE_LINK757"/>
            <w:r>
              <w:rPr>
                <w:rFonts w:cs="Times New Roman" w:hint="eastAsia"/>
                <w:bCs/>
                <w:spacing w:val="-10"/>
                <w:sz w:val="21"/>
                <w:szCs w:val="21"/>
              </w:rPr>
              <w:t>ZJ</w:t>
            </w:r>
            <w:r>
              <w:rPr>
                <w:rFonts w:cs="Times New Roman"/>
                <w:bCs/>
                <w:spacing w:val="-10"/>
                <w:sz w:val="21"/>
                <w:szCs w:val="21"/>
              </w:rPr>
              <w:t>70</w:t>
            </w:r>
            <w:bookmarkEnd w:id="645"/>
            <w:r>
              <w:rPr>
                <w:rFonts w:cs="Times New Roman"/>
                <w:bCs/>
                <w:spacing w:val="-10"/>
                <w:sz w:val="21"/>
                <w:szCs w:val="21"/>
              </w:rPr>
              <w:t>钻机</w:t>
            </w:r>
          </w:p>
        </w:tc>
        <w:tc>
          <w:tcPr>
            <w:tcW w:w="692" w:type="pct"/>
            <w:vAlign w:val="center"/>
          </w:tcPr>
          <w:p w:rsidR="00C645C9" w:rsidRDefault="00F955D9">
            <w:pPr>
              <w:adjustRightInd w:val="0"/>
              <w:spacing w:line="0" w:lineRule="atLeast"/>
              <w:jc w:val="center"/>
              <w:rPr>
                <w:rFonts w:cs="Times New Roman"/>
                <w:bCs/>
                <w:spacing w:val="-10"/>
                <w:sz w:val="21"/>
                <w:szCs w:val="21"/>
              </w:rPr>
            </w:pPr>
            <w:bookmarkStart w:id="646" w:name="OLE_LINK1138"/>
            <w:r>
              <w:rPr>
                <w:rFonts w:cs="Times New Roman" w:hint="eastAsia"/>
                <w:bCs/>
                <w:spacing w:val="-10"/>
                <w:sz w:val="21"/>
                <w:szCs w:val="21"/>
              </w:rPr>
              <w:t>-</w:t>
            </w:r>
            <w:bookmarkEnd w:id="646"/>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949" w:type="pct"/>
            <w:vAlign w:val="center"/>
          </w:tcPr>
          <w:p w:rsidR="00C645C9" w:rsidRDefault="00F955D9">
            <w:pPr>
              <w:adjustRightInd w:val="0"/>
              <w:spacing w:line="0" w:lineRule="atLeast"/>
              <w:jc w:val="center"/>
              <w:rPr>
                <w:rFonts w:cs="Times New Roman"/>
                <w:bCs/>
                <w:spacing w:val="-10"/>
                <w:sz w:val="21"/>
                <w:szCs w:val="21"/>
              </w:rPr>
            </w:pPr>
            <w:bookmarkStart w:id="647" w:name="OLE_LINK1269"/>
            <w:r>
              <w:rPr>
                <w:rFonts w:cs="Times New Roman" w:hint="eastAsia"/>
                <w:bCs/>
                <w:spacing w:val="-10"/>
                <w:sz w:val="21"/>
                <w:szCs w:val="21"/>
              </w:rPr>
              <w:t>2</w:t>
            </w:r>
            <w:r>
              <w:rPr>
                <w:rFonts w:cs="Times New Roman"/>
                <w:bCs/>
                <w:spacing w:val="-10"/>
                <w:sz w:val="21"/>
                <w:szCs w:val="21"/>
              </w:rPr>
              <w:t>套</w:t>
            </w:r>
            <w:bookmarkEnd w:id="647"/>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井架</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JJ450/45-X</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4500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底座</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DZ450/10.5-X</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4500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绞车</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JC70LDB</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1470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kW</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天车</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TC450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4500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游车</w:t>
            </w:r>
            <w:r>
              <w:rPr>
                <w:rFonts w:cs="Times New Roman"/>
                <w:bCs/>
                <w:spacing w:val="-10"/>
                <w:sz w:val="21"/>
                <w:szCs w:val="21"/>
              </w:rPr>
              <w:t>/</w:t>
            </w:r>
            <w:r>
              <w:rPr>
                <w:rFonts w:cs="Times New Roman"/>
                <w:bCs/>
                <w:spacing w:val="-10"/>
                <w:sz w:val="21"/>
                <w:szCs w:val="21"/>
              </w:rPr>
              <w:t>大钩</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YC450/DG450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4500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水龙头</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SL450-5</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4500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转盘</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ZP375</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5850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kN</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泥浆泵</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3NB-1600F</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1600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HP</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4</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循环罐</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60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14</w:t>
            </w:r>
            <w:r>
              <w:rPr>
                <w:rFonts w:cs="Times New Roman"/>
                <w:bCs/>
                <w:spacing w:val="-10"/>
                <w:sz w:val="21"/>
                <w:szCs w:val="21"/>
              </w:rPr>
              <w:t>个</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振动筛</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r>
              <w:rPr>
                <w:rFonts w:cs="Times New Roman"/>
                <w:bCs/>
                <w:spacing w:val="-10"/>
                <w:sz w:val="21"/>
                <w:szCs w:val="21"/>
              </w:rPr>
              <w:t>/h</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4</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除气器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ZCQ220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240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r>
              <w:rPr>
                <w:rFonts w:cs="Times New Roman"/>
                <w:bCs/>
                <w:spacing w:val="-10"/>
                <w:sz w:val="21"/>
                <w:szCs w:val="21"/>
              </w:rPr>
              <w:t>/h</w:t>
            </w:r>
          </w:p>
        </w:tc>
        <w:tc>
          <w:tcPr>
            <w:tcW w:w="949" w:type="pct"/>
            <w:vAlign w:val="center"/>
          </w:tcPr>
          <w:p w:rsidR="00C645C9" w:rsidRDefault="00F955D9">
            <w:pPr>
              <w:adjustRightInd w:val="0"/>
              <w:spacing w:line="0" w:lineRule="atLeast"/>
              <w:jc w:val="center"/>
              <w:rPr>
                <w:rFonts w:cs="Times New Roman"/>
                <w:bCs/>
                <w:spacing w:val="-10"/>
                <w:sz w:val="21"/>
                <w:szCs w:val="21"/>
              </w:rPr>
            </w:pPr>
            <w:bookmarkStart w:id="648" w:name="OLE_LINK1270"/>
            <w:r>
              <w:rPr>
                <w:rFonts w:cs="Times New Roman" w:hint="eastAsia"/>
                <w:bCs/>
                <w:spacing w:val="-10"/>
                <w:sz w:val="21"/>
                <w:szCs w:val="21"/>
              </w:rPr>
              <w:t>2</w:t>
            </w:r>
            <w:bookmarkStart w:id="649" w:name="OLE_LINK1475"/>
            <w:r>
              <w:rPr>
                <w:rFonts w:cs="Times New Roman"/>
                <w:bCs/>
                <w:spacing w:val="-10"/>
                <w:sz w:val="21"/>
                <w:szCs w:val="21"/>
              </w:rPr>
              <w:t>台</w:t>
            </w:r>
            <w:bookmarkEnd w:id="648"/>
            <w:bookmarkEnd w:id="649"/>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钻井液清洁器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CS-250×3/CN100×16</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250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r>
              <w:rPr>
                <w:rFonts w:cs="Times New Roman"/>
                <w:bCs/>
                <w:spacing w:val="-10"/>
                <w:sz w:val="21"/>
                <w:szCs w:val="21"/>
              </w:rPr>
              <w:t>/h</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离心机</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GW458-842/GL255-1250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50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r>
              <w:rPr>
                <w:rFonts w:cs="Times New Roman"/>
                <w:bCs/>
                <w:spacing w:val="-10"/>
                <w:sz w:val="21"/>
                <w:szCs w:val="21"/>
              </w:rPr>
              <w:t>/h</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液气分离器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NQF1200/0.7</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5000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r>
              <w:rPr>
                <w:rFonts w:cs="Times New Roman"/>
                <w:bCs/>
                <w:spacing w:val="-10"/>
                <w:sz w:val="21"/>
                <w:szCs w:val="21"/>
              </w:rPr>
              <w:t>/h</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钻台紧急滑道</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按标准配套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环形防喷器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FH35-35</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35</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MPa</w:t>
            </w:r>
          </w:p>
        </w:tc>
        <w:tc>
          <w:tcPr>
            <w:tcW w:w="949" w:type="pct"/>
            <w:vAlign w:val="center"/>
          </w:tcPr>
          <w:p w:rsidR="00C645C9" w:rsidRDefault="00F955D9">
            <w:pPr>
              <w:adjustRightInd w:val="0"/>
              <w:spacing w:line="0" w:lineRule="atLeast"/>
              <w:jc w:val="center"/>
              <w:rPr>
                <w:rFonts w:cs="Times New Roman"/>
                <w:bCs/>
                <w:spacing w:val="-10"/>
                <w:sz w:val="21"/>
                <w:szCs w:val="21"/>
              </w:rPr>
            </w:pPr>
            <w:bookmarkStart w:id="650" w:name="OLE_LINK1271"/>
            <w:r>
              <w:rPr>
                <w:rFonts w:cs="Times New Roman" w:hint="eastAsia"/>
                <w:bCs/>
                <w:spacing w:val="-10"/>
                <w:sz w:val="21"/>
                <w:szCs w:val="21"/>
              </w:rPr>
              <w:t>2</w:t>
            </w:r>
            <w:bookmarkEnd w:id="650"/>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单闸板防喷器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FZ35-70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70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MPa</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lastRenderedPageBreak/>
              <w:t>双闸板防喷器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2FZ35-70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70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MPa</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4</w:t>
            </w:r>
            <w:r>
              <w:rPr>
                <w:rFonts w:cs="Times New Roman"/>
                <w:bCs/>
                <w:spacing w:val="-10"/>
                <w:sz w:val="21"/>
                <w:szCs w:val="21"/>
              </w:rPr>
              <w:t>台</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压井管汇</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YG78/103-70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70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MPa</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bookmarkStart w:id="651" w:name="OLE_LINK1476"/>
            <w:r>
              <w:rPr>
                <w:rFonts w:cs="Times New Roman" w:hint="eastAsia"/>
                <w:bCs/>
                <w:spacing w:val="-10"/>
                <w:sz w:val="21"/>
                <w:szCs w:val="21"/>
              </w:rPr>
              <w:t>套</w:t>
            </w:r>
            <w:bookmarkEnd w:id="651"/>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节流管汇</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JG78/103-70</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70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MPa</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hint="eastAsia"/>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运输车辆</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辆</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0</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装载机</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辆</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4</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采</w:t>
            </w:r>
            <w:r>
              <w:rPr>
                <w:rFonts w:cs="Times New Roman" w:hint="eastAsia"/>
                <w:bCs/>
                <w:spacing w:val="-10"/>
                <w:sz w:val="21"/>
                <w:szCs w:val="21"/>
              </w:rPr>
              <w:t>气</w:t>
            </w:r>
            <w:r>
              <w:rPr>
                <w:rFonts w:cs="Times New Roman"/>
                <w:bCs/>
                <w:spacing w:val="-10"/>
                <w:sz w:val="21"/>
                <w:szCs w:val="21"/>
              </w:rPr>
              <w:t>树</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三相计量分离器</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套</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凝析油储罐</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8</w:t>
            </w:r>
            <w:r>
              <w:rPr>
                <w:rFonts w:cs="Times New Roman"/>
                <w:bCs/>
                <w:spacing w:val="-10"/>
                <w:sz w:val="21"/>
                <w:szCs w:val="21"/>
              </w:rPr>
              <w:t>0</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m</w:t>
            </w:r>
            <w:r>
              <w:rPr>
                <w:rFonts w:cs="Times New Roman"/>
                <w:bCs/>
                <w:spacing w:val="-10"/>
                <w:sz w:val="21"/>
                <w:szCs w:val="21"/>
                <w:vertAlign w:val="superscript"/>
              </w:rPr>
              <w:t>3</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4</w:t>
            </w:r>
            <w:r>
              <w:rPr>
                <w:rFonts w:cs="Times New Roman"/>
                <w:bCs/>
                <w:spacing w:val="-10"/>
                <w:sz w:val="21"/>
                <w:szCs w:val="21"/>
              </w:rPr>
              <w:t>个</w:t>
            </w:r>
          </w:p>
        </w:tc>
      </w:tr>
      <w:tr w:rsidR="00C645C9">
        <w:trPr>
          <w:trHeight w:val="397"/>
          <w:jc w:val="center"/>
        </w:trPr>
        <w:tc>
          <w:tcPr>
            <w:tcW w:w="1219" w:type="pct"/>
            <w:vAlign w:val="center"/>
          </w:tcPr>
          <w:p w:rsidR="00C645C9" w:rsidRDefault="00F955D9">
            <w:pPr>
              <w:adjustRightInd w:val="0"/>
              <w:spacing w:line="0" w:lineRule="atLeast"/>
              <w:jc w:val="center"/>
              <w:rPr>
                <w:rFonts w:cs="Times New Roman"/>
                <w:bCs/>
                <w:spacing w:val="-10"/>
                <w:sz w:val="21"/>
                <w:szCs w:val="21"/>
              </w:rPr>
            </w:pPr>
            <w:r>
              <w:rPr>
                <w:rFonts w:cs="Times New Roman"/>
                <w:bCs/>
                <w:spacing w:val="-10"/>
                <w:sz w:val="21"/>
                <w:szCs w:val="21"/>
              </w:rPr>
              <w:t>放空管</w:t>
            </w:r>
          </w:p>
        </w:tc>
        <w:tc>
          <w:tcPr>
            <w:tcW w:w="1497"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92"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641"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w:t>
            </w:r>
          </w:p>
        </w:tc>
        <w:tc>
          <w:tcPr>
            <w:tcW w:w="949" w:type="pct"/>
            <w:vAlign w:val="center"/>
          </w:tcPr>
          <w:p w:rsidR="00C645C9" w:rsidRDefault="00F955D9">
            <w:pPr>
              <w:adjustRightInd w:val="0"/>
              <w:spacing w:line="0" w:lineRule="atLeast"/>
              <w:jc w:val="center"/>
              <w:rPr>
                <w:rFonts w:cs="Times New Roman"/>
                <w:bCs/>
                <w:spacing w:val="-10"/>
                <w:sz w:val="21"/>
                <w:szCs w:val="21"/>
              </w:rPr>
            </w:pPr>
            <w:r>
              <w:rPr>
                <w:rFonts w:cs="Times New Roman" w:hint="eastAsia"/>
                <w:bCs/>
                <w:spacing w:val="-10"/>
                <w:sz w:val="21"/>
                <w:szCs w:val="21"/>
              </w:rPr>
              <w:t>2</w:t>
            </w:r>
            <w:r>
              <w:rPr>
                <w:rFonts w:cs="Times New Roman"/>
                <w:bCs/>
                <w:spacing w:val="-10"/>
                <w:sz w:val="21"/>
                <w:szCs w:val="21"/>
              </w:rPr>
              <w:t>个</w:t>
            </w:r>
          </w:p>
        </w:tc>
      </w:tr>
    </w:tbl>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5 \* GB3 \* MERGEFORMAT </w:instrText>
      </w:r>
      <w:r>
        <w:rPr>
          <w:rFonts w:cs="Times New Roman"/>
        </w:rPr>
        <w:fldChar w:fldCharType="separate"/>
      </w:r>
      <w:r>
        <w:rPr>
          <w:rFonts w:cs="Times New Roman"/>
        </w:rPr>
        <w:t>⑤</w:t>
      </w:r>
      <w:r>
        <w:rPr>
          <w:rFonts w:cs="Times New Roman"/>
        </w:rPr>
        <w:fldChar w:fldCharType="end"/>
      </w:r>
      <w:r>
        <w:rPr>
          <w:rFonts w:cs="Times New Roman"/>
        </w:rPr>
        <w:t>固井措施</w:t>
      </w:r>
    </w:p>
    <w:p w:rsidR="00C645C9" w:rsidRDefault="00F955D9">
      <w:pPr>
        <w:spacing w:line="360" w:lineRule="auto"/>
        <w:ind w:firstLineChars="200" w:firstLine="480"/>
        <w:rPr>
          <w:rFonts w:cs="Times New Roman"/>
        </w:rPr>
      </w:pPr>
      <w:r>
        <w:rPr>
          <w:rFonts w:cs="Times New Roman"/>
        </w:rPr>
        <w:t>本工程固井水泥浆配方详见表</w:t>
      </w:r>
      <w:r>
        <w:rPr>
          <w:rFonts w:cs="Times New Roman"/>
        </w:rPr>
        <w:t>3.2-</w:t>
      </w:r>
      <w:r>
        <w:rPr>
          <w:rFonts w:cs="Times New Roman" w:hint="eastAsia"/>
        </w:rPr>
        <w:t>8</w:t>
      </w:r>
      <w:r>
        <w:rPr>
          <w:rFonts w:cs="Times New Roman"/>
        </w:rPr>
        <w:t>。</w:t>
      </w:r>
    </w:p>
    <w:p w:rsidR="00C645C9" w:rsidRDefault="00F955D9" w:rsidP="005718BB">
      <w:pPr>
        <w:pStyle w:val="a6"/>
        <w:spacing w:line="240" w:lineRule="auto"/>
        <w:ind w:firstLine="420"/>
        <w:jc w:val="center"/>
      </w:pPr>
      <w:r>
        <w:rPr>
          <w:rFonts w:eastAsia="黑体"/>
          <w:snapToGrid w:val="0"/>
          <w:sz w:val="21"/>
        </w:rPr>
        <w:t>表</w:t>
      </w:r>
      <w:bookmarkStart w:id="652" w:name="OLE_LINK765"/>
      <w:r>
        <w:rPr>
          <w:rFonts w:eastAsia="黑体"/>
          <w:snapToGrid w:val="0"/>
          <w:sz w:val="21"/>
        </w:rPr>
        <w:t>3.2-</w:t>
      </w:r>
      <w:bookmarkEnd w:id="652"/>
      <w:r>
        <w:rPr>
          <w:rFonts w:eastAsia="黑体" w:hint="eastAsia"/>
          <w:snapToGrid w:val="0"/>
          <w:sz w:val="21"/>
        </w:rPr>
        <w:t>8</w:t>
      </w:r>
      <w:r>
        <w:rPr>
          <w:rFonts w:eastAsia="黑体"/>
          <w:snapToGrid w:val="0"/>
          <w:sz w:val="21"/>
        </w:rPr>
        <w:t xml:space="preserve">   </w:t>
      </w:r>
      <w:r>
        <w:rPr>
          <w:rFonts w:eastAsia="黑体"/>
          <w:snapToGrid w:val="0"/>
          <w:sz w:val="21"/>
        </w:rPr>
        <w:t>水泥浆配方一览表</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681"/>
        <w:gridCol w:w="6792"/>
      </w:tblGrid>
      <w:tr w:rsidR="00C645C9">
        <w:trPr>
          <w:trHeight w:val="365"/>
          <w:tblHeader/>
          <w:jc w:val="center"/>
        </w:trPr>
        <w:tc>
          <w:tcPr>
            <w:tcW w:w="1362" w:type="dxa"/>
            <w:gridSpan w:val="2"/>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套管程序</w:t>
            </w:r>
          </w:p>
        </w:tc>
        <w:tc>
          <w:tcPr>
            <w:tcW w:w="6792" w:type="dxa"/>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水泥浆配方</w:t>
            </w:r>
          </w:p>
        </w:tc>
      </w:tr>
      <w:tr w:rsidR="00C645C9">
        <w:trPr>
          <w:trHeight w:val="365"/>
          <w:tblHeader/>
          <w:jc w:val="center"/>
        </w:trPr>
        <w:tc>
          <w:tcPr>
            <w:tcW w:w="1362" w:type="dxa"/>
            <w:gridSpan w:val="2"/>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导管</w:t>
            </w: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+48%W/C</w:t>
            </w:r>
          </w:p>
        </w:tc>
      </w:tr>
      <w:tr w:rsidR="00C645C9">
        <w:trPr>
          <w:trHeight w:val="365"/>
          <w:tblHeader/>
          <w:jc w:val="center"/>
        </w:trPr>
        <w:tc>
          <w:tcPr>
            <w:tcW w:w="1362" w:type="dxa"/>
            <w:gridSpan w:val="2"/>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表层套管</w:t>
            </w: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+48%W/C</w:t>
            </w:r>
          </w:p>
        </w:tc>
      </w:tr>
      <w:tr w:rsidR="00C645C9">
        <w:trPr>
          <w:trHeight w:val="596"/>
          <w:tblHeader/>
          <w:jc w:val="center"/>
        </w:trPr>
        <w:tc>
          <w:tcPr>
            <w:tcW w:w="681" w:type="dxa"/>
            <w:vMerge w:val="restart"/>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技术</w:t>
            </w:r>
          </w:p>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套管</w:t>
            </w:r>
          </w:p>
        </w:tc>
        <w:tc>
          <w:tcPr>
            <w:tcW w:w="681" w:type="dxa"/>
            <w:vMerge w:val="restart"/>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二级</w:t>
            </w: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+100%</w:t>
            </w:r>
            <w:r>
              <w:rPr>
                <w:rFonts w:cs="Times New Roman"/>
                <w:sz w:val="21"/>
                <w:szCs w:val="15"/>
              </w:rPr>
              <w:t>粉煤灰</w:t>
            </w:r>
            <w:r>
              <w:rPr>
                <w:rFonts w:cs="Times New Roman"/>
                <w:sz w:val="21"/>
                <w:szCs w:val="15"/>
              </w:rPr>
              <w:t>+2%</w:t>
            </w:r>
            <w:r>
              <w:rPr>
                <w:rFonts w:cs="Times New Roman"/>
                <w:sz w:val="21"/>
                <w:szCs w:val="15"/>
              </w:rPr>
              <w:t>分散剂</w:t>
            </w:r>
            <w:r>
              <w:rPr>
                <w:rFonts w:cs="Times New Roman"/>
                <w:sz w:val="21"/>
                <w:szCs w:val="15"/>
              </w:rPr>
              <w:t>+8%</w:t>
            </w:r>
            <w:r>
              <w:rPr>
                <w:rFonts w:cs="Times New Roman"/>
                <w:sz w:val="21"/>
                <w:szCs w:val="15"/>
              </w:rPr>
              <w:t>早强剂</w:t>
            </w:r>
            <w:r>
              <w:rPr>
                <w:rFonts w:cs="Times New Roman"/>
                <w:sz w:val="21"/>
                <w:szCs w:val="15"/>
              </w:rPr>
              <w:t>+4%</w:t>
            </w:r>
            <w:r>
              <w:rPr>
                <w:rFonts w:cs="Times New Roman"/>
                <w:sz w:val="21"/>
                <w:szCs w:val="15"/>
              </w:rPr>
              <w:t>降失剂</w:t>
            </w:r>
            <w:r>
              <w:rPr>
                <w:rFonts w:cs="Times New Roman"/>
                <w:sz w:val="21"/>
                <w:szCs w:val="15"/>
              </w:rPr>
              <w:t>+2%</w:t>
            </w:r>
            <w:r>
              <w:rPr>
                <w:rFonts w:cs="Times New Roman"/>
                <w:sz w:val="21"/>
                <w:szCs w:val="15"/>
              </w:rPr>
              <w:t>膨胀剂</w:t>
            </w:r>
            <w:r>
              <w:rPr>
                <w:rFonts w:cs="Times New Roman"/>
                <w:sz w:val="21"/>
                <w:szCs w:val="15"/>
              </w:rPr>
              <w:t>+10%</w:t>
            </w:r>
            <w:r>
              <w:rPr>
                <w:rFonts w:cs="Times New Roman"/>
                <w:sz w:val="21"/>
                <w:szCs w:val="15"/>
              </w:rPr>
              <w:t>微硅</w:t>
            </w:r>
            <w:r>
              <w:rPr>
                <w:rFonts w:cs="Times New Roman"/>
                <w:sz w:val="21"/>
                <w:szCs w:val="15"/>
              </w:rPr>
              <w:t>+0.1%</w:t>
            </w:r>
            <w:r>
              <w:rPr>
                <w:rFonts w:cs="Times New Roman"/>
                <w:sz w:val="21"/>
                <w:szCs w:val="15"/>
              </w:rPr>
              <w:t>消泡剂</w:t>
            </w:r>
            <w:r>
              <w:rPr>
                <w:rFonts w:cs="Times New Roman"/>
                <w:sz w:val="21"/>
                <w:szCs w:val="15"/>
              </w:rPr>
              <w:t>+119%W/C</w:t>
            </w:r>
          </w:p>
        </w:tc>
      </w:tr>
      <w:tr w:rsidR="00C645C9">
        <w:trPr>
          <w:trHeight w:val="596"/>
          <w:tblHeader/>
          <w:jc w:val="center"/>
        </w:trPr>
        <w:tc>
          <w:tcPr>
            <w:tcW w:w="681" w:type="dxa"/>
            <w:vMerge/>
            <w:vAlign w:val="center"/>
          </w:tcPr>
          <w:p w:rsidR="00C645C9" w:rsidRDefault="00C645C9">
            <w:pPr>
              <w:adjustRightInd w:val="0"/>
              <w:snapToGrid w:val="0"/>
              <w:ind w:leftChars="-15" w:left="-36" w:rightChars="15" w:right="36"/>
              <w:jc w:val="center"/>
              <w:textAlignment w:val="baseline"/>
              <w:rPr>
                <w:rFonts w:cs="Times New Roman"/>
                <w:sz w:val="21"/>
                <w:szCs w:val="15"/>
              </w:rPr>
            </w:pPr>
          </w:p>
        </w:tc>
        <w:tc>
          <w:tcPr>
            <w:tcW w:w="681" w:type="dxa"/>
            <w:vMerge/>
            <w:vAlign w:val="center"/>
          </w:tcPr>
          <w:p w:rsidR="00C645C9" w:rsidRDefault="00C645C9">
            <w:pPr>
              <w:adjustRightInd w:val="0"/>
              <w:snapToGrid w:val="0"/>
              <w:ind w:leftChars="-15" w:left="-36" w:rightChars="15" w:right="36"/>
              <w:jc w:val="center"/>
              <w:textAlignment w:val="baseline"/>
              <w:rPr>
                <w:rFonts w:cs="Times New Roman"/>
                <w:sz w:val="21"/>
                <w:szCs w:val="15"/>
              </w:rPr>
            </w:pP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+3%</w:t>
            </w:r>
            <w:r>
              <w:rPr>
                <w:rFonts w:cs="Times New Roman"/>
                <w:sz w:val="21"/>
                <w:szCs w:val="15"/>
              </w:rPr>
              <w:t>微硅</w:t>
            </w:r>
            <w:r>
              <w:rPr>
                <w:rFonts w:cs="Times New Roman"/>
                <w:sz w:val="21"/>
                <w:szCs w:val="15"/>
              </w:rPr>
              <w:t>+3%</w:t>
            </w:r>
            <w:r>
              <w:rPr>
                <w:rFonts w:cs="Times New Roman"/>
                <w:sz w:val="21"/>
                <w:szCs w:val="15"/>
              </w:rPr>
              <w:t>膨胀剂</w:t>
            </w:r>
            <w:r>
              <w:rPr>
                <w:rFonts w:cs="Times New Roman"/>
                <w:sz w:val="21"/>
                <w:szCs w:val="15"/>
              </w:rPr>
              <w:t>+5.3%</w:t>
            </w:r>
            <w:r>
              <w:rPr>
                <w:rFonts w:cs="Times New Roman"/>
                <w:sz w:val="21"/>
                <w:szCs w:val="15"/>
              </w:rPr>
              <w:t>降失水剂</w:t>
            </w:r>
            <w:r>
              <w:rPr>
                <w:rFonts w:cs="Times New Roman"/>
                <w:sz w:val="21"/>
                <w:szCs w:val="15"/>
              </w:rPr>
              <w:t>+3.2%</w:t>
            </w:r>
            <w:r>
              <w:rPr>
                <w:rFonts w:cs="Times New Roman"/>
                <w:sz w:val="21"/>
                <w:szCs w:val="15"/>
              </w:rPr>
              <w:t>分散剂</w:t>
            </w:r>
            <w:r>
              <w:rPr>
                <w:rFonts w:cs="Times New Roman"/>
                <w:sz w:val="21"/>
                <w:szCs w:val="15"/>
              </w:rPr>
              <w:t>+2.1%</w:t>
            </w:r>
            <w:r>
              <w:rPr>
                <w:rFonts w:cs="Times New Roman"/>
                <w:sz w:val="21"/>
                <w:szCs w:val="15"/>
              </w:rPr>
              <w:t>缓凝剂</w:t>
            </w:r>
            <w:r>
              <w:rPr>
                <w:rFonts w:cs="Times New Roman"/>
                <w:sz w:val="21"/>
                <w:szCs w:val="15"/>
              </w:rPr>
              <w:t>+36%W/C</w:t>
            </w:r>
          </w:p>
        </w:tc>
      </w:tr>
      <w:tr w:rsidR="00C645C9">
        <w:trPr>
          <w:trHeight w:val="565"/>
          <w:tblHeader/>
          <w:jc w:val="center"/>
        </w:trPr>
        <w:tc>
          <w:tcPr>
            <w:tcW w:w="681" w:type="dxa"/>
            <w:vMerge/>
            <w:vAlign w:val="center"/>
          </w:tcPr>
          <w:p w:rsidR="00C645C9" w:rsidRDefault="00C645C9">
            <w:pPr>
              <w:adjustRightInd w:val="0"/>
              <w:snapToGrid w:val="0"/>
              <w:ind w:left="-85" w:right="-85"/>
              <w:jc w:val="center"/>
              <w:rPr>
                <w:rFonts w:cs="Times New Roman"/>
                <w:sz w:val="21"/>
                <w:szCs w:val="15"/>
              </w:rPr>
            </w:pPr>
          </w:p>
        </w:tc>
        <w:tc>
          <w:tcPr>
            <w:tcW w:w="681" w:type="dxa"/>
            <w:vMerge w:val="restart"/>
            <w:vAlign w:val="center"/>
          </w:tcPr>
          <w:p w:rsidR="00C645C9" w:rsidRDefault="00F955D9">
            <w:pPr>
              <w:adjustRightInd w:val="0"/>
              <w:snapToGrid w:val="0"/>
              <w:ind w:leftChars="-15" w:left="-36" w:rightChars="15" w:right="36"/>
              <w:jc w:val="center"/>
              <w:textAlignment w:val="baseline"/>
              <w:rPr>
                <w:rFonts w:cs="Times New Roman"/>
                <w:sz w:val="21"/>
                <w:szCs w:val="15"/>
              </w:rPr>
            </w:pPr>
            <w:r>
              <w:rPr>
                <w:rFonts w:cs="Times New Roman"/>
                <w:sz w:val="21"/>
                <w:szCs w:val="15"/>
              </w:rPr>
              <w:t>一级</w:t>
            </w: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+100%</w:t>
            </w:r>
            <w:r>
              <w:rPr>
                <w:rFonts w:cs="Times New Roman"/>
                <w:sz w:val="21"/>
                <w:szCs w:val="15"/>
              </w:rPr>
              <w:t>粉煤灰</w:t>
            </w:r>
            <w:r>
              <w:rPr>
                <w:rFonts w:cs="Times New Roman"/>
                <w:sz w:val="21"/>
                <w:szCs w:val="15"/>
              </w:rPr>
              <w:t>+2%</w:t>
            </w:r>
            <w:r>
              <w:rPr>
                <w:rFonts w:cs="Times New Roman"/>
                <w:sz w:val="21"/>
                <w:szCs w:val="15"/>
              </w:rPr>
              <w:t>分散剂</w:t>
            </w:r>
            <w:r>
              <w:rPr>
                <w:rFonts w:cs="Times New Roman"/>
                <w:sz w:val="21"/>
                <w:szCs w:val="15"/>
              </w:rPr>
              <w:t>+2%</w:t>
            </w:r>
            <w:r>
              <w:rPr>
                <w:rFonts w:cs="Times New Roman"/>
                <w:sz w:val="21"/>
                <w:szCs w:val="15"/>
              </w:rPr>
              <w:t>早强剂</w:t>
            </w:r>
            <w:r>
              <w:rPr>
                <w:rFonts w:cs="Times New Roman"/>
                <w:sz w:val="21"/>
                <w:szCs w:val="15"/>
              </w:rPr>
              <w:t>+2%</w:t>
            </w:r>
            <w:r>
              <w:rPr>
                <w:rFonts w:cs="Times New Roman"/>
                <w:sz w:val="21"/>
                <w:szCs w:val="15"/>
              </w:rPr>
              <w:t>缓凝剂</w:t>
            </w:r>
            <w:r>
              <w:rPr>
                <w:rFonts w:cs="Times New Roman"/>
                <w:sz w:val="21"/>
                <w:szCs w:val="15"/>
              </w:rPr>
              <w:t>+20%</w:t>
            </w:r>
            <w:r>
              <w:rPr>
                <w:rFonts w:cs="Times New Roman"/>
                <w:sz w:val="21"/>
                <w:szCs w:val="15"/>
              </w:rPr>
              <w:t>降失剂</w:t>
            </w:r>
            <w:r>
              <w:rPr>
                <w:rFonts w:cs="Times New Roman"/>
                <w:sz w:val="21"/>
                <w:szCs w:val="15"/>
              </w:rPr>
              <w:t>+2%</w:t>
            </w:r>
            <w:r>
              <w:rPr>
                <w:rFonts w:cs="Times New Roman"/>
                <w:sz w:val="21"/>
                <w:szCs w:val="15"/>
              </w:rPr>
              <w:t>膨胀剂</w:t>
            </w:r>
            <w:r>
              <w:rPr>
                <w:rFonts w:cs="Times New Roman"/>
                <w:sz w:val="21"/>
                <w:szCs w:val="15"/>
              </w:rPr>
              <w:t>+10%</w:t>
            </w:r>
            <w:r>
              <w:rPr>
                <w:rFonts w:cs="Times New Roman"/>
                <w:sz w:val="21"/>
                <w:szCs w:val="15"/>
              </w:rPr>
              <w:t>微硅</w:t>
            </w:r>
            <w:r>
              <w:rPr>
                <w:rFonts w:cs="Times New Roman"/>
                <w:sz w:val="21"/>
                <w:szCs w:val="15"/>
              </w:rPr>
              <w:t>+0.1%</w:t>
            </w:r>
            <w:r>
              <w:rPr>
                <w:rFonts w:cs="Times New Roman"/>
                <w:sz w:val="21"/>
                <w:szCs w:val="15"/>
              </w:rPr>
              <w:t>消泡剂</w:t>
            </w:r>
            <w:r>
              <w:rPr>
                <w:rFonts w:cs="Times New Roman"/>
                <w:sz w:val="21"/>
                <w:szCs w:val="15"/>
              </w:rPr>
              <w:t>+115%W/C</w:t>
            </w:r>
          </w:p>
        </w:tc>
      </w:tr>
      <w:tr w:rsidR="00C645C9">
        <w:trPr>
          <w:trHeight w:val="631"/>
          <w:tblHeader/>
          <w:jc w:val="center"/>
        </w:trPr>
        <w:tc>
          <w:tcPr>
            <w:tcW w:w="681" w:type="dxa"/>
            <w:vMerge/>
            <w:vAlign w:val="center"/>
          </w:tcPr>
          <w:p w:rsidR="00C645C9" w:rsidRDefault="00C645C9">
            <w:pPr>
              <w:adjustRightInd w:val="0"/>
              <w:snapToGrid w:val="0"/>
              <w:ind w:left="-85" w:right="-85"/>
              <w:jc w:val="center"/>
              <w:rPr>
                <w:rFonts w:cs="Times New Roman"/>
                <w:sz w:val="21"/>
                <w:szCs w:val="15"/>
              </w:rPr>
            </w:pPr>
          </w:p>
        </w:tc>
        <w:tc>
          <w:tcPr>
            <w:tcW w:w="681" w:type="dxa"/>
            <w:vMerge/>
            <w:vAlign w:val="center"/>
          </w:tcPr>
          <w:p w:rsidR="00C645C9" w:rsidRDefault="00C645C9">
            <w:pPr>
              <w:adjustRightInd w:val="0"/>
              <w:snapToGrid w:val="0"/>
              <w:ind w:left="-85" w:right="-85"/>
              <w:jc w:val="center"/>
              <w:rPr>
                <w:rFonts w:cs="Times New Roman"/>
                <w:sz w:val="21"/>
                <w:szCs w:val="15"/>
              </w:rPr>
            </w:pPr>
          </w:p>
        </w:tc>
        <w:tc>
          <w:tcPr>
            <w:tcW w:w="6792" w:type="dxa"/>
            <w:vAlign w:val="center"/>
          </w:tcPr>
          <w:p w:rsidR="00C645C9" w:rsidRDefault="00F955D9">
            <w:pPr>
              <w:adjustRightInd w:val="0"/>
              <w:snapToGrid w:val="0"/>
              <w:ind w:leftChars="-15" w:left="-36" w:rightChars="15" w:right="36"/>
              <w:textAlignment w:val="baseline"/>
              <w:rPr>
                <w:rFonts w:cs="Times New Roman"/>
                <w:sz w:val="21"/>
                <w:szCs w:val="15"/>
              </w:rPr>
            </w:pPr>
            <w:r>
              <w:rPr>
                <w:rFonts w:cs="Times New Roman"/>
                <w:sz w:val="21"/>
                <w:szCs w:val="15"/>
              </w:rPr>
              <w:t>G</w:t>
            </w:r>
            <w:r>
              <w:rPr>
                <w:rFonts w:cs="Times New Roman"/>
                <w:sz w:val="21"/>
                <w:szCs w:val="15"/>
              </w:rPr>
              <w:t>级水泥</w:t>
            </w:r>
            <w:r>
              <w:rPr>
                <w:rFonts w:cs="Times New Roman"/>
                <w:sz w:val="21"/>
                <w:szCs w:val="15"/>
              </w:rPr>
              <w:t>+35%</w:t>
            </w:r>
            <w:r>
              <w:rPr>
                <w:rFonts w:cs="Times New Roman"/>
                <w:sz w:val="21"/>
                <w:szCs w:val="15"/>
              </w:rPr>
              <w:t>硅粉</w:t>
            </w:r>
            <w:r>
              <w:rPr>
                <w:rFonts w:cs="Times New Roman"/>
                <w:sz w:val="21"/>
                <w:szCs w:val="15"/>
              </w:rPr>
              <w:t>+2%</w:t>
            </w:r>
            <w:r>
              <w:rPr>
                <w:rFonts w:cs="Times New Roman"/>
                <w:sz w:val="21"/>
                <w:szCs w:val="15"/>
              </w:rPr>
              <w:t>分散剂</w:t>
            </w:r>
            <w:r>
              <w:rPr>
                <w:rFonts w:cs="Times New Roman"/>
                <w:sz w:val="21"/>
                <w:szCs w:val="15"/>
              </w:rPr>
              <w:t>+10%</w:t>
            </w:r>
            <w:r>
              <w:rPr>
                <w:rFonts w:cs="Times New Roman"/>
                <w:sz w:val="21"/>
                <w:szCs w:val="15"/>
              </w:rPr>
              <w:t>降失水剂</w:t>
            </w:r>
            <w:r>
              <w:rPr>
                <w:rFonts w:cs="Times New Roman"/>
                <w:sz w:val="21"/>
                <w:szCs w:val="15"/>
              </w:rPr>
              <w:t>+1.2%</w:t>
            </w:r>
            <w:r>
              <w:rPr>
                <w:rFonts w:cs="Times New Roman"/>
                <w:sz w:val="21"/>
                <w:szCs w:val="15"/>
              </w:rPr>
              <w:t>缓凝剂</w:t>
            </w:r>
            <w:r>
              <w:rPr>
                <w:rFonts w:cs="Times New Roman"/>
                <w:sz w:val="21"/>
                <w:szCs w:val="15"/>
              </w:rPr>
              <w:t>+4.5%</w:t>
            </w:r>
            <w:r>
              <w:rPr>
                <w:rFonts w:cs="Times New Roman"/>
                <w:sz w:val="21"/>
                <w:szCs w:val="15"/>
              </w:rPr>
              <w:t>膨胀剂</w:t>
            </w:r>
            <w:r>
              <w:rPr>
                <w:rFonts w:cs="Times New Roman"/>
                <w:sz w:val="21"/>
                <w:szCs w:val="15"/>
              </w:rPr>
              <w:t>+0.1%</w:t>
            </w:r>
            <w:r>
              <w:rPr>
                <w:rFonts w:cs="Times New Roman"/>
                <w:sz w:val="21"/>
                <w:szCs w:val="15"/>
              </w:rPr>
              <w:t>消泡剂</w:t>
            </w:r>
            <w:r>
              <w:rPr>
                <w:rFonts w:cs="Times New Roman"/>
                <w:sz w:val="21"/>
                <w:szCs w:val="15"/>
              </w:rPr>
              <w:t>+48%W/C</w:t>
            </w:r>
          </w:p>
        </w:tc>
      </w:tr>
    </w:tbl>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6 \* GB3 \* MERGEFORMAT </w:instrText>
      </w:r>
      <w:r>
        <w:rPr>
          <w:rFonts w:cs="Times New Roman"/>
        </w:rPr>
        <w:fldChar w:fldCharType="separate"/>
      </w:r>
      <w:r>
        <w:rPr>
          <w:rFonts w:cs="Times New Roman"/>
        </w:rPr>
        <w:t>⑥</w:t>
      </w:r>
      <w:r>
        <w:rPr>
          <w:rFonts w:cs="Times New Roman"/>
        </w:rPr>
        <w:fldChar w:fldCharType="end"/>
      </w:r>
      <w:r>
        <w:rPr>
          <w:rFonts w:cs="Times New Roman"/>
        </w:rPr>
        <w:t>完井</w:t>
      </w:r>
    </w:p>
    <w:p w:rsidR="00C645C9" w:rsidRDefault="00F955D9">
      <w:pPr>
        <w:spacing w:line="360" w:lineRule="auto"/>
        <w:ind w:firstLineChars="200" w:firstLine="480"/>
        <w:rPr>
          <w:rFonts w:cs="Times New Roman"/>
        </w:rPr>
      </w:pPr>
      <w:r>
        <w:rPr>
          <w:rFonts w:cs="Times New Roman"/>
        </w:rPr>
        <w:t>钻井工程达到设计要求后完钻。撤去所有生产设施、平整井场；清理钻井现场，将垃圾、废油、废料清理干净。</w:t>
      </w:r>
    </w:p>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7 \* GB3 \* MERGEFORMAT </w:instrText>
      </w:r>
      <w:r>
        <w:rPr>
          <w:rFonts w:cs="Times New Roman"/>
        </w:rPr>
        <w:fldChar w:fldCharType="separate"/>
      </w:r>
      <w:r>
        <w:rPr>
          <w:rFonts w:cs="Times New Roman"/>
        </w:rPr>
        <w:t>⑦</w:t>
      </w:r>
      <w:r>
        <w:rPr>
          <w:rFonts w:cs="Times New Roman"/>
        </w:rPr>
        <w:fldChar w:fldCharType="end"/>
      </w:r>
      <w:r>
        <w:rPr>
          <w:rFonts w:cs="Times New Roman"/>
        </w:rPr>
        <w:t>钻井周期</w:t>
      </w:r>
    </w:p>
    <w:p w:rsidR="00C645C9" w:rsidRDefault="00F955D9">
      <w:pPr>
        <w:spacing w:line="360" w:lineRule="auto"/>
        <w:ind w:firstLineChars="200" w:firstLine="480"/>
        <w:rPr>
          <w:rFonts w:cs="Times New Roman"/>
        </w:rPr>
      </w:pPr>
      <w:r>
        <w:rPr>
          <w:rFonts w:cs="Times New Roman"/>
        </w:rPr>
        <w:t>钻井周期约为</w:t>
      </w:r>
      <w:r>
        <w:rPr>
          <w:rFonts w:cs="Times New Roman"/>
        </w:rPr>
        <w:t>210d</w:t>
      </w:r>
      <w:r>
        <w:rPr>
          <w:rFonts w:cs="Times New Roman"/>
        </w:rPr>
        <w:t>。</w:t>
      </w:r>
    </w:p>
    <w:p w:rsidR="00C645C9" w:rsidRDefault="00F955D9">
      <w:pPr>
        <w:pStyle w:val="4"/>
        <w:ind w:firstLineChars="200" w:firstLine="480"/>
        <w:rPr>
          <w:rFonts w:ascii="Times New Roman" w:hAnsi="Times New Roman" w:cs="Times New Roman"/>
          <w:b w:val="0"/>
          <w:snapToGrid/>
          <w:color w:val="auto"/>
          <w:szCs w:val="24"/>
          <w:lang w:eastAsia="zh-CN"/>
        </w:rPr>
      </w:pPr>
      <w:bookmarkStart w:id="653" w:name="OLE_LINK1134"/>
      <w:bookmarkStart w:id="654" w:name="OLE_LINK744"/>
      <w:r>
        <w:rPr>
          <w:rFonts w:ascii="Times New Roman" w:hAnsi="Times New Roman" w:cs="Times New Roman"/>
          <w:b w:val="0"/>
          <w:snapToGrid/>
          <w:color w:val="auto"/>
          <w:szCs w:val="24"/>
          <w:lang w:eastAsia="zh-CN"/>
        </w:rPr>
        <w:t>（</w:t>
      </w:r>
      <w:r>
        <w:rPr>
          <w:rFonts w:ascii="Times New Roman" w:hAnsi="Times New Roman" w:cs="Times New Roman"/>
          <w:b w:val="0"/>
          <w:snapToGrid/>
          <w:color w:val="auto"/>
          <w:szCs w:val="24"/>
          <w:lang w:eastAsia="zh-CN"/>
        </w:rPr>
        <w:t>2</w:t>
      </w:r>
      <w:r>
        <w:rPr>
          <w:rFonts w:ascii="Times New Roman" w:hAnsi="Times New Roman" w:cs="Times New Roman"/>
          <w:b w:val="0"/>
          <w:snapToGrid/>
          <w:color w:val="auto"/>
          <w:szCs w:val="24"/>
          <w:lang w:eastAsia="zh-CN"/>
        </w:rPr>
        <w:t>）地面工程</w:t>
      </w:r>
      <w:bookmarkEnd w:id="602"/>
    </w:p>
    <w:bookmarkStart w:id="655" w:name="OLE_LINK501"/>
    <w:bookmarkStart w:id="656" w:name="OLE_LINK248"/>
    <w:bookmarkEnd w:id="653"/>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cs="Times New Roman"/>
        </w:rPr>
        <w:t>①</w:t>
      </w:r>
      <w:r>
        <w:rPr>
          <w:rFonts w:cs="Times New Roman"/>
        </w:rPr>
        <w:fldChar w:fldCharType="end"/>
      </w:r>
      <w:bookmarkEnd w:id="655"/>
      <w:r>
        <w:rPr>
          <w:rFonts w:cs="Times New Roman"/>
        </w:rPr>
        <w:t>采气</w:t>
      </w:r>
      <w:r>
        <w:rPr>
          <w:rFonts w:cs="Times New Roman"/>
        </w:rPr>
        <w:t>井场</w:t>
      </w:r>
      <w:bookmarkEnd w:id="656"/>
    </w:p>
    <w:bookmarkEnd w:id="654"/>
    <w:p w:rsidR="00C645C9" w:rsidRDefault="00F955D9">
      <w:pPr>
        <w:spacing w:line="360" w:lineRule="auto"/>
        <w:ind w:firstLineChars="200" w:firstLine="480"/>
        <w:rPr>
          <w:rFonts w:cs="Times New Roman"/>
        </w:rPr>
      </w:pPr>
      <w:r>
        <w:rPr>
          <w:rFonts w:cs="Times New Roman"/>
        </w:rPr>
        <w:t>本工程建设</w:t>
      </w:r>
      <w:bookmarkStart w:id="657" w:name="OLE_LINK249"/>
      <w:bookmarkStart w:id="658" w:name="OLE_LINK760"/>
      <w:bookmarkStart w:id="659" w:name="OLE_LINK281"/>
      <w:r>
        <w:rPr>
          <w:rFonts w:cs="Times New Roman"/>
        </w:rPr>
        <w:t>新北</w:t>
      </w:r>
      <w:r>
        <w:rPr>
          <w:rFonts w:cs="Times New Roman"/>
        </w:rPr>
        <w:t>1X</w:t>
      </w:r>
      <w:bookmarkEnd w:id="657"/>
      <w:r>
        <w:rPr>
          <w:rFonts w:cs="Times New Roman"/>
        </w:rPr>
        <w:t>井场</w:t>
      </w:r>
      <w:bookmarkEnd w:id="658"/>
      <w:r>
        <w:rPr>
          <w:rFonts w:cs="Times New Roman"/>
        </w:rPr>
        <w:t>和新北</w:t>
      </w:r>
      <w:r>
        <w:rPr>
          <w:rFonts w:cs="Times New Roman"/>
        </w:rPr>
        <w:t>7</w:t>
      </w:r>
      <w:r>
        <w:rPr>
          <w:rFonts w:cs="Times New Roman"/>
        </w:rPr>
        <w:t>井场</w:t>
      </w:r>
      <w:bookmarkEnd w:id="659"/>
      <w:r>
        <w:rPr>
          <w:rFonts w:cs="Times New Roman"/>
        </w:rPr>
        <w:t>，</w:t>
      </w:r>
      <w:r>
        <w:rPr>
          <w:rFonts w:cs="Times New Roman"/>
        </w:rPr>
        <w:t>占地面积为</w:t>
      </w:r>
      <w:r>
        <w:rPr>
          <w:rFonts w:cs="Times New Roman"/>
          <w:snapToGrid w:val="0"/>
        </w:rPr>
        <w:t>4.09</w:t>
      </w:r>
      <w:r>
        <w:rPr>
          <w:rFonts w:cs="Times New Roman"/>
          <w:snapToGrid w:val="0"/>
        </w:rPr>
        <w:t>hm</w:t>
      </w:r>
      <w:r>
        <w:rPr>
          <w:rFonts w:cs="Times New Roman"/>
          <w:snapToGrid w:val="0"/>
          <w:vertAlign w:val="superscript"/>
        </w:rPr>
        <w:t>2</w:t>
      </w:r>
      <w:r>
        <w:rPr>
          <w:rFonts w:cs="Times New Roman"/>
          <w:snapToGrid w:val="0"/>
        </w:rPr>
        <w:t>，</w:t>
      </w:r>
      <w:bookmarkStart w:id="660" w:name="OLE_LINK1273"/>
      <w:r>
        <w:rPr>
          <w:rFonts w:cs="Times New Roman"/>
          <w:snapToGrid w:val="0"/>
        </w:rPr>
        <w:t>永久占地</w:t>
      </w:r>
      <w:bookmarkEnd w:id="660"/>
      <w:r>
        <w:rPr>
          <w:rFonts w:cs="Times New Roman"/>
          <w:snapToGrid w:val="0"/>
        </w:rPr>
        <w:t>为</w:t>
      </w:r>
      <w:bookmarkStart w:id="661" w:name="OLE_LINK785"/>
      <w:r>
        <w:rPr>
          <w:rFonts w:cs="Times New Roman"/>
          <w:snapToGrid w:val="0"/>
        </w:rPr>
        <w:t>3.43hm</w:t>
      </w:r>
      <w:r>
        <w:rPr>
          <w:rFonts w:cs="Times New Roman"/>
          <w:snapToGrid w:val="0"/>
          <w:vertAlign w:val="superscript"/>
        </w:rPr>
        <w:t>2</w:t>
      </w:r>
      <w:bookmarkEnd w:id="661"/>
      <w:r>
        <w:rPr>
          <w:rFonts w:cs="Times New Roman"/>
          <w:snapToGrid w:val="0"/>
        </w:rPr>
        <w:t>，</w:t>
      </w:r>
      <w:bookmarkStart w:id="662" w:name="OLE_LINK1272"/>
      <w:r>
        <w:rPr>
          <w:rFonts w:cs="Times New Roman"/>
          <w:snapToGrid w:val="0"/>
        </w:rPr>
        <w:t>临时占地</w:t>
      </w:r>
      <w:bookmarkEnd w:id="662"/>
      <w:r>
        <w:rPr>
          <w:rFonts w:cs="Times New Roman"/>
          <w:snapToGrid w:val="0"/>
        </w:rPr>
        <w:t>0.66hm</w:t>
      </w:r>
      <w:r>
        <w:rPr>
          <w:rFonts w:cs="Times New Roman"/>
          <w:snapToGrid w:val="0"/>
          <w:vertAlign w:val="superscript"/>
        </w:rPr>
        <w:t>2</w:t>
      </w:r>
      <w:r>
        <w:rPr>
          <w:rFonts w:cs="Times New Roman"/>
          <w:snapToGrid w:val="0"/>
        </w:rPr>
        <w:t>。</w:t>
      </w:r>
      <w:r>
        <w:rPr>
          <w:rFonts w:cs="Times New Roman"/>
        </w:rPr>
        <w:t>井场内设置值班室、工具间、仪表间</w:t>
      </w:r>
      <w:r>
        <w:rPr>
          <w:rFonts w:cs="Times New Roman" w:hint="eastAsia"/>
        </w:rPr>
        <w:t>、</w:t>
      </w:r>
      <w:r>
        <w:rPr>
          <w:rFonts w:cs="Times New Roman"/>
        </w:rPr>
        <w:t>油气分离流程、脱水脱烃设备、加热炉、火炬区，同时预留变压器位置。火炬区位于井场北侧</w:t>
      </w:r>
      <w:r>
        <w:rPr>
          <w:rFonts w:cs="Times New Roman"/>
        </w:rPr>
        <w:t>78m</w:t>
      </w:r>
      <w:r>
        <w:rPr>
          <w:rFonts w:cs="Times New Roman"/>
        </w:rPr>
        <w:t>处。</w:t>
      </w:r>
    </w:p>
    <w:bookmarkStart w:id="663" w:name="OLE_LINK502"/>
    <w:bookmarkStart w:id="664" w:name="OLE_LINK253"/>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cs="Times New Roman"/>
        </w:rPr>
        <w:t>②</w:t>
      </w:r>
      <w:r>
        <w:rPr>
          <w:rFonts w:cs="Times New Roman"/>
        </w:rPr>
        <w:fldChar w:fldCharType="end"/>
      </w:r>
      <w:bookmarkStart w:id="665" w:name="OLE_LINK224"/>
      <w:bookmarkEnd w:id="663"/>
      <w:r>
        <w:rPr>
          <w:rFonts w:cs="Times New Roman"/>
        </w:rPr>
        <w:t>天然气处理装置</w:t>
      </w:r>
      <w:r>
        <w:rPr>
          <w:rFonts w:cs="Times New Roman"/>
        </w:rPr>
        <w:t>及拉油设备</w:t>
      </w:r>
      <w:bookmarkEnd w:id="665"/>
    </w:p>
    <w:p w:rsidR="00C645C9" w:rsidRDefault="00F955D9">
      <w:pPr>
        <w:spacing w:line="360" w:lineRule="auto"/>
        <w:ind w:firstLineChars="200" w:firstLine="480"/>
        <w:rPr>
          <w:rFonts w:cs="Times New Roman"/>
        </w:rPr>
      </w:pPr>
      <w:bookmarkStart w:id="666" w:name="OLE_LINK279"/>
      <w:bookmarkEnd w:id="664"/>
      <w:r>
        <w:rPr>
          <w:rFonts w:cs="Times New Roman"/>
        </w:rPr>
        <w:lastRenderedPageBreak/>
        <w:t>新北</w:t>
      </w:r>
      <w:r>
        <w:rPr>
          <w:rFonts w:cs="Times New Roman"/>
        </w:rPr>
        <w:t>1X</w:t>
      </w:r>
      <w:r>
        <w:rPr>
          <w:rFonts w:cs="Times New Roman"/>
        </w:rPr>
        <w:t>井</w:t>
      </w:r>
      <w:r>
        <w:rPr>
          <w:rFonts w:cs="Times New Roman"/>
        </w:rPr>
        <w:t>和新北</w:t>
      </w:r>
      <w:r>
        <w:rPr>
          <w:rFonts w:cs="Times New Roman"/>
        </w:rPr>
        <w:t>7</w:t>
      </w:r>
      <w:r>
        <w:rPr>
          <w:rFonts w:cs="Times New Roman"/>
        </w:rPr>
        <w:t>井井口产液经井场油气分离后，天然气脱水脱烃经调压计量后就地销售给地方企业，凝析油装车外运至雅克拉集气处理站处理。凝析油装车时的</w:t>
      </w:r>
      <w:r>
        <w:rPr>
          <w:rFonts w:cs="Times New Roman"/>
        </w:rPr>
        <w:t>VOCs</w:t>
      </w:r>
      <w:r>
        <w:rPr>
          <w:rFonts w:cs="Times New Roman"/>
        </w:rPr>
        <w:t>通过密闭装车鹤管返回加热炉炉膛伴烧，事故状态下去往井场火炬放空燃烧处理。井场加热炉用气来源于天然气处理装置处理后的反输天然气</w:t>
      </w:r>
      <w:r>
        <w:rPr>
          <w:rFonts w:cs="Times New Roman"/>
        </w:rPr>
        <w:t>。</w:t>
      </w:r>
      <w:bookmarkEnd w:id="666"/>
    </w:p>
    <w:p w:rsidR="00C645C9" w:rsidRDefault="00F955D9">
      <w:pPr>
        <w:pStyle w:val="a6"/>
        <w:adjustRightInd w:val="0"/>
        <w:snapToGrid w:val="0"/>
        <w:spacing w:line="240" w:lineRule="auto"/>
        <w:ind w:firstLineChars="0" w:firstLine="0"/>
        <w:jc w:val="center"/>
        <w:rPr>
          <w:rFonts w:eastAsia="黑体"/>
          <w:sz w:val="21"/>
          <w:szCs w:val="21"/>
        </w:rPr>
      </w:pPr>
      <w:bookmarkStart w:id="667" w:name="OLE_LINK1126"/>
      <w:r>
        <w:rPr>
          <w:rFonts w:eastAsia="黑体"/>
          <w:sz w:val="21"/>
          <w:szCs w:val="21"/>
        </w:rPr>
        <w:t>表</w:t>
      </w:r>
      <w:bookmarkStart w:id="668" w:name="OLE_LINK1281"/>
      <w:r>
        <w:rPr>
          <w:rFonts w:eastAsia="黑体"/>
          <w:snapToGrid w:val="0"/>
          <w:sz w:val="21"/>
        </w:rPr>
        <w:t>3.2-</w:t>
      </w:r>
      <w:r>
        <w:rPr>
          <w:rFonts w:eastAsia="黑体" w:hint="eastAsia"/>
          <w:snapToGrid w:val="0"/>
          <w:sz w:val="21"/>
        </w:rPr>
        <w:t>9</w:t>
      </w:r>
      <w:bookmarkEnd w:id="668"/>
      <w:r>
        <w:rPr>
          <w:rFonts w:eastAsia="黑体"/>
          <w:sz w:val="21"/>
          <w:szCs w:val="21"/>
        </w:rPr>
        <w:t xml:space="preserve">   </w:t>
      </w:r>
      <w:bookmarkStart w:id="669" w:name="OLE_LINK252"/>
      <w:r>
        <w:rPr>
          <w:rFonts w:eastAsia="黑体"/>
          <w:sz w:val="21"/>
          <w:szCs w:val="21"/>
        </w:rPr>
        <w:t>本工程地面工程主要设备表</w:t>
      </w:r>
      <w:bookmarkEnd w:id="669"/>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636"/>
        <w:gridCol w:w="718"/>
        <w:gridCol w:w="717"/>
        <w:gridCol w:w="717"/>
      </w:tblGrid>
      <w:tr w:rsidR="00C645C9">
        <w:trPr>
          <w:trHeight w:val="397"/>
          <w:tblHeader/>
          <w:jc w:val="center"/>
        </w:trPr>
        <w:tc>
          <w:tcPr>
            <w:tcW w:w="397" w:type="pct"/>
            <w:vAlign w:val="center"/>
          </w:tcPr>
          <w:p w:rsidR="00C645C9" w:rsidRDefault="00F955D9">
            <w:pPr>
              <w:pStyle w:val="afb"/>
            </w:pPr>
            <w:bookmarkStart w:id="670" w:name="_Toc388261798"/>
            <w:bookmarkStart w:id="671" w:name="_Toc421798205"/>
            <w:bookmarkStart w:id="672" w:name="_Toc374456242"/>
            <w:bookmarkStart w:id="673" w:name="_Toc388261519"/>
            <w:bookmarkStart w:id="674" w:name="_Toc421799311"/>
            <w:bookmarkStart w:id="675" w:name="_Toc421798029"/>
            <w:bookmarkStart w:id="676" w:name="OLE_LINK1129"/>
            <w:bookmarkStart w:id="677" w:name="_Toc376787361"/>
            <w:bookmarkStart w:id="678" w:name="_Toc334797976"/>
            <w:bookmarkStart w:id="679" w:name="_Toc421800184"/>
            <w:bookmarkStart w:id="680" w:name="_Toc246813854"/>
            <w:r>
              <w:t>序号</w:t>
            </w:r>
          </w:p>
        </w:tc>
        <w:tc>
          <w:tcPr>
            <w:tcW w:w="3329" w:type="pct"/>
            <w:vAlign w:val="center"/>
          </w:tcPr>
          <w:p w:rsidR="00C645C9" w:rsidRDefault="00F955D9">
            <w:pPr>
              <w:pStyle w:val="afb"/>
            </w:pPr>
            <w:r>
              <w:t>主要工程内容</w:t>
            </w:r>
          </w:p>
        </w:tc>
        <w:tc>
          <w:tcPr>
            <w:tcW w:w="424" w:type="pct"/>
            <w:vAlign w:val="center"/>
          </w:tcPr>
          <w:p w:rsidR="00C645C9" w:rsidRDefault="00F955D9">
            <w:pPr>
              <w:pStyle w:val="afb"/>
            </w:pPr>
            <w:r>
              <w:t>单位</w:t>
            </w:r>
          </w:p>
        </w:tc>
        <w:tc>
          <w:tcPr>
            <w:tcW w:w="424" w:type="pct"/>
            <w:vAlign w:val="center"/>
          </w:tcPr>
          <w:p w:rsidR="00C645C9" w:rsidRDefault="00F955D9">
            <w:pPr>
              <w:pStyle w:val="afb"/>
            </w:pPr>
            <w:r>
              <w:t>数量</w:t>
            </w:r>
          </w:p>
        </w:tc>
        <w:tc>
          <w:tcPr>
            <w:tcW w:w="424" w:type="pct"/>
            <w:vAlign w:val="center"/>
          </w:tcPr>
          <w:p w:rsidR="00C645C9" w:rsidRDefault="00F955D9">
            <w:pPr>
              <w:pStyle w:val="afb"/>
            </w:pPr>
            <w:r>
              <w:t>备注</w:t>
            </w:r>
          </w:p>
        </w:tc>
      </w:tr>
      <w:tr w:rsidR="00C645C9">
        <w:trPr>
          <w:trHeight w:val="397"/>
          <w:jc w:val="center"/>
        </w:trPr>
        <w:tc>
          <w:tcPr>
            <w:tcW w:w="397" w:type="pct"/>
            <w:vAlign w:val="center"/>
          </w:tcPr>
          <w:p w:rsidR="00C645C9" w:rsidRDefault="00F955D9">
            <w:pPr>
              <w:pStyle w:val="TableText"/>
              <w:adjustRightInd w:val="0"/>
              <w:snapToGrid w:val="0"/>
              <w:rPr>
                <w:rFonts w:ascii="Times New Roman" w:eastAsia="宋体" w:hAnsi="Times New Roman" w:cs="Times New Roman"/>
                <w:szCs w:val="21"/>
              </w:rPr>
            </w:pPr>
            <w:bookmarkStart w:id="681" w:name="OLE_LINK255" w:colFirst="3" w:colLast="4"/>
            <w:r>
              <w:rPr>
                <w:rFonts w:ascii="Times New Roman" w:eastAsia="宋体" w:hAnsi="Times New Roman" w:cs="Times New Roman"/>
                <w:position w:val="-4"/>
                <w:szCs w:val="21"/>
              </w:rPr>
              <w:t>一</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pacing w:val="-2"/>
                <w:szCs w:val="21"/>
              </w:rPr>
              <w:t>油气分离部分</w:t>
            </w:r>
          </w:p>
        </w:tc>
        <w:tc>
          <w:tcPr>
            <w:tcW w:w="424" w:type="pct"/>
            <w:vAlign w:val="center"/>
          </w:tcPr>
          <w:p w:rsidR="00C645C9" w:rsidRDefault="00C645C9">
            <w:pPr>
              <w:pStyle w:val="afb"/>
            </w:pPr>
          </w:p>
        </w:tc>
        <w:tc>
          <w:tcPr>
            <w:tcW w:w="424" w:type="pct"/>
            <w:vAlign w:val="center"/>
          </w:tcPr>
          <w:p w:rsidR="00C645C9" w:rsidRDefault="00C645C9">
            <w:pPr>
              <w:pStyle w:val="afb"/>
            </w:pPr>
          </w:p>
        </w:tc>
        <w:tc>
          <w:tcPr>
            <w:tcW w:w="424" w:type="pct"/>
            <w:vAlign w:val="center"/>
          </w:tcPr>
          <w:p w:rsidR="00C645C9" w:rsidRDefault="00C645C9">
            <w:pPr>
              <w:pStyle w:val="afb"/>
            </w:pPr>
          </w:p>
        </w:tc>
      </w:tr>
      <w:bookmarkEnd w:id="681"/>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sz w:val="21"/>
                <w:szCs w:val="21"/>
              </w:rPr>
              <w:t>1</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bookmarkStart w:id="682" w:name="OLE_LINK1232"/>
            <w:bookmarkStart w:id="683" w:name="OLE_LINK1308"/>
            <w:r>
              <w:rPr>
                <w:rFonts w:ascii="Times New Roman" w:eastAsia="宋体" w:hAnsi="Times New Roman" w:cs="Times New Roman"/>
                <w:spacing w:val="-1"/>
                <w:szCs w:val="21"/>
              </w:rPr>
              <w:t>进站分离器</w:t>
            </w:r>
            <w:bookmarkEnd w:id="682"/>
            <w:r>
              <w:rPr>
                <w:rFonts w:ascii="Times New Roman" w:eastAsia="宋体" w:hAnsi="Times New Roman" w:cs="Times New Roman"/>
                <w:spacing w:val="-50"/>
                <w:szCs w:val="21"/>
              </w:rPr>
              <w:t xml:space="preserve"> </w:t>
            </w:r>
            <w:r>
              <w:rPr>
                <w:rFonts w:ascii="Times New Roman" w:eastAsia="宋体" w:hAnsi="Times New Roman" w:cs="Times New Roman"/>
                <w:spacing w:val="-1"/>
                <w:szCs w:val="21"/>
              </w:rPr>
              <w:t>DN1200mm×4800mm</w:t>
            </w:r>
            <w:r>
              <w:rPr>
                <w:rFonts w:ascii="Times New Roman" w:eastAsia="宋体" w:hAnsi="Times New Roman" w:cs="Times New Roman"/>
                <w:spacing w:val="-1"/>
                <w:szCs w:val="21"/>
              </w:rPr>
              <w:t>设计</w:t>
            </w:r>
            <w:r>
              <w:rPr>
                <w:rFonts w:ascii="Times New Roman" w:eastAsia="宋体" w:hAnsi="Times New Roman" w:cs="Times New Roman"/>
                <w:spacing w:val="-2"/>
                <w:szCs w:val="21"/>
              </w:rPr>
              <w:t>压力</w:t>
            </w:r>
            <w:r>
              <w:rPr>
                <w:rFonts w:ascii="Times New Roman" w:eastAsia="宋体" w:hAnsi="Times New Roman" w:cs="Times New Roman"/>
                <w:spacing w:val="-26"/>
                <w:szCs w:val="21"/>
              </w:rPr>
              <w:t xml:space="preserve"> </w:t>
            </w:r>
            <w:r>
              <w:rPr>
                <w:rFonts w:ascii="Times New Roman" w:eastAsia="宋体" w:hAnsi="Times New Roman" w:cs="Times New Roman"/>
                <w:spacing w:val="-2"/>
                <w:szCs w:val="21"/>
              </w:rPr>
              <w:t>10MPa</w:t>
            </w:r>
            <w:bookmarkEnd w:id="683"/>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台</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2</w:t>
            </w:r>
          </w:p>
        </w:tc>
        <w:tc>
          <w:tcPr>
            <w:tcW w:w="424" w:type="pct"/>
            <w:vAlign w:val="center"/>
          </w:tcPr>
          <w:p w:rsidR="00C645C9" w:rsidRDefault="00F955D9">
            <w:pPr>
              <w:pStyle w:val="afb"/>
              <w:rPr>
                <w:spacing w:val="-3"/>
                <w:szCs w:val="21"/>
              </w:rPr>
            </w:pPr>
            <w:bookmarkStart w:id="684" w:name="OLE_LINK1291"/>
            <w:r>
              <w:rPr>
                <w:rFonts w:hint="eastAsia"/>
                <w:spacing w:val="-3"/>
                <w:szCs w:val="21"/>
              </w:rPr>
              <w:t>-</w:t>
            </w:r>
            <w:bookmarkEnd w:id="684"/>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sz w:val="21"/>
                <w:szCs w:val="21"/>
              </w:rPr>
              <w:t>2</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bookmarkStart w:id="685" w:name="OLE_LINK1233"/>
            <w:r>
              <w:rPr>
                <w:rFonts w:ascii="Times New Roman" w:eastAsia="宋体" w:hAnsi="Times New Roman" w:cs="Times New Roman"/>
                <w:spacing w:val="-7"/>
                <w:szCs w:val="21"/>
              </w:rPr>
              <w:t>80m³</w:t>
            </w:r>
            <w:bookmarkStart w:id="686" w:name="OLE_LINK1309"/>
            <w:r>
              <w:rPr>
                <w:rFonts w:ascii="Times New Roman" w:eastAsia="宋体" w:hAnsi="Times New Roman" w:cs="Times New Roman"/>
                <w:spacing w:val="-7"/>
                <w:szCs w:val="21"/>
              </w:rPr>
              <w:t>多功能储集器</w:t>
            </w:r>
            <w:bookmarkEnd w:id="685"/>
            <w:bookmarkEnd w:id="686"/>
            <w:r>
              <w:rPr>
                <w:rFonts w:ascii="Times New Roman" w:eastAsia="宋体" w:hAnsi="Times New Roman" w:cs="Times New Roman" w:hint="eastAsia"/>
                <w:spacing w:val="-7"/>
                <w:szCs w:val="21"/>
              </w:rPr>
              <w:t xml:space="preserve"> </w:t>
            </w:r>
            <w:r>
              <w:rPr>
                <w:rFonts w:ascii="Times New Roman" w:eastAsia="宋体" w:hAnsi="Times New Roman" w:cs="Times New Roman"/>
                <w:spacing w:val="-43"/>
                <w:szCs w:val="21"/>
              </w:rPr>
              <w:t xml:space="preserve"> </w:t>
            </w:r>
            <w:bookmarkStart w:id="687" w:name="OLE_LINK1303"/>
            <w:r>
              <w:rPr>
                <w:rFonts w:ascii="Times New Roman" w:eastAsia="宋体" w:hAnsi="Times New Roman" w:cs="Times New Roman"/>
                <w:spacing w:val="-7"/>
                <w:szCs w:val="21"/>
              </w:rPr>
              <w:t>设计压力</w:t>
            </w:r>
            <w:bookmarkEnd w:id="687"/>
            <w:r>
              <w:rPr>
                <w:rFonts w:ascii="Times New Roman" w:eastAsia="宋体" w:hAnsi="Times New Roman" w:cs="Times New Roman"/>
                <w:spacing w:val="-28"/>
                <w:szCs w:val="21"/>
              </w:rPr>
              <w:t xml:space="preserve"> </w:t>
            </w:r>
            <w:r>
              <w:rPr>
                <w:rFonts w:ascii="Times New Roman" w:eastAsia="宋体" w:hAnsi="Times New Roman" w:cs="Times New Roman"/>
                <w:spacing w:val="-7"/>
                <w:szCs w:val="21"/>
              </w:rPr>
              <w:t>1</w:t>
            </w:r>
            <w:r>
              <w:rPr>
                <w:rFonts w:ascii="Times New Roman" w:eastAsia="宋体" w:hAnsi="Times New Roman" w:cs="Times New Roman"/>
                <w:spacing w:val="-8"/>
                <w:szCs w:val="21"/>
              </w:rPr>
              <w:t>.2MPa</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台</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4</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sz w:val="21"/>
                <w:szCs w:val="21"/>
              </w:rPr>
              <w:t>3</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pacing w:val="-3"/>
                <w:szCs w:val="21"/>
              </w:rPr>
              <w:t xml:space="preserve"> </w:t>
            </w:r>
            <w:r>
              <w:rPr>
                <w:rFonts w:ascii="Times New Roman" w:eastAsia="宋体" w:hAnsi="Times New Roman" w:cs="Times New Roman"/>
                <w:spacing w:val="-3"/>
                <w:szCs w:val="21"/>
              </w:rPr>
              <w:t>200kW</w:t>
            </w:r>
            <w:r>
              <w:rPr>
                <w:rFonts w:ascii="Times New Roman" w:eastAsia="宋体" w:hAnsi="Times New Roman" w:cs="Times New Roman"/>
                <w:spacing w:val="-3"/>
                <w:szCs w:val="21"/>
              </w:rPr>
              <w:t>水套</w:t>
            </w:r>
            <w:bookmarkStart w:id="688" w:name="OLE_LINK1234"/>
            <w:r>
              <w:rPr>
                <w:rFonts w:ascii="Times New Roman" w:eastAsia="宋体" w:hAnsi="Times New Roman" w:cs="Times New Roman"/>
                <w:spacing w:val="-3"/>
                <w:szCs w:val="21"/>
              </w:rPr>
              <w:t>加热炉</w:t>
            </w:r>
            <w:bookmarkEnd w:id="688"/>
            <w:r>
              <w:rPr>
                <w:rFonts w:ascii="Times New Roman" w:eastAsia="宋体" w:hAnsi="Times New Roman" w:cs="Times New Roman"/>
                <w:spacing w:val="-3"/>
                <w:szCs w:val="21"/>
              </w:rPr>
              <w:t>16MPa</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台</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689" w:name="OLE_LINK1284"/>
            <w:bookmarkStart w:id="690" w:name="OLE_LINK1310"/>
            <w:r>
              <w:rPr>
                <w:rFonts w:ascii="Times New Roman" w:eastAsia="宋体" w:hAnsi="Times New Roman" w:cs="Times New Roman"/>
                <w:spacing w:val="-3"/>
                <w:szCs w:val="21"/>
              </w:rPr>
              <w:t>高压分离</w:t>
            </w:r>
            <w:bookmarkEnd w:id="689"/>
            <w:r>
              <w:rPr>
                <w:rFonts w:ascii="Times New Roman" w:eastAsia="宋体" w:hAnsi="Times New Roman" w:cs="Times New Roman"/>
                <w:spacing w:val="-3"/>
                <w:szCs w:val="21"/>
              </w:rPr>
              <w:t>器</w:t>
            </w:r>
            <w:r>
              <w:rPr>
                <w:rFonts w:ascii="Times New Roman" w:eastAsia="宋体" w:hAnsi="Times New Roman" w:cs="Times New Roman" w:hint="eastAsia"/>
                <w:spacing w:val="-3"/>
                <w:szCs w:val="21"/>
              </w:rPr>
              <w:t>11</w:t>
            </w:r>
            <w:r>
              <w:rPr>
                <w:rFonts w:ascii="Times New Roman" w:eastAsia="宋体" w:hAnsi="Times New Roman" w:cs="Times New Roman"/>
                <w:spacing w:val="-3"/>
                <w:szCs w:val="21"/>
              </w:rPr>
              <w:t>MPa</w:t>
            </w:r>
            <w:bookmarkEnd w:id="690"/>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座</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5</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7"/>
                <w:szCs w:val="21"/>
              </w:rPr>
              <w:t>80m³</w:t>
            </w:r>
            <w:bookmarkStart w:id="691" w:name="OLE_LINK509"/>
            <w:r>
              <w:rPr>
                <w:rFonts w:ascii="Times New Roman" w:eastAsia="宋体" w:hAnsi="Times New Roman" w:cs="Times New Roman"/>
                <w:spacing w:val="-3"/>
                <w:szCs w:val="21"/>
              </w:rPr>
              <w:t>闪蒸分离</w:t>
            </w:r>
            <w:bookmarkEnd w:id="691"/>
            <w:r>
              <w:rPr>
                <w:rFonts w:ascii="Times New Roman" w:eastAsia="宋体" w:hAnsi="Times New Roman" w:cs="Times New Roman"/>
                <w:spacing w:val="-3"/>
                <w:szCs w:val="21"/>
              </w:rPr>
              <w:t>器</w:t>
            </w:r>
            <w:r>
              <w:rPr>
                <w:rFonts w:ascii="Times New Roman" w:eastAsia="宋体" w:hAnsi="Times New Roman" w:cs="Times New Roman" w:hint="eastAsia"/>
                <w:spacing w:val="-3"/>
                <w:szCs w:val="21"/>
              </w:rPr>
              <w:t xml:space="preserve"> </w:t>
            </w:r>
            <w:r>
              <w:rPr>
                <w:rFonts w:ascii="Times New Roman" w:eastAsia="宋体" w:hAnsi="Times New Roman" w:cs="Times New Roman"/>
                <w:spacing w:val="-7"/>
                <w:szCs w:val="21"/>
              </w:rPr>
              <w:t>设计压力</w:t>
            </w:r>
            <w:r>
              <w:rPr>
                <w:rFonts w:ascii="Times New Roman" w:eastAsia="宋体" w:hAnsi="Times New Roman" w:cs="Times New Roman"/>
                <w:spacing w:val="-3"/>
                <w:szCs w:val="21"/>
              </w:rPr>
              <w:t>1.2MPa</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座</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hint="eastAsia"/>
                <w:spacing w:val="-3"/>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6</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pacing w:val="-3"/>
                <w:szCs w:val="21"/>
              </w:rPr>
              <w:t>原油</w:t>
            </w:r>
            <w:bookmarkStart w:id="692" w:name="OLE_LINK1300"/>
            <w:r>
              <w:rPr>
                <w:rFonts w:ascii="Times New Roman" w:eastAsia="宋体" w:hAnsi="Times New Roman" w:cs="Times New Roman"/>
                <w:spacing w:val="-3"/>
                <w:szCs w:val="21"/>
              </w:rPr>
              <w:t>密闭装车</w:t>
            </w:r>
            <w:bookmarkEnd w:id="692"/>
            <w:r>
              <w:rPr>
                <w:rFonts w:ascii="Times New Roman" w:eastAsia="宋体" w:hAnsi="Times New Roman" w:cs="Times New Roman"/>
                <w:spacing w:val="-3"/>
                <w:szCs w:val="21"/>
              </w:rPr>
              <w:t>撬（底装）</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台</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7</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pacing w:val="3"/>
                <w:szCs w:val="21"/>
              </w:rPr>
              <w:t>火炬</w:t>
            </w:r>
            <w:bookmarkStart w:id="693" w:name="OLE_LINK1301"/>
            <w:r>
              <w:rPr>
                <w:rFonts w:ascii="Times New Roman" w:eastAsia="宋体" w:hAnsi="Times New Roman" w:cs="Times New Roman"/>
                <w:spacing w:val="3"/>
                <w:szCs w:val="21"/>
              </w:rPr>
              <w:t>分液罐</w:t>
            </w:r>
            <w:bookmarkEnd w:id="693"/>
            <w:r>
              <w:rPr>
                <w:rFonts w:ascii="Times New Roman" w:eastAsia="宋体" w:hAnsi="Times New Roman" w:cs="Times New Roman"/>
                <w:spacing w:val="3"/>
                <w:szCs w:val="21"/>
              </w:rPr>
              <w:t>（</w:t>
            </w:r>
            <w:r>
              <w:rPr>
                <w:rFonts w:ascii="Times New Roman" w:eastAsia="宋体" w:hAnsi="Times New Roman" w:cs="Times New Roman"/>
                <w:spacing w:val="3"/>
                <w:szCs w:val="21"/>
              </w:rPr>
              <w:t>Ø800×3200</w:t>
            </w:r>
            <w:r>
              <w:rPr>
                <w:rFonts w:ascii="Times New Roman" w:eastAsia="宋体" w:hAnsi="Times New Roman" w:cs="Times New Roman"/>
                <w:szCs w:val="21"/>
              </w:rPr>
              <w:t>mm</w:t>
            </w:r>
            <w:r>
              <w:rPr>
                <w:rFonts w:ascii="Times New Roman" w:eastAsia="宋体" w:hAnsi="Times New Roman" w:cs="Times New Roman"/>
                <w:spacing w:val="3"/>
                <w:szCs w:val="21"/>
              </w:rPr>
              <w:t xml:space="preserve"> </w:t>
            </w:r>
            <w:r>
              <w:rPr>
                <w:rFonts w:ascii="Times New Roman" w:eastAsia="宋体" w:hAnsi="Times New Roman" w:cs="Times New Roman"/>
                <w:szCs w:val="21"/>
              </w:rPr>
              <w:t>Pw</w:t>
            </w:r>
            <w:r>
              <w:rPr>
                <w:rFonts w:ascii="Times New Roman" w:eastAsia="宋体" w:hAnsi="Times New Roman" w:cs="Times New Roman"/>
                <w:spacing w:val="3"/>
                <w:szCs w:val="21"/>
              </w:rPr>
              <w:t>0.5</w:t>
            </w:r>
            <w:r>
              <w:rPr>
                <w:rFonts w:ascii="Times New Roman" w:eastAsia="宋体" w:hAnsi="Times New Roman" w:cs="Times New Roman"/>
                <w:szCs w:val="21"/>
              </w:rPr>
              <w:t>MPa</w:t>
            </w:r>
            <w:r>
              <w:rPr>
                <w:rFonts w:ascii="Times New Roman" w:eastAsia="宋体" w:hAnsi="Times New Roman" w:cs="Times New Roman"/>
                <w:spacing w:val="3"/>
                <w:szCs w:val="21"/>
              </w:rPr>
              <w:t>）</w:t>
            </w:r>
            <w:r>
              <w:rPr>
                <w:rFonts w:ascii="Times New Roman" w:eastAsia="宋体" w:hAnsi="Times New Roman" w:cs="Times New Roman"/>
                <w:spacing w:val="3"/>
                <w:szCs w:val="21"/>
              </w:rPr>
              <w:t>+</w:t>
            </w:r>
            <w:r>
              <w:rPr>
                <w:rFonts w:ascii="Times New Roman" w:eastAsia="宋体" w:hAnsi="Times New Roman" w:cs="Times New Roman"/>
                <w:spacing w:val="3"/>
                <w:szCs w:val="21"/>
              </w:rPr>
              <w:t>凝液回收</w:t>
            </w:r>
            <w:r>
              <w:rPr>
                <w:rFonts w:ascii="Times New Roman" w:eastAsia="宋体" w:hAnsi="Times New Roman" w:cs="Times New Roman"/>
                <w:spacing w:val="2"/>
                <w:szCs w:val="21"/>
              </w:rPr>
              <w:t>泵撬</w:t>
            </w:r>
            <w:r>
              <w:rPr>
                <w:rFonts w:ascii="Times New Roman" w:eastAsia="宋体" w:hAnsi="Times New Roman" w:cs="Times New Roman"/>
                <w:spacing w:val="-1"/>
                <w:szCs w:val="21"/>
              </w:rPr>
              <w:t>（</w:t>
            </w:r>
            <w:r>
              <w:rPr>
                <w:rFonts w:ascii="Times New Roman" w:eastAsia="宋体" w:hAnsi="Times New Roman" w:cs="Times New Roman"/>
                <w:spacing w:val="-1"/>
                <w:szCs w:val="21"/>
              </w:rPr>
              <w:t>Q=5m</w:t>
            </w:r>
            <w:r>
              <w:rPr>
                <w:rFonts w:ascii="Times New Roman" w:eastAsia="宋体" w:hAnsi="Times New Roman" w:cs="Times New Roman"/>
                <w:spacing w:val="-1"/>
                <w:position w:val="6"/>
                <w:szCs w:val="21"/>
                <w:vertAlign w:val="superscript"/>
              </w:rPr>
              <w:t>3</w:t>
            </w:r>
            <w:r>
              <w:rPr>
                <w:rFonts w:ascii="Times New Roman" w:eastAsia="宋体" w:hAnsi="Times New Roman" w:cs="Times New Roman"/>
                <w:spacing w:val="-1"/>
                <w:szCs w:val="21"/>
              </w:rPr>
              <w:t>/h  H=70m</w:t>
            </w:r>
            <w:r>
              <w:rPr>
                <w:rFonts w:ascii="Times New Roman" w:eastAsia="宋体" w:hAnsi="Times New Roman" w:cs="Times New Roman"/>
                <w:spacing w:val="65"/>
                <w:szCs w:val="21"/>
              </w:rPr>
              <w:t xml:space="preserve"> </w:t>
            </w:r>
            <w:r>
              <w:rPr>
                <w:rFonts w:ascii="Times New Roman" w:eastAsia="宋体" w:hAnsi="Times New Roman" w:cs="Times New Roman"/>
                <w:spacing w:val="-1"/>
                <w:szCs w:val="21"/>
              </w:rPr>
              <w:t>N=7.5kW</w:t>
            </w:r>
            <w:r>
              <w:rPr>
                <w:rFonts w:ascii="Times New Roman" w:eastAsia="宋体" w:hAnsi="Times New Roman" w:cs="Times New Roman"/>
                <w:spacing w:val="-1"/>
                <w:szCs w:val="21"/>
              </w:rPr>
              <w:t>）</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套</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8</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bookmarkStart w:id="694" w:name="OLE_LINK1302"/>
            <w:r>
              <w:rPr>
                <w:rFonts w:ascii="Times New Roman" w:eastAsia="宋体" w:hAnsi="Times New Roman" w:cs="Times New Roman"/>
                <w:spacing w:val="-1"/>
                <w:szCs w:val="21"/>
              </w:rPr>
              <w:t>火炬</w:t>
            </w:r>
            <w:bookmarkEnd w:id="694"/>
            <w:r>
              <w:rPr>
                <w:rFonts w:ascii="Times New Roman" w:eastAsia="宋体" w:hAnsi="Times New Roman" w:cs="Times New Roman"/>
                <w:spacing w:val="-50"/>
                <w:szCs w:val="21"/>
              </w:rPr>
              <w:t xml:space="preserve"> </w:t>
            </w:r>
            <w:r>
              <w:rPr>
                <w:rFonts w:ascii="Times New Roman" w:eastAsia="宋体" w:hAnsi="Times New Roman" w:cs="Times New Roman"/>
                <w:spacing w:val="-1"/>
                <w:szCs w:val="21"/>
              </w:rPr>
              <w:t>DN150 H=15m</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套</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9</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bookmarkStart w:id="695" w:name="OLE_LINK1307"/>
            <w:r>
              <w:rPr>
                <w:rFonts w:ascii="Times New Roman" w:eastAsia="宋体" w:hAnsi="Times New Roman" w:cs="Times New Roman"/>
                <w:spacing w:val="-2"/>
                <w:szCs w:val="21"/>
              </w:rPr>
              <w:t>值班</w:t>
            </w:r>
            <w:bookmarkEnd w:id="695"/>
            <w:r>
              <w:rPr>
                <w:rFonts w:ascii="Times New Roman" w:eastAsia="宋体" w:hAnsi="Times New Roman" w:cs="Times New Roman"/>
                <w:spacing w:val="-2"/>
                <w:szCs w:val="21"/>
              </w:rPr>
              <w:t>室</w:t>
            </w:r>
            <w:r>
              <w:rPr>
                <w:rFonts w:ascii="Times New Roman" w:eastAsia="宋体" w:hAnsi="Times New Roman" w:cs="Times New Roman"/>
                <w:spacing w:val="-32"/>
                <w:szCs w:val="21"/>
              </w:rPr>
              <w:t xml:space="preserve"> </w:t>
            </w:r>
            <w:r>
              <w:rPr>
                <w:rFonts w:ascii="Times New Roman" w:eastAsia="宋体" w:hAnsi="Times New Roman" w:cs="Times New Roman"/>
                <w:spacing w:val="-2"/>
                <w:szCs w:val="21"/>
              </w:rPr>
              <w:t>6.0m×3.3m</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696" w:name="OLE_LINK507"/>
            <w:r>
              <w:rPr>
                <w:rFonts w:ascii="Times New Roman" w:eastAsia="宋体" w:hAnsi="Times New Roman" w:cs="Times New Roman"/>
                <w:spacing w:val="-3"/>
                <w:szCs w:val="21"/>
              </w:rPr>
              <w:t>座</w:t>
            </w:r>
            <w:bookmarkEnd w:id="696"/>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672" w:type="dxa"/>
            <w:vAlign w:val="center"/>
          </w:tcPr>
          <w:p w:rsidR="00C645C9" w:rsidRDefault="00F955D9">
            <w:pPr>
              <w:adjustRightInd w:val="0"/>
              <w:snapToGrid w:val="0"/>
              <w:jc w:val="center"/>
              <w:rPr>
                <w:rFonts w:cs="Times New Roman"/>
                <w:sz w:val="21"/>
                <w:szCs w:val="21"/>
              </w:rPr>
            </w:pPr>
            <w:bookmarkStart w:id="697" w:name="OLE_LINK1123" w:colFirst="2" w:colLast="3"/>
            <w:r>
              <w:rPr>
                <w:rFonts w:cs="Times New Roman"/>
                <w:sz w:val="21"/>
                <w:szCs w:val="21"/>
              </w:rPr>
              <w:t>1</w:t>
            </w:r>
            <w:r>
              <w:rPr>
                <w:rFonts w:cs="Times New Roman" w:hint="eastAsia"/>
                <w:sz w:val="21"/>
                <w:szCs w:val="21"/>
              </w:rPr>
              <w:t>0</w:t>
            </w:r>
          </w:p>
        </w:tc>
        <w:tc>
          <w:tcPr>
            <w:tcW w:w="5635" w:type="dxa"/>
            <w:vAlign w:val="center"/>
          </w:tcPr>
          <w:p w:rsidR="00C645C9" w:rsidRDefault="00F955D9">
            <w:pPr>
              <w:pStyle w:val="TableText"/>
              <w:adjustRightInd w:val="0"/>
              <w:snapToGrid w:val="0"/>
              <w:rPr>
                <w:rFonts w:ascii="Times New Roman" w:eastAsia="宋体" w:hAnsi="Times New Roman" w:cs="Times New Roman"/>
                <w:spacing w:val="-2"/>
                <w:szCs w:val="21"/>
              </w:rPr>
            </w:pPr>
            <w:r>
              <w:rPr>
                <w:rFonts w:ascii="Times New Roman" w:eastAsia="宋体" w:hAnsi="Times New Roman" w:cs="Times New Roman" w:hint="eastAsia"/>
                <w:spacing w:val="-2"/>
                <w:szCs w:val="21"/>
              </w:rPr>
              <w:t>工具</w:t>
            </w:r>
            <w:r>
              <w:rPr>
                <w:rFonts w:ascii="Times New Roman" w:eastAsia="宋体" w:hAnsi="Times New Roman" w:cs="Times New Roman"/>
                <w:spacing w:val="-2"/>
                <w:szCs w:val="21"/>
              </w:rPr>
              <w:t>间</w:t>
            </w:r>
            <w:r>
              <w:rPr>
                <w:rFonts w:ascii="Times New Roman" w:eastAsia="宋体" w:hAnsi="Times New Roman" w:cs="Times New Roman"/>
                <w:spacing w:val="-2"/>
                <w:szCs w:val="21"/>
              </w:rPr>
              <w:t>6.0m×3.3m</w:t>
            </w:r>
          </w:p>
        </w:tc>
        <w:tc>
          <w:tcPr>
            <w:tcW w:w="718" w:type="dxa"/>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座</w:t>
            </w:r>
          </w:p>
        </w:tc>
        <w:tc>
          <w:tcPr>
            <w:tcW w:w="718" w:type="dxa"/>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718" w:type="dxa"/>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672" w:type="dxa"/>
            <w:vAlign w:val="center"/>
          </w:tcPr>
          <w:p w:rsidR="00C645C9" w:rsidRDefault="00F955D9">
            <w:pPr>
              <w:adjustRightInd w:val="0"/>
              <w:snapToGrid w:val="0"/>
              <w:jc w:val="center"/>
              <w:rPr>
                <w:rFonts w:cs="Times New Roman"/>
                <w:sz w:val="21"/>
                <w:szCs w:val="21"/>
              </w:rPr>
            </w:pPr>
            <w:bookmarkStart w:id="698" w:name="OLE_LINK1311" w:colFirst="1" w:colLast="4"/>
            <w:r>
              <w:rPr>
                <w:rFonts w:cs="Times New Roman"/>
                <w:sz w:val="21"/>
                <w:szCs w:val="21"/>
              </w:rPr>
              <w:t>1</w:t>
            </w:r>
            <w:r>
              <w:rPr>
                <w:rFonts w:cs="Times New Roman" w:hint="eastAsia"/>
                <w:sz w:val="21"/>
                <w:szCs w:val="21"/>
              </w:rPr>
              <w:t>1</w:t>
            </w:r>
          </w:p>
        </w:tc>
        <w:tc>
          <w:tcPr>
            <w:tcW w:w="3329"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pacing w:val="-2"/>
                <w:szCs w:val="21"/>
              </w:rPr>
              <w:t>仪表间</w:t>
            </w:r>
            <w:r>
              <w:rPr>
                <w:rFonts w:ascii="Times New Roman" w:eastAsia="宋体" w:hAnsi="Times New Roman" w:cs="Times New Roman"/>
                <w:spacing w:val="-2"/>
                <w:szCs w:val="21"/>
              </w:rPr>
              <w:t>6.0m×3.3m</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座</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bookmarkEnd w:id="697"/>
      <w:bookmarkEnd w:id="698"/>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12</w:t>
            </w:r>
          </w:p>
        </w:tc>
        <w:tc>
          <w:tcPr>
            <w:tcW w:w="3329" w:type="pct"/>
            <w:vAlign w:val="center"/>
          </w:tcPr>
          <w:p w:rsidR="00C645C9" w:rsidRDefault="00F955D9">
            <w:pPr>
              <w:pStyle w:val="TableText"/>
              <w:adjustRightInd w:val="0"/>
              <w:snapToGrid w:val="0"/>
              <w:rPr>
                <w:rFonts w:ascii="Times New Roman" w:eastAsia="宋体" w:hAnsi="Times New Roman" w:cs="Times New Roman"/>
                <w:kern w:val="24"/>
                <w:szCs w:val="21"/>
              </w:rPr>
            </w:pPr>
            <w:r>
              <w:rPr>
                <w:rFonts w:ascii="Times New Roman" w:eastAsia="宋体" w:hAnsi="Times New Roman" w:cs="Times New Roman"/>
                <w:spacing w:val="3"/>
                <w:szCs w:val="21"/>
              </w:rPr>
              <w:t>站内</w:t>
            </w:r>
            <w:r>
              <w:rPr>
                <w:rFonts w:ascii="Times New Roman" w:eastAsia="宋体" w:hAnsi="Times New Roman" w:cs="Times New Roman"/>
                <w:spacing w:val="-4"/>
                <w:szCs w:val="21"/>
              </w:rPr>
              <w:t>管网</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项</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pStyle w:val="TableText"/>
              <w:adjustRightInd w:val="0"/>
              <w:snapToGrid w:val="0"/>
              <w:rPr>
                <w:rFonts w:ascii="Times New Roman" w:eastAsia="宋体" w:hAnsi="Times New Roman" w:cs="Times New Roman"/>
                <w:szCs w:val="21"/>
              </w:rPr>
            </w:pPr>
            <w:r>
              <w:rPr>
                <w:rFonts w:ascii="Times New Roman" w:eastAsia="宋体" w:hAnsi="Times New Roman" w:cs="Times New Roman"/>
                <w:szCs w:val="21"/>
              </w:rPr>
              <w:t>二</w:t>
            </w:r>
          </w:p>
        </w:tc>
        <w:tc>
          <w:tcPr>
            <w:tcW w:w="3329" w:type="pct"/>
            <w:vAlign w:val="center"/>
          </w:tcPr>
          <w:p w:rsidR="00C645C9" w:rsidRDefault="00F955D9">
            <w:pPr>
              <w:pStyle w:val="TableText"/>
              <w:adjustRightInd w:val="0"/>
              <w:snapToGrid w:val="0"/>
              <w:rPr>
                <w:rFonts w:ascii="Times New Roman" w:eastAsia="宋体" w:hAnsi="Times New Roman" w:cs="Times New Roman"/>
                <w:kern w:val="24"/>
                <w:szCs w:val="21"/>
              </w:rPr>
            </w:pPr>
            <w:r>
              <w:rPr>
                <w:rFonts w:ascii="Times New Roman" w:eastAsia="宋体" w:hAnsi="Times New Roman" w:cs="Times New Roman"/>
                <w:spacing w:val="-2"/>
                <w:szCs w:val="21"/>
              </w:rPr>
              <w:t>天然气处理部分（租赁第三方服务）</w:t>
            </w:r>
          </w:p>
        </w:tc>
        <w:tc>
          <w:tcPr>
            <w:tcW w:w="424" w:type="pct"/>
            <w:vAlign w:val="center"/>
          </w:tcPr>
          <w:p w:rsidR="00C645C9" w:rsidRDefault="00C645C9">
            <w:pPr>
              <w:pStyle w:val="TableText"/>
              <w:adjustRightInd w:val="0"/>
              <w:snapToGrid w:val="0"/>
              <w:rPr>
                <w:rFonts w:ascii="Times New Roman" w:eastAsia="宋体" w:hAnsi="Times New Roman" w:cs="Times New Roman"/>
                <w:spacing w:val="-3"/>
                <w:szCs w:val="21"/>
              </w:rPr>
            </w:pPr>
          </w:p>
        </w:tc>
        <w:tc>
          <w:tcPr>
            <w:tcW w:w="424" w:type="pct"/>
            <w:vAlign w:val="center"/>
          </w:tcPr>
          <w:p w:rsidR="00C645C9" w:rsidRDefault="00C645C9">
            <w:pPr>
              <w:pStyle w:val="TableText"/>
              <w:adjustRightInd w:val="0"/>
              <w:snapToGrid w:val="0"/>
              <w:rPr>
                <w:rFonts w:ascii="Times New Roman" w:eastAsia="宋体" w:hAnsi="Times New Roman" w:cs="Times New Roman"/>
                <w:spacing w:val="-3"/>
                <w:szCs w:val="21"/>
              </w:rPr>
            </w:pPr>
          </w:p>
        </w:tc>
        <w:tc>
          <w:tcPr>
            <w:tcW w:w="424" w:type="pct"/>
            <w:vAlign w:val="center"/>
          </w:tcPr>
          <w:p w:rsidR="00C645C9" w:rsidRDefault="00C645C9">
            <w:pPr>
              <w:pStyle w:val="afb"/>
              <w:rPr>
                <w:spacing w:val="-3"/>
                <w:szCs w:val="21"/>
              </w:rPr>
            </w:pP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sz w:val="21"/>
                <w:szCs w:val="21"/>
              </w:rPr>
              <w:t>1</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分子筛脱水撬</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座</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bookmarkStart w:id="699" w:name="OLE_LINK1127" w:colFirst="2" w:colLast="3"/>
            <w:r>
              <w:rPr>
                <w:rFonts w:cs="Times New Roman"/>
                <w:sz w:val="21"/>
                <w:szCs w:val="21"/>
              </w:rPr>
              <w:t>2</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过滤分离器</w:t>
            </w:r>
            <w:bookmarkStart w:id="700" w:name="OLE_LINK1125"/>
            <w:r>
              <w:rPr>
                <w:rFonts w:ascii="Times New Roman" w:eastAsia="宋体" w:hAnsi="Times New Roman" w:cs="Times New Roman"/>
                <w:spacing w:val="3"/>
                <w:szCs w:val="21"/>
              </w:rPr>
              <w:t>橇</w:t>
            </w:r>
            <w:bookmarkEnd w:id="700"/>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701" w:name="OLE_LINK1124"/>
            <w:r>
              <w:rPr>
                <w:rFonts w:ascii="Times New Roman" w:eastAsia="宋体" w:hAnsi="Times New Roman" w:cs="Times New Roman"/>
                <w:spacing w:val="-3"/>
                <w:szCs w:val="21"/>
              </w:rPr>
              <w:t>座</w:t>
            </w:r>
            <w:bookmarkEnd w:id="701"/>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bookmarkStart w:id="702" w:name="OLE_LINK1128" w:colFirst="2" w:colLast="3"/>
            <w:bookmarkEnd w:id="699"/>
            <w:r>
              <w:rPr>
                <w:rFonts w:cs="Times New Roman"/>
                <w:sz w:val="21"/>
                <w:szCs w:val="21"/>
              </w:rPr>
              <w:t>3</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703" w:name="OLE_LINK1304"/>
            <w:bookmarkStart w:id="704" w:name="OLE_LINK1312"/>
            <w:r>
              <w:rPr>
                <w:rFonts w:ascii="Times New Roman" w:eastAsia="宋体" w:hAnsi="Times New Roman" w:cs="Times New Roman"/>
                <w:spacing w:val="3"/>
                <w:szCs w:val="21"/>
              </w:rPr>
              <w:t>低温分离</w:t>
            </w:r>
            <w:bookmarkEnd w:id="703"/>
            <w:r>
              <w:rPr>
                <w:rFonts w:ascii="Times New Roman" w:eastAsia="宋体" w:hAnsi="Times New Roman" w:cs="Times New Roman"/>
                <w:spacing w:val="3"/>
                <w:szCs w:val="21"/>
              </w:rPr>
              <w:t>橇</w:t>
            </w:r>
            <w:r>
              <w:rPr>
                <w:rFonts w:ascii="Times New Roman" w:eastAsia="宋体" w:hAnsi="Times New Roman" w:cs="Times New Roman"/>
                <w:spacing w:val="3"/>
                <w:szCs w:val="21"/>
              </w:rPr>
              <w:t xml:space="preserve"> </w:t>
            </w:r>
            <w:r>
              <w:rPr>
                <w:rFonts w:ascii="Times New Roman" w:eastAsia="宋体" w:hAnsi="Times New Roman" w:cs="Times New Roman"/>
                <w:spacing w:val="3"/>
                <w:szCs w:val="21"/>
              </w:rPr>
              <w:t>DN1000</w:t>
            </w:r>
            <w:r>
              <w:rPr>
                <w:rFonts w:ascii="Times New Roman" w:eastAsia="宋体" w:hAnsi="Times New Roman" w:cs="Times New Roman"/>
                <w:spacing w:val="-3"/>
                <w:szCs w:val="21"/>
              </w:rPr>
              <w:t>×</w:t>
            </w:r>
            <w:r>
              <w:rPr>
                <w:rFonts w:ascii="Times New Roman" w:eastAsia="宋体" w:hAnsi="Times New Roman" w:cs="Times New Roman" w:hint="eastAsia"/>
                <w:spacing w:val="-3"/>
                <w:szCs w:val="21"/>
              </w:rPr>
              <w:t>48</w:t>
            </w:r>
            <w:r>
              <w:rPr>
                <w:rFonts w:ascii="Times New Roman" w:eastAsia="宋体" w:hAnsi="Times New Roman" w:cs="Times New Roman"/>
                <w:spacing w:val="-3"/>
                <w:szCs w:val="21"/>
              </w:rPr>
              <w:t>00mm</w:t>
            </w:r>
            <w:r>
              <w:rPr>
                <w:rFonts w:ascii="Times New Roman" w:eastAsia="宋体" w:hAnsi="Times New Roman" w:cs="Times New Roman" w:hint="eastAsia"/>
                <w:spacing w:val="-3"/>
                <w:szCs w:val="21"/>
              </w:rPr>
              <w:t xml:space="preserve"> PN100</w:t>
            </w:r>
            <w:bookmarkEnd w:id="704"/>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座</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672" w:type="dxa"/>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三股流换热器</w:t>
            </w:r>
            <w:r>
              <w:rPr>
                <w:rFonts w:ascii="Times New Roman" w:eastAsia="宋体" w:hAnsi="Times New Roman" w:cs="Times New Roman"/>
                <w:spacing w:val="3"/>
                <w:szCs w:val="21"/>
              </w:rPr>
              <w:t>PN100</w:t>
            </w:r>
            <w:r>
              <w:rPr>
                <w:rFonts w:ascii="Times New Roman" w:eastAsia="宋体" w:hAnsi="Times New Roman" w:cs="Times New Roman"/>
                <w:spacing w:val="3"/>
                <w:szCs w:val="21"/>
              </w:rPr>
              <w:t>换热负荷</w:t>
            </w:r>
            <w:r>
              <w:rPr>
                <w:rFonts w:ascii="Times New Roman" w:eastAsia="宋体" w:hAnsi="Times New Roman" w:cs="Times New Roman"/>
                <w:spacing w:val="3"/>
                <w:szCs w:val="21"/>
              </w:rPr>
              <w:t>240kW</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hint="eastAsia"/>
                <w:spacing w:val="-3"/>
                <w:szCs w:val="21"/>
              </w:rPr>
              <w:t>套</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hint="eastAsia"/>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672" w:type="dxa"/>
            <w:vAlign w:val="center"/>
          </w:tcPr>
          <w:p w:rsidR="00C645C9" w:rsidRDefault="00F955D9">
            <w:pPr>
              <w:adjustRightInd w:val="0"/>
              <w:snapToGrid w:val="0"/>
              <w:jc w:val="center"/>
              <w:rPr>
                <w:rFonts w:cs="Times New Roman"/>
                <w:sz w:val="21"/>
                <w:szCs w:val="21"/>
              </w:rPr>
            </w:pPr>
            <w:bookmarkStart w:id="705" w:name="OLE_LINK1501" w:colFirst="0" w:colLast="0"/>
            <w:bookmarkEnd w:id="702"/>
            <w:r>
              <w:rPr>
                <w:rFonts w:cs="Times New Roman"/>
                <w:sz w:val="21"/>
                <w:szCs w:val="21"/>
              </w:rPr>
              <w:t>5</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706" w:name="OLE_LINK1305"/>
            <w:r>
              <w:rPr>
                <w:rFonts w:ascii="Times New Roman" w:eastAsia="宋体" w:hAnsi="Times New Roman" w:cs="Times New Roman"/>
                <w:spacing w:val="3"/>
                <w:szCs w:val="21"/>
              </w:rPr>
              <w:t>外输计量</w:t>
            </w:r>
            <w:bookmarkEnd w:id="706"/>
            <w:r>
              <w:rPr>
                <w:rFonts w:ascii="Times New Roman" w:eastAsia="宋体" w:hAnsi="Times New Roman" w:cs="Times New Roman"/>
                <w:spacing w:val="3"/>
                <w:szCs w:val="21"/>
              </w:rPr>
              <w:t>橇</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座</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r w:rsidR="00C645C9">
        <w:trPr>
          <w:trHeight w:val="397"/>
          <w:jc w:val="center"/>
        </w:trPr>
        <w:tc>
          <w:tcPr>
            <w:tcW w:w="397"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6</w:t>
            </w:r>
          </w:p>
        </w:tc>
        <w:tc>
          <w:tcPr>
            <w:tcW w:w="3329" w:type="pct"/>
            <w:vAlign w:val="center"/>
          </w:tcPr>
          <w:p w:rsidR="00C645C9" w:rsidRDefault="00F955D9">
            <w:pPr>
              <w:pStyle w:val="TableText"/>
              <w:adjustRightInd w:val="0"/>
              <w:snapToGrid w:val="0"/>
              <w:rPr>
                <w:rFonts w:ascii="Times New Roman" w:eastAsia="宋体" w:hAnsi="Times New Roman" w:cs="Times New Roman"/>
                <w:spacing w:val="3"/>
                <w:szCs w:val="21"/>
              </w:rPr>
            </w:pPr>
            <w:bookmarkStart w:id="707" w:name="OLE_LINK1306"/>
            <w:r>
              <w:rPr>
                <w:rFonts w:ascii="Times New Roman" w:eastAsia="宋体" w:hAnsi="Times New Roman" w:cs="Times New Roman"/>
                <w:spacing w:val="3"/>
                <w:szCs w:val="21"/>
              </w:rPr>
              <w:t>站内</w:t>
            </w:r>
            <w:bookmarkEnd w:id="707"/>
            <w:r>
              <w:rPr>
                <w:rFonts w:ascii="Times New Roman" w:eastAsia="宋体" w:hAnsi="Times New Roman" w:cs="Times New Roman"/>
                <w:spacing w:val="3"/>
                <w:szCs w:val="21"/>
              </w:rPr>
              <w:t>管网</w:t>
            </w:r>
          </w:p>
        </w:tc>
        <w:tc>
          <w:tcPr>
            <w:tcW w:w="424" w:type="pct"/>
            <w:vAlign w:val="center"/>
          </w:tcPr>
          <w:p w:rsidR="00C645C9" w:rsidRDefault="00F955D9">
            <w:pPr>
              <w:pStyle w:val="TableText"/>
              <w:adjustRightInd w:val="0"/>
              <w:snapToGrid w:val="0"/>
              <w:rPr>
                <w:rFonts w:ascii="Times New Roman" w:eastAsia="宋体" w:hAnsi="Times New Roman" w:cs="Times New Roman"/>
                <w:spacing w:val="-3"/>
                <w:szCs w:val="21"/>
              </w:rPr>
            </w:pPr>
            <w:r>
              <w:rPr>
                <w:rFonts w:ascii="Times New Roman" w:eastAsia="宋体" w:hAnsi="Times New Roman" w:cs="Times New Roman"/>
                <w:spacing w:val="-3"/>
                <w:szCs w:val="21"/>
              </w:rPr>
              <w:t>项</w:t>
            </w:r>
          </w:p>
        </w:tc>
        <w:tc>
          <w:tcPr>
            <w:tcW w:w="424"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2</w:t>
            </w:r>
          </w:p>
        </w:tc>
        <w:tc>
          <w:tcPr>
            <w:tcW w:w="424" w:type="pct"/>
            <w:vAlign w:val="center"/>
          </w:tcPr>
          <w:p w:rsidR="00C645C9" w:rsidRDefault="00F955D9">
            <w:pPr>
              <w:jc w:val="center"/>
              <w:rPr>
                <w:rFonts w:cs="Times New Roman"/>
                <w:spacing w:val="-3"/>
                <w:sz w:val="21"/>
                <w:szCs w:val="21"/>
              </w:rPr>
            </w:pPr>
            <w:r>
              <w:rPr>
                <w:rFonts w:cs="Times New Roman" w:hint="eastAsia"/>
                <w:spacing w:val="-3"/>
                <w:sz w:val="21"/>
                <w:szCs w:val="21"/>
              </w:rPr>
              <w:t>-</w:t>
            </w:r>
          </w:p>
        </w:tc>
      </w:tr>
    </w:tbl>
    <w:bookmarkStart w:id="708" w:name="OLE_LINK1276"/>
    <w:bookmarkEnd w:id="667"/>
    <w:bookmarkEnd w:id="670"/>
    <w:bookmarkEnd w:id="671"/>
    <w:bookmarkEnd w:id="672"/>
    <w:bookmarkEnd w:id="673"/>
    <w:bookmarkEnd w:id="674"/>
    <w:bookmarkEnd w:id="675"/>
    <w:bookmarkEnd w:id="676"/>
    <w:bookmarkEnd w:id="677"/>
    <w:bookmarkEnd w:id="678"/>
    <w:bookmarkEnd w:id="679"/>
    <w:bookmarkEnd w:id="680"/>
    <w:bookmarkEnd w:id="705"/>
    <w:p w:rsidR="00C645C9" w:rsidRDefault="00F955D9">
      <w:pPr>
        <w:spacing w:line="360" w:lineRule="auto"/>
        <w:ind w:firstLineChars="200" w:firstLine="480"/>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rPr>
          <w:rFonts w:cs="Times New Roman"/>
        </w:rPr>
        <w:t>③</w:t>
      </w:r>
      <w:r>
        <w:rPr>
          <w:rFonts w:cs="Times New Roman"/>
        </w:rPr>
        <w:fldChar w:fldCharType="end"/>
      </w:r>
      <w:bookmarkEnd w:id="708"/>
      <w:r>
        <w:rPr>
          <w:rFonts w:cs="Times New Roman"/>
        </w:rPr>
        <w:t>油气</w:t>
      </w:r>
      <w:r>
        <w:rPr>
          <w:rFonts w:cs="Times New Roman" w:hint="eastAsia"/>
        </w:rPr>
        <w:t>处理</w:t>
      </w:r>
      <w:r>
        <w:rPr>
          <w:rFonts w:cs="Times New Roman"/>
        </w:rPr>
        <w:t>工程</w:t>
      </w:r>
    </w:p>
    <w:p w:rsidR="00C645C9" w:rsidRDefault="00F955D9">
      <w:pPr>
        <w:adjustRightInd w:val="0"/>
        <w:snapToGrid w:val="0"/>
        <w:spacing w:line="360" w:lineRule="auto"/>
        <w:ind w:firstLineChars="200" w:firstLine="480"/>
        <w:jc w:val="both"/>
        <w:rPr>
          <w:rFonts w:cs="Times New Roman"/>
        </w:rPr>
      </w:pPr>
      <w:r>
        <w:rPr>
          <w:rFonts w:cs="Times New Roman"/>
        </w:rPr>
        <w:t>本工程</w:t>
      </w:r>
      <w:r>
        <w:rPr>
          <w:rFonts w:cs="Times New Roman" w:hint="eastAsia"/>
        </w:rPr>
        <w:t>单座井场</w:t>
      </w:r>
      <w:r>
        <w:rPr>
          <w:rFonts w:cs="Times New Roman"/>
        </w:rPr>
        <w:t>井口选用</w:t>
      </w:r>
      <w:r>
        <w:rPr>
          <w:rFonts w:cs="Times New Roman"/>
        </w:rPr>
        <w:t>2</w:t>
      </w:r>
      <w:r>
        <w:rPr>
          <w:rFonts w:cs="Times New Roman"/>
        </w:rPr>
        <w:t>00kW</w:t>
      </w:r>
      <w:r>
        <w:rPr>
          <w:rFonts w:cs="Times New Roman"/>
        </w:rPr>
        <w:t>水套</w:t>
      </w:r>
      <w:r>
        <w:rPr>
          <w:rFonts w:cs="Times New Roman"/>
        </w:rPr>
        <w:t>加热炉</w:t>
      </w:r>
      <w:r>
        <w:rPr>
          <w:rFonts w:cs="Times New Roman" w:hint="eastAsia"/>
        </w:rPr>
        <w:t>1</w:t>
      </w:r>
      <w:r>
        <w:rPr>
          <w:rFonts w:cs="Times New Roman" w:hint="eastAsia"/>
        </w:rPr>
        <w:t>台</w:t>
      </w:r>
      <w:r>
        <w:rPr>
          <w:rFonts w:cs="Times New Roman"/>
        </w:rPr>
        <w:t>，共</w:t>
      </w:r>
      <w:r>
        <w:rPr>
          <w:rFonts w:cs="Times New Roman" w:hint="eastAsia"/>
        </w:rPr>
        <w:t>计</w:t>
      </w:r>
      <w:r>
        <w:rPr>
          <w:rFonts w:cs="Times New Roman"/>
        </w:rPr>
        <w:t>2</w:t>
      </w:r>
      <w:r>
        <w:rPr>
          <w:rFonts w:cs="Times New Roman"/>
        </w:rPr>
        <w:t>台</w:t>
      </w:r>
      <w:r>
        <w:rPr>
          <w:rFonts w:cs="Times New Roman"/>
        </w:rPr>
        <w:t>。</w:t>
      </w:r>
      <w:r>
        <w:rPr>
          <w:rFonts w:cs="Times New Roman"/>
        </w:rPr>
        <w:t>井口产液经井场油气分离后，凝析油装车外运至雅克拉集气处理站处理，天然气脱水脱烃经调压计量后就地销售给地方企业，外输</w:t>
      </w:r>
      <w:r>
        <w:rPr>
          <w:rFonts w:cs="Times New Roman" w:hint="eastAsia"/>
        </w:rPr>
        <w:t>设备</w:t>
      </w:r>
      <w:r>
        <w:rPr>
          <w:rFonts w:cs="Times New Roman"/>
        </w:rPr>
        <w:t>由地方企业自行筹建，不在本工程范围内。</w:t>
      </w:r>
      <w:r>
        <w:rPr>
          <w:rFonts w:cs="Times New Roman"/>
        </w:rPr>
        <w:t>新建</w:t>
      </w:r>
      <w:r>
        <w:rPr>
          <w:rFonts w:cs="Times New Roman"/>
        </w:rPr>
        <w:t>单井井口至天然气处理装置、拉油储罐出油管线，</w:t>
      </w:r>
      <w:r>
        <w:rPr>
          <w:rFonts w:cs="Times New Roman"/>
        </w:rPr>
        <w:t>2</w:t>
      </w:r>
      <w:r>
        <w:rPr>
          <w:rFonts w:cs="Times New Roman"/>
        </w:rPr>
        <w:t>口井合计</w:t>
      </w:r>
      <w:r>
        <w:rPr>
          <w:rFonts w:cs="Times New Roman"/>
        </w:rPr>
        <w:t>0.163km</w:t>
      </w:r>
      <w:r>
        <w:rPr>
          <w:rFonts w:cs="Times New Roman"/>
        </w:rPr>
        <w:t>，明线铺设。</w:t>
      </w:r>
    </w:p>
    <w:p w:rsidR="00C645C9" w:rsidRDefault="00F955D9">
      <w:pPr>
        <w:pStyle w:val="4"/>
        <w:adjustRightInd w:val="0"/>
        <w:snapToGrid w:val="0"/>
        <w:ind w:firstLineChars="200" w:firstLine="480"/>
        <w:rPr>
          <w:rFonts w:ascii="Times New Roman" w:hAnsi="Times New Roman" w:cs="Times New Roman"/>
          <w:b w:val="0"/>
          <w:snapToGrid/>
          <w:color w:val="auto"/>
          <w:szCs w:val="24"/>
          <w:lang w:eastAsia="zh-CN"/>
        </w:rPr>
      </w:pPr>
      <w:r>
        <w:rPr>
          <w:rFonts w:ascii="Times New Roman" w:hAnsi="Times New Roman" w:cs="Times New Roman"/>
          <w:b w:val="0"/>
          <w:snapToGrid/>
          <w:color w:val="auto"/>
          <w:szCs w:val="24"/>
          <w:lang w:eastAsia="zh-CN"/>
        </w:rPr>
        <w:lastRenderedPageBreak/>
        <w:t>（</w:t>
      </w:r>
      <w:r>
        <w:rPr>
          <w:rFonts w:ascii="Times New Roman" w:hAnsi="Times New Roman" w:cs="Times New Roman" w:hint="eastAsia"/>
          <w:b w:val="0"/>
          <w:snapToGrid/>
          <w:color w:val="auto"/>
          <w:szCs w:val="24"/>
          <w:lang w:eastAsia="zh-CN"/>
        </w:rPr>
        <w:t>3</w:t>
      </w:r>
      <w:r>
        <w:rPr>
          <w:rFonts w:ascii="Times New Roman" w:hAnsi="Times New Roman" w:cs="Times New Roman"/>
          <w:b w:val="0"/>
          <w:snapToGrid/>
          <w:color w:val="auto"/>
          <w:szCs w:val="24"/>
          <w:lang w:eastAsia="zh-CN"/>
        </w:rPr>
        <w:t>）储层改造工程</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1 \* GB3 \* MERGEFORMAT </w:instrText>
      </w:r>
      <w:r>
        <w:rPr>
          <w:rFonts w:ascii="Times New Roman" w:hAnsi="Times New Roman" w:cs="Times New Roman"/>
          <w:color w:val="auto"/>
        </w:rPr>
        <w:fldChar w:fldCharType="separate"/>
      </w:r>
      <w:r>
        <w:rPr>
          <w:rFonts w:ascii="Times New Roman" w:hAnsi="Times New Roman" w:cs="Times New Roman"/>
          <w:color w:val="auto"/>
        </w:rPr>
        <w:t>①</w:t>
      </w:r>
      <w:r>
        <w:rPr>
          <w:rFonts w:ascii="Times New Roman" w:hAnsi="Times New Roman" w:cs="Times New Roman"/>
          <w:color w:val="auto"/>
        </w:rPr>
        <w:fldChar w:fldCharType="end"/>
      </w:r>
      <w:r>
        <w:rPr>
          <w:rFonts w:ascii="Times New Roman" w:hAnsi="Times New Roman" w:cs="Times New Roman"/>
          <w:color w:val="auto"/>
        </w:rPr>
        <w:t>射孔工艺</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考虑电缆传输射孔需要多次下入射孔枪，作业周期长、风险大；管柱传输射孔是主要射孔方式，射孔作业实施情况良好，工艺技术成熟，本</w:t>
      </w:r>
      <w:r>
        <w:rPr>
          <w:rFonts w:ascii="Times New Roman" w:hAnsi="Times New Roman" w:cs="Times New Roman" w:hint="eastAsia"/>
          <w:color w:val="auto"/>
        </w:rPr>
        <w:t>工程</w:t>
      </w:r>
      <w:r>
        <w:rPr>
          <w:rFonts w:ascii="Times New Roman" w:hAnsi="Times New Roman" w:cs="Times New Roman"/>
          <w:color w:val="auto"/>
        </w:rPr>
        <w:t>新钻井采用管柱传输射孔工艺。</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射孔参数推荐：枪型：</w:t>
      </w:r>
      <w:r>
        <w:rPr>
          <w:rFonts w:ascii="Times New Roman" w:hAnsi="Times New Roman" w:cs="Times New Roman"/>
          <w:color w:val="auto"/>
        </w:rPr>
        <w:t>127</w:t>
      </w:r>
      <w:r>
        <w:rPr>
          <w:rFonts w:ascii="Times New Roman" w:hAnsi="Times New Roman" w:cs="Times New Roman"/>
          <w:color w:val="auto"/>
        </w:rPr>
        <w:t>型，弹型：欧文弹或</w:t>
      </w:r>
      <w:r>
        <w:rPr>
          <w:rFonts w:ascii="Times New Roman" w:hAnsi="Times New Roman" w:cs="Times New Roman"/>
          <w:color w:val="auto"/>
        </w:rPr>
        <w:t>127</w:t>
      </w:r>
      <w:r>
        <w:rPr>
          <w:rFonts w:ascii="Times New Roman" w:hAnsi="Times New Roman" w:cs="Times New Roman"/>
          <w:color w:val="auto"/>
        </w:rPr>
        <w:t>聚能弹，孔密：</w:t>
      </w:r>
      <w:r>
        <w:rPr>
          <w:rFonts w:ascii="Times New Roman" w:hAnsi="Times New Roman" w:cs="Times New Roman"/>
          <w:color w:val="auto"/>
        </w:rPr>
        <w:t>16</w:t>
      </w:r>
      <w:r>
        <w:rPr>
          <w:rFonts w:ascii="Times New Roman" w:hAnsi="Times New Roman" w:cs="Times New Roman"/>
          <w:color w:val="auto"/>
        </w:rPr>
        <w:t>孔</w:t>
      </w:r>
      <w:r>
        <w:rPr>
          <w:rFonts w:ascii="Times New Roman" w:hAnsi="Times New Roman" w:cs="Times New Roman"/>
          <w:color w:val="auto"/>
        </w:rPr>
        <w:t>/</w:t>
      </w:r>
      <w:r>
        <w:rPr>
          <w:rFonts w:ascii="Times New Roman" w:hAnsi="Times New Roman" w:cs="Times New Roman"/>
          <w:color w:val="auto"/>
        </w:rPr>
        <w:t>米，校深方式：采用</w:t>
      </w:r>
      <w:r>
        <w:rPr>
          <w:rFonts w:ascii="Times New Roman" w:hAnsi="Times New Roman" w:cs="Times New Roman"/>
          <w:color w:val="auto"/>
        </w:rPr>
        <w:t>GR+CCL</w:t>
      </w:r>
      <w:r>
        <w:rPr>
          <w:rFonts w:ascii="Times New Roman" w:hAnsi="Times New Roman" w:cs="Times New Roman"/>
          <w:color w:val="auto"/>
        </w:rPr>
        <w:t>校深</w:t>
      </w:r>
      <w:r>
        <w:rPr>
          <w:rFonts w:ascii="Times New Roman" w:hAnsi="Times New Roman" w:cs="Times New Roman" w:hint="eastAsia"/>
          <w:color w:val="auto"/>
        </w:rPr>
        <w:t>。</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2 \* GB3 \* MERGEFORMAT </w:instrText>
      </w:r>
      <w:r>
        <w:rPr>
          <w:rFonts w:ascii="Times New Roman" w:hAnsi="Times New Roman" w:cs="Times New Roman"/>
          <w:color w:val="auto"/>
        </w:rPr>
        <w:fldChar w:fldCharType="separate"/>
      </w:r>
      <w:r>
        <w:rPr>
          <w:rFonts w:ascii="Times New Roman" w:hAnsi="Times New Roman" w:cs="Times New Roman"/>
          <w:color w:val="auto"/>
        </w:rPr>
        <w:t>②</w:t>
      </w:r>
      <w:r>
        <w:rPr>
          <w:rFonts w:ascii="Times New Roman" w:hAnsi="Times New Roman" w:cs="Times New Roman"/>
          <w:color w:val="auto"/>
        </w:rPr>
        <w:fldChar w:fldCharType="end"/>
      </w:r>
      <w:r>
        <w:rPr>
          <w:rFonts w:ascii="Times New Roman" w:hAnsi="Times New Roman" w:cs="Times New Roman"/>
          <w:color w:val="auto"/>
        </w:rPr>
        <w:t>储层改造工艺</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结合油田区域已实施的钻井作业储层改造工艺，本</w:t>
      </w:r>
      <w:r>
        <w:rPr>
          <w:rFonts w:ascii="Times New Roman" w:hAnsi="Times New Roman" w:cs="Times New Roman" w:hint="eastAsia"/>
          <w:color w:val="auto"/>
        </w:rPr>
        <w:t>工程</w:t>
      </w:r>
      <w:r>
        <w:rPr>
          <w:rFonts w:ascii="Times New Roman" w:hAnsi="Times New Roman" w:cs="Times New Roman"/>
          <w:color w:val="auto"/>
        </w:rPr>
        <w:t>各钻井采用酸化压裂工艺。</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3 \* GB3 \* MERGEFORMAT </w:instrText>
      </w:r>
      <w:r>
        <w:rPr>
          <w:rFonts w:ascii="Times New Roman" w:hAnsi="Times New Roman" w:cs="Times New Roman"/>
          <w:color w:val="auto"/>
        </w:rPr>
        <w:fldChar w:fldCharType="separate"/>
      </w:r>
      <w:r>
        <w:rPr>
          <w:rFonts w:ascii="Times New Roman" w:hAnsi="Times New Roman" w:cs="Times New Roman"/>
          <w:color w:val="auto"/>
        </w:rPr>
        <w:t>③</w:t>
      </w:r>
      <w:r>
        <w:rPr>
          <w:rFonts w:ascii="Times New Roman" w:hAnsi="Times New Roman" w:cs="Times New Roman"/>
          <w:color w:val="auto"/>
        </w:rPr>
        <w:fldChar w:fldCharType="end"/>
      </w:r>
      <w:r>
        <w:rPr>
          <w:rFonts w:ascii="Times New Roman" w:hAnsi="Times New Roman" w:cs="Times New Roman"/>
          <w:color w:val="auto"/>
        </w:rPr>
        <w:t>压裂工艺</w:t>
      </w:r>
    </w:p>
    <w:p w:rsidR="00C645C9" w:rsidRDefault="00F955D9">
      <w:pPr>
        <w:pStyle w:val="Default"/>
        <w:snapToGrid w:val="0"/>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选用</w:t>
      </w:r>
      <w:bookmarkStart w:id="709" w:name="OLE_LINK1280"/>
      <w:r>
        <w:rPr>
          <w:rFonts w:ascii="Times New Roman" w:hAnsi="Times New Roman" w:cs="Times New Roman"/>
          <w:color w:val="auto"/>
        </w:rPr>
        <w:t>3</w:t>
      </w:r>
      <w:r>
        <w:rPr>
          <w:rFonts w:ascii="Times New Roman" w:hAnsi="Times New Roman" w:cs="Times New Roman" w:hint="eastAsia"/>
          <w:color w:val="auto"/>
        </w:rPr>
        <w:t>-</w:t>
      </w:r>
      <w:r>
        <w:rPr>
          <w:rFonts w:ascii="Times New Roman" w:hAnsi="Times New Roman" w:cs="Times New Roman"/>
          <w:color w:val="auto"/>
        </w:rPr>
        <w:t>1/2″</w:t>
      </w:r>
      <w:r>
        <w:rPr>
          <w:rFonts w:ascii="Times New Roman" w:hAnsi="Times New Roman" w:cs="Times New Roman"/>
          <w:color w:val="auto"/>
        </w:rPr>
        <w:t>油管</w:t>
      </w:r>
      <w:bookmarkEnd w:id="709"/>
      <w:r>
        <w:rPr>
          <w:rFonts w:ascii="Times New Roman" w:hAnsi="Times New Roman" w:cs="Times New Roman"/>
          <w:color w:val="auto"/>
        </w:rPr>
        <w:t>进行施工，采用</w:t>
      </w:r>
      <w:r>
        <w:rPr>
          <w:rFonts w:ascii="Times New Roman" w:hAnsi="Times New Roman" w:cs="Times New Roman"/>
          <w:color w:val="auto"/>
        </w:rPr>
        <w:t>“</w:t>
      </w:r>
      <w:r>
        <w:rPr>
          <w:rFonts w:ascii="Times New Roman" w:hAnsi="Times New Roman" w:cs="Times New Roman"/>
          <w:color w:val="auto"/>
        </w:rPr>
        <w:t>一体化压裂液</w:t>
      </w:r>
      <w:r>
        <w:rPr>
          <w:rFonts w:ascii="Times New Roman" w:hAnsi="Times New Roman" w:cs="Times New Roman"/>
          <w:color w:val="auto"/>
        </w:rPr>
        <w:t>+</w:t>
      </w:r>
      <w:r>
        <w:rPr>
          <w:rFonts w:ascii="Times New Roman" w:hAnsi="Times New Roman" w:cs="Times New Roman"/>
          <w:color w:val="auto"/>
        </w:rPr>
        <w:t>胶凝酸</w:t>
      </w:r>
      <w:r>
        <w:rPr>
          <w:rFonts w:ascii="Times New Roman" w:hAnsi="Times New Roman" w:cs="Times New Roman"/>
          <w:color w:val="auto"/>
        </w:rPr>
        <w:t>+</w:t>
      </w:r>
      <w:r>
        <w:rPr>
          <w:rFonts w:ascii="Times New Roman" w:hAnsi="Times New Roman" w:cs="Times New Roman"/>
          <w:color w:val="auto"/>
        </w:rPr>
        <w:t>滑溜水</w:t>
      </w:r>
      <w:r>
        <w:rPr>
          <w:rFonts w:ascii="Times New Roman" w:hAnsi="Times New Roman" w:cs="Times New Roman"/>
          <w:color w:val="auto"/>
        </w:rPr>
        <w:t>”</w:t>
      </w:r>
      <w:r>
        <w:rPr>
          <w:rFonts w:ascii="Times New Roman" w:hAnsi="Times New Roman" w:cs="Times New Roman"/>
          <w:color w:val="auto"/>
        </w:rPr>
        <w:t>作为酸化压裂施工液，</w:t>
      </w:r>
      <w:bookmarkStart w:id="710" w:name="OLE_LINK1279"/>
      <w:r>
        <w:rPr>
          <w:rFonts w:ascii="Times New Roman" w:hAnsi="Times New Roman" w:cs="Times New Roman"/>
          <w:color w:val="auto"/>
        </w:rPr>
        <w:t>压裂</w:t>
      </w:r>
      <w:bookmarkEnd w:id="710"/>
      <w:r>
        <w:rPr>
          <w:rFonts w:ascii="Times New Roman" w:hAnsi="Times New Roman" w:cs="Times New Roman" w:hint="eastAsia"/>
          <w:color w:val="auto"/>
        </w:rPr>
        <w:t>废水</w:t>
      </w:r>
      <w:r>
        <w:rPr>
          <w:rFonts w:ascii="Times New Roman" w:hAnsi="Times New Roman" w:cs="Times New Roman"/>
          <w:color w:val="auto"/>
        </w:rPr>
        <w:t>产生量为</w:t>
      </w:r>
      <w:r>
        <w:rPr>
          <w:rFonts w:ascii="Times New Roman" w:hAnsi="Times New Roman" w:cs="Times New Roman"/>
          <w:color w:val="auto"/>
        </w:rPr>
        <w:t>100</w:t>
      </w:r>
      <w:r>
        <w:rPr>
          <w:rFonts w:ascii="Times New Roman" w:hAnsi="Times New Roman" w:cs="Times New Roman"/>
          <w:color w:val="auto"/>
        </w:rPr>
        <w:t>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。由于涉及商业机密，本次酸化压裂液未给出具体配比，井场酸化施工泵注工序、钻井改造液体系配方和压裂施工所用机械见表</w:t>
      </w:r>
      <w:r>
        <w:rPr>
          <w:rFonts w:ascii="Times New Roman" w:hAnsi="Times New Roman" w:cs="Times New Roman"/>
          <w:color w:val="auto"/>
        </w:rPr>
        <w:t>3.2-</w:t>
      </w:r>
      <w:r>
        <w:rPr>
          <w:rFonts w:ascii="Times New Roman" w:hAnsi="Times New Roman" w:cs="Times New Roman" w:hint="eastAsia"/>
          <w:color w:val="auto"/>
        </w:rPr>
        <w:t>10~12</w:t>
      </w:r>
      <w:r>
        <w:rPr>
          <w:rFonts w:ascii="Times New Roman" w:hAnsi="Times New Roman" w:cs="Times New Roman" w:hint="eastAsia"/>
          <w:color w:val="auto"/>
        </w:rPr>
        <w:t>。</w:t>
      </w:r>
    </w:p>
    <w:p w:rsidR="00C645C9" w:rsidRDefault="00F955D9">
      <w:pPr>
        <w:pStyle w:val="-"/>
        <w:spacing w:line="240" w:lineRule="auto"/>
        <w:rPr>
          <w:rFonts w:ascii="Times New Roman" w:hAnsi="Times New Roman"/>
        </w:rPr>
      </w:pPr>
      <w:r>
        <w:rPr>
          <w:rFonts w:ascii="Times New Roman" w:hAnsi="Times New Roman"/>
        </w:rPr>
        <w:t>表</w:t>
      </w:r>
      <w:r>
        <w:rPr>
          <w:rFonts w:ascii="Times New Roman" w:hAnsi="Times New Roman"/>
        </w:rPr>
        <w:t>3.</w:t>
      </w:r>
      <w:r>
        <w:rPr>
          <w:rFonts w:ascii="Times New Roman" w:hAnsi="Times New Roman" w:hint="eastAsia"/>
        </w:rPr>
        <w:t>2</w:t>
      </w:r>
      <w:r>
        <w:rPr>
          <w:rFonts w:ascii="Times New Roman" w:hAnsi="Times New Roman"/>
        </w:rPr>
        <w:t>-1</w:t>
      </w:r>
      <w:r>
        <w:rPr>
          <w:rFonts w:ascii="Times New Roman" w:hAnsi="Times New Roman" w:hint="eastAsia"/>
        </w:rPr>
        <w:t>0</w:t>
      </w:r>
      <w:r>
        <w:rPr>
          <w:rFonts w:ascii="Times New Roman" w:hAnsi="Times New Roman"/>
        </w:rPr>
        <w:t xml:space="preserve">   </w:t>
      </w:r>
      <w:r>
        <w:rPr>
          <w:rFonts w:ascii="Times New Roman" w:hAnsi="Times New Roman"/>
        </w:rPr>
        <w:t>井场酸化施工泵注</w:t>
      </w:r>
      <w:r>
        <w:rPr>
          <w:rFonts w:ascii="Times New Roman" w:hAnsi="Times New Roman"/>
        </w:rPr>
        <w:t>工</w:t>
      </w:r>
      <w:r>
        <w:rPr>
          <w:rFonts w:ascii="Times New Roman" w:hAnsi="Times New Roman"/>
        </w:rPr>
        <w:t>序</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381"/>
        <w:gridCol w:w="1276"/>
        <w:gridCol w:w="974"/>
        <w:gridCol w:w="899"/>
        <w:gridCol w:w="1094"/>
        <w:gridCol w:w="1123"/>
        <w:gridCol w:w="2445"/>
      </w:tblGrid>
      <w:tr w:rsidR="00C645C9">
        <w:trPr>
          <w:trHeight w:val="311"/>
          <w:jc w:val="center"/>
        </w:trPr>
        <w:tc>
          <w:tcPr>
            <w:tcW w:w="289"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阶段</w:t>
            </w:r>
          </w:p>
        </w:tc>
        <w:tc>
          <w:tcPr>
            <w:tcW w:w="219"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序号</w:t>
            </w:r>
          </w:p>
        </w:tc>
        <w:tc>
          <w:tcPr>
            <w:tcW w:w="734"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工序</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液量</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排量</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累计液量</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预计泵压</w:t>
            </w:r>
          </w:p>
        </w:tc>
        <w:tc>
          <w:tcPr>
            <w:tcW w:w="1402"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备注</w:t>
            </w:r>
          </w:p>
        </w:tc>
      </w:tr>
      <w:tr w:rsidR="00C645C9">
        <w:trPr>
          <w:trHeight w:val="90"/>
          <w:jc w:val="center"/>
        </w:trPr>
        <w:tc>
          <w:tcPr>
            <w:tcW w:w="289" w:type="pct"/>
            <w:vMerge/>
            <w:vAlign w:val="center"/>
          </w:tcPr>
          <w:p w:rsidR="00C645C9" w:rsidRDefault="00C645C9">
            <w:pPr>
              <w:jc w:val="center"/>
              <w:rPr>
                <w:rFonts w:cs="Times New Roman"/>
                <w:spacing w:val="-10"/>
                <w:sz w:val="21"/>
                <w:szCs w:val="21"/>
              </w:rPr>
            </w:pPr>
          </w:p>
        </w:tc>
        <w:tc>
          <w:tcPr>
            <w:tcW w:w="219" w:type="pct"/>
            <w:vMerge/>
            <w:vAlign w:val="center"/>
          </w:tcPr>
          <w:p w:rsidR="00C645C9" w:rsidRDefault="00C645C9">
            <w:pPr>
              <w:jc w:val="center"/>
              <w:rPr>
                <w:rFonts w:cs="Times New Roman"/>
                <w:spacing w:val="-10"/>
                <w:sz w:val="21"/>
                <w:szCs w:val="21"/>
              </w:rPr>
            </w:pPr>
          </w:p>
        </w:tc>
        <w:tc>
          <w:tcPr>
            <w:tcW w:w="734" w:type="pct"/>
            <w:vMerge/>
            <w:vAlign w:val="center"/>
          </w:tcPr>
          <w:p w:rsidR="00C645C9" w:rsidRDefault="00C645C9">
            <w:pPr>
              <w:jc w:val="center"/>
              <w:rPr>
                <w:rFonts w:cs="Times New Roman"/>
                <w:spacing w:val="-10"/>
                <w:sz w:val="21"/>
                <w:szCs w:val="21"/>
              </w:rPr>
            </w:pP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m</w:t>
            </w:r>
            <w:r>
              <w:rPr>
                <w:rFonts w:cs="Times New Roman"/>
                <w:spacing w:val="-10"/>
                <w:sz w:val="21"/>
                <w:szCs w:val="21"/>
                <w:vertAlign w:val="superscript"/>
              </w:rPr>
              <w:t>3</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m</w:t>
            </w:r>
            <w:r>
              <w:rPr>
                <w:rFonts w:cs="Times New Roman"/>
                <w:spacing w:val="-10"/>
                <w:sz w:val="21"/>
                <w:szCs w:val="21"/>
                <w:vertAlign w:val="superscript"/>
              </w:rPr>
              <w:t>3</w:t>
            </w:r>
            <w:r>
              <w:rPr>
                <w:rFonts w:cs="Times New Roman"/>
                <w:spacing w:val="-10"/>
                <w:sz w:val="21"/>
                <w:szCs w:val="21"/>
              </w:rPr>
              <w:t>/min</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m</w:t>
            </w:r>
            <w:r>
              <w:rPr>
                <w:rFonts w:cs="Times New Roman"/>
                <w:spacing w:val="-10"/>
                <w:sz w:val="21"/>
                <w:szCs w:val="21"/>
                <w:vertAlign w:val="superscript"/>
              </w:rPr>
              <w:t>3</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MPa</w:t>
            </w:r>
          </w:p>
        </w:tc>
        <w:tc>
          <w:tcPr>
            <w:tcW w:w="1402" w:type="pct"/>
            <w:vMerge/>
            <w:vAlign w:val="center"/>
          </w:tcPr>
          <w:p w:rsidR="00C645C9" w:rsidRDefault="00C645C9">
            <w:pPr>
              <w:jc w:val="center"/>
              <w:rPr>
                <w:rFonts w:cs="Times New Roman"/>
                <w:spacing w:val="-10"/>
                <w:sz w:val="21"/>
                <w:szCs w:val="21"/>
              </w:rPr>
            </w:pPr>
          </w:p>
        </w:tc>
      </w:tr>
      <w:tr w:rsidR="00C645C9">
        <w:trPr>
          <w:trHeight w:val="454"/>
          <w:jc w:val="center"/>
        </w:trPr>
        <w:tc>
          <w:tcPr>
            <w:tcW w:w="289"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试解堵</w:t>
            </w: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1</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正挤滑溜水</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30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0-2.0</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30</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≥42</w:t>
            </w: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将压井液挤入地层</w:t>
            </w:r>
          </w:p>
        </w:tc>
      </w:tr>
      <w:tr w:rsidR="00C645C9">
        <w:trPr>
          <w:trHeight w:val="454"/>
          <w:jc w:val="center"/>
        </w:trPr>
        <w:tc>
          <w:tcPr>
            <w:tcW w:w="289" w:type="pct"/>
            <w:vMerge/>
            <w:vAlign w:val="center"/>
          </w:tcPr>
          <w:p w:rsidR="00C645C9" w:rsidRDefault="00C645C9">
            <w:pPr>
              <w:jc w:val="center"/>
              <w:rPr>
                <w:rFonts w:cs="Times New Roman"/>
                <w:spacing w:val="-10"/>
                <w:sz w:val="21"/>
                <w:szCs w:val="21"/>
              </w:rPr>
            </w:pP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2</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正挤胶凝酸</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50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3.0-4.0</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80</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≥48</w:t>
            </w: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控制排量注酸</w:t>
            </w:r>
          </w:p>
        </w:tc>
      </w:tr>
      <w:tr w:rsidR="00C645C9">
        <w:trPr>
          <w:trHeight w:val="454"/>
          <w:jc w:val="center"/>
        </w:trPr>
        <w:tc>
          <w:tcPr>
            <w:tcW w:w="289" w:type="pct"/>
            <w:vMerge/>
            <w:vAlign w:val="center"/>
          </w:tcPr>
          <w:p w:rsidR="00C645C9" w:rsidRDefault="00C645C9">
            <w:pPr>
              <w:jc w:val="center"/>
              <w:rPr>
                <w:rFonts w:cs="Times New Roman"/>
                <w:spacing w:val="-10"/>
                <w:sz w:val="21"/>
                <w:szCs w:val="21"/>
              </w:rPr>
            </w:pP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3</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正挤滑溜水</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≥2.0</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120</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≥44</w:t>
            </w: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将酸液顶入地层，顶替结束后停泵观察</w:t>
            </w:r>
            <w:r>
              <w:rPr>
                <w:rFonts w:cs="Times New Roman"/>
                <w:spacing w:val="-10"/>
                <w:sz w:val="21"/>
                <w:szCs w:val="21"/>
              </w:rPr>
              <w:t>30min</w:t>
            </w:r>
          </w:p>
        </w:tc>
      </w:tr>
      <w:tr w:rsidR="00C645C9">
        <w:trPr>
          <w:trHeight w:val="454"/>
          <w:jc w:val="center"/>
        </w:trPr>
        <w:tc>
          <w:tcPr>
            <w:tcW w:w="5000" w:type="pct"/>
            <w:gridSpan w:val="8"/>
            <w:tcMar>
              <w:top w:w="72" w:type="dxa"/>
              <w:left w:w="144" w:type="dxa"/>
              <w:bottom w:w="72" w:type="dxa"/>
              <w:right w:w="144" w:type="dxa"/>
            </w:tcMar>
            <w:vAlign w:val="center"/>
          </w:tcPr>
          <w:p w:rsidR="00C645C9" w:rsidRDefault="00F955D9">
            <w:pPr>
              <w:rPr>
                <w:rFonts w:cs="Times New Roman"/>
                <w:spacing w:val="-10"/>
                <w:sz w:val="21"/>
                <w:szCs w:val="21"/>
              </w:rPr>
            </w:pPr>
            <w:r>
              <w:rPr>
                <w:rFonts w:cs="Times New Roman"/>
                <w:spacing w:val="-10"/>
                <w:sz w:val="21"/>
                <w:szCs w:val="21"/>
              </w:rPr>
              <w:t>①</w:t>
            </w:r>
            <w:r>
              <w:rPr>
                <w:rFonts w:cs="Times New Roman"/>
                <w:spacing w:val="-10"/>
                <w:sz w:val="21"/>
                <w:szCs w:val="21"/>
              </w:rPr>
              <w:t>若停泵压降小，解堵不明显则执行第</w:t>
            </w:r>
            <w:r>
              <w:rPr>
                <w:rFonts w:cs="Times New Roman"/>
                <w:spacing w:val="-10"/>
                <w:sz w:val="21"/>
                <w:szCs w:val="21"/>
              </w:rPr>
              <w:t>4-7</w:t>
            </w:r>
            <w:r>
              <w:rPr>
                <w:rFonts w:cs="Times New Roman"/>
                <w:spacing w:val="-10"/>
                <w:sz w:val="21"/>
                <w:szCs w:val="21"/>
              </w:rPr>
              <w:t>步；</w:t>
            </w:r>
          </w:p>
          <w:p w:rsidR="00C645C9" w:rsidRDefault="00F955D9">
            <w:pPr>
              <w:rPr>
                <w:rFonts w:cs="Times New Roman"/>
                <w:spacing w:val="-10"/>
                <w:sz w:val="21"/>
                <w:szCs w:val="21"/>
              </w:rPr>
            </w:pPr>
            <w:r>
              <w:rPr>
                <w:rFonts w:cs="Times New Roman"/>
                <w:spacing w:val="-10"/>
                <w:sz w:val="21"/>
                <w:szCs w:val="21"/>
              </w:rPr>
              <w:t>②</w:t>
            </w:r>
            <w:r>
              <w:rPr>
                <w:rFonts w:cs="Times New Roman"/>
                <w:spacing w:val="-10"/>
                <w:sz w:val="21"/>
                <w:szCs w:val="21"/>
              </w:rPr>
              <w:t>若停泵压降大，解堵明显沟通则结束施工。</w:t>
            </w:r>
          </w:p>
        </w:tc>
      </w:tr>
      <w:tr w:rsidR="00C645C9">
        <w:trPr>
          <w:trHeight w:val="454"/>
          <w:jc w:val="center"/>
        </w:trPr>
        <w:tc>
          <w:tcPr>
            <w:tcW w:w="289" w:type="pct"/>
            <w:vMerge w:val="restar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小型酸压</w:t>
            </w: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正挤一体化压裂液</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200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4.0-5.0</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320</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≥72</w:t>
            </w: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控制排量泵注，若出现较大压降则停止泵注压裂液并切换酸液</w:t>
            </w:r>
          </w:p>
        </w:tc>
      </w:tr>
      <w:tr w:rsidR="00C645C9">
        <w:trPr>
          <w:trHeight w:val="454"/>
          <w:jc w:val="center"/>
        </w:trPr>
        <w:tc>
          <w:tcPr>
            <w:tcW w:w="289" w:type="pct"/>
            <w:vMerge/>
            <w:vAlign w:val="center"/>
          </w:tcPr>
          <w:p w:rsidR="00C645C9" w:rsidRDefault="00C645C9">
            <w:pPr>
              <w:jc w:val="center"/>
              <w:rPr>
                <w:rFonts w:cs="Times New Roman"/>
                <w:spacing w:val="-10"/>
                <w:sz w:val="21"/>
                <w:szCs w:val="21"/>
              </w:rPr>
            </w:pP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5</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正挤胶凝酸</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220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≥5.5</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540</w:t>
            </w:r>
          </w:p>
        </w:tc>
        <w:tc>
          <w:tcPr>
            <w:tcW w:w="646"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≥68</w:t>
            </w: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刻蚀深部裂缝通道</w:t>
            </w:r>
          </w:p>
        </w:tc>
      </w:tr>
      <w:tr w:rsidR="00C645C9">
        <w:trPr>
          <w:trHeight w:val="454"/>
          <w:jc w:val="center"/>
        </w:trPr>
        <w:tc>
          <w:tcPr>
            <w:tcW w:w="28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顶替</w:t>
            </w: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6</w:t>
            </w:r>
          </w:p>
        </w:tc>
        <w:tc>
          <w:tcPr>
            <w:tcW w:w="734"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正挤滑溜水</w:t>
            </w:r>
          </w:p>
        </w:tc>
        <w:tc>
          <w:tcPr>
            <w:tcW w:w="560"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60</w:t>
            </w:r>
          </w:p>
        </w:tc>
        <w:tc>
          <w:tcPr>
            <w:tcW w:w="517"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≥4.0</w:t>
            </w:r>
          </w:p>
        </w:tc>
        <w:tc>
          <w:tcPr>
            <w:tcW w:w="62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600</w:t>
            </w:r>
          </w:p>
        </w:tc>
        <w:tc>
          <w:tcPr>
            <w:tcW w:w="646" w:type="pct"/>
            <w:tcMar>
              <w:top w:w="72" w:type="dxa"/>
              <w:left w:w="144" w:type="dxa"/>
              <w:bottom w:w="72" w:type="dxa"/>
              <w:right w:w="144" w:type="dxa"/>
            </w:tcMar>
            <w:vAlign w:val="center"/>
          </w:tcPr>
          <w:p w:rsidR="00C645C9" w:rsidRDefault="00C645C9">
            <w:pPr>
              <w:jc w:val="center"/>
              <w:rPr>
                <w:rFonts w:cs="Times New Roman"/>
                <w:spacing w:val="-10"/>
                <w:sz w:val="21"/>
                <w:szCs w:val="21"/>
              </w:rPr>
            </w:pPr>
          </w:p>
        </w:tc>
        <w:tc>
          <w:tcPr>
            <w:tcW w:w="1402"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将</w:t>
            </w:r>
            <w:bookmarkStart w:id="711" w:name="OLE_LINK1325"/>
            <w:r>
              <w:rPr>
                <w:rFonts w:cs="Times New Roman"/>
                <w:spacing w:val="-10"/>
                <w:sz w:val="21"/>
                <w:szCs w:val="21"/>
              </w:rPr>
              <w:t>酸液</w:t>
            </w:r>
            <w:r>
              <w:rPr>
                <w:rFonts w:cs="Times New Roman" w:hint="eastAsia"/>
                <w:spacing w:val="-10"/>
                <w:sz w:val="21"/>
                <w:szCs w:val="21"/>
              </w:rPr>
              <w:t>注入</w:t>
            </w:r>
            <w:r>
              <w:rPr>
                <w:rFonts w:cs="Times New Roman"/>
                <w:spacing w:val="-10"/>
                <w:sz w:val="21"/>
                <w:szCs w:val="21"/>
              </w:rPr>
              <w:t>地层</w:t>
            </w:r>
            <w:bookmarkEnd w:id="711"/>
          </w:p>
        </w:tc>
      </w:tr>
      <w:tr w:rsidR="00C645C9">
        <w:trPr>
          <w:trHeight w:val="454"/>
          <w:jc w:val="center"/>
        </w:trPr>
        <w:tc>
          <w:tcPr>
            <w:tcW w:w="28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测压降</w:t>
            </w:r>
          </w:p>
        </w:tc>
        <w:tc>
          <w:tcPr>
            <w:tcW w:w="219" w:type="pct"/>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7</w:t>
            </w:r>
          </w:p>
        </w:tc>
        <w:tc>
          <w:tcPr>
            <w:tcW w:w="4491" w:type="pct"/>
            <w:gridSpan w:val="6"/>
            <w:tcMar>
              <w:top w:w="72" w:type="dxa"/>
              <w:left w:w="144" w:type="dxa"/>
              <w:bottom w:w="72" w:type="dxa"/>
              <w:right w:w="144" w:type="dxa"/>
            </w:tcMar>
            <w:vAlign w:val="center"/>
          </w:tcPr>
          <w:p w:rsidR="00C645C9" w:rsidRDefault="00F955D9">
            <w:pPr>
              <w:jc w:val="center"/>
              <w:rPr>
                <w:rFonts w:cs="Times New Roman"/>
                <w:spacing w:val="-10"/>
                <w:sz w:val="21"/>
                <w:szCs w:val="21"/>
              </w:rPr>
            </w:pPr>
            <w:r>
              <w:rPr>
                <w:rFonts w:cs="Times New Roman"/>
                <w:spacing w:val="-10"/>
                <w:sz w:val="21"/>
                <w:szCs w:val="21"/>
              </w:rPr>
              <w:t>停泵测压降</w:t>
            </w:r>
            <w:r>
              <w:rPr>
                <w:rFonts w:cs="Times New Roman"/>
                <w:spacing w:val="-10"/>
                <w:sz w:val="21"/>
                <w:szCs w:val="21"/>
              </w:rPr>
              <w:t>30min</w:t>
            </w:r>
          </w:p>
        </w:tc>
      </w:tr>
    </w:tbl>
    <w:p w:rsidR="00C645C9" w:rsidRDefault="00F955D9">
      <w:pPr>
        <w:pStyle w:val="-"/>
        <w:spacing w:line="240" w:lineRule="auto"/>
        <w:rPr>
          <w:rFonts w:ascii="Times New Roman" w:hAnsi="Times New Roman"/>
        </w:rPr>
      </w:pPr>
      <w:r>
        <w:rPr>
          <w:rFonts w:ascii="Times New Roman" w:hAnsi="Times New Roman"/>
        </w:rPr>
        <w:lastRenderedPageBreak/>
        <w:t>表</w:t>
      </w:r>
      <w:r>
        <w:rPr>
          <w:rFonts w:ascii="Times New Roman" w:hAnsi="Times New Roman"/>
        </w:rPr>
        <w:t>3.</w:t>
      </w:r>
      <w:r>
        <w:rPr>
          <w:rFonts w:ascii="Times New Roman" w:hAnsi="Times New Roman" w:hint="eastAsia"/>
        </w:rPr>
        <w:t>2</w:t>
      </w:r>
      <w:r>
        <w:rPr>
          <w:rFonts w:ascii="Times New Roman" w:hAnsi="Times New Roman"/>
        </w:rPr>
        <w:t>-</w:t>
      </w:r>
      <w:r>
        <w:rPr>
          <w:rFonts w:ascii="Times New Roman" w:hAnsi="Times New Roman"/>
        </w:rPr>
        <w:t>1</w:t>
      </w:r>
      <w:r>
        <w:rPr>
          <w:rFonts w:ascii="Times New Roman" w:hAnsi="Times New Roman" w:hint="eastAsia"/>
        </w:rPr>
        <w:t>1</w:t>
      </w:r>
      <w:r>
        <w:rPr>
          <w:rFonts w:ascii="Times New Roman" w:hAnsi="Times New Roman"/>
        </w:rPr>
        <w:t xml:space="preserve">   </w:t>
      </w:r>
      <w:r>
        <w:rPr>
          <w:rFonts w:ascii="Times New Roman" w:hAnsi="Times New Roman"/>
        </w:rPr>
        <w:t>油田钻井改造液体系配方</w:t>
      </w:r>
    </w:p>
    <w:tbl>
      <w:tblPr>
        <w:tblW w:w="513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4"/>
        <w:gridCol w:w="6611"/>
      </w:tblGrid>
      <w:tr w:rsidR="00C645C9">
        <w:trPr>
          <w:trHeight w:val="454"/>
          <w:jc w:val="center"/>
        </w:trPr>
        <w:tc>
          <w:tcPr>
            <w:tcW w:w="2054"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液体类型</w:t>
            </w:r>
          </w:p>
        </w:tc>
        <w:tc>
          <w:tcPr>
            <w:tcW w:w="6611"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配方</w:t>
            </w:r>
          </w:p>
        </w:tc>
      </w:tr>
      <w:tr w:rsidR="00C645C9">
        <w:trPr>
          <w:trHeight w:val="454"/>
          <w:jc w:val="center"/>
        </w:trPr>
        <w:tc>
          <w:tcPr>
            <w:tcW w:w="2054"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压裂液</w:t>
            </w:r>
          </w:p>
        </w:tc>
        <w:tc>
          <w:tcPr>
            <w:tcW w:w="6611"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纳米乳液稠化剂、破乳剂、破胶剂、清水</w:t>
            </w:r>
          </w:p>
        </w:tc>
      </w:tr>
      <w:tr w:rsidR="00C645C9">
        <w:trPr>
          <w:trHeight w:val="454"/>
          <w:jc w:val="center"/>
        </w:trPr>
        <w:tc>
          <w:tcPr>
            <w:tcW w:w="2054"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胶凝酸</w:t>
            </w:r>
          </w:p>
        </w:tc>
        <w:tc>
          <w:tcPr>
            <w:tcW w:w="6611" w:type="dxa"/>
            <w:tcMar>
              <w:top w:w="15" w:type="dxa"/>
              <w:left w:w="15" w:type="dxa"/>
              <w:bottom w:w="0" w:type="dxa"/>
              <w:right w:w="15" w:type="dxa"/>
            </w:tcMar>
            <w:vAlign w:val="center"/>
          </w:tcPr>
          <w:p w:rsidR="00C645C9" w:rsidRDefault="00F955D9">
            <w:pPr>
              <w:spacing w:line="0" w:lineRule="atLeast"/>
              <w:jc w:val="center"/>
              <w:rPr>
                <w:rFonts w:cs="Times New Roman"/>
                <w:spacing w:val="-10"/>
                <w:sz w:val="21"/>
                <w:szCs w:val="21"/>
                <w:lang w:bidi="ar"/>
              </w:rPr>
            </w:pPr>
            <w:r>
              <w:rPr>
                <w:rFonts w:cs="Times New Roman"/>
                <w:spacing w:val="-10"/>
                <w:sz w:val="21"/>
                <w:szCs w:val="21"/>
              </w:rPr>
              <w:t>31%</w:t>
            </w:r>
            <w:r>
              <w:rPr>
                <w:rFonts w:cs="Times New Roman"/>
                <w:spacing w:val="-10"/>
                <w:sz w:val="21"/>
                <w:szCs w:val="21"/>
              </w:rPr>
              <w:t>盐酸、胶凝剂、缓蚀剂、铁离子稳定剂、破乳剂</w:t>
            </w:r>
            <w:r>
              <w:rPr>
                <w:rFonts w:cs="Times New Roman"/>
                <w:spacing w:val="-10"/>
                <w:sz w:val="21"/>
                <w:szCs w:val="21"/>
                <w:lang w:bidi="ar"/>
              </w:rPr>
              <w:t>、清水</w:t>
            </w:r>
          </w:p>
        </w:tc>
      </w:tr>
      <w:tr w:rsidR="00C645C9">
        <w:trPr>
          <w:trHeight w:val="454"/>
          <w:jc w:val="center"/>
        </w:trPr>
        <w:tc>
          <w:tcPr>
            <w:tcW w:w="2054" w:type="dxa"/>
            <w:tcMar>
              <w:top w:w="15" w:type="dxa"/>
              <w:left w:w="15" w:type="dxa"/>
              <w:bottom w:w="0" w:type="dxa"/>
              <w:right w:w="15" w:type="dxa"/>
            </w:tcMar>
            <w:vAlign w:val="center"/>
          </w:tcPr>
          <w:p w:rsidR="00C645C9" w:rsidRDefault="00F955D9">
            <w:pPr>
              <w:spacing w:line="0" w:lineRule="atLeast"/>
              <w:jc w:val="center"/>
              <w:textAlignment w:val="center"/>
              <w:rPr>
                <w:rFonts w:cs="Times New Roman"/>
                <w:spacing w:val="-10"/>
                <w:sz w:val="21"/>
                <w:szCs w:val="21"/>
                <w:lang w:bidi="ar"/>
              </w:rPr>
            </w:pPr>
            <w:r>
              <w:rPr>
                <w:rFonts w:cs="Times New Roman"/>
                <w:spacing w:val="-10"/>
                <w:sz w:val="21"/>
                <w:szCs w:val="21"/>
                <w:lang w:bidi="ar"/>
              </w:rPr>
              <w:t>滑溜水</w:t>
            </w:r>
          </w:p>
        </w:tc>
        <w:tc>
          <w:tcPr>
            <w:tcW w:w="6611" w:type="dxa"/>
            <w:tcMar>
              <w:top w:w="15" w:type="dxa"/>
              <w:left w:w="15" w:type="dxa"/>
              <w:bottom w:w="0" w:type="dxa"/>
              <w:right w:w="15" w:type="dxa"/>
            </w:tcMar>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纳米乳液稠化剂</w:t>
            </w:r>
            <w:r>
              <w:rPr>
                <w:rFonts w:cs="Times New Roman"/>
                <w:spacing w:val="-10"/>
                <w:sz w:val="21"/>
                <w:szCs w:val="21"/>
                <w:lang w:bidi="ar"/>
              </w:rPr>
              <w:t>、清水</w:t>
            </w:r>
          </w:p>
        </w:tc>
      </w:tr>
    </w:tbl>
    <w:p w:rsidR="00C645C9" w:rsidRDefault="00F955D9">
      <w:pPr>
        <w:pStyle w:val="-"/>
        <w:spacing w:line="240" w:lineRule="auto"/>
        <w:rPr>
          <w:rFonts w:ascii="Times New Roman" w:hAnsi="Times New Roman"/>
        </w:rPr>
      </w:pPr>
      <w:r>
        <w:rPr>
          <w:rFonts w:ascii="Times New Roman" w:hAnsi="Times New Roman"/>
        </w:rPr>
        <w:t>表</w:t>
      </w:r>
      <w:r>
        <w:rPr>
          <w:rFonts w:ascii="Times New Roman" w:hAnsi="Times New Roman"/>
        </w:rPr>
        <w:t>3.</w:t>
      </w:r>
      <w:r>
        <w:rPr>
          <w:rFonts w:ascii="Times New Roman" w:hAnsi="Times New Roman" w:hint="eastAsia"/>
        </w:rPr>
        <w:t>2</w:t>
      </w:r>
      <w:r>
        <w:rPr>
          <w:rFonts w:ascii="Times New Roman" w:hAnsi="Times New Roman"/>
        </w:rPr>
        <w:t>-</w:t>
      </w:r>
      <w:r>
        <w:rPr>
          <w:rFonts w:ascii="Times New Roman" w:hAnsi="Times New Roman" w:hint="eastAsia"/>
        </w:rPr>
        <w:t>12</w:t>
      </w:r>
      <w:r>
        <w:rPr>
          <w:rFonts w:ascii="Times New Roman" w:hAnsi="Times New Roman"/>
        </w:rPr>
        <w:t xml:space="preserve">   </w:t>
      </w:r>
      <w:r>
        <w:rPr>
          <w:rFonts w:ascii="Times New Roman" w:hAnsi="Times New Roman"/>
        </w:rPr>
        <w:t>单座井场压裂施工所用机械一览表</w:t>
      </w:r>
    </w:p>
    <w:tbl>
      <w:tblPr>
        <w:tblW w:w="514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0"/>
        <w:gridCol w:w="1395"/>
        <w:gridCol w:w="1777"/>
        <w:gridCol w:w="3118"/>
      </w:tblGrid>
      <w:tr w:rsidR="00C645C9">
        <w:trPr>
          <w:trHeight w:val="397"/>
          <w:jc w:val="center"/>
        </w:trPr>
        <w:tc>
          <w:tcPr>
            <w:tcW w:w="1385"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设备或部件名称</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数量</w:t>
            </w:r>
          </w:p>
        </w:tc>
        <w:tc>
          <w:tcPr>
            <w:tcW w:w="1021"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参数</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备注</w:t>
            </w:r>
          </w:p>
        </w:tc>
      </w:tr>
      <w:tr w:rsidR="00C645C9">
        <w:trPr>
          <w:trHeight w:val="397"/>
          <w:jc w:val="center"/>
        </w:trPr>
        <w:tc>
          <w:tcPr>
            <w:tcW w:w="5000" w:type="pct"/>
            <w:gridSpan w:val="4"/>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地面动力机械设备</w:t>
            </w:r>
          </w:p>
        </w:tc>
      </w:tr>
      <w:tr w:rsidR="00C645C9">
        <w:trPr>
          <w:trHeight w:val="397"/>
          <w:jc w:val="center"/>
        </w:trPr>
        <w:tc>
          <w:tcPr>
            <w:tcW w:w="1385"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2000</w:t>
            </w:r>
            <w:r>
              <w:rPr>
                <w:rFonts w:ascii="Times New Roman" w:cs="Times New Roman"/>
                <w:color w:val="auto"/>
                <w:spacing w:val="-10"/>
                <w:szCs w:val="21"/>
              </w:rPr>
              <w:t>型主压车</w:t>
            </w:r>
          </w:p>
        </w:tc>
        <w:tc>
          <w:tcPr>
            <w:tcW w:w="802"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8</w:t>
            </w:r>
            <w:r>
              <w:rPr>
                <w:rFonts w:cs="Times New Roman"/>
                <w:spacing w:val="-10"/>
                <w:sz w:val="21"/>
                <w:szCs w:val="21"/>
              </w:rPr>
              <w:t>辆</w:t>
            </w:r>
          </w:p>
        </w:tc>
        <w:tc>
          <w:tcPr>
            <w:tcW w:w="1021"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adjustRightInd w:val="0"/>
              <w:spacing w:line="0" w:lineRule="atLeast"/>
              <w:jc w:val="center"/>
              <w:rPr>
                <w:rFonts w:cs="Times New Roman"/>
                <w:spacing w:val="-10"/>
                <w:sz w:val="21"/>
                <w:szCs w:val="21"/>
              </w:rPr>
            </w:pPr>
            <w:r>
              <w:rPr>
                <w:rFonts w:cs="Times New Roman"/>
                <w:spacing w:val="-10"/>
                <w:sz w:val="21"/>
                <w:szCs w:val="21"/>
              </w:rPr>
              <w:t>向井内注入高压的压裂液</w:t>
            </w:r>
          </w:p>
        </w:tc>
      </w:tr>
      <w:tr w:rsidR="00C645C9">
        <w:trPr>
          <w:trHeight w:val="397"/>
          <w:jc w:val="center"/>
        </w:trPr>
        <w:tc>
          <w:tcPr>
            <w:tcW w:w="1385" w:type="pct"/>
            <w:vAlign w:val="center"/>
          </w:tcPr>
          <w:p w:rsidR="00C645C9" w:rsidRDefault="00F955D9">
            <w:pPr>
              <w:tabs>
                <w:tab w:val="left" w:pos="0"/>
              </w:tabs>
              <w:adjustRightInd w:val="0"/>
              <w:snapToGrid w:val="0"/>
              <w:spacing w:line="0" w:lineRule="atLeast"/>
              <w:jc w:val="center"/>
              <w:rPr>
                <w:rFonts w:cs="Times New Roman"/>
                <w:spacing w:val="-10"/>
                <w:sz w:val="21"/>
                <w:szCs w:val="21"/>
              </w:rPr>
            </w:pPr>
            <w:r>
              <w:rPr>
                <w:rFonts w:cs="Times New Roman"/>
                <w:bCs/>
                <w:spacing w:val="-10"/>
                <w:sz w:val="21"/>
                <w:szCs w:val="21"/>
              </w:rPr>
              <w:t>供液车</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1</w:t>
            </w:r>
            <w:r>
              <w:rPr>
                <w:rFonts w:ascii="Times New Roman" w:cs="Times New Roman"/>
                <w:color w:val="auto"/>
                <w:spacing w:val="-10"/>
                <w:szCs w:val="21"/>
              </w:rPr>
              <w:t>辆</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压裂液和返排液罐均位于车上</w:t>
            </w:r>
          </w:p>
        </w:tc>
      </w:tr>
      <w:tr w:rsidR="00C645C9">
        <w:trPr>
          <w:trHeight w:val="397"/>
          <w:jc w:val="center"/>
        </w:trPr>
        <w:tc>
          <w:tcPr>
            <w:tcW w:w="1385" w:type="pct"/>
            <w:vAlign w:val="center"/>
          </w:tcPr>
          <w:p w:rsidR="00C645C9" w:rsidRDefault="00F955D9">
            <w:pPr>
              <w:tabs>
                <w:tab w:val="left" w:pos="0"/>
              </w:tabs>
              <w:adjustRightInd w:val="0"/>
              <w:snapToGrid w:val="0"/>
              <w:spacing w:line="0" w:lineRule="atLeast"/>
              <w:jc w:val="center"/>
              <w:rPr>
                <w:rFonts w:cs="Times New Roman"/>
                <w:spacing w:val="-10"/>
                <w:sz w:val="21"/>
                <w:szCs w:val="21"/>
              </w:rPr>
            </w:pPr>
            <w:r>
              <w:rPr>
                <w:rFonts w:cs="Times New Roman"/>
                <w:bCs/>
                <w:spacing w:val="-10"/>
                <w:sz w:val="21"/>
                <w:szCs w:val="21"/>
              </w:rPr>
              <w:t>管汇车</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1</w:t>
            </w:r>
            <w:r>
              <w:rPr>
                <w:rFonts w:ascii="Times New Roman" w:cs="Times New Roman"/>
                <w:color w:val="auto"/>
                <w:spacing w:val="-10"/>
                <w:szCs w:val="21"/>
              </w:rPr>
              <w:t>辆</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由高压三通、四通、单流阀、控制阀等部件组成</w:t>
            </w:r>
          </w:p>
        </w:tc>
      </w:tr>
      <w:tr w:rsidR="00C645C9">
        <w:trPr>
          <w:trHeight w:val="397"/>
          <w:jc w:val="center"/>
        </w:trPr>
        <w:tc>
          <w:tcPr>
            <w:tcW w:w="1385" w:type="pct"/>
            <w:vAlign w:val="center"/>
          </w:tcPr>
          <w:p w:rsidR="00C645C9" w:rsidRDefault="00F955D9">
            <w:pPr>
              <w:tabs>
                <w:tab w:val="left" w:pos="0"/>
              </w:tabs>
              <w:adjustRightInd w:val="0"/>
              <w:snapToGrid w:val="0"/>
              <w:spacing w:line="0" w:lineRule="atLeast"/>
              <w:jc w:val="center"/>
              <w:rPr>
                <w:rFonts w:cs="Times New Roman"/>
                <w:spacing w:val="-10"/>
                <w:sz w:val="21"/>
                <w:szCs w:val="21"/>
              </w:rPr>
            </w:pPr>
            <w:r>
              <w:rPr>
                <w:rFonts w:cs="Times New Roman"/>
                <w:bCs/>
                <w:spacing w:val="-10"/>
                <w:sz w:val="21"/>
                <w:szCs w:val="21"/>
              </w:rPr>
              <w:t>仪表车</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1</w:t>
            </w:r>
            <w:r>
              <w:rPr>
                <w:rFonts w:ascii="Times New Roman" w:cs="Times New Roman"/>
                <w:color w:val="auto"/>
                <w:spacing w:val="-10"/>
                <w:szCs w:val="21"/>
              </w:rPr>
              <w:t>辆</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计量仪表</w:t>
            </w:r>
          </w:p>
        </w:tc>
      </w:tr>
      <w:tr w:rsidR="00C645C9">
        <w:trPr>
          <w:trHeight w:val="397"/>
          <w:jc w:val="center"/>
        </w:trPr>
        <w:tc>
          <w:tcPr>
            <w:tcW w:w="1385" w:type="pct"/>
            <w:vAlign w:val="center"/>
          </w:tcPr>
          <w:p w:rsidR="00C645C9" w:rsidRDefault="00F955D9">
            <w:pPr>
              <w:tabs>
                <w:tab w:val="left" w:pos="0"/>
              </w:tabs>
              <w:adjustRightInd w:val="0"/>
              <w:snapToGrid w:val="0"/>
              <w:spacing w:line="0" w:lineRule="atLeast"/>
              <w:jc w:val="center"/>
              <w:rPr>
                <w:rFonts w:cs="Times New Roman"/>
                <w:bCs/>
                <w:spacing w:val="-10"/>
                <w:sz w:val="21"/>
                <w:szCs w:val="21"/>
              </w:rPr>
            </w:pPr>
            <w:r>
              <w:rPr>
                <w:rFonts w:cs="Times New Roman"/>
                <w:bCs/>
                <w:spacing w:val="-10"/>
                <w:sz w:val="21"/>
                <w:szCs w:val="21"/>
              </w:rPr>
              <w:t>压裂液在线混配车</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1</w:t>
            </w:r>
            <w:r>
              <w:rPr>
                <w:rFonts w:ascii="Times New Roman" w:cs="Times New Roman"/>
                <w:color w:val="auto"/>
                <w:spacing w:val="-10"/>
                <w:szCs w:val="21"/>
              </w:rPr>
              <w:t>辆</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在线混配压裂液</w:t>
            </w:r>
          </w:p>
        </w:tc>
      </w:tr>
      <w:tr w:rsidR="00C645C9">
        <w:trPr>
          <w:trHeight w:val="397"/>
          <w:jc w:val="center"/>
        </w:trPr>
        <w:tc>
          <w:tcPr>
            <w:tcW w:w="5000" w:type="pct"/>
            <w:gridSpan w:val="4"/>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井下工具</w:t>
            </w:r>
          </w:p>
        </w:tc>
      </w:tr>
      <w:tr w:rsidR="00C645C9">
        <w:trPr>
          <w:trHeight w:val="397"/>
          <w:jc w:val="center"/>
        </w:trPr>
        <w:tc>
          <w:tcPr>
            <w:tcW w:w="1385"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喷砂器</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2</w:t>
            </w:r>
            <w:r>
              <w:rPr>
                <w:rFonts w:ascii="Times New Roman" w:cs="Times New Roman"/>
                <w:color w:val="auto"/>
                <w:spacing w:val="-10"/>
                <w:szCs w:val="21"/>
              </w:rPr>
              <w:t>套</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向地层喷砂液，同时形成节流压差</w:t>
            </w:r>
          </w:p>
        </w:tc>
      </w:tr>
      <w:tr w:rsidR="00C645C9">
        <w:trPr>
          <w:trHeight w:val="397"/>
          <w:jc w:val="center"/>
        </w:trPr>
        <w:tc>
          <w:tcPr>
            <w:tcW w:w="1385"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封隔器</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2</w:t>
            </w:r>
            <w:r>
              <w:rPr>
                <w:rFonts w:ascii="Times New Roman" w:cs="Times New Roman"/>
                <w:color w:val="auto"/>
                <w:spacing w:val="-10"/>
                <w:szCs w:val="21"/>
              </w:rPr>
              <w:t>套</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分隔井的压裂层段</w:t>
            </w:r>
          </w:p>
        </w:tc>
      </w:tr>
      <w:tr w:rsidR="00C645C9">
        <w:trPr>
          <w:trHeight w:val="397"/>
          <w:jc w:val="center"/>
        </w:trPr>
        <w:tc>
          <w:tcPr>
            <w:tcW w:w="1385"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水力锚</w:t>
            </w:r>
          </w:p>
        </w:tc>
        <w:tc>
          <w:tcPr>
            <w:tcW w:w="802"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2</w:t>
            </w:r>
            <w:r>
              <w:rPr>
                <w:rFonts w:ascii="Times New Roman" w:cs="Times New Roman"/>
                <w:color w:val="auto"/>
                <w:spacing w:val="-10"/>
                <w:szCs w:val="21"/>
              </w:rPr>
              <w:t>套</w:t>
            </w:r>
          </w:p>
        </w:tc>
        <w:tc>
          <w:tcPr>
            <w:tcW w:w="102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w:t>
            </w:r>
          </w:p>
        </w:tc>
        <w:tc>
          <w:tcPr>
            <w:tcW w:w="1790" w:type="pct"/>
            <w:vAlign w:val="center"/>
          </w:tcPr>
          <w:p w:rsidR="00C645C9" w:rsidRDefault="00F955D9">
            <w:pPr>
              <w:pStyle w:val="afff0"/>
              <w:spacing w:line="0" w:lineRule="atLeast"/>
              <w:rPr>
                <w:rFonts w:ascii="Times New Roman" w:cs="Times New Roman"/>
                <w:color w:val="auto"/>
                <w:spacing w:val="-10"/>
                <w:szCs w:val="21"/>
              </w:rPr>
            </w:pPr>
            <w:r>
              <w:rPr>
                <w:rFonts w:ascii="Times New Roman" w:cs="Times New Roman"/>
                <w:color w:val="auto"/>
                <w:spacing w:val="-10"/>
                <w:szCs w:val="21"/>
              </w:rPr>
              <w:t>固定井下管柱</w:t>
            </w:r>
          </w:p>
        </w:tc>
      </w:tr>
    </w:tbl>
    <w:p w:rsidR="00C645C9" w:rsidRDefault="00C645C9">
      <w:pPr>
        <w:pStyle w:val="24"/>
        <w:spacing w:after="0"/>
        <w:ind w:leftChars="0" w:left="0" w:firstLineChars="0" w:firstLine="0"/>
        <w:jc w:val="center"/>
        <w:rPr>
          <w:rFonts w:ascii="Times New Roman" w:hAnsi="Times New Roman"/>
          <w:sz w:val="21"/>
          <w:szCs w:val="21"/>
        </w:rPr>
      </w:pPr>
    </w:p>
    <w:p w:rsidR="00C645C9" w:rsidRDefault="00F955D9">
      <w:pPr>
        <w:pStyle w:val="Default"/>
        <w:snapToGrid w:val="0"/>
        <w:spacing w:line="360" w:lineRule="auto"/>
        <w:rPr>
          <w:rFonts w:ascii="Times New Roman" w:eastAsia="黑体" w:hAnsi="Times New Roman" w:cs="Times New Roman"/>
          <w:color w:val="auto"/>
          <w:kern w:val="2"/>
          <w:sz w:val="21"/>
          <w:szCs w:val="22"/>
        </w:rPr>
      </w:pPr>
      <w:r>
        <w:rPr>
          <w:rFonts w:ascii="Times New Roman" w:eastAsia="黑体" w:hAnsi="Times New Roman" w:cs="Times New Roman"/>
          <w:color w:val="auto"/>
          <w:kern w:val="2"/>
          <w:sz w:val="21"/>
          <w:szCs w:val="22"/>
        </w:rPr>
        <w:t>图</w:t>
      </w:r>
      <w:r>
        <w:rPr>
          <w:rFonts w:ascii="Times New Roman" w:eastAsia="黑体" w:hAnsi="Times New Roman" w:cs="Times New Roman"/>
          <w:color w:val="auto"/>
          <w:kern w:val="2"/>
          <w:sz w:val="21"/>
          <w:szCs w:val="22"/>
        </w:rPr>
        <w:t>3.2-</w:t>
      </w:r>
      <w:r>
        <w:rPr>
          <w:rFonts w:ascii="Times New Roman" w:eastAsia="黑体" w:hAnsi="Times New Roman" w:cs="Times New Roman" w:hint="eastAsia"/>
          <w:color w:val="auto"/>
          <w:kern w:val="2"/>
          <w:sz w:val="21"/>
          <w:szCs w:val="22"/>
        </w:rPr>
        <w:t>6</w:t>
      </w:r>
      <w:r>
        <w:rPr>
          <w:rFonts w:ascii="Times New Roman" w:eastAsia="黑体" w:hAnsi="Times New Roman" w:cs="Times New Roman"/>
          <w:color w:val="auto"/>
          <w:kern w:val="2"/>
          <w:sz w:val="21"/>
          <w:szCs w:val="22"/>
        </w:rPr>
        <w:t xml:space="preserve"> </w:t>
      </w:r>
      <w:r>
        <w:rPr>
          <w:rFonts w:ascii="Times New Roman" w:eastAsia="黑体" w:hAnsi="Times New Roman" w:cs="Times New Roman" w:hint="eastAsia"/>
          <w:color w:val="auto"/>
          <w:kern w:val="2"/>
          <w:sz w:val="21"/>
          <w:szCs w:val="22"/>
        </w:rPr>
        <w:t xml:space="preserve"> </w:t>
      </w:r>
      <w:r>
        <w:rPr>
          <w:rFonts w:ascii="Times New Roman" w:eastAsia="黑体" w:hAnsi="Times New Roman" w:cs="Times New Roman"/>
          <w:color w:val="auto"/>
          <w:kern w:val="2"/>
          <w:sz w:val="21"/>
          <w:szCs w:val="22"/>
        </w:rPr>
        <w:t xml:space="preserve"> </w:t>
      </w:r>
      <w:r>
        <w:rPr>
          <w:rFonts w:ascii="Times New Roman" w:eastAsia="黑体" w:hAnsi="Times New Roman" w:cs="Times New Roman"/>
          <w:color w:val="auto"/>
          <w:kern w:val="2"/>
          <w:sz w:val="21"/>
          <w:szCs w:val="22"/>
        </w:rPr>
        <w:t>钻前工程、钻井工程及储层改造工程工艺流程及污染物排放示意图</w:t>
      </w:r>
    </w:p>
    <w:p w:rsidR="00C645C9" w:rsidRDefault="00F955D9">
      <w:pPr>
        <w:pStyle w:val="a5"/>
        <w:outlineLvl w:val="3"/>
        <w:rPr>
          <w:rFonts w:ascii="Times New Roman" w:hAnsi="Times New Roman" w:cs="Times New Roman"/>
          <w:b/>
          <w:bCs/>
          <w:spacing w:val="-3"/>
        </w:rPr>
      </w:pPr>
      <w:bookmarkStart w:id="712" w:name="_Toc26378"/>
      <w:bookmarkStart w:id="713" w:name="_Toc21771"/>
      <w:r>
        <w:rPr>
          <w:rFonts w:ascii="Times New Roman" w:hAnsi="Times New Roman" w:cs="Times New Roman"/>
          <w:b/>
          <w:bCs/>
          <w:spacing w:val="-3"/>
        </w:rPr>
        <w:t>3.2.4.3</w:t>
      </w:r>
      <w:r>
        <w:rPr>
          <w:rFonts w:ascii="Times New Roman" w:hAnsi="Times New Roman" w:cs="Times New Roman"/>
          <w:b/>
          <w:bCs/>
          <w:spacing w:val="-3"/>
        </w:rPr>
        <w:t>公辅工程</w:t>
      </w:r>
      <w:bookmarkEnd w:id="712"/>
      <w:bookmarkEnd w:id="713"/>
    </w:p>
    <w:p w:rsidR="00C645C9" w:rsidRDefault="00F955D9">
      <w:pPr>
        <w:spacing w:line="360" w:lineRule="auto"/>
        <w:ind w:firstLineChars="200" w:firstLine="480"/>
        <w:jc w:val="both"/>
        <w:outlineLvl w:val="3"/>
        <w:rPr>
          <w:rFonts w:cs="Times New Roman"/>
        </w:rPr>
      </w:pPr>
      <w:r>
        <w:rPr>
          <w:rFonts w:cs="Times New Roman"/>
        </w:rPr>
        <w:t>（</w:t>
      </w:r>
      <w:r>
        <w:rPr>
          <w:rFonts w:cs="Times New Roman"/>
        </w:rPr>
        <w:t>1</w:t>
      </w:r>
      <w:r>
        <w:rPr>
          <w:rFonts w:cs="Times New Roman"/>
        </w:rPr>
        <w:t>）供水工程</w:t>
      </w:r>
    </w:p>
    <w:p w:rsidR="00C645C9" w:rsidRDefault="00F955D9">
      <w:pPr>
        <w:spacing w:line="360" w:lineRule="auto"/>
        <w:ind w:firstLineChars="200" w:firstLine="480"/>
        <w:jc w:val="both"/>
        <w:rPr>
          <w:rFonts w:cs="Times New Roman"/>
        </w:rPr>
      </w:pPr>
      <w:r>
        <w:rPr>
          <w:rFonts w:cs="Times New Roman"/>
        </w:rPr>
        <w:t>①</w:t>
      </w:r>
      <w:r>
        <w:rPr>
          <w:rFonts w:cs="Times New Roman"/>
        </w:rPr>
        <w:t>给水</w:t>
      </w:r>
    </w:p>
    <w:p w:rsidR="00C645C9" w:rsidRDefault="00F955D9">
      <w:pPr>
        <w:spacing w:line="360" w:lineRule="auto"/>
        <w:ind w:firstLineChars="200" w:firstLine="480"/>
        <w:jc w:val="both"/>
        <w:rPr>
          <w:rFonts w:cs="Times New Roman"/>
        </w:rPr>
      </w:pPr>
      <w:r>
        <w:rPr>
          <w:rFonts w:cs="Times New Roman"/>
        </w:rPr>
        <w:t>本工程</w:t>
      </w:r>
      <w:r>
        <w:rPr>
          <w:rFonts w:cs="Times New Roman"/>
        </w:rPr>
        <w:t>井场内</w:t>
      </w:r>
      <w:r>
        <w:rPr>
          <w:rFonts w:cs="Times New Roman"/>
        </w:rPr>
        <w:t>给水采用水罐车就近拉运至井场</w:t>
      </w:r>
      <w:r>
        <w:rPr>
          <w:rFonts w:cs="Times New Roman"/>
        </w:rPr>
        <w:t>，</w:t>
      </w:r>
      <w:r>
        <w:rPr>
          <w:rFonts w:cs="Times New Roman"/>
        </w:rPr>
        <w:t>劳动定员</w:t>
      </w:r>
      <w:r>
        <w:rPr>
          <w:rFonts w:cs="Times New Roman"/>
        </w:rPr>
        <w:t>10</w:t>
      </w:r>
      <w:r>
        <w:rPr>
          <w:rFonts w:cs="Times New Roman"/>
        </w:rPr>
        <w:t>人</w:t>
      </w:r>
      <w:r>
        <w:rPr>
          <w:rFonts w:cs="Times New Roman"/>
        </w:rPr>
        <w:t>，</w:t>
      </w:r>
      <w:r>
        <w:rPr>
          <w:rFonts w:cs="Times New Roman"/>
        </w:rPr>
        <w:t>生活用水量按</w:t>
      </w:r>
      <w:r>
        <w:rPr>
          <w:rFonts w:cs="Times New Roman"/>
        </w:rPr>
        <w:t>100L/d·</w:t>
      </w:r>
      <w:r>
        <w:rPr>
          <w:rFonts w:cs="Times New Roman"/>
        </w:rPr>
        <w:t>人计，</w:t>
      </w:r>
      <w:r>
        <w:rPr>
          <w:rFonts w:cs="Times New Roman"/>
        </w:rPr>
        <w:t>建设周期</w:t>
      </w:r>
      <w:r>
        <w:rPr>
          <w:rFonts w:cs="Times New Roman"/>
        </w:rPr>
        <w:t>270</w:t>
      </w:r>
      <w:r>
        <w:rPr>
          <w:rFonts w:cs="Times New Roman"/>
        </w:rPr>
        <w:t>天，</w:t>
      </w:r>
      <w:bookmarkStart w:id="714" w:name="OLE_LINK767"/>
      <w:r>
        <w:rPr>
          <w:rFonts w:cs="Times New Roman"/>
        </w:rPr>
        <w:t>生活用水量总计</w:t>
      </w:r>
      <w:bookmarkEnd w:id="714"/>
      <w:r>
        <w:rPr>
          <w:rFonts w:cs="Times New Roman"/>
        </w:rPr>
        <w:t>约</w:t>
      </w:r>
      <w:bookmarkStart w:id="715" w:name="OLE_LINK245"/>
      <w:r>
        <w:rPr>
          <w:rFonts w:cs="Times New Roman"/>
        </w:rPr>
        <w:t>270</w:t>
      </w:r>
      <w:r>
        <w:rPr>
          <w:rFonts w:cs="Times New Roman"/>
        </w:rPr>
        <w:t>m</w:t>
      </w:r>
      <w:r>
        <w:rPr>
          <w:rFonts w:cs="Times New Roman"/>
          <w:vertAlign w:val="superscript"/>
        </w:rPr>
        <w:t>3</w:t>
      </w:r>
      <w:bookmarkEnd w:id="715"/>
      <w:r>
        <w:rPr>
          <w:rFonts w:cs="Times New Roman"/>
        </w:rPr>
        <w:t>。</w:t>
      </w:r>
      <w:r>
        <w:rPr>
          <w:rFonts w:cs="Times New Roman"/>
          <w:snapToGrid w:val="0"/>
        </w:rPr>
        <w:t>钻井过程中生产用水主要为钻井泥浆、固井水泥浆配制用水</w:t>
      </w:r>
      <w:r>
        <w:rPr>
          <w:rFonts w:cs="Times New Roman"/>
          <w:snapToGrid w:val="0"/>
        </w:rPr>
        <w:t>以及</w:t>
      </w:r>
      <w:r>
        <w:rPr>
          <w:rFonts w:cs="Times New Roman"/>
          <w:snapToGrid w:val="0"/>
        </w:rPr>
        <w:t>酸化压裂</w:t>
      </w:r>
      <w:r>
        <w:rPr>
          <w:rFonts w:cs="Times New Roman"/>
          <w:snapToGrid w:val="0"/>
        </w:rPr>
        <w:t>用水，</w:t>
      </w:r>
      <w:r>
        <w:rPr>
          <w:rFonts w:cs="Times New Roman"/>
          <w:snapToGrid w:val="0"/>
        </w:rPr>
        <w:t>整个钻井期生产用水</w:t>
      </w:r>
      <w:r>
        <w:rPr>
          <w:rFonts w:cs="Times New Roman"/>
          <w:snapToGrid w:val="0"/>
        </w:rPr>
        <w:t>5000</w:t>
      </w:r>
      <w:r>
        <w:rPr>
          <w:rFonts w:cs="Times New Roman"/>
          <w:snapToGrid w:val="0"/>
        </w:rPr>
        <w:t>m</w:t>
      </w:r>
      <w:r>
        <w:rPr>
          <w:rFonts w:cs="Times New Roman"/>
          <w:snapToGrid w:val="0"/>
          <w:vertAlign w:val="superscript"/>
        </w:rPr>
        <w:t>3</w:t>
      </w:r>
      <w:r>
        <w:rPr>
          <w:rFonts w:cs="Times New Roman"/>
          <w:snapToGrid w:val="0"/>
        </w:rPr>
        <w:t>。</w:t>
      </w:r>
    </w:p>
    <w:p w:rsidR="00C645C9" w:rsidRDefault="00F955D9">
      <w:pPr>
        <w:spacing w:line="360" w:lineRule="auto"/>
        <w:ind w:firstLineChars="200" w:firstLine="480"/>
        <w:jc w:val="both"/>
        <w:rPr>
          <w:rFonts w:cs="Times New Roman"/>
        </w:rPr>
      </w:pPr>
      <w:r>
        <w:rPr>
          <w:rFonts w:cs="Times New Roman"/>
        </w:rPr>
        <w:t>②</w:t>
      </w:r>
      <w:r>
        <w:rPr>
          <w:rFonts w:cs="Times New Roman"/>
        </w:rPr>
        <w:t>排水</w:t>
      </w:r>
    </w:p>
    <w:p w:rsidR="00C645C9" w:rsidRDefault="00F955D9">
      <w:pPr>
        <w:spacing w:line="360" w:lineRule="auto"/>
        <w:ind w:firstLineChars="200" w:firstLine="480"/>
        <w:jc w:val="both"/>
        <w:rPr>
          <w:rFonts w:cs="Times New Roman"/>
        </w:rPr>
      </w:pPr>
      <w:r>
        <w:rPr>
          <w:rFonts w:cs="Times New Roman"/>
          <w:snapToGrid w:val="0"/>
        </w:rPr>
        <w:t>本</w:t>
      </w:r>
      <w:r>
        <w:rPr>
          <w:rFonts w:cs="Times New Roman"/>
          <w:snapToGrid w:val="0"/>
        </w:rPr>
        <w:t>工程</w:t>
      </w:r>
      <w:r>
        <w:rPr>
          <w:rFonts w:cs="Times New Roman"/>
          <w:snapToGrid w:val="0"/>
        </w:rPr>
        <w:t>产生的废水包括钻井废水、酸化压裂废水及生活污水。钻井废水基本与钻井泥浆、岩屑一同带出处理，不外排</w:t>
      </w:r>
      <w:r>
        <w:rPr>
          <w:rFonts w:cs="Times New Roman"/>
          <w:snapToGrid w:val="0"/>
        </w:rPr>
        <w:t>。</w:t>
      </w:r>
      <w:r>
        <w:rPr>
          <w:rFonts w:cs="Times New Roman"/>
          <w:snapToGrid w:val="0"/>
        </w:rPr>
        <w:t>酸化压裂废水采用专用废液收集罐收集后，拉运至塔河油田绿色环保工作站处理</w:t>
      </w:r>
      <w:r>
        <w:rPr>
          <w:rFonts w:cs="Times New Roman"/>
          <w:snapToGrid w:val="0"/>
        </w:rPr>
        <w:t>。</w:t>
      </w:r>
      <w:r>
        <w:rPr>
          <w:rFonts w:cs="Times New Roman"/>
        </w:rPr>
        <w:t>施工期</w:t>
      </w:r>
      <w:r>
        <w:rPr>
          <w:rFonts w:cs="Times New Roman"/>
        </w:rPr>
        <w:t>生活污水产生量总计为</w:t>
      </w:r>
      <w:r>
        <w:rPr>
          <w:rFonts w:cs="Times New Roman"/>
        </w:rPr>
        <w:t>216</w:t>
      </w:r>
      <w:r>
        <w:rPr>
          <w:rFonts w:cs="Times New Roman"/>
        </w:rPr>
        <w:t>m</w:t>
      </w:r>
      <w:r>
        <w:rPr>
          <w:rFonts w:cs="Times New Roman"/>
          <w:vertAlign w:val="superscript"/>
        </w:rPr>
        <w:t>3</w:t>
      </w:r>
      <w:r>
        <w:rPr>
          <w:rFonts w:cs="Times New Roman"/>
        </w:rPr>
        <w:t>，</w:t>
      </w:r>
      <w:bookmarkStart w:id="716" w:name="OLE_LINK273"/>
      <w:r>
        <w:rPr>
          <w:rFonts w:cs="Times New Roman"/>
        </w:rPr>
        <w:t>生活污水经井场一体化污水处理装置处理后，水质达到《农村生活污水处理排放标准》（</w:t>
      </w:r>
      <w:r>
        <w:rPr>
          <w:rFonts w:cs="Times New Roman"/>
        </w:rPr>
        <w:t>DB65 4275-2019</w:t>
      </w:r>
      <w:r>
        <w:rPr>
          <w:rFonts w:cs="Times New Roman"/>
        </w:rPr>
        <w:t>）表二的</w:t>
      </w:r>
      <w:r>
        <w:rPr>
          <w:rFonts w:cs="Times New Roman"/>
        </w:rPr>
        <w:t>B</w:t>
      </w:r>
      <w:r>
        <w:rPr>
          <w:rFonts w:cs="Times New Roman"/>
        </w:rPr>
        <w:t>级标准、《农田灌溉水质标准》（</w:t>
      </w:r>
      <w:r>
        <w:rPr>
          <w:rFonts w:cs="Times New Roman"/>
        </w:rPr>
        <w:t>GB 5084-2021</w:t>
      </w:r>
      <w:r>
        <w:rPr>
          <w:rFonts w:cs="Times New Roman"/>
        </w:rPr>
        <w:t>）</w:t>
      </w:r>
      <w:r>
        <w:rPr>
          <w:rFonts w:cs="Times New Roman"/>
        </w:rPr>
        <w:lastRenderedPageBreak/>
        <w:t>表一旱地作物标准后用于井场及道路降尘</w:t>
      </w:r>
      <w:bookmarkEnd w:id="716"/>
      <w:r>
        <w:rPr>
          <w:rFonts w:cs="Times New Roman"/>
        </w:rPr>
        <w:t>。运营期工作人员由油田内部调剂，不新增工作人员，不新增生活污水。</w:t>
      </w:r>
    </w:p>
    <w:p w:rsidR="00C645C9" w:rsidRDefault="00F955D9">
      <w:pPr>
        <w:spacing w:line="360" w:lineRule="auto"/>
        <w:ind w:firstLineChars="200" w:firstLine="480"/>
        <w:jc w:val="both"/>
        <w:outlineLvl w:val="3"/>
        <w:rPr>
          <w:rFonts w:cs="Times New Roman"/>
        </w:rPr>
      </w:pPr>
      <w:r>
        <w:rPr>
          <w:rFonts w:cs="Times New Roman"/>
        </w:rPr>
        <w:t>（</w:t>
      </w:r>
      <w:r>
        <w:rPr>
          <w:rFonts w:cs="Times New Roman"/>
        </w:rPr>
        <w:t>2</w:t>
      </w:r>
      <w:r>
        <w:rPr>
          <w:rFonts w:cs="Times New Roman"/>
        </w:rPr>
        <w:t>）</w:t>
      </w:r>
      <w:r>
        <w:rPr>
          <w:rFonts w:cs="Times New Roman"/>
        </w:rPr>
        <w:t>供电工程</w:t>
      </w:r>
    </w:p>
    <w:p w:rsidR="00C645C9" w:rsidRDefault="00F955D9">
      <w:pPr>
        <w:spacing w:line="360" w:lineRule="auto"/>
        <w:ind w:firstLineChars="200" w:firstLine="480"/>
        <w:jc w:val="both"/>
        <w:rPr>
          <w:rFonts w:cs="Times New Roman"/>
        </w:rPr>
      </w:pPr>
      <w:r>
        <w:rPr>
          <w:rFonts w:cs="Times New Roman" w:hint="eastAsia"/>
        </w:rPr>
        <w:t>本工程新建</w:t>
      </w:r>
      <w:r>
        <w:rPr>
          <w:rFonts w:cs="Times New Roman" w:hint="eastAsia"/>
        </w:rPr>
        <w:t>10kV</w:t>
      </w:r>
      <w:r>
        <w:rPr>
          <w:rFonts w:cs="Times New Roman" w:hint="eastAsia"/>
        </w:rPr>
        <w:t>单回架空电力线路约</w:t>
      </w:r>
      <w:r>
        <w:rPr>
          <w:rFonts w:cs="Times New Roman" w:hint="eastAsia"/>
        </w:rPr>
        <w:t>1.1km</w:t>
      </w:r>
      <w:r>
        <w:rPr>
          <w:rFonts w:cs="Times New Roman" w:hint="eastAsia"/>
        </w:rPr>
        <w:t>，接火点从国网已建</w:t>
      </w:r>
      <w:r>
        <w:rPr>
          <w:rFonts w:cs="Times New Roman" w:hint="eastAsia"/>
        </w:rPr>
        <w:t>10kV</w:t>
      </w:r>
      <w:r>
        <w:rPr>
          <w:rFonts w:cs="Times New Roman" w:hint="eastAsia"/>
        </w:rPr>
        <w:t>电力线杆</w:t>
      </w:r>
      <w:r>
        <w:rPr>
          <w:rFonts w:cs="Times New Roman" w:hint="eastAsia"/>
        </w:rPr>
        <w:t>T</w:t>
      </w:r>
      <w:r>
        <w:rPr>
          <w:rFonts w:cs="Times New Roman" w:hint="eastAsia"/>
        </w:rPr>
        <w:t>接，接火处安装环网开关（隔离开关</w:t>
      </w:r>
      <w:r>
        <w:rPr>
          <w:rFonts w:cs="Times New Roman" w:hint="eastAsia"/>
        </w:rPr>
        <w:t>-</w:t>
      </w:r>
      <w:r>
        <w:rPr>
          <w:rFonts w:cs="Times New Roman" w:hint="eastAsia"/>
        </w:rPr>
        <w:t>断路器</w:t>
      </w:r>
      <w:r>
        <w:rPr>
          <w:rFonts w:cs="Times New Roman" w:hint="eastAsia"/>
        </w:rPr>
        <w:t>-</w:t>
      </w:r>
      <w:r>
        <w:rPr>
          <w:rFonts w:cs="Times New Roman" w:hint="eastAsia"/>
        </w:rPr>
        <w:t>隔离开关）</w:t>
      </w:r>
      <w:r>
        <w:rPr>
          <w:rFonts w:cs="Times New Roman" w:hint="eastAsia"/>
        </w:rPr>
        <w:t>2</w:t>
      </w:r>
      <w:r>
        <w:rPr>
          <w:rFonts w:cs="Times New Roman" w:hint="eastAsia"/>
        </w:rPr>
        <w:t>处。井场</w:t>
      </w:r>
      <w:bookmarkStart w:id="717" w:name="OLE_LINK775"/>
      <w:r>
        <w:rPr>
          <w:rFonts w:cs="Times New Roman" w:hint="eastAsia"/>
        </w:rPr>
        <w:t>安装</w:t>
      </w:r>
      <w:bookmarkStart w:id="718" w:name="OLE_LINK1174"/>
      <w:bookmarkEnd w:id="717"/>
      <w:r>
        <w:rPr>
          <w:rFonts w:cs="Times New Roman" w:hint="eastAsia"/>
        </w:rPr>
        <w:t>高压计量</w:t>
      </w:r>
      <w:bookmarkEnd w:id="718"/>
      <w:r>
        <w:rPr>
          <w:rFonts w:cs="Times New Roman" w:hint="eastAsia"/>
        </w:rPr>
        <w:t>器</w:t>
      </w:r>
      <w:r>
        <w:rPr>
          <w:rFonts w:cs="Times New Roman" w:hint="eastAsia"/>
        </w:rPr>
        <w:t>2</w:t>
      </w:r>
      <w:r>
        <w:rPr>
          <w:rFonts w:cs="Times New Roman" w:hint="eastAsia"/>
        </w:rPr>
        <w:t>套，安装跌落保险</w:t>
      </w:r>
      <w:r>
        <w:rPr>
          <w:rFonts w:cs="Times New Roman" w:hint="eastAsia"/>
        </w:rPr>
        <w:t>2</w:t>
      </w:r>
      <w:r>
        <w:rPr>
          <w:rFonts w:cs="Times New Roman" w:hint="eastAsia"/>
        </w:rPr>
        <w:t>组，安装避雷器</w:t>
      </w:r>
      <w:r>
        <w:rPr>
          <w:rFonts w:cs="Times New Roman" w:hint="eastAsia"/>
        </w:rPr>
        <w:t>2</w:t>
      </w:r>
      <w:r>
        <w:rPr>
          <w:rFonts w:cs="Times New Roman" w:hint="eastAsia"/>
        </w:rPr>
        <w:t>组，新建变压器台</w:t>
      </w:r>
      <w:r>
        <w:rPr>
          <w:rFonts w:cs="Times New Roman" w:hint="eastAsia"/>
        </w:rPr>
        <w:t>2</w:t>
      </w:r>
      <w:r>
        <w:rPr>
          <w:rFonts w:cs="Times New Roman" w:hint="eastAsia"/>
        </w:rPr>
        <w:t>座</w:t>
      </w:r>
      <w:r>
        <w:rPr>
          <w:rFonts w:cs="Times New Roman" w:hint="eastAsia"/>
        </w:rPr>
        <w:t>，</w:t>
      </w:r>
      <w:r>
        <w:rPr>
          <w:rFonts w:cs="Times New Roman"/>
        </w:rPr>
        <w:t>新建撬装低压配电室</w:t>
      </w:r>
      <w:r>
        <w:rPr>
          <w:rFonts w:cs="Times New Roman" w:hint="eastAsia"/>
        </w:rPr>
        <w:t>2</w:t>
      </w:r>
      <w:r>
        <w:rPr>
          <w:rFonts w:cs="Times New Roman"/>
        </w:rPr>
        <w:t>座。</w:t>
      </w:r>
    </w:p>
    <w:p w:rsidR="00C645C9" w:rsidRDefault="00F955D9">
      <w:pPr>
        <w:spacing w:line="360" w:lineRule="auto"/>
        <w:ind w:firstLineChars="200" w:firstLine="480"/>
        <w:jc w:val="both"/>
        <w:outlineLvl w:val="3"/>
        <w:rPr>
          <w:rFonts w:cs="Times New Roman"/>
        </w:rPr>
      </w:pPr>
      <w:r>
        <w:rPr>
          <w:rFonts w:cs="Times New Roman" w:hint="eastAsia"/>
        </w:rPr>
        <w:t>（</w:t>
      </w:r>
      <w:r>
        <w:rPr>
          <w:rFonts w:cs="Times New Roman" w:hint="eastAsia"/>
        </w:rPr>
        <w:t>3</w:t>
      </w:r>
      <w:r>
        <w:rPr>
          <w:rFonts w:cs="Times New Roman" w:hint="eastAsia"/>
        </w:rPr>
        <w:t>）</w:t>
      </w:r>
      <w:r>
        <w:rPr>
          <w:rFonts w:cs="Times New Roman"/>
        </w:rPr>
        <w:t>自控工程</w:t>
      </w:r>
    </w:p>
    <w:p w:rsidR="00C645C9" w:rsidRDefault="00F955D9">
      <w:pPr>
        <w:pStyle w:val="45"/>
        <w:spacing w:line="360" w:lineRule="auto"/>
        <w:ind w:firstLine="480"/>
        <w:jc w:val="both"/>
        <w:rPr>
          <w:rFonts w:ascii="Times New Roman" w:hAnsi="Times New Roman" w:cs="Times New Roman"/>
        </w:rPr>
      </w:pPr>
      <w:bookmarkStart w:id="719" w:name="_Toc371003061"/>
      <w:bookmarkStart w:id="720" w:name="_Toc23168"/>
      <w:bookmarkStart w:id="721" w:name="_Toc23258"/>
      <w:r>
        <w:rPr>
          <w:rFonts w:ascii="Times New Roman" w:hAnsi="Times New Roman" w:cs="Times New Roman" w:hint="eastAsia"/>
          <w:lang w:val="en-US"/>
        </w:rPr>
        <w:t>本工程主要采用橇装化设计，撬装设备自带控制柜或防爆接线箱。本工程</w:t>
      </w:r>
      <w:r>
        <w:rPr>
          <w:rFonts w:ascii="Times New Roman" w:hAnsi="Times New Roman" w:cs="Times New Roman"/>
        </w:rPr>
        <w:t>新建站控系统（</w:t>
      </w:r>
      <w:bookmarkStart w:id="722" w:name="OLE_LINK776"/>
      <w:r>
        <w:rPr>
          <w:rFonts w:ascii="Times New Roman" w:hAnsi="Times New Roman" w:cs="Times New Roman"/>
        </w:rPr>
        <w:t>PLC</w:t>
      </w:r>
      <w:bookmarkEnd w:id="722"/>
      <w:r>
        <w:rPr>
          <w:rFonts w:ascii="Times New Roman" w:hAnsi="Times New Roman" w:cs="Times New Roman"/>
        </w:rPr>
        <w:t>）</w:t>
      </w:r>
      <w:r>
        <w:rPr>
          <w:rFonts w:ascii="Times New Roman" w:hAnsi="Times New Roman" w:cs="Times New Roman" w:hint="eastAsia"/>
          <w:lang w:val="en-US"/>
        </w:rPr>
        <w:t>2</w:t>
      </w:r>
      <w:r>
        <w:rPr>
          <w:rFonts w:ascii="Times New Roman" w:hAnsi="Times New Roman" w:cs="Times New Roman"/>
        </w:rPr>
        <w:t>套，仪表数据均接入处理站控制室新建</w:t>
      </w:r>
      <w:r>
        <w:rPr>
          <w:rFonts w:ascii="Times New Roman" w:hAnsi="Times New Roman" w:cs="Times New Roman"/>
        </w:rPr>
        <w:t>PLC</w:t>
      </w:r>
      <w:r>
        <w:rPr>
          <w:rFonts w:ascii="Times New Roman" w:hAnsi="Times New Roman" w:cs="Times New Roman"/>
        </w:rPr>
        <w:t>系统，完成站内工艺过程仪表数据采集、监测、控制、记录、报警等功能。</w:t>
      </w:r>
    </w:p>
    <w:bookmarkEnd w:id="719"/>
    <w:p w:rsidR="00C645C9" w:rsidRDefault="00F955D9">
      <w:pPr>
        <w:spacing w:line="360" w:lineRule="auto"/>
        <w:ind w:firstLineChars="200" w:firstLine="480"/>
        <w:jc w:val="both"/>
        <w:outlineLvl w:val="3"/>
        <w:rPr>
          <w:rFonts w:cs="Times New Roman"/>
        </w:rPr>
      </w:pPr>
      <w:r>
        <w:rPr>
          <w:rFonts w:cs="Times New Roman" w:hint="eastAsia"/>
        </w:rPr>
        <w:t>（</w:t>
      </w:r>
      <w:r>
        <w:rPr>
          <w:rFonts w:cs="Times New Roman" w:hint="eastAsia"/>
        </w:rPr>
        <w:t>4</w:t>
      </w:r>
      <w:r>
        <w:rPr>
          <w:rFonts w:cs="Times New Roman" w:hint="eastAsia"/>
        </w:rPr>
        <w:t>）</w:t>
      </w:r>
      <w:r>
        <w:rPr>
          <w:rFonts w:cs="Times New Roman"/>
        </w:rPr>
        <w:t>通信工程</w:t>
      </w:r>
    </w:p>
    <w:p w:rsidR="00C645C9" w:rsidRDefault="00F955D9">
      <w:pPr>
        <w:spacing w:line="360" w:lineRule="auto"/>
        <w:ind w:firstLineChars="200" w:firstLine="480"/>
        <w:jc w:val="both"/>
        <w:rPr>
          <w:rFonts w:cs="Times New Roman"/>
        </w:rPr>
      </w:pPr>
      <w:r>
        <w:rPr>
          <w:rFonts w:cs="Times New Roman" w:hint="eastAsia"/>
        </w:rPr>
        <w:t>本工程</w:t>
      </w:r>
      <w:r>
        <w:rPr>
          <w:rFonts w:cs="Times New Roman"/>
        </w:rPr>
        <w:t>新建工艺装置区设置视频监控，防爆等级</w:t>
      </w:r>
      <w:r>
        <w:rPr>
          <w:rFonts w:cs="Times New Roman"/>
        </w:rPr>
        <w:t>不低于</w:t>
      </w:r>
      <w:r>
        <w:rPr>
          <w:rFonts w:cs="Times New Roman"/>
        </w:rPr>
        <w:t>ExdⅡB T4</w:t>
      </w:r>
      <w:r>
        <w:rPr>
          <w:rFonts w:cs="Times New Roman"/>
        </w:rPr>
        <w:t>，视频数据采用光缆接入控制室视频监控系统</w:t>
      </w:r>
      <w:r>
        <w:rPr>
          <w:rFonts w:cs="Times New Roman"/>
        </w:rPr>
        <w:t>。</w:t>
      </w:r>
    </w:p>
    <w:p w:rsidR="00C645C9" w:rsidRDefault="00F955D9">
      <w:pPr>
        <w:spacing w:line="360" w:lineRule="auto"/>
        <w:ind w:firstLineChars="200" w:firstLine="480"/>
        <w:jc w:val="both"/>
        <w:outlineLvl w:val="3"/>
        <w:rPr>
          <w:rFonts w:cs="Times New Roman"/>
        </w:rPr>
      </w:pPr>
      <w:bookmarkStart w:id="723" w:name="OLE_LINK246"/>
      <w:r>
        <w:rPr>
          <w:rFonts w:cs="Times New Roman" w:hint="eastAsia"/>
        </w:rPr>
        <w:t>（</w:t>
      </w:r>
      <w:r>
        <w:rPr>
          <w:rFonts w:cs="Times New Roman" w:hint="eastAsia"/>
        </w:rPr>
        <w:t>5</w:t>
      </w:r>
      <w:r>
        <w:rPr>
          <w:rFonts w:cs="Times New Roman" w:hint="eastAsia"/>
        </w:rPr>
        <w:t>）</w:t>
      </w:r>
      <w:r>
        <w:rPr>
          <w:rFonts w:cs="Times New Roman"/>
        </w:rPr>
        <w:t>消防工程</w:t>
      </w:r>
    </w:p>
    <w:bookmarkEnd w:id="723"/>
    <w:p w:rsidR="00C645C9" w:rsidRDefault="00F955D9">
      <w:pPr>
        <w:pStyle w:val="a5"/>
        <w:ind w:firstLineChars="200" w:firstLine="480"/>
        <w:jc w:val="both"/>
        <w:rPr>
          <w:rFonts w:ascii="Times New Roman" w:hAnsi="Times New Roman" w:cs="Times New Roman"/>
        </w:rPr>
      </w:pPr>
      <w:r>
        <w:rPr>
          <w:rFonts w:ascii="Times New Roman" w:hAnsi="Times New Roman" w:cs="Times New Roman" w:hint="eastAsia"/>
        </w:rPr>
        <w:t>本工程新建装置区设置</w:t>
      </w:r>
      <w:bookmarkStart w:id="724" w:name="OLE_LINK937"/>
      <w:r>
        <w:rPr>
          <w:rFonts w:ascii="Times New Roman" w:hAnsi="Times New Roman" w:cs="Times New Roman" w:hint="eastAsia"/>
        </w:rPr>
        <w:t>手提式磷酸铵盐干粉</w:t>
      </w:r>
      <w:bookmarkStart w:id="725" w:name="OLE_LINK1504"/>
      <w:r>
        <w:rPr>
          <w:rFonts w:ascii="Times New Roman" w:hAnsi="Times New Roman" w:cs="Times New Roman" w:hint="eastAsia"/>
        </w:rPr>
        <w:t>灭火器</w:t>
      </w:r>
      <w:bookmarkEnd w:id="725"/>
      <w:r>
        <w:rPr>
          <w:rFonts w:ascii="Times New Roman" w:hAnsi="Times New Roman" w:cs="Times New Roman" w:hint="eastAsia"/>
        </w:rPr>
        <w:t>30</w:t>
      </w:r>
      <w:r>
        <w:rPr>
          <w:rFonts w:ascii="Times New Roman" w:hAnsi="Times New Roman" w:cs="Times New Roman" w:hint="eastAsia"/>
        </w:rPr>
        <w:t>具，推车式磷酸铵盐干粉灭火器</w:t>
      </w:r>
      <w:r>
        <w:rPr>
          <w:rFonts w:ascii="Times New Roman" w:hAnsi="Times New Roman" w:cs="Times New Roman" w:hint="eastAsia"/>
        </w:rPr>
        <w:t>10</w:t>
      </w:r>
      <w:r>
        <w:rPr>
          <w:rFonts w:ascii="Times New Roman" w:hAnsi="Times New Roman" w:cs="Times New Roman" w:hint="eastAsia"/>
        </w:rPr>
        <w:t>具</w:t>
      </w:r>
      <w:bookmarkEnd w:id="724"/>
      <w:r>
        <w:rPr>
          <w:rFonts w:ascii="Times New Roman" w:hAnsi="Times New Roman" w:cs="Times New Roman" w:hint="eastAsia"/>
        </w:rPr>
        <w:t>，用以扑救零星火灾</w:t>
      </w:r>
      <w:r>
        <w:rPr>
          <w:rFonts w:ascii="Times New Roman" w:hAnsi="Times New Roman" w:cs="Times New Roman"/>
        </w:rPr>
        <w:t>。</w:t>
      </w:r>
    </w:p>
    <w:p w:rsidR="00C645C9" w:rsidRDefault="00F955D9">
      <w:pPr>
        <w:spacing w:line="360" w:lineRule="auto"/>
        <w:ind w:firstLineChars="200" w:firstLine="480"/>
        <w:jc w:val="both"/>
        <w:outlineLvl w:val="3"/>
        <w:rPr>
          <w:rFonts w:cs="Times New Roman"/>
        </w:rPr>
      </w:pPr>
      <w:bookmarkStart w:id="726" w:name="OLE_LINK257"/>
      <w:r>
        <w:rPr>
          <w:rFonts w:cs="Times New Roman" w:hint="eastAsia"/>
        </w:rPr>
        <w:t>（</w:t>
      </w:r>
      <w:r>
        <w:rPr>
          <w:rFonts w:cs="Times New Roman" w:hint="eastAsia"/>
        </w:rPr>
        <w:t>6</w:t>
      </w:r>
      <w:r>
        <w:rPr>
          <w:rFonts w:cs="Times New Roman" w:hint="eastAsia"/>
        </w:rPr>
        <w:t>）</w:t>
      </w:r>
      <w:r>
        <w:rPr>
          <w:rFonts w:cs="Times New Roman"/>
        </w:rPr>
        <w:t>道路</w:t>
      </w:r>
      <w:bookmarkEnd w:id="726"/>
      <w:r>
        <w:rPr>
          <w:rFonts w:cs="Times New Roman"/>
        </w:rPr>
        <w:t>工程</w:t>
      </w:r>
    </w:p>
    <w:p w:rsidR="00C645C9" w:rsidRDefault="00F955D9" w:rsidP="005718BB">
      <w:pPr>
        <w:pStyle w:val="a6"/>
        <w:ind w:firstLine="480"/>
      </w:pPr>
      <w:r>
        <w:t>本工程道路</w:t>
      </w:r>
      <w:r>
        <w:rPr>
          <w:rFonts w:hint="eastAsia"/>
        </w:rPr>
        <w:t>依托</w:t>
      </w:r>
      <w:r>
        <w:t>附近已建道路</w:t>
      </w:r>
      <w:r>
        <w:rPr>
          <w:rFonts w:hint="eastAsia"/>
        </w:rPr>
        <w:t>。</w:t>
      </w:r>
    </w:p>
    <w:p w:rsidR="00C645C9" w:rsidRDefault="00F955D9">
      <w:pPr>
        <w:pStyle w:val="a5"/>
        <w:outlineLvl w:val="3"/>
        <w:rPr>
          <w:rFonts w:ascii="Times New Roman" w:hAnsi="Times New Roman" w:cs="Times New Roman"/>
          <w:b/>
          <w:bCs/>
          <w:spacing w:val="-3"/>
        </w:rPr>
      </w:pPr>
      <w:r>
        <w:rPr>
          <w:rFonts w:ascii="Times New Roman" w:hAnsi="Times New Roman" w:cs="Times New Roman"/>
          <w:b/>
          <w:bCs/>
          <w:spacing w:val="-3"/>
        </w:rPr>
        <w:t>3.</w:t>
      </w:r>
      <w:r>
        <w:rPr>
          <w:rFonts w:ascii="Times New Roman" w:hAnsi="Times New Roman" w:cs="Times New Roman" w:hint="eastAsia"/>
          <w:b/>
          <w:bCs/>
          <w:spacing w:val="-3"/>
        </w:rPr>
        <w:t>2</w:t>
      </w:r>
      <w:r>
        <w:rPr>
          <w:rFonts w:ascii="Times New Roman" w:hAnsi="Times New Roman" w:cs="Times New Roman"/>
          <w:b/>
          <w:bCs/>
          <w:spacing w:val="-3"/>
        </w:rPr>
        <w:t>.</w:t>
      </w:r>
      <w:r>
        <w:rPr>
          <w:rFonts w:ascii="Times New Roman" w:hAnsi="Times New Roman" w:cs="Times New Roman" w:hint="eastAsia"/>
          <w:b/>
          <w:bCs/>
          <w:spacing w:val="-3"/>
        </w:rPr>
        <w:t>4.4</w:t>
      </w:r>
      <w:r>
        <w:rPr>
          <w:rFonts w:ascii="Times New Roman" w:hAnsi="Times New Roman" w:cs="Times New Roman"/>
          <w:b/>
          <w:bCs/>
          <w:spacing w:val="-3"/>
        </w:rPr>
        <w:t>依托工程</w:t>
      </w:r>
    </w:p>
    <w:p w:rsidR="00C645C9" w:rsidRDefault="00F955D9">
      <w:pPr>
        <w:pStyle w:val="4"/>
        <w:ind w:firstLineChars="200" w:firstLine="480"/>
        <w:jc w:val="both"/>
        <w:rPr>
          <w:rFonts w:ascii="Times New Roman" w:hAnsi="Times New Roman" w:cs="Times New Roman"/>
          <w:b w:val="0"/>
          <w:snapToGrid/>
          <w:color w:val="auto"/>
          <w:szCs w:val="24"/>
          <w:lang w:eastAsia="zh-CN"/>
        </w:rPr>
      </w:pPr>
      <w:r>
        <w:rPr>
          <w:rFonts w:ascii="Times New Roman" w:hAnsi="Times New Roman" w:cs="Times New Roman" w:hint="eastAsia"/>
          <w:b w:val="0"/>
          <w:snapToGrid/>
          <w:color w:val="auto"/>
          <w:szCs w:val="24"/>
          <w:lang w:eastAsia="zh-CN"/>
        </w:rPr>
        <w:t>（</w:t>
      </w:r>
      <w:r>
        <w:rPr>
          <w:rFonts w:ascii="Times New Roman" w:hAnsi="Times New Roman" w:cs="Times New Roman" w:hint="eastAsia"/>
          <w:b w:val="0"/>
          <w:snapToGrid/>
          <w:color w:val="auto"/>
          <w:szCs w:val="24"/>
          <w:lang w:eastAsia="zh-CN"/>
        </w:rPr>
        <w:t>1</w:t>
      </w:r>
      <w:r>
        <w:rPr>
          <w:rFonts w:ascii="Times New Roman" w:hAnsi="Times New Roman" w:cs="Times New Roman" w:hint="eastAsia"/>
          <w:b w:val="0"/>
          <w:snapToGrid/>
          <w:color w:val="auto"/>
          <w:szCs w:val="24"/>
          <w:lang w:eastAsia="zh-CN"/>
        </w:rPr>
        <w:t>）</w:t>
      </w:r>
      <w:bookmarkStart w:id="727" w:name="OLE_LINK1334"/>
      <w:r>
        <w:rPr>
          <w:rFonts w:ascii="Times New Roman" w:hAnsi="Times New Roman" w:cs="Times New Roman"/>
          <w:b w:val="0"/>
          <w:snapToGrid/>
          <w:color w:val="auto"/>
          <w:szCs w:val="24"/>
          <w:lang w:eastAsia="zh-CN"/>
        </w:rPr>
        <w:t>西北油田分公司油田工程服务中心绿色环保工作站</w:t>
      </w:r>
      <w:bookmarkEnd w:id="727"/>
    </w:p>
    <w:p w:rsidR="00C645C9" w:rsidRDefault="00F955D9">
      <w:pPr>
        <w:adjustRightInd w:val="0"/>
        <w:snapToGrid w:val="0"/>
        <w:spacing w:line="360" w:lineRule="auto"/>
        <w:ind w:firstLineChars="200" w:firstLine="480"/>
        <w:jc w:val="both"/>
        <w:rPr>
          <w:rFonts w:cs="Times New Roman"/>
        </w:rPr>
      </w:pPr>
      <w:r>
        <w:rPr>
          <w:rFonts w:cs="Times New Roman"/>
        </w:rPr>
        <w:t>西北油田分公司油田工程服务中心</w:t>
      </w:r>
      <w:bookmarkStart w:id="728" w:name="OLE_LINK272"/>
      <w:r>
        <w:rPr>
          <w:rFonts w:cs="Times New Roman"/>
        </w:rPr>
        <w:t>绿色环保工作站</w:t>
      </w:r>
      <w:bookmarkEnd w:id="728"/>
      <w:r>
        <w:rPr>
          <w:rFonts w:cs="Times New Roman"/>
        </w:rPr>
        <w:t>简称</w:t>
      </w:r>
      <w:r>
        <w:rPr>
          <w:rFonts w:cs="Times New Roman" w:hint="eastAsia"/>
        </w:rPr>
        <w:t>“</w:t>
      </w:r>
      <w:r>
        <w:rPr>
          <w:rFonts w:cs="Times New Roman"/>
        </w:rPr>
        <w:t>塔河油田绿色环保站</w:t>
      </w:r>
      <w:r>
        <w:rPr>
          <w:rFonts w:cs="Times New Roman" w:hint="eastAsia"/>
        </w:rPr>
        <w:t>”</w:t>
      </w:r>
      <w:r>
        <w:rPr>
          <w:rFonts w:cs="Times New Roman"/>
        </w:rPr>
        <w:t>（原为塔河油田一号固废液处理站）。绿色环保站于</w:t>
      </w:r>
      <w:r>
        <w:rPr>
          <w:rFonts w:cs="Times New Roman"/>
        </w:rPr>
        <w:t>2014</w:t>
      </w:r>
      <w:r>
        <w:rPr>
          <w:rFonts w:cs="Times New Roman"/>
        </w:rPr>
        <w:t>年</w:t>
      </w:r>
      <w:r>
        <w:rPr>
          <w:rFonts w:cs="Times New Roman"/>
        </w:rPr>
        <w:t>6</w:t>
      </w:r>
      <w:r>
        <w:rPr>
          <w:rFonts w:cs="Times New Roman"/>
        </w:rPr>
        <w:t>月</w:t>
      </w:r>
      <w:r>
        <w:rPr>
          <w:rFonts w:cs="Times New Roman"/>
        </w:rPr>
        <w:t>23</w:t>
      </w:r>
      <w:r>
        <w:rPr>
          <w:rFonts w:cs="Times New Roman"/>
        </w:rPr>
        <w:t>日取得环评批复</w:t>
      </w:r>
      <w:r>
        <w:rPr>
          <w:rFonts w:cs="Times New Roman"/>
        </w:rPr>
        <w:t>（</w:t>
      </w:r>
      <w:r>
        <w:rPr>
          <w:rFonts w:cs="Times New Roman"/>
        </w:rPr>
        <w:t>阿地环函字〔</w:t>
      </w:r>
      <w:r>
        <w:rPr>
          <w:rFonts w:cs="Times New Roman"/>
        </w:rPr>
        <w:t>2014</w:t>
      </w:r>
      <w:r>
        <w:rPr>
          <w:rFonts w:cs="Times New Roman"/>
        </w:rPr>
        <w:t>〕</w:t>
      </w:r>
      <w:r>
        <w:rPr>
          <w:rFonts w:cs="Times New Roman"/>
        </w:rPr>
        <w:t>236</w:t>
      </w:r>
      <w:r>
        <w:rPr>
          <w:rFonts w:cs="Times New Roman"/>
        </w:rPr>
        <w:t>号</w:t>
      </w:r>
      <w:r>
        <w:rPr>
          <w:rFonts w:cs="Times New Roman"/>
        </w:rPr>
        <w:t>）</w:t>
      </w:r>
      <w:r>
        <w:rPr>
          <w:rFonts w:cs="Times New Roman"/>
        </w:rPr>
        <w:t>，并于</w:t>
      </w:r>
      <w:r>
        <w:rPr>
          <w:rFonts w:cs="Times New Roman"/>
        </w:rPr>
        <w:t>2015</w:t>
      </w:r>
      <w:r>
        <w:rPr>
          <w:rFonts w:cs="Times New Roman"/>
        </w:rPr>
        <w:t>年</w:t>
      </w:r>
      <w:r>
        <w:rPr>
          <w:rFonts w:cs="Times New Roman"/>
        </w:rPr>
        <w:t>12</w:t>
      </w:r>
      <w:r>
        <w:rPr>
          <w:rFonts w:cs="Times New Roman"/>
        </w:rPr>
        <w:t>月</w:t>
      </w:r>
      <w:r>
        <w:rPr>
          <w:rFonts w:cs="Times New Roman"/>
        </w:rPr>
        <w:t>17</w:t>
      </w:r>
      <w:r>
        <w:rPr>
          <w:rFonts w:cs="Times New Roman"/>
        </w:rPr>
        <w:t>日取得竣工环保验收批复</w:t>
      </w:r>
      <w:r>
        <w:rPr>
          <w:rFonts w:cs="Times New Roman"/>
        </w:rPr>
        <w:t>（</w:t>
      </w:r>
      <w:r>
        <w:rPr>
          <w:rFonts w:cs="Times New Roman"/>
        </w:rPr>
        <w:t>阿地环函字〔</w:t>
      </w:r>
      <w:r>
        <w:rPr>
          <w:rFonts w:cs="Times New Roman"/>
        </w:rPr>
        <w:t>2015</w:t>
      </w:r>
      <w:r>
        <w:rPr>
          <w:rFonts w:cs="Times New Roman"/>
        </w:rPr>
        <w:t>〕</w:t>
      </w:r>
      <w:r>
        <w:rPr>
          <w:rFonts w:cs="Times New Roman"/>
        </w:rPr>
        <w:t>501</w:t>
      </w:r>
      <w:r>
        <w:rPr>
          <w:rFonts w:cs="Times New Roman"/>
        </w:rPr>
        <w:t>号</w:t>
      </w:r>
      <w:r>
        <w:rPr>
          <w:rFonts w:cs="Times New Roman"/>
        </w:rPr>
        <w:t>）</w:t>
      </w:r>
      <w:r>
        <w:rPr>
          <w:rFonts w:cs="Times New Roman"/>
        </w:rPr>
        <w:t>。</w:t>
      </w:r>
      <w:r>
        <w:rPr>
          <w:rFonts w:cs="Times New Roman"/>
        </w:rPr>
        <w:t>2015</w:t>
      </w:r>
      <w:r>
        <w:rPr>
          <w:rFonts w:cs="Times New Roman"/>
        </w:rPr>
        <w:t>年</w:t>
      </w:r>
      <w:r>
        <w:rPr>
          <w:rFonts w:cs="Times New Roman"/>
        </w:rPr>
        <w:t>7</w:t>
      </w:r>
      <w:r>
        <w:rPr>
          <w:rFonts w:cs="Times New Roman"/>
        </w:rPr>
        <w:t>月</w:t>
      </w:r>
      <w:r>
        <w:rPr>
          <w:rFonts w:cs="Times New Roman"/>
        </w:rPr>
        <w:t>13</w:t>
      </w:r>
      <w:r>
        <w:rPr>
          <w:rFonts w:cs="Times New Roman"/>
        </w:rPr>
        <w:t>日取得了扩建工程环评批复</w:t>
      </w:r>
      <w:r>
        <w:rPr>
          <w:rFonts w:cs="Times New Roman"/>
        </w:rPr>
        <w:t>（</w:t>
      </w:r>
      <w:r>
        <w:rPr>
          <w:rFonts w:cs="Times New Roman"/>
        </w:rPr>
        <w:t>新环函</w:t>
      </w:r>
      <w:r>
        <w:rPr>
          <w:rFonts w:cs="Times New Roman"/>
        </w:rPr>
        <w:t>〔</w:t>
      </w:r>
      <w:r>
        <w:rPr>
          <w:rFonts w:cs="Times New Roman"/>
        </w:rPr>
        <w:t>2015</w:t>
      </w:r>
      <w:r>
        <w:rPr>
          <w:rFonts w:cs="Times New Roman"/>
        </w:rPr>
        <w:t>〕</w:t>
      </w:r>
      <w:r>
        <w:rPr>
          <w:rFonts w:cs="Times New Roman"/>
        </w:rPr>
        <w:t>811</w:t>
      </w:r>
      <w:r>
        <w:rPr>
          <w:rFonts w:cs="Times New Roman"/>
        </w:rPr>
        <w:t>号</w:t>
      </w:r>
      <w:r>
        <w:rPr>
          <w:rFonts w:cs="Times New Roman"/>
        </w:rPr>
        <w:t>）</w:t>
      </w:r>
      <w:r>
        <w:rPr>
          <w:rFonts w:cs="Times New Roman"/>
        </w:rPr>
        <w:t>，并于</w:t>
      </w:r>
      <w:r>
        <w:rPr>
          <w:rFonts w:cs="Times New Roman"/>
        </w:rPr>
        <w:t>2016</w:t>
      </w:r>
      <w:r>
        <w:rPr>
          <w:rFonts w:cs="Times New Roman"/>
        </w:rPr>
        <w:t>年</w:t>
      </w:r>
      <w:r>
        <w:rPr>
          <w:rFonts w:cs="Times New Roman"/>
        </w:rPr>
        <w:t>12</w:t>
      </w:r>
      <w:r>
        <w:rPr>
          <w:rFonts w:cs="Times New Roman"/>
        </w:rPr>
        <w:t>月</w:t>
      </w:r>
      <w:r>
        <w:rPr>
          <w:rFonts w:cs="Times New Roman"/>
        </w:rPr>
        <w:t>27</w:t>
      </w:r>
      <w:r>
        <w:rPr>
          <w:rFonts w:cs="Times New Roman"/>
        </w:rPr>
        <w:t>日取得竣工环保验收批复</w:t>
      </w:r>
      <w:r>
        <w:rPr>
          <w:rFonts w:cs="Times New Roman"/>
        </w:rPr>
        <w:t>（</w:t>
      </w:r>
      <w:r>
        <w:rPr>
          <w:rFonts w:cs="Times New Roman"/>
        </w:rPr>
        <w:t>新环函</w:t>
      </w:r>
      <w:r>
        <w:rPr>
          <w:rFonts w:cs="Times New Roman"/>
        </w:rPr>
        <w:t>〔</w:t>
      </w:r>
      <w:r>
        <w:rPr>
          <w:rFonts w:cs="Times New Roman"/>
        </w:rPr>
        <w:t>2016</w:t>
      </w:r>
      <w:r>
        <w:rPr>
          <w:rFonts w:cs="Times New Roman"/>
        </w:rPr>
        <w:t>〕</w:t>
      </w:r>
      <w:r>
        <w:rPr>
          <w:rFonts w:cs="Times New Roman"/>
        </w:rPr>
        <w:t>2005</w:t>
      </w:r>
      <w:r>
        <w:rPr>
          <w:rFonts w:cs="Times New Roman"/>
        </w:rPr>
        <w:t>号</w:t>
      </w:r>
      <w:r>
        <w:rPr>
          <w:rFonts w:cs="Times New Roman"/>
        </w:rPr>
        <w:t>）</w:t>
      </w:r>
      <w:r>
        <w:rPr>
          <w:rFonts w:cs="Times New Roman"/>
        </w:rPr>
        <w:t>。</w:t>
      </w:r>
      <w:r>
        <w:rPr>
          <w:rFonts w:cs="Times New Roman"/>
        </w:rPr>
        <w:t>本</w:t>
      </w:r>
      <w:r>
        <w:rPr>
          <w:rFonts w:cs="Times New Roman" w:hint="eastAsia"/>
        </w:rPr>
        <w:t>工程</w:t>
      </w:r>
      <w:r>
        <w:rPr>
          <w:rFonts w:cs="Times New Roman"/>
        </w:rPr>
        <w:t>产生的</w:t>
      </w:r>
      <w:r>
        <w:rPr>
          <w:rFonts w:cs="Times New Roman" w:hint="eastAsia"/>
        </w:rPr>
        <w:t>生产废水、</w:t>
      </w:r>
      <w:r>
        <w:rPr>
          <w:rFonts w:cs="Times New Roman"/>
        </w:rPr>
        <w:t>井下作业废水、</w:t>
      </w:r>
      <w:bookmarkStart w:id="729" w:name="OLE_LINK1429"/>
      <w:r>
        <w:rPr>
          <w:rFonts w:cs="Times New Roman"/>
        </w:rPr>
        <w:t>磺化水基泥浆</w:t>
      </w:r>
      <w:bookmarkStart w:id="730" w:name="OLE_LINK1428"/>
      <w:r>
        <w:rPr>
          <w:rFonts w:cs="Times New Roman" w:hint="eastAsia"/>
        </w:rPr>
        <w:t>及岩屑</w:t>
      </w:r>
      <w:bookmarkEnd w:id="730"/>
      <w:r>
        <w:rPr>
          <w:rFonts w:cs="Times New Roman"/>
        </w:rPr>
        <w:t>、油基泥浆</w:t>
      </w:r>
      <w:r>
        <w:rPr>
          <w:rFonts w:cs="Times New Roman" w:hint="eastAsia"/>
        </w:rPr>
        <w:t>及岩屑</w:t>
      </w:r>
      <w:bookmarkEnd w:id="729"/>
      <w:r>
        <w:rPr>
          <w:rFonts w:cs="Times New Roman" w:hint="eastAsia"/>
        </w:rPr>
        <w:t>、</w:t>
      </w:r>
      <w:r>
        <w:rPr>
          <w:rFonts w:cs="Times New Roman"/>
        </w:rPr>
        <w:t>落地油，依托绿色环保</w:t>
      </w:r>
      <w:r>
        <w:rPr>
          <w:rFonts w:cs="Times New Roman" w:hint="eastAsia"/>
        </w:rPr>
        <w:t>工作</w:t>
      </w:r>
      <w:r>
        <w:rPr>
          <w:rFonts w:cs="Times New Roman"/>
        </w:rPr>
        <w:t>站处理。</w:t>
      </w:r>
    </w:p>
    <w:p w:rsidR="00C645C9" w:rsidRDefault="00F955D9">
      <w:pPr>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t>①</w:t>
      </w:r>
      <w:r>
        <w:rPr>
          <w:rFonts w:cs="Times New Roman"/>
        </w:rPr>
        <w:fldChar w:fldCharType="end"/>
      </w:r>
      <w:r>
        <w:rPr>
          <w:rFonts w:cs="Times New Roman"/>
        </w:rPr>
        <w:t>基本情况</w:t>
      </w:r>
    </w:p>
    <w:p w:rsidR="00C645C9" w:rsidRDefault="00F955D9">
      <w:pPr>
        <w:adjustRightInd w:val="0"/>
        <w:snapToGrid w:val="0"/>
        <w:spacing w:line="360" w:lineRule="auto"/>
        <w:ind w:firstLineChars="200" w:firstLine="480"/>
        <w:jc w:val="both"/>
        <w:rPr>
          <w:rFonts w:cs="Times New Roman"/>
        </w:rPr>
      </w:pPr>
      <w:r>
        <w:rPr>
          <w:rFonts w:cs="Times New Roman"/>
        </w:rPr>
        <w:lastRenderedPageBreak/>
        <w:t>绿色环保工作站位于塔河油田</w:t>
      </w:r>
      <w:r>
        <w:rPr>
          <w:rFonts w:cs="Times New Roman"/>
        </w:rPr>
        <w:t>S61</w:t>
      </w:r>
      <w:r>
        <w:rPr>
          <w:rFonts w:cs="Times New Roman"/>
        </w:rPr>
        <w:t>井附近，库车市境内。按处理对象绿色环保工作站内主要有污油泥处理、废液处理、生活垃圾处理等</w:t>
      </w:r>
      <w:r>
        <w:rPr>
          <w:rFonts w:cs="Times New Roman"/>
        </w:rPr>
        <w:t>3</w:t>
      </w:r>
      <w:r>
        <w:rPr>
          <w:rFonts w:cs="Times New Roman"/>
        </w:rPr>
        <w:t>个系统。油污泥处理系统，其中受浸土（含油量</w:t>
      </w:r>
      <w:r>
        <w:rPr>
          <w:rFonts w:cs="Times New Roman"/>
        </w:rPr>
        <w:t>&lt;5%</w:t>
      </w:r>
      <w:r>
        <w:rPr>
          <w:rFonts w:cs="Times New Roman"/>
        </w:rPr>
        <w:t>）入场计量后，依托中石化西南石油工程有限公司巴州分公司、阿克苏塔河环保工程有限公司处理；含油污泥（含油量＞</w:t>
      </w:r>
      <w:r>
        <w:rPr>
          <w:rFonts w:cs="Times New Roman"/>
        </w:rPr>
        <w:t>5%</w:t>
      </w:r>
      <w:r>
        <w:rPr>
          <w:rFonts w:cs="Times New Roman"/>
        </w:rPr>
        <w:t>），自行在绿色环保工作站内处理降低含油后，进一步委托站内塔河环保公司或西南环保公司采取热解析处理处置；废液在站内自行处理。</w:t>
      </w:r>
    </w:p>
    <w:p w:rsidR="00C645C9" w:rsidRDefault="00F955D9">
      <w:pPr>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t>②</w:t>
      </w:r>
      <w:r>
        <w:rPr>
          <w:rFonts w:cs="Times New Roman"/>
        </w:rPr>
        <w:fldChar w:fldCharType="end"/>
      </w:r>
      <w:r>
        <w:rPr>
          <w:rFonts w:cs="Times New Roman"/>
        </w:rPr>
        <w:t>含油污泥处理系统</w:t>
      </w:r>
    </w:p>
    <w:p w:rsidR="00C645C9" w:rsidRDefault="00F955D9">
      <w:pPr>
        <w:adjustRightInd w:val="0"/>
        <w:snapToGrid w:val="0"/>
        <w:spacing w:line="360" w:lineRule="auto"/>
        <w:ind w:firstLineChars="200" w:firstLine="480"/>
        <w:jc w:val="both"/>
        <w:rPr>
          <w:rFonts w:cs="Times New Roman"/>
        </w:rPr>
      </w:pPr>
      <w:r>
        <w:rPr>
          <w:rFonts w:cs="Times New Roman"/>
        </w:rPr>
        <w:t>绿色环保工作站内油污泥处理系</w:t>
      </w:r>
      <w:r>
        <w:rPr>
          <w:rFonts w:cs="Times New Roman"/>
        </w:rPr>
        <w:t>统（主要处理对象为含油量＞</w:t>
      </w:r>
      <w:r>
        <w:rPr>
          <w:rFonts w:cs="Times New Roman"/>
        </w:rPr>
        <w:t>5%</w:t>
      </w:r>
      <w:r>
        <w:rPr>
          <w:rFonts w:cs="Times New Roman"/>
        </w:rPr>
        <w:t>油泥），首期工程始建于</w:t>
      </w:r>
      <w:r>
        <w:rPr>
          <w:rFonts w:cs="Times New Roman"/>
        </w:rPr>
        <w:t>2011</w:t>
      </w:r>
      <w:r>
        <w:rPr>
          <w:rFonts w:cs="Times New Roman"/>
        </w:rPr>
        <w:t>年，处理规模为</w:t>
      </w:r>
      <w:r>
        <w:rPr>
          <w:rFonts w:cs="Times New Roman"/>
        </w:rPr>
        <w:t>50m</w:t>
      </w:r>
      <w:r>
        <w:rPr>
          <w:rFonts w:cs="Times New Roman"/>
          <w:vertAlign w:val="superscript"/>
        </w:rPr>
        <w:t>3</w:t>
      </w:r>
      <w:r>
        <w:rPr>
          <w:rFonts w:cs="Times New Roman"/>
        </w:rPr>
        <w:t>/d</w:t>
      </w:r>
      <w:r>
        <w:rPr>
          <w:rFonts w:cs="Times New Roman"/>
        </w:rPr>
        <w:t>，采用热化学清洗油泥分离技术；西北油田分公司于</w:t>
      </w:r>
      <w:r>
        <w:rPr>
          <w:rFonts w:cs="Times New Roman"/>
        </w:rPr>
        <w:t>2012</w:t>
      </w:r>
      <w:r>
        <w:rPr>
          <w:rFonts w:cs="Times New Roman"/>
        </w:rPr>
        <w:t>年、</w:t>
      </w:r>
      <w:r>
        <w:rPr>
          <w:rFonts w:cs="Times New Roman"/>
        </w:rPr>
        <w:t>2015</w:t>
      </w:r>
      <w:r>
        <w:rPr>
          <w:rFonts w:cs="Times New Roman"/>
        </w:rPr>
        <w:t>年对含油污泥处置设施进行了扩建，原阿克苏环保局、自治区</w:t>
      </w:r>
      <w:r>
        <w:rPr>
          <w:rFonts w:cs="Times New Roman"/>
        </w:rPr>
        <w:t>环境保护厅</w:t>
      </w:r>
      <w:r>
        <w:rPr>
          <w:rFonts w:cs="Times New Roman"/>
        </w:rPr>
        <w:t>分别以阿地环函字〔</w:t>
      </w:r>
      <w:r>
        <w:rPr>
          <w:rFonts w:cs="Times New Roman"/>
        </w:rPr>
        <w:t>2012</w:t>
      </w:r>
      <w:r>
        <w:rPr>
          <w:rFonts w:cs="Times New Roman"/>
        </w:rPr>
        <w:t>〕</w:t>
      </w:r>
      <w:r>
        <w:rPr>
          <w:rFonts w:cs="Times New Roman"/>
        </w:rPr>
        <w:t>297</w:t>
      </w:r>
      <w:r>
        <w:rPr>
          <w:rFonts w:cs="Times New Roman"/>
        </w:rPr>
        <w:t>号、新环函〔</w:t>
      </w:r>
      <w:r>
        <w:rPr>
          <w:rFonts w:cs="Times New Roman"/>
        </w:rPr>
        <w:t>2015</w:t>
      </w:r>
      <w:r>
        <w:rPr>
          <w:rFonts w:cs="Times New Roman"/>
        </w:rPr>
        <w:t>〕</w:t>
      </w:r>
      <w:r>
        <w:rPr>
          <w:rFonts w:cs="Times New Roman"/>
        </w:rPr>
        <w:t>811</w:t>
      </w:r>
      <w:r>
        <w:rPr>
          <w:rFonts w:cs="Times New Roman"/>
        </w:rPr>
        <w:t>号文件批复扩建工程，</w:t>
      </w:r>
      <w:r>
        <w:rPr>
          <w:rFonts w:cs="Times New Roman"/>
        </w:rPr>
        <w:t>2016</w:t>
      </w:r>
      <w:r>
        <w:rPr>
          <w:rFonts w:cs="Times New Roman"/>
        </w:rPr>
        <w:t>年扩建后，以新环函〔</w:t>
      </w:r>
      <w:r>
        <w:rPr>
          <w:rFonts w:cs="Times New Roman"/>
        </w:rPr>
        <w:t>2016</w:t>
      </w:r>
      <w:r>
        <w:rPr>
          <w:rFonts w:cs="Times New Roman"/>
        </w:rPr>
        <w:t>〕</w:t>
      </w:r>
      <w:r>
        <w:rPr>
          <w:rFonts w:cs="Times New Roman"/>
        </w:rPr>
        <w:t>2005</w:t>
      </w:r>
      <w:r>
        <w:rPr>
          <w:rFonts w:cs="Times New Roman"/>
        </w:rPr>
        <w:t>号批复通过验收。</w:t>
      </w:r>
    </w:p>
    <w:p w:rsidR="00C645C9" w:rsidRDefault="00F955D9">
      <w:pPr>
        <w:adjustRightInd w:val="0"/>
        <w:snapToGrid w:val="0"/>
        <w:spacing w:line="360" w:lineRule="auto"/>
        <w:ind w:firstLineChars="200" w:firstLine="480"/>
        <w:jc w:val="both"/>
        <w:rPr>
          <w:rFonts w:cs="Times New Roman"/>
        </w:rPr>
      </w:pPr>
      <w:r>
        <w:rPr>
          <w:rFonts w:cs="Times New Roman"/>
        </w:rPr>
        <w:t>目前，绿色环保工作站运行的含油污泥处置装置有</w:t>
      </w:r>
      <w:r>
        <w:rPr>
          <w:rFonts w:cs="Times New Roman"/>
        </w:rPr>
        <w:t>4</w:t>
      </w:r>
      <w:r>
        <w:rPr>
          <w:rFonts w:cs="Times New Roman"/>
        </w:rPr>
        <w:t>套（</w:t>
      </w:r>
      <w:r>
        <w:rPr>
          <w:rFonts w:cs="Times New Roman"/>
        </w:rPr>
        <w:t>5</w:t>
      </w:r>
      <w:r>
        <w:rPr>
          <w:rFonts w:cs="Times New Roman"/>
        </w:rPr>
        <w:t>项分离装置），主要处理流体油污泥（含油量＞</w:t>
      </w:r>
      <w:r>
        <w:rPr>
          <w:rFonts w:cs="Times New Roman"/>
        </w:rPr>
        <w:t>5%</w:t>
      </w:r>
      <w:r>
        <w:rPr>
          <w:rFonts w:cs="Times New Roman"/>
        </w:rPr>
        <w:t>），每套处理能力为</w:t>
      </w:r>
      <w:r>
        <w:rPr>
          <w:rFonts w:cs="Times New Roman"/>
        </w:rPr>
        <w:t>50m</w:t>
      </w:r>
      <w:r>
        <w:rPr>
          <w:rFonts w:cs="Times New Roman"/>
          <w:vertAlign w:val="superscript"/>
        </w:rPr>
        <w:t>3</w:t>
      </w:r>
      <w:r>
        <w:rPr>
          <w:rFonts w:cs="Times New Roman"/>
        </w:rPr>
        <w:t>/d</w:t>
      </w:r>
      <w:r>
        <w:rPr>
          <w:rFonts w:cs="Times New Roman"/>
        </w:rPr>
        <w:t>，处理设施年运行有效天</w:t>
      </w:r>
      <w:r>
        <w:rPr>
          <w:rFonts w:cs="Times New Roman"/>
        </w:rPr>
        <w:t>数约</w:t>
      </w:r>
      <w:r>
        <w:rPr>
          <w:rFonts w:cs="Times New Roman"/>
        </w:rPr>
        <w:t>300</w:t>
      </w:r>
      <w:r>
        <w:rPr>
          <w:rFonts w:cs="Times New Roman"/>
        </w:rPr>
        <w:t>天，日处理量约为</w:t>
      </w:r>
      <w:r>
        <w:rPr>
          <w:rFonts w:cs="Times New Roman"/>
        </w:rPr>
        <w:t>200m</w:t>
      </w:r>
      <w:r>
        <w:rPr>
          <w:rFonts w:cs="Times New Roman"/>
          <w:vertAlign w:val="superscript"/>
        </w:rPr>
        <w:t>3</w:t>
      </w:r>
      <w:r>
        <w:rPr>
          <w:rFonts w:cs="Times New Roman"/>
        </w:rPr>
        <w:t>，年处理含油污泥的量为</w:t>
      </w:r>
      <w:r>
        <w:rPr>
          <w:rFonts w:cs="Times New Roman"/>
        </w:rPr>
        <w:t>6</w:t>
      </w:r>
      <w:r>
        <w:rPr>
          <w:rFonts w:cs="Times New Roman"/>
        </w:rPr>
        <w:t>万</w:t>
      </w:r>
      <w:r>
        <w:rPr>
          <w:rFonts w:cs="Times New Roman"/>
        </w:rPr>
        <w:t>m³</w:t>
      </w:r>
      <w:r>
        <w:rPr>
          <w:rFonts w:cs="Times New Roman"/>
        </w:rPr>
        <w:t>。现状实际年处理含油污泥量</w:t>
      </w:r>
      <w:r>
        <w:rPr>
          <w:rFonts w:cs="Times New Roman"/>
        </w:rPr>
        <w:t>3.9</w:t>
      </w:r>
      <w:r>
        <w:rPr>
          <w:rFonts w:cs="Times New Roman"/>
        </w:rPr>
        <w:t>万</w:t>
      </w:r>
      <w:r>
        <w:rPr>
          <w:rFonts w:cs="Times New Roman"/>
        </w:rPr>
        <w:t>m³/a</w:t>
      </w:r>
      <w:r>
        <w:rPr>
          <w:rFonts w:cs="Times New Roman"/>
        </w:rPr>
        <w:t>，富裕</w:t>
      </w:r>
      <w:r>
        <w:rPr>
          <w:rFonts w:cs="Times New Roman"/>
        </w:rPr>
        <w:t>2.1</w:t>
      </w:r>
      <w:r>
        <w:rPr>
          <w:rFonts w:cs="Times New Roman"/>
        </w:rPr>
        <w:t>万</w:t>
      </w:r>
      <w:r>
        <w:rPr>
          <w:rFonts w:cs="Times New Roman"/>
        </w:rPr>
        <w:t>m³/a</w:t>
      </w:r>
      <w:r>
        <w:rPr>
          <w:rFonts w:cs="Times New Roman"/>
        </w:rPr>
        <w:t>。</w:t>
      </w:r>
      <w:bookmarkStart w:id="731" w:name="OLE_LINK1433"/>
      <w:r>
        <w:rPr>
          <w:rFonts w:cs="Times New Roman" w:hint="eastAsia"/>
        </w:rPr>
        <w:t>本工程</w:t>
      </w:r>
      <w:bookmarkStart w:id="732" w:name="OLE_LINK1432"/>
      <w:r>
        <w:rPr>
          <w:rFonts w:cs="Times New Roman"/>
        </w:rPr>
        <w:t>磺化水基泥浆约</w:t>
      </w:r>
      <w:r>
        <w:rPr>
          <w:rFonts w:cs="Times New Roman"/>
        </w:rPr>
        <w:t>96.27</w:t>
      </w:r>
      <w:bookmarkStart w:id="733" w:name="OLE_LINK1436"/>
      <w:r>
        <w:rPr>
          <w:rFonts w:cs="Times New Roman"/>
        </w:rPr>
        <w:t>m</w:t>
      </w:r>
      <w:r>
        <w:rPr>
          <w:rFonts w:cs="Times New Roman"/>
          <w:vertAlign w:val="superscript"/>
        </w:rPr>
        <w:t>3</w:t>
      </w:r>
      <w:bookmarkEnd w:id="733"/>
      <w:r>
        <w:rPr>
          <w:rFonts w:cs="Times New Roman"/>
        </w:rPr>
        <w:t>，油基泥浆</w:t>
      </w:r>
      <w:r>
        <w:rPr>
          <w:rFonts w:cs="Times New Roman"/>
        </w:rPr>
        <w:t>269.6m</w:t>
      </w:r>
      <w:r>
        <w:rPr>
          <w:rFonts w:cs="Times New Roman"/>
          <w:vertAlign w:val="superscript"/>
        </w:rPr>
        <w:t>3</w:t>
      </w:r>
      <w:r>
        <w:rPr>
          <w:rFonts w:cs="Times New Roman"/>
        </w:rPr>
        <w:t>。磺化泥浆钻井岩屑</w:t>
      </w:r>
      <w:r>
        <w:rPr>
          <w:rFonts w:cs="Times New Roman"/>
        </w:rPr>
        <w:t>24.13m</w:t>
      </w:r>
      <w:r>
        <w:rPr>
          <w:rFonts w:cs="Times New Roman"/>
          <w:vertAlign w:val="superscript"/>
        </w:rPr>
        <w:t>3</w:t>
      </w:r>
      <w:r>
        <w:rPr>
          <w:rFonts w:cs="Times New Roman"/>
        </w:rPr>
        <w:t>，油基泥浆钻井岩屑</w:t>
      </w:r>
      <w:r>
        <w:rPr>
          <w:rFonts w:cs="Times New Roman"/>
        </w:rPr>
        <w:t>258.31m</w:t>
      </w:r>
      <w:r>
        <w:rPr>
          <w:rFonts w:cs="Times New Roman"/>
          <w:vertAlign w:val="superscript"/>
        </w:rPr>
        <w:t>3</w:t>
      </w:r>
      <w:r>
        <w:rPr>
          <w:rFonts w:cs="Times New Roman"/>
          <w:spacing w:val="4"/>
        </w:rPr>
        <w:t>，</w:t>
      </w:r>
      <w:bookmarkEnd w:id="732"/>
      <w:r>
        <w:rPr>
          <w:rFonts w:cs="Times New Roman"/>
          <w:spacing w:val="4"/>
        </w:rPr>
        <w:t>可依托其处理</w:t>
      </w:r>
      <w:bookmarkEnd w:id="731"/>
      <w:r>
        <w:rPr>
          <w:rFonts w:cs="Times New Roman" w:hint="eastAsia"/>
          <w:spacing w:val="4"/>
        </w:rPr>
        <w:t>。</w:t>
      </w:r>
    </w:p>
    <w:p w:rsidR="00C645C9" w:rsidRDefault="00F955D9">
      <w:pPr>
        <w:adjustRightInd w:val="0"/>
        <w:snapToGrid w:val="0"/>
        <w:spacing w:line="360" w:lineRule="auto"/>
        <w:ind w:firstLineChars="200" w:firstLine="480"/>
        <w:jc w:val="both"/>
        <w:rPr>
          <w:rFonts w:cs="Times New Roman"/>
          <w:bCs/>
        </w:rPr>
      </w:pPr>
      <w:r>
        <w:rPr>
          <w:rFonts w:cs="Times New Roman"/>
          <w:bCs/>
        </w:rPr>
        <w:fldChar w:fldCharType="begin"/>
      </w:r>
      <w:r>
        <w:rPr>
          <w:rFonts w:cs="Times New Roman"/>
          <w:bCs/>
        </w:rPr>
        <w:instrText xml:space="preserve"> = 3 \* GB3 \* MERGEFORMAT </w:instrText>
      </w:r>
      <w:r>
        <w:rPr>
          <w:rFonts w:cs="Times New Roman"/>
          <w:bCs/>
        </w:rPr>
        <w:fldChar w:fldCharType="separate"/>
      </w:r>
      <w:r>
        <w:t>③</w:t>
      </w:r>
      <w:r>
        <w:rPr>
          <w:rFonts w:cs="Times New Roman"/>
          <w:bCs/>
        </w:rPr>
        <w:fldChar w:fldCharType="end"/>
      </w:r>
      <w:r>
        <w:rPr>
          <w:rFonts w:cs="Times New Roman"/>
          <w:bCs/>
        </w:rPr>
        <w:t>受浸土处理系统</w:t>
      </w:r>
    </w:p>
    <w:p w:rsidR="00C645C9" w:rsidRDefault="00F955D9">
      <w:pPr>
        <w:adjustRightInd w:val="0"/>
        <w:snapToGrid w:val="0"/>
        <w:spacing w:line="360" w:lineRule="auto"/>
        <w:ind w:firstLine="522"/>
        <w:jc w:val="both"/>
        <w:rPr>
          <w:rFonts w:cs="Times New Roman"/>
          <w:szCs w:val="28"/>
        </w:rPr>
      </w:pPr>
      <w:r>
        <w:rPr>
          <w:rFonts w:cs="Times New Roman" w:hint="eastAsia"/>
          <w:szCs w:val="28"/>
        </w:rPr>
        <w:t>“</w:t>
      </w:r>
      <w:r>
        <w:rPr>
          <w:rFonts w:cs="Times New Roman"/>
          <w:szCs w:val="28"/>
        </w:rPr>
        <w:t>受浸土</w:t>
      </w:r>
      <w:r>
        <w:rPr>
          <w:rFonts w:cs="Times New Roman" w:hint="eastAsia"/>
          <w:szCs w:val="28"/>
        </w:rPr>
        <w:t>”</w:t>
      </w:r>
      <w:r>
        <w:rPr>
          <w:rFonts w:cs="Times New Roman"/>
          <w:szCs w:val="28"/>
        </w:rPr>
        <w:t>（主要指含油量＜</w:t>
      </w:r>
      <w:r>
        <w:rPr>
          <w:rFonts w:cs="Times New Roman"/>
          <w:szCs w:val="28"/>
        </w:rPr>
        <w:t>5%</w:t>
      </w:r>
      <w:r>
        <w:rPr>
          <w:rFonts w:cs="Times New Roman"/>
          <w:szCs w:val="28"/>
        </w:rPr>
        <w:t>的污油泥）主要来自修井作业、管线穿孔和井喷等突然事故等产生的落地油、污染土，</w:t>
      </w:r>
      <w:r>
        <w:rPr>
          <w:rFonts w:cs="Times New Roman"/>
          <w:snapToGrid w:val="0"/>
          <w:szCs w:val="28"/>
        </w:rPr>
        <w:t>其含油量波动很大，其</w:t>
      </w:r>
      <w:bookmarkStart w:id="734" w:name="OLE_LINK1175"/>
      <w:r>
        <w:rPr>
          <w:rFonts w:cs="Times New Roman" w:hint="eastAsia"/>
          <w:snapToGrid w:val="0"/>
          <w:szCs w:val="28"/>
        </w:rPr>
        <w:t>组分</w:t>
      </w:r>
      <w:bookmarkEnd w:id="734"/>
      <w:r>
        <w:rPr>
          <w:rFonts w:cs="Times New Roman"/>
          <w:snapToGrid w:val="0"/>
          <w:szCs w:val="28"/>
        </w:rPr>
        <w:t>比较复杂而不稳定，除含原油、泥沙外，通常还会含有杂草等机杂，主要呈固态状</w:t>
      </w:r>
      <w:r>
        <w:rPr>
          <w:rFonts w:cs="Times New Roman"/>
          <w:szCs w:val="28"/>
        </w:rPr>
        <w:t>。该部分危险废物，按照危险废物管理流程全过程管理，</w:t>
      </w:r>
      <w:r>
        <w:rPr>
          <w:rFonts w:cs="Times New Roman" w:hint="eastAsia"/>
          <w:szCs w:val="28"/>
        </w:rPr>
        <w:t>“</w:t>
      </w:r>
      <w:r>
        <w:rPr>
          <w:rFonts w:cs="Times New Roman"/>
          <w:szCs w:val="28"/>
        </w:rPr>
        <w:t>受浸土</w:t>
      </w:r>
      <w:r>
        <w:rPr>
          <w:rFonts w:cs="Times New Roman" w:hint="eastAsia"/>
          <w:szCs w:val="28"/>
        </w:rPr>
        <w:t>”</w:t>
      </w:r>
      <w:r>
        <w:rPr>
          <w:rFonts w:cs="Times New Roman"/>
          <w:szCs w:val="28"/>
        </w:rPr>
        <w:t>运至站内后，由</w:t>
      </w:r>
      <w:r>
        <w:rPr>
          <w:rFonts w:cs="Times New Roman" w:hint="eastAsia"/>
          <w:szCs w:val="28"/>
        </w:rPr>
        <w:t>“</w:t>
      </w:r>
      <w:r>
        <w:rPr>
          <w:rFonts w:cs="Times New Roman"/>
          <w:szCs w:val="28"/>
        </w:rPr>
        <w:t>油田工程服务中心</w:t>
      </w:r>
      <w:r>
        <w:rPr>
          <w:rFonts w:cs="Times New Roman" w:hint="eastAsia"/>
          <w:szCs w:val="28"/>
        </w:rPr>
        <w:t>”</w:t>
      </w:r>
      <w:r>
        <w:rPr>
          <w:rFonts w:cs="Times New Roman"/>
          <w:szCs w:val="28"/>
        </w:rPr>
        <w:t>外委中石化西南石油工程有限公司巴州分公司、阿克苏塔河环保工程有限公司处理在站内处理。</w:t>
      </w:r>
    </w:p>
    <w:p w:rsidR="00C645C9" w:rsidRDefault="00F955D9">
      <w:pPr>
        <w:pStyle w:val="aff"/>
        <w:adjustRightInd w:val="0"/>
        <w:snapToGrid w:val="0"/>
        <w:ind w:firstLineChars="200" w:firstLine="480"/>
        <w:jc w:val="both"/>
        <w:rPr>
          <w:rFonts w:cs="Times New Roman"/>
          <w:color w:val="auto"/>
        </w:rPr>
      </w:pPr>
      <w:r>
        <w:rPr>
          <w:rFonts w:cs="Times New Roman"/>
          <w:color w:val="auto"/>
        </w:rPr>
        <w:t>本区块产生的</w:t>
      </w:r>
      <w:r>
        <w:rPr>
          <w:rFonts w:cs="Times New Roman" w:hint="eastAsia"/>
          <w:color w:val="auto"/>
        </w:rPr>
        <w:t>“</w:t>
      </w:r>
      <w:r>
        <w:rPr>
          <w:rFonts w:cs="Times New Roman"/>
          <w:color w:val="auto"/>
        </w:rPr>
        <w:t>受浸土</w:t>
      </w:r>
      <w:r>
        <w:rPr>
          <w:rFonts w:cs="Times New Roman" w:hint="eastAsia"/>
          <w:color w:val="auto"/>
        </w:rPr>
        <w:t>”</w:t>
      </w:r>
      <w:r>
        <w:rPr>
          <w:rFonts w:cs="Times New Roman"/>
          <w:color w:val="auto"/>
        </w:rPr>
        <w:t>均第一时间转运至阿克苏塔河环保工程有限公司（危险废物经营许可证编号：</w:t>
      </w:r>
      <w:r>
        <w:rPr>
          <w:rFonts w:cs="Times New Roman"/>
          <w:color w:val="auto"/>
        </w:rPr>
        <w:t>6529230040</w:t>
      </w:r>
      <w:r>
        <w:rPr>
          <w:rFonts w:cs="Times New Roman"/>
          <w:color w:val="auto"/>
        </w:rPr>
        <w:t>）或中石化西南石油工程有限公司巴州分公司（危险废物经营许可证编号：</w:t>
      </w:r>
      <w:r>
        <w:rPr>
          <w:rFonts w:cs="Times New Roman"/>
          <w:color w:val="auto"/>
        </w:rPr>
        <w:t>6529230053</w:t>
      </w:r>
      <w:r>
        <w:rPr>
          <w:rFonts w:cs="Times New Roman"/>
          <w:color w:val="auto"/>
        </w:rPr>
        <w:t>）接收并进行达标处理。其中，阿克苏塔河环保工程有限公司处理能力为</w:t>
      </w:r>
      <w:r>
        <w:rPr>
          <w:rFonts w:cs="Times New Roman"/>
          <w:color w:val="auto"/>
        </w:rPr>
        <w:t>15</w:t>
      </w:r>
      <w:r>
        <w:rPr>
          <w:rFonts w:cs="Times New Roman"/>
          <w:color w:val="auto"/>
        </w:rPr>
        <w:t>万吨</w:t>
      </w:r>
      <w:r>
        <w:rPr>
          <w:rFonts w:cs="Times New Roman"/>
          <w:color w:val="auto"/>
        </w:rPr>
        <w:t>/a</w:t>
      </w:r>
      <w:r>
        <w:rPr>
          <w:rFonts w:cs="Times New Roman"/>
          <w:color w:val="auto"/>
        </w:rPr>
        <w:t>，中石化西南石油工程有限公司巴州分公司处置能力为</w:t>
      </w:r>
      <w:r>
        <w:rPr>
          <w:rFonts w:cs="Times New Roman"/>
          <w:color w:val="auto"/>
        </w:rPr>
        <w:t>7</w:t>
      </w:r>
      <w:r>
        <w:rPr>
          <w:rFonts w:cs="Times New Roman"/>
          <w:color w:val="auto"/>
        </w:rPr>
        <w:t>万吨</w:t>
      </w:r>
      <w:r>
        <w:rPr>
          <w:rFonts w:cs="Times New Roman"/>
          <w:color w:val="auto"/>
        </w:rPr>
        <w:t>/a</w:t>
      </w:r>
      <w:r>
        <w:rPr>
          <w:rFonts w:cs="Times New Roman"/>
          <w:color w:val="auto"/>
        </w:rPr>
        <w:t>。受浸土经处理后达到《油气田含油污泥及钻井</w:t>
      </w:r>
      <w:r>
        <w:rPr>
          <w:rFonts w:cs="Times New Roman"/>
          <w:color w:val="auto"/>
        </w:rPr>
        <w:t>固</w:t>
      </w:r>
      <w:r>
        <w:rPr>
          <w:rFonts w:cs="Times New Roman"/>
          <w:color w:val="auto"/>
        </w:rPr>
        <w:lastRenderedPageBreak/>
        <w:t>体废物处理处置技术规范》（</w:t>
      </w:r>
      <w:r>
        <w:rPr>
          <w:rFonts w:cs="Times New Roman"/>
          <w:color w:val="auto"/>
        </w:rPr>
        <w:t>DB65/T 3999-2017</w:t>
      </w:r>
      <w:r>
        <w:rPr>
          <w:rFonts w:cs="Times New Roman"/>
          <w:color w:val="auto"/>
        </w:rPr>
        <w:t>）标准中相应指标要求，用于铺垫井场和井场道路。</w:t>
      </w:r>
      <w:r>
        <w:rPr>
          <w:rFonts w:cs="Times New Roman"/>
          <w:color w:val="auto"/>
          <w:spacing w:val="4"/>
        </w:rPr>
        <w:t>本</w:t>
      </w:r>
      <w:r>
        <w:rPr>
          <w:rFonts w:cs="Times New Roman" w:hint="eastAsia"/>
          <w:color w:val="auto"/>
          <w:spacing w:val="4"/>
        </w:rPr>
        <w:t>工程</w:t>
      </w:r>
      <w:r>
        <w:rPr>
          <w:rFonts w:cs="Times New Roman"/>
          <w:color w:val="auto"/>
          <w:spacing w:val="4"/>
        </w:rPr>
        <w:t>产生的落地油</w:t>
      </w:r>
      <w:bookmarkStart w:id="735" w:name="OLE_LINK1430"/>
      <w:bookmarkStart w:id="736" w:name="OLE_LINK1431"/>
      <w:r>
        <w:rPr>
          <w:rFonts w:cs="Times New Roman"/>
          <w:color w:val="auto"/>
          <w:spacing w:val="4"/>
        </w:rPr>
        <w:t>为</w:t>
      </w:r>
      <w:bookmarkEnd w:id="735"/>
      <w:r>
        <w:rPr>
          <w:rFonts w:cs="Times New Roman" w:hint="eastAsia"/>
          <w:color w:val="auto"/>
          <w:spacing w:val="4"/>
        </w:rPr>
        <w:t>0.1</w:t>
      </w:r>
      <w:r>
        <w:rPr>
          <w:rFonts w:cs="Times New Roman"/>
          <w:color w:val="auto"/>
          <w:spacing w:val="4"/>
        </w:rPr>
        <w:t>t</w:t>
      </w:r>
      <w:r>
        <w:rPr>
          <w:rFonts w:cs="Times New Roman"/>
          <w:color w:val="auto"/>
          <w:spacing w:val="4"/>
        </w:rPr>
        <w:t>/</w:t>
      </w:r>
      <w:r>
        <w:rPr>
          <w:rFonts w:cs="Times New Roman"/>
          <w:color w:val="auto"/>
          <w:szCs w:val="28"/>
        </w:rPr>
        <w:t>a</w:t>
      </w:r>
      <w:r>
        <w:rPr>
          <w:rFonts w:cs="Times New Roman"/>
          <w:color w:val="auto"/>
          <w:spacing w:val="4"/>
        </w:rPr>
        <w:t>，可依托其处理</w:t>
      </w:r>
      <w:bookmarkEnd w:id="736"/>
      <w:r>
        <w:rPr>
          <w:rFonts w:cs="Times New Roman"/>
          <w:color w:val="auto"/>
          <w:spacing w:val="4"/>
        </w:rPr>
        <w:t>。</w:t>
      </w:r>
    </w:p>
    <w:p w:rsidR="00C645C9" w:rsidRDefault="00F955D9">
      <w:pPr>
        <w:adjustRightInd w:val="0"/>
        <w:snapToGrid w:val="0"/>
        <w:spacing w:line="360" w:lineRule="auto"/>
        <w:ind w:firstLineChars="200" w:firstLine="480"/>
        <w:jc w:val="both"/>
        <w:rPr>
          <w:rFonts w:cs="Times New Roman"/>
          <w:bCs/>
        </w:rPr>
      </w:pPr>
      <w:r>
        <w:rPr>
          <w:rFonts w:cs="Times New Roman"/>
          <w:bCs/>
        </w:rPr>
        <w:fldChar w:fldCharType="begin"/>
      </w:r>
      <w:r>
        <w:rPr>
          <w:rFonts w:cs="Times New Roman"/>
          <w:bCs/>
        </w:rPr>
        <w:instrText xml:space="preserve"> = 4 \* GB3 \* MERGEFORMAT </w:instrText>
      </w:r>
      <w:r>
        <w:rPr>
          <w:rFonts w:cs="Times New Roman"/>
          <w:bCs/>
        </w:rPr>
        <w:fldChar w:fldCharType="separate"/>
      </w:r>
      <w:r>
        <w:t>④</w:t>
      </w:r>
      <w:r>
        <w:rPr>
          <w:rFonts w:cs="Times New Roman"/>
          <w:bCs/>
        </w:rPr>
        <w:fldChar w:fldCharType="end"/>
      </w:r>
      <w:r>
        <w:rPr>
          <w:rFonts w:cs="Times New Roman"/>
          <w:bCs/>
        </w:rPr>
        <w:t>废液处理系统</w:t>
      </w:r>
    </w:p>
    <w:p w:rsidR="00C645C9" w:rsidRDefault="00F955D9">
      <w:pPr>
        <w:adjustRightInd w:val="0"/>
        <w:snapToGrid w:val="0"/>
        <w:spacing w:line="360" w:lineRule="auto"/>
        <w:ind w:firstLine="522"/>
        <w:jc w:val="both"/>
        <w:rPr>
          <w:rFonts w:cs="Times New Roman"/>
        </w:rPr>
      </w:pPr>
      <w:r>
        <w:rPr>
          <w:rFonts w:cs="Times New Roman"/>
        </w:rPr>
        <w:t>塔河油田绿色环保工作站作业废液处理系统承担着西北油田分公司勘探开发作业生产过程中产生的废水、酸压废液、部分磺化泥浆滤出液等的处理，其中作业酸压废液占</w:t>
      </w:r>
      <w:r>
        <w:rPr>
          <w:rFonts w:cs="Times New Roman"/>
        </w:rPr>
        <w:t>80%</w:t>
      </w:r>
      <w:r>
        <w:rPr>
          <w:rFonts w:cs="Times New Roman"/>
        </w:rPr>
        <w:t>。</w:t>
      </w:r>
    </w:p>
    <w:p w:rsidR="00C645C9" w:rsidRDefault="00F955D9">
      <w:pPr>
        <w:adjustRightInd w:val="0"/>
        <w:snapToGrid w:val="0"/>
        <w:spacing w:line="360" w:lineRule="auto"/>
        <w:ind w:firstLine="522"/>
        <w:jc w:val="both"/>
        <w:rPr>
          <w:rFonts w:cs="Times New Roman"/>
          <w:szCs w:val="28"/>
        </w:rPr>
      </w:pPr>
      <w:r>
        <w:rPr>
          <w:rFonts w:cs="Times New Roman"/>
          <w:szCs w:val="28"/>
        </w:rPr>
        <w:t>主工艺流程为：接收、隔油、调节、加药、沉降、过滤，废液处理系统出水水质满足《碎屑岩油藏注水水质推荐指标及分析方法》（</w:t>
      </w:r>
      <w:r>
        <w:rPr>
          <w:rFonts w:cs="Times New Roman"/>
          <w:szCs w:val="28"/>
        </w:rPr>
        <w:t>SY/T 5329-20</w:t>
      </w:r>
      <w:r>
        <w:rPr>
          <w:rFonts w:cs="Times New Roman"/>
          <w:szCs w:val="28"/>
        </w:rPr>
        <w:t>2</w:t>
      </w:r>
      <w:r>
        <w:rPr>
          <w:rFonts w:cs="Times New Roman"/>
          <w:szCs w:val="28"/>
        </w:rPr>
        <w:t>2</w:t>
      </w:r>
      <w:r>
        <w:rPr>
          <w:rFonts w:cs="Times New Roman"/>
          <w:szCs w:val="28"/>
        </w:rPr>
        <w:t>）回注至</w:t>
      </w:r>
      <w:r>
        <w:rPr>
          <w:rFonts w:cs="Times New Roman"/>
          <w:szCs w:val="28"/>
        </w:rPr>
        <w:t>TK512</w:t>
      </w:r>
      <w:r>
        <w:rPr>
          <w:rFonts w:cs="Times New Roman"/>
          <w:szCs w:val="28"/>
        </w:rPr>
        <w:t>井。</w:t>
      </w:r>
    </w:p>
    <w:p w:rsidR="00C645C9" w:rsidRDefault="00F955D9">
      <w:pPr>
        <w:adjustRightInd w:val="0"/>
        <w:snapToGrid w:val="0"/>
        <w:spacing w:line="360" w:lineRule="auto"/>
        <w:ind w:firstLine="522"/>
        <w:jc w:val="both"/>
        <w:rPr>
          <w:rFonts w:cs="Times New Roman"/>
          <w:spacing w:val="4"/>
        </w:rPr>
      </w:pPr>
      <w:r>
        <w:rPr>
          <w:rFonts w:cs="Times New Roman"/>
          <w:szCs w:val="28"/>
        </w:rPr>
        <w:t>根据中国石油化工股份有限公司西北油田分公司</w:t>
      </w:r>
      <w:r>
        <w:rPr>
          <w:rFonts w:cs="Times New Roman" w:hint="eastAsia"/>
          <w:szCs w:val="28"/>
        </w:rPr>
        <w:t>“</w:t>
      </w:r>
      <w:r>
        <w:rPr>
          <w:rFonts w:cs="Times New Roman"/>
          <w:szCs w:val="28"/>
        </w:rPr>
        <w:t>十四五</w:t>
      </w:r>
      <w:r>
        <w:rPr>
          <w:rFonts w:cs="Times New Roman" w:hint="eastAsia"/>
          <w:szCs w:val="28"/>
        </w:rPr>
        <w:t>”</w:t>
      </w:r>
      <w:r>
        <w:rPr>
          <w:rFonts w:cs="Times New Roman"/>
          <w:szCs w:val="28"/>
        </w:rPr>
        <w:t>规划，塔河油田绿色环保站处理站废液处理系统现有</w:t>
      </w:r>
      <w:r>
        <w:rPr>
          <w:rFonts w:cs="Times New Roman"/>
          <w:szCs w:val="28"/>
        </w:rPr>
        <w:t>1</w:t>
      </w:r>
      <w:r>
        <w:rPr>
          <w:rFonts w:cs="Times New Roman"/>
          <w:szCs w:val="28"/>
        </w:rPr>
        <w:t>座</w:t>
      </w:r>
      <w:r>
        <w:rPr>
          <w:rFonts w:cs="Times New Roman"/>
          <w:szCs w:val="28"/>
        </w:rPr>
        <w:t>9000m</w:t>
      </w:r>
      <w:r>
        <w:rPr>
          <w:rFonts w:cs="Times New Roman"/>
          <w:szCs w:val="28"/>
          <w:vertAlign w:val="superscript"/>
        </w:rPr>
        <w:t>3</w:t>
      </w:r>
      <w:r>
        <w:rPr>
          <w:rFonts w:cs="Times New Roman"/>
          <w:szCs w:val="28"/>
        </w:rPr>
        <w:t>废液接收池（包括</w:t>
      </w:r>
      <w:r>
        <w:rPr>
          <w:rFonts w:cs="Times New Roman"/>
          <w:szCs w:val="28"/>
        </w:rPr>
        <w:t>2</w:t>
      </w:r>
      <w:r>
        <w:rPr>
          <w:rFonts w:cs="Times New Roman"/>
          <w:szCs w:val="28"/>
        </w:rPr>
        <w:t>个接液池、</w:t>
      </w:r>
      <w:r>
        <w:rPr>
          <w:rFonts w:cs="Times New Roman"/>
          <w:szCs w:val="28"/>
        </w:rPr>
        <w:t>1</w:t>
      </w:r>
      <w:r>
        <w:rPr>
          <w:rFonts w:cs="Times New Roman"/>
          <w:szCs w:val="28"/>
        </w:rPr>
        <w:t>个沉降池和</w:t>
      </w:r>
      <w:r>
        <w:rPr>
          <w:rFonts w:cs="Times New Roman"/>
          <w:szCs w:val="28"/>
        </w:rPr>
        <w:t>1</w:t>
      </w:r>
      <w:r>
        <w:rPr>
          <w:rFonts w:cs="Times New Roman"/>
          <w:szCs w:val="28"/>
        </w:rPr>
        <w:t>个隔油池）、</w:t>
      </w:r>
      <w:r>
        <w:rPr>
          <w:rFonts w:cs="Times New Roman"/>
          <w:szCs w:val="28"/>
        </w:rPr>
        <w:t>1</w:t>
      </w:r>
      <w:r>
        <w:rPr>
          <w:rFonts w:cs="Times New Roman"/>
          <w:szCs w:val="28"/>
        </w:rPr>
        <w:t>套井下作业废水处理设施（包括缓冲沉降池、二次调节池、加药调节池等），废液处理系统主要工艺流程为：接收、隔油、调节、加药、沉降、过滤，废液处理系统出水水质满足《碎屑岩油藏注水水质推荐指标及分析方法》（</w:t>
      </w:r>
      <w:r>
        <w:rPr>
          <w:rFonts w:cs="Times New Roman"/>
          <w:szCs w:val="28"/>
        </w:rPr>
        <w:t>SY/T 5329-20</w:t>
      </w:r>
      <w:r>
        <w:rPr>
          <w:rFonts w:cs="Times New Roman"/>
          <w:szCs w:val="28"/>
        </w:rPr>
        <w:t>2</w:t>
      </w:r>
      <w:r>
        <w:rPr>
          <w:rFonts w:cs="Times New Roman"/>
          <w:szCs w:val="28"/>
        </w:rPr>
        <w:t>2</w:t>
      </w:r>
      <w:r>
        <w:rPr>
          <w:rFonts w:cs="Times New Roman"/>
          <w:szCs w:val="28"/>
        </w:rPr>
        <w:t>）后回注油层。塔河油田绿色环保站废液处理系统设计废液处置能力处理能力为</w:t>
      </w:r>
      <w:r>
        <w:rPr>
          <w:rFonts w:cs="Times New Roman"/>
          <w:szCs w:val="28"/>
        </w:rPr>
        <w:t>1430m</w:t>
      </w:r>
      <w:r>
        <w:rPr>
          <w:rFonts w:cs="Times New Roman"/>
          <w:szCs w:val="28"/>
          <w:vertAlign w:val="superscript"/>
        </w:rPr>
        <w:t>3</w:t>
      </w:r>
      <w:r>
        <w:rPr>
          <w:rFonts w:cs="Times New Roman"/>
          <w:szCs w:val="28"/>
        </w:rPr>
        <w:t>/d</w:t>
      </w:r>
      <w:r>
        <w:rPr>
          <w:rFonts w:cs="Times New Roman"/>
          <w:szCs w:val="28"/>
        </w:rPr>
        <w:t>（</w:t>
      </w:r>
      <w:r>
        <w:rPr>
          <w:rFonts w:cs="Times New Roman"/>
          <w:szCs w:val="28"/>
        </w:rPr>
        <w:t>52.19</w:t>
      </w:r>
      <w:r>
        <w:rPr>
          <w:rFonts w:cs="Times New Roman"/>
          <w:szCs w:val="28"/>
        </w:rPr>
        <w:t>万</w:t>
      </w:r>
      <w:r>
        <w:rPr>
          <w:rFonts w:cs="Times New Roman"/>
          <w:szCs w:val="28"/>
        </w:rPr>
        <w:t>m</w:t>
      </w:r>
      <w:r>
        <w:rPr>
          <w:rFonts w:cs="Times New Roman"/>
          <w:szCs w:val="28"/>
          <w:vertAlign w:val="superscript"/>
        </w:rPr>
        <w:t>3</w:t>
      </w:r>
      <w:r>
        <w:rPr>
          <w:rFonts w:cs="Times New Roman"/>
          <w:szCs w:val="28"/>
        </w:rPr>
        <w:t>/a</w:t>
      </w:r>
      <w:r>
        <w:rPr>
          <w:rFonts w:cs="Times New Roman"/>
          <w:szCs w:val="28"/>
        </w:rPr>
        <w:t>），现状废液处置量约为</w:t>
      </w:r>
      <w:r>
        <w:rPr>
          <w:rFonts w:cs="Times New Roman"/>
          <w:szCs w:val="28"/>
        </w:rPr>
        <w:t>580m</w:t>
      </w:r>
      <w:r>
        <w:rPr>
          <w:rFonts w:cs="Times New Roman"/>
          <w:szCs w:val="28"/>
          <w:vertAlign w:val="superscript"/>
        </w:rPr>
        <w:t>3</w:t>
      </w:r>
      <w:r>
        <w:rPr>
          <w:rFonts w:cs="Times New Roman"/>
          <w:szCs w:val="28"/>
        </w:rPr>
        <w:t>/d</w:t>
      </w:r>
      <w:r>
        <w:rPr>
          <w:rFonts w:cs="Times New Roman"/>
          <w:szCs w:val="28"/>
        </w:rPr>
        <w:t>（</w:t>
      </w:r>
      <w:r>
        <w:rPr>
          <w:rFonts w:cs="Times New Roman"/>
          <w:szCs w:val="28"/>
        </w:rPr>
        <w:t>21.14</w:t>
      </w:r>
      <w:r>
        <w:rPr>
          <w:rFonts w:cs="Times New Roman"/>
          <w:szCs w:val="28"/>
        </w:rPr>
        <w:t>万</w:t>
      </w:r>
      <w:r>
        <w:rPr>
          <w:rFonts w:cs="Times New Roman"/>
          <w:szCs w:val="28"/>
        </w:rPr>
        <w:t>m</w:t>
      </w:r>
      <w:r>
        <w:rPr>
          <w:rFonts w:cs="Times New Roman"/>
          <w:szCs w:val="28"/>
          <w:vertAlign w:val="superscript"/>
        </w:rPr>
        <w:t>3</w:t>
      </w:r>
      <w:r>
        <w:rPr>
          <w:rFonts w:cs="Times New Roman"/>
          <w:szCs w:val="28"/>
        </w:rPr>
        <w:t>/a</w:t>
      </w:r>
      <w:r>
        <w:rPr>
          <w:rFonts w:cs="Times New Roman"/>
          <w:szCs w:val="28"/>
        </w:rPr>
        <w:t>），</w:t>
      </w:r>
      <w:bookmarkStart w:id="737" w:name="OLE_LINK171"/>
      <w:r>
        <w:rPr>
          <w:rFonts w:cs="Times New Roman"/>
          <w:spacing w:val="4"/>
        </w:rPr>
        <w:t>本</w:t>
      </w:r>
      <w:r>
        <w:rPr>
          <w:rFonts w:cs="Times New Roman" w:hint="eastAsia"/>
          <w:spacing w:val="4"/>
        </w:rPr>
        <w:t>工程</w:t>
      </w:r>
      <w:r>
        <w:rPr>
          <w:rFonts w:cs="Times New Roman"/>
          <w:spacing w:val="4"/>
        </w:rPr>
        <w:t>产生的井下作业废水最大</w:t>
      </w:r>
      <w:r>
        <w:rPr>
          <w:rFonts w:cs="Times New Roman"/>
          <w:spacing w:val="4"/>
        </w:rPr>
        <w:t>为</w:t>
      </w:r>
      <w:r>
        <w:rPr>
          <w:rFonts w:cs="Times New Roman"/>
          <w:spacing w:val="4"/>
        </w:rPr>
        <w:t>13.565</w:t>
      </w:r>
      <w:r>
        <w:rPr>
          <w:rFonts w:cs="Times New Roman"/>
          <w:spacing w:val="4"/>
        </w:rPr>
        <w:t>t</w:t>
      </w:r>
      <w:r>
        <w:rPr>
          <w:rFonts w:cs="Times New Roman"/>
          <w:spacing w:val="4"/>
        </w:rPr>
        <w:t>/</w:t>
      </w:r>
      <w:r>
        <w:rPr>
          <w:rFonts w:cs="Times New Roman"/>
          <w:szCs w:val="28"/>
        </w:rPr>
        <w:t>a</w:t>
      </w:r>
      <w:r>
        <w:rPr>
          <w:rFonts w:cs="Times New Roman"/>
          <w:spacing w:val="4"/>
        </w:rPr>
        <w:t>，生产废水</w:t>
      </w:r>
      <w:r>
        <w:rPr>
          <w:rFonts w:cs="Times New Roman" w:hint="eastAsia"/>
          <w:spacing w:val="4"/>
        </w:rPr>
        <w:t>为</w:t>
      </w:r>
      <w:r>
        <w:rPr>
          <w:rFonts w:cs="Times New Roman" w:hint="eastAsia"/>
          <w:spacing w:val="4"/>
        </w:rPr>
        <w:t>0.5t/d</w:t>
      </w:r>
      <w:r>
        <w:rPr>
          <w:rFonts w:cs="Times New Roman" w:hint="eastAsia"/>
          <w:spacing w:val="4"/>
        </w:rPr>
        <w:t>，</w:t>
      </w:r>
      <w:r>
        <w:rPr>
          <w:rFonts w:cs="Times New Roman"/>
          <w:spacing w:val="4"/>
        </w:rPr>
        <w:t>可依托其处理。</w:t>
      </w:r>
      <w:bookmarkStart w:id="738" w:name="OLE_LINK275"/>
      <w:bookmarkEnd w:id="737"/>
    </w:p>
    <w:p w:rsidR="00C645C9" w:rsidRDefault="00F955D9">
      <w:pPr>
        <w:pStyle w:val="Default"/>
        <w:snapToGrid w:val="0"/>
        <w:spacing w:line="360" w:lineRule="auto"/>
        <w:ind w:firstLineChars="200" w:firstLine="496"/>
        <w:jc w:val="both"/>
        <w:outlineLvl w:val="3"/>
        <w:rPr>
          <w:rFonts w:ascii="Times New Roman" w:hAnsi="Times New Roman" w:cs="Times New Roman"/>
          <w:color w:val="auto"/>
          <w:spacing w:val="4"/>
        </w:rPr>
      </w:pPr>
      <w:bookmarkStart w:id="739" w:name="OLE_LINK271"/>
      <w:bookmarkStart w:id="740" w:name="OLE_LINK773"/>
      <w:bookmarkStart w:id="741" w:name="OLE_LINK1083"/>
      <w:r>
        <w:rPr>
          <w:rFonts w:ascii="Times New Roman" w:hAnsi="Times New Roman" w:cs="Times New Roman" w:hint="eastAsia"/>
          <w:color w:val="auto"/>
          <w:spacing w:val="4"/>
        </w:rPr>
        <w:t>（</w:t>
      </w:r>
      <w:r>
        <w:rPr>
          <w:rFonts w:ascii="Times New Roman" w:hAnsi="Times New Roman" w:cs="Times New Roman" w:hint="eastAsia"/>
          <w:color w:val="auto"/>
          <w:spacing w:val="4"/>
        </w:rPr>
        <w:t>2</w:t>
      </w:r>
      <w:r>
        <w:rPr>
          <w:rFonts w:ascii="Times New Roman" w:hAnsi="Times New Roman" w:cs="Times New Roman" w:hint="eastAsia"/>
          <w:color w:val="auto"/>
          <w:spacing w:val="4"/>
        </w:rPr>
        <w:t>）</w:t>
      </w:r>
      <w:r>
        <w:rPr>
          <w:rFonts w:ascii="Times New Roman" w:hAnsi="Times New Roman" w:cs="Times New Roman" w:hint="eastAsia"/>
          <w:color w:val="auto"/>
          <w:spacing w:val="4"/>
        </w:rPr>
        <w:t>库车绿能环保科技有限公司</w:t>
      </w:r>
      <w:bookmarkEnd w:id="739"/>
    </w:p>
    <w:bookmarkEnd w:id="740"/>
    <w:p w:rsidR="00C645C9" w:rsidRDefault="00F955D9">
      <w:pPr>
        <w:pStyle w:val="00"/>
        <w:rPr>
          <w:color w:val="auto"/>
        </w:rPr>
      </w:pPr>
      <w:r>
        <w:rPr>
          <w:rFonts w:ascii="宋体" w:cs="宋体" w:hint="eastAsia"/>
          <w:color w:val="auto"/>
        </w:rPr>
        <w:t>①</w:t>
      </w:r>
      <w:r>
        <w:rPr>
          <w:rFonts w:hint="eastAsia"/>
          <w:color w:val="auto"/>
        </w:rPr>
        <w:t>基本情况</w:t>
      </w:r>
    </w:p>
    <w:p w:rsidR="00C645C9" w:rsidRDefault="00F955D9">
      <w:pPr>
        <w:pStyle w:val="00"/>
        <w:rPr>
          <w:color w:val="auto"/>
        </w:rPr>
      </w:pPr>
      <w:r>
        <w:rPr>
          <w:color w:val="auto"/>
        </w:rPr>
        <w:t>库车绿能环保科技有限公司，</w:t>
      </w:r>
      <w:r>
        <w:rPr>
          <w:color w:val="auto"/>
        </w:rPr>
        <w:t>2020</w:t>
      </w:r>
      <w:r>
        <w:rPr>
          <w:color w:val="auto"/>
        </w:rPr>
        <w:t>年</w:t>
      </w:r>
      <w:r>
        <w:rPr>
          <w:color w:val="auto"/>
        </w:rPr>
        <w:t>4</w:t>
      </w:r>
      <w:r>
        <w:rPr>
          <w:color w:val="auto"/>
        </w:rPr>
        <w:t>月</w:t>
      </w:r>
      <w:r>
        <w:rPr>
          <w:color w:val="auto"/>
        </w:rPr>
        <w:t>15</w:t>
      </w:r>
      <w:r>
        <w:rPr>
          <w:color w:val="auto"/>
        </w:rPr>
        <w:t>日成立，经营范围包括许可项目：城市生活垃圾经营性服务；城市建筑垃圾处置（清运）；危险废物经营；道路货物运输（不含危险货物）；建筑物拆除作业（爆破作业除外）；餐厨垃圾处理</w:t>
      </w:r>
      <w:r>
        <w:rPr>
          <w:color w:val="auto"/>
        </w:rPr>
        <w:t>。</w:t>
      </w:r>
    </w:p>
    <w:p w:rsidR="00C645C9" w:rsidRDefault="00F955D9">
      <w:pPr>
        <w:pStyle w:val="00"/>
        <w:rPr>
          <w:color w:val="auto"/>
        </w:rPr>
      </w:pPr>
      <w:r>
        <w:rPr>
          <w:color w:val="auto"/>
        </w:rPr>
        <w:t>②</w:t>
      </w:r>
      <w:r>
        <w:rPr>
          <w:color w:val="auto"/>
        </w:rPr>
        <w:t>依托可行性</w:t>
      </w:r>
    </w:p>
    <w:p w:rsidR="00C645C9" w:rsidRDefault="00F955D9">
      <w:pPr>
        <w:pStyle w:val="Default"/>
        <w:snapToGrid w:val="0"/>
        <w:spacing w:line="360" w:lineRule="auto"/>
        <w:ind w:firstLineChars="200" w:firstLine="480"/>
        <w:jc w:val="both"/>
        <w:rPr>
          <w:rFonts w:ascii="Times New Roman" w:hAnsi="Times New Roman" w:cs="Times New Roman"/>
          <w:color w:val="auto"/>
          <w:spacing w:val="4"/>
        </w:rPr>
      </w:pPr>
      <w:r>
        <w:rPr>
          <w:rFonts w:ascii="Times New Roman" w:hAnsi="Times New Roman" w:cs="Times New Roman"/>
          <w:color w:val="auto"/>
        </w:rPr>
        <w:t>中国石油化工股份有限公司西北油田分公司已和库车绿能环保科技有限公司签订了清运合同。本工程施工期</w:t>
      </w:r>
      <w:bookmarkStart w:id="742" w:name="OLE_LINK644"/>
      <w:r>
        <w:rPr>
          <w:rFonts w:ascii="Times New Roman" w:hAnsi="Times New Roman" w:cs="Times New Roman"/>
          <w:color w:val="auto"/>
        </w:rPr>
        <w:t>生活垃圾</w:t>
      </w:r>
      <w:bookmarkEnd w:id="742"/>
      <w:r>
        <w:rPr>
          <w:rFonts w:ascii="Times New Roman" w:hAnsi="Times New Roman" w:cs="Times New Roman"/>
          <w:color w:val="auto"/>
        </w:rPr>
        <w:t>及</w:t>
      </w:r>
      <w:r>
        <w:rPr>
          <w:rFonts w:ascii="Times New Roman" w:hAnsi="Times New Roman" w:cs="Times New Roman" w:hint="eastAsia"/>
          <w:color w:val="auto"/>
        </w:rPr>
        <w:t>不可回收利用的施工废料</w:t>
      </w:r>
      <w:r>
        <w:rPr>
          <w:rFonts w:ascii="Times New Roman" w:hAnsi="Times New Roman" w:cs="Times New Roman"/>
          <w:color w:val="auto"/>
        </w:rPr>
        <w:t>可委托该单位清运处置</w:t>
      </w:r>
      <w:r>
        <w:rPr>
          <w:rFonts w:hAnsi="Times New Roman"/>
          <w:color w:val="auto"/>
        </w:rPr>
        <w:t>。</w:t>
      </w:r>
      <w:bookmarkEnd w:id="741"/>
    </w:p>
    <w:p w:rsidR="00C645C9" w:rsidRDefault="00F955D9">
      <w:pPr>
        <w:pStyle w:val="a5"/>
        <w:outlineLvl w:val="1"/>
        <w:rPr>
          <w:rFonts w:ascii="Times New Roman" w:hAnsi="Times New Roman" w:cs="Times New Roman"/>
          <w:b/>
          <w:bCs/>
          <w:sz w:val="30"/>
          <w:szCs w:val="30"/>
        </w:rPr>
      </w:pPr>
      <w:bookmarkStart w:id="743" w:name="_Toc18606"/>
      <w:bookmarkStart w:id="744" w:name="_Toc7448"/>
      <w:bookmarkEnd w:id="720"/>
      <w:bookmarkEnd w:id="721"/>
      <w:bookmarkEnd w:id="738"/>
      <w:r>
        <w:rPr>
          <w:rFonts w:ascii="Times New Roman" w:hAnsi="Times New Roman" w:cs="Times New Roman"/>
          <w:b/>
          <w:bCs/>
          <w:sz w:val="30"/>
          <w:szCs w:val="30"/>
        </w:rPr>
        <w:t>3.</w:t>
      </w:r>
      <w:r>
        <w:rPr>
          <w:rFonts w:ascii="Times New Roman" w:hAnsi="Times New Roman" w:cs="Times New Roman" w:hint="eastAsia"/>
          <w:b/>
          <w:bCs/>
          <w:sz w:val="30"/>
          <w:szCs w:val="30"/>
        </w:rPr>
        <w:t>3</w:t>
      </w:r>
      <w:bookmarkEnd w:id="743"/>
      <w:r>
        <w:rPr>
          <w:rFonts w:ascii="Times New Roman" w:hAnsi="Times New Roman" w:cs="Times New Roman"/>
          <w:b/>
          <w:bCs/>
          <w:sz w:val="30"/>
          <w:szCs w:val="30"/>
        </w:rPr>
        <w:t>工程分析</w:t>
      </w:r>
      <w:bookmarkEnd w:id="744"/>
    </w:p>
    <w:p w:rsidR="00C645C9" w:rsidRDefault="00F955D9">
      <w:pPr>
        <w:pStyle w:val="a5"/>
        <w:outlineLvl w:val="2"/>
        <w:rPr>
          <w:rFonts w:ascii="Times New Roman" w:hAnsi="Times New Roman" w:cs="Times New Roman"/>
        </w:rPr>
      </w:pPr>
      <w:bookmarkStart w:id="745" w:name="_Toc30925"/>
      <w:bookmarkStart w:id="746" w:name="_Toc25877"/>
      <w:r>
        <w:rPr>
          <w:rFonts w:ascii="Times New Roman" w:hAnsi="Times New Roman" w:cs="Times New Roman"/>
          <w:b/>
          <w:bCs/>
          <w:sz w:val="28"/>
          <w:szCs w:val="28"/>
        </w:rPr>
        <w:t>3.</w:t>
      </w:r>
      <w:r>
        <w:rPr>
          <w:rFonts w:ascii="Times New Roman" w:hAnsi="Times New Roman" w:cs="Times New Roman" w:hint="eastAsia"/>
          <w:b/>
          <w:bCs/>
          <w:sz w:val="28"/>
          <w:szCs w:val="28"/>
        </w:rPr>
        <w:t>3</w:t>
      </w:r>
      <w:r>
        <w:rPr>
          <w:rFonts w:ascii="Times New Roman" w:hAnsi="Times New Roman" w:cs="Times New Roman"/>
          <w:b/>
          <w:bCs/>
          <w:sz w:val="28"/>
          <w:szCs w:val="28"/>
        </w:rPr>
        <w:t>.1</w:t>
      </w:r>
      <w:bookmarkEnd w:id="745"/>
      <w:bookmarkEnd w:id="746"/>
      <w:r>
        <w:rPr>
          <w:rFonts w:ascii="Times New Roman" w:hAnsi="Times New Roman" w:cs="Times New Roman"/>
          <w:b/>
          <w:bCs/>
          <w:sz w:val="28"/>
          <w:szCs w:val="28"/>
        </w:rPr>
        <w:t>工艺流程及产排污节点</w:t>
      </w:r>
    </w:p>
    <w:p w:rsidR="00C645C9" w:rsidRDefault="00F955D9">
      <w:pPr>
        <w:keepLines/>
        <w:adjustRightInd w:val="0"/>
        <w:snapToGrid w:val="0"/>
        <w:spacing w:line="360" w:lineRule="auto"/>
        <w:jc w:val="both"/>
        <w:outlineLvl w:val="3"/>
        <w:rPr>
          <w:rFonts w:cs="Times New Roman"/>
          <w:b/>
          <w:szCs w:val="22"/>
        </w:rPr>
      </w:pPr>
      <w:r>
        <w:rPr>
          <w:rFonts w:cs="Times New Roman"/>
          <w:b/>
          <w:szCs w:val="22"/>
        </w:rPr>
        <w:lastRenderedPageBreak/>
        <w:t>3.</w:t>
      </w:r>
      <w:r>
        <w:rPr>
          <w:rFonts w:cs="Times New Roman" w:hint="eastAsia"/>
          <w:b/>
          <w:szCs w:val="22"/>
        </w:rPr>
        <w:t>3</w:t>
      </w:r>
      <w:r>
        <w:rPr>
          <w:rFonts w:cs="Times New Roman"/>
          <w:b/>
          <w:szCs w:val="22"/>
        </w:rPr>
        <w:t>.1.1</w:t>
      </w:r>
      <w:r>
        <w:rPr>
          <w:rFonts w:cs="Times New Roman"/>
          <w:b/>
          <w:szCs w:val="22"/>
        </w:rPr>
        <w:t>施工期</w:t>
      </w:r>
    </w:p>
    <w:p w:rsidR="00C645C9" w:rsidRDefault="00F955D9">
      <w:pPr>
        <w:pStyle w:val="a5"/>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井场建设</w:t>
      </w:r>
    </w:p>
    <w:p w:rsidR="00C645C9" w:rsidRDefault="00F955D9">
      <w:pPr>
        <w:spacing w:line="360" w:lineRule="auto"/>
        <w:ind w:firstLineChars="200" w:firstLine="480"/>
        <w:jc w:val="both"/>
        <w:rPr>
          <w:rFonts w:cs="Times New Roman"/>
        </w:rPr>
      </w:pPr>
      <w:r>
        <w:rPr>
          <w:rFonts w:cs="Times New Roman"/>
        </w:rPr>
        <w:t>本</w:t>
      </w:r>
      <w:r>
        <w:rPr>
          <w:rFonts w:cs="Times New Roman" w:hint="eastAsia"/>
        </w:rPr>
        <w:t>工程在现有新北</w:t>
      </w:r>
      <w:r>
        <w:rPr>
          <w:rFonts w:cs="Times New Roman" w:hint="eastAsia"/>
        </w:rPr>
        <w:t>1X</w:t>
      </w:r>
      <w:r>
        <w:rPr>
          <w:rFonts w:cs="Times New Roman" w:hint="eastAsia"/>
        </w:rPr>
        <w:t>井井场内，</w:t>
      </w:r>
      <w:bookmarkStart w:id="747" w:name="OLE_LINK777"/>
      <w:r>
        <w:rPr>
          <w:rFonts w:cs="Times New Roman" w:hint="eastAsia"/>
        </w:rPr>
        <w:t>新建天然气处理装置</w:t>
      </w:r>
      <w:r>
        <w:rPr>
          <w:rFonts w:cs="Times New Roman" w:hint="eastAsia"/>
        </w:rPr>
        <w:t>1</w:t>
      </w:r>
      <w:r>
        <w:rPr>
          <w:rFonts w:cs="Times New Roman" w:hint="eastAsia"/>
        </w:rPr>
        <w:t>套、</w:t>
      </w:r>
      <w:r>
        <w:rPr>
          <w:rFonts w:cs="Times New Roman" w:hint="eastAsia"/>
        </w:rPr>
        <w:t>200kW</w:t>
      </w:r>
      <w:r>
        <w:rPr>
          <w:rFonts w:cs="Times New Roman" w:hint="eastAsia"/>
        </w:rPr>
        <w:t>水套加热炉</w:t>
      </w:r>
      <w:r>
        <w:rPr>
          <w:rFonts w:cs="Times New Roman" w:hint="eastAsia"/>
        </w:rPr>
        <w:t>1</w:t>
      </w:r>
      <w:r>
        <w:rPr>
          <w:rFonts w:cs="Times New Roman" w:hint="eastAsia"/>
        </w:rPr>
        <w:t>座、火炬</w:t>
      </w:r>
      <w:r>
        <w:rPr>
          <w:rFonts w:cs="Times New Roman" w:hint="eastAsia"/>
        </w:rPr>
        <w:t>1</w:t>
      </w:r>
      <w:r>
        <w:rPr>
          <w:rFonts w:cs="Times New Roman" w:hint="eastAsia"/>
        </w:rPr>
        <w:t>座、火炬分液罐</w:t>
      </w:r>
      <w:r>
        <w:rPr>
          <w:rFonts w:cs="Times New Roman" w:hint="eastAsia"/>
        </w:rPr>
        <w:t>+</w:t>
      </w:r>
      <w:r>
        <w:rPr>
          <w:rFonts w:cs="Times New Roman" w:hint="eastAsia"/>
        </w:rPr>
        <w:t>凝液回收泵撬</w:t>
      </w:r>
      <w:r>
        <w:rPr>
          <w:rFonts w:cs="Times New Roman" w:hint="eastAsia"/>
        </w:rPr>
        <w:t>1</w:t>
      </w:r>
      <w:r>
        <w:rPr>
          <w:rFonts w:cs="Times New Roman" w:hint="eastAsia"/>
        </w:rPr>
        <w:t>套、分子筛脱水撬</w:t>
      </w:r>
      <w:r>
        <w:rPr>
          <w:rFonts w:cs="Times New Roman" w:hint="eastAsia"/>
        </w:rPr>
        <w:t>1</w:t>
      </w:r>
      <w:r>
        <w:rPr>
          <w:rFonts w:cs="Times New Roman" w:hint="eastAsia"/>
        </w:rPr>
        <w:t>套、</w:t>
      </w:r>
      <w:bookmarkStart w:id="748" w:name="OLE_LINK1131"/>
      <w:r>
        <w:rPr>
          <w:rFonts w:cs="Times New Roman" w:hint="eastAsia"/>
        </w:rPr>
        <w:t>外输计量橇</w:t>
      </w:r>
      <w:bookmarkStart w:id="749" w:name="OLE_LINK1130"/>
      <w:r>
        <w:rPr>
          <w:rFonts w:cs="Times New Roman" w:hint="eastAsia"/>
        </w:rPr>
        <w:t>1</w:t>
      </w:r>
      <w:r>
        <w:rPr>
          <w:rFonts w:cs="Times New Roman" w:hint="eastAsia"/>
        </w:rPr>
        <w:t>座</w:t>
      </w:r>
      <w:bookmarkEnd w:id="748"/>
      <w:bookmarkEnd w:id="749"/>
      <w:r>
        <w:rPr>
          <w:rFonts w:cs="Times New Roman" w:hint="eastAsia"/>
        </w:rPr>
        <w:t>、工具间</w:t>
      </w:r>
      <w:r>
        <w:rPr>
          <w:rFonts w:cs="Times New Roman" w:hint="eastAsia"/>
        </w:rPr>
        <w:t>1</w:t>
      </w:r>
      <w:r>
        <w:rPr>
          <w:rFonts w:cs="Times New Roman" w:hint="eastAsia"/>
        </w:rPr>
        <w:t>座、站内管网</w:t>
      </w:r>
      <w:r>
        <w:rPr>
          <w:rFonts w:cs="Times New Roman" w:hint="eastAsia"/>
        </w:rPr>
        <w:t>1</w:t>
      </w:r>
      <w:r>
        <w:rPr>
          <w:rFonts w:cs="Times New Roman" w:hint="eastAsia"/>
        </w:rPr>
        <w:t>项等。</w:t>
      </w:r>
      <w:bookmarkEnd w:id="747"/>
      <w:r>
        <w:rPr>
          <w:rFonts w:cs="Times New Roman" w:hint="eastAsia"/>
        </w:rPr>
        <w:t>新建</w:t>
      </w:r>
      <w:r>
        <w:rPr>
          <w:rFonts w:cs="Times New Roman" w:hint="eastAsia"/>
        </w:rPr>
        <w:t>新北</w:t>
      </w:r>
      <w:r>
        <w:rPr>
          <w:rFonts w:cs="Times New Roman" w:hint="eastAsia"/>
        </w:rPr>
        <w:t>7</w:t>
      </w:r>
      <w:r>
        <w:rPr>
          <w:rFonts w:cs="Times New Roman" w:hint="eastAsia"/>
        </w:rPr>
        <w:t>井</w:t>
      </w:r>
      <w:r>
        <w:rPr>
          <w:rFonts w:cs="Times New Roman"/>
        </w:rPr>
        <w:t>井</w:t>
      </w:r>
      <w:r>
        <w:rPr>
          <w:rFonts w:cs="Times New Roman" w:hint="eastAsia"/>
        </w:rPr>
        <w:t>场</w:t>
      </w:r>
      <w:r>
        <w:rPr>
          <w:rFonts w:cs="Times New Roman" w:hint="eastAsia"/>
        </w:rPr>
        <w:t>，新北</w:t>
      </w:r>
      <w:r>
        <w:rPr>
          <w:rFonts w:cs="Times New Roman" w:hint="eastAsia"/>
        </w:rPr>
        <w:t>7</w:t>
      </w:r>
      <w:r>
        <w:rPr>
          <w:rFonts w:cs="Times New Roman" w:hint="eastAsia"/>
        </w:rPr>
        <w:t>井为新钻井，</w:t>
      </w:r>
      <w:r>
        <w:rPr>
          <w:rFonts w:cs="Times New Roman"/>
        </w:rPr>
        <w:t>井深</w:t>
      </w:r>
      <w:r>
        <w:rPr>
          <w:rFonts w:cs="Times New Roman" w:hint="eastAsia"/>
        </w:rPr>
        <w:t>6331.28m</w:t>
      </w:r>
      <w:r>
        <w:rPr>
          <w:rFonts w:cs="Times New Roman" w:hint="eastAsia"/>
        </w:rPr>
        <w:t>，</w:t>
      </w:r>
      <w:r>
        <w:rPr>
          <w:rFonts w:cs="Times New Roman" w:hint="eastAsia"/>
        </w:rPr>
        <w:t>新建天然气处理装置</w:t>
      </w:r>
      <w:r>
        <w:rPr>
          <w:rFonts w:cs="Times New Roman" w:hint="eastAsia"/>
        </w:rPr>
        <w:t>1</w:t>
      </w:r>
      <w:r>
        <w:rPr>
          <w:rFonts w:cs="Times New Roman" w:hint="eastAsia"/>
        </w:rPr>
        <w:t>套、</w:t>
      </w:r>
      <w:r>
        <w:rPr>
          <w:rFonts w:cs="Times New Roman" w:hint="eastAsia"/>
        </w:rPr>
        <w:t>200kW</w:t>
      </w:r>
      <w:r>
        <w:rPr>
          <w:rFonts w:cs="Times New Roman" w:hint="eastAsia"/>
        </w:rPr>
        <w:t>水套加热炉</w:t>
      </w:r>
      <w:r>
        <w:rPr>
          <w:rFonts w:cs="Times New Roman" w:hint="eastAsia"/>
        </w:rPr>
        <w:t>1</w:t>
      </w:r>
      <w:r>
        <w:rPr>
          <w:rFonts w:cs="Times New Roman" w:hint="eastAsia"/>
        </w:rPr>
        <w:t>座、火炬</w:t>
      </w:r>
      <w:r>
        <w:rPr>
          <w:rFonts w:cs="Times New Roman" w:hint="eastAsia"/>
        </w:rPr>
        <w:t>1</w:t>
      </w:r>
      <w:r>
        <w:rPr>
          <w:rFonts w:cs="Times New Roman" w:hint="eastAsia"/>
        </w:rPr>
        <w:t>座、火炬分液罐</w:t>
      </w:r>
      <w:r>
        <w:rPr>
          <w:rFonts w:cs="Times New Roman" w:hint="eastAsia"/>
        </w:rPr>
        <w:t>+</w:t>
      </w:r>
      <w:r>
        <w:rPr>
          <w:rFonts w:cs="Times New Roman" w:hint="eastAsia"/>
        </w:rPr>
        <w:t>凝液回收泵撬</w:t>
      </w:r>
      <w:r>
        <w:rPr>
          <w:rFonts w:cs="Times New Roman" w:hint="eastAsia"/>
        </w:rPr>
        <w:t>1</w:t>
      </w:r>
      <w:r>
        <w:rPr>
          <w:rFonts w:cs="Times New Roman" w:hint="eastAsia"/>
        </w:rPr>
        <w:t>套、分子筛脱水撬</w:t>
      </w:r>
      <w:r>
        <w:rPr>
          <w:rFonts w:cs="Times New Roman" w:hint="eastAsia"/>
        </w:rPr>
        <w:t>1</w:t>
      </w:r>
      <w:r>
        <w:rPr>
          <w:rFonts w:cs="Times New Roman" w:hint="eastAsia"/>
        </w:rPr>
        <w:t>套、外输计量橇</w:t>
      </w:r>
      <w:r>
        <w:rPr>
          <w:rFonts w:cs="Times New Roman" w:hint="eastAsia"/>
        </w:rPr>
        <w:t>1</w:t>
      </w:r>
      <w:r>
        <w:rPr>
          <w:rFonts w:cs="Times New Roman" w:hint="eastAsia"/>
        </w:rPr>
        <w:t>座、工具间</w:t>
      </w:r>
      <w:r>
        <w:rPr>
          <w:rFonts w:cs="Times New Roman" w:hint="eastAsia"/>
        </w:rPr>
        <w:t>1</w:t>
      </w:r>
      <w:r>
        <w:rPr>
          <w:rFonts w:cs="Times New Roman" w:hint="eastAsia"/>
        </w:rPr>
        <w:t>座、站内管网</w:t>
      </w:r>
      <w:r>
        <w:rPr>
          <w:rFonts w:cs="Times New Roman" w:hint="eastAsia"/>
        </w:rPr>
        <w:t>1</w:t>
      </w:r>
      <w:r>
        <w:rPr>
          <w:rFonts w:cs="Times New Roman" w:hint="eastAsia"/>
        </w:rPr>
        <w:t>项等</w:t>
      </w:r>
      <w:r>
        <w:rPr>
          <w:rFonts w:cs="Times New Roman" w:hint="eastAsia"/>
        </w:rPr>
        <w:t>。</w:t>
      </w:r>
      <w:r>
        <w:rPr>
          <w:rFonts w:cs="Times New Roman"/>
        </w:rPr>
        <w:t>井场设备安装首先需进行场地平整，设置施工车辆临时停放场地，将采</w:t>
      </w:r>
      <w:r>
        <w:rPr>
          <w:rFonts w:cs="Times New Roman" w:hint="eastAsia"/>
        </w:rPr>
        <w:t>气</w:t>
      </w:r>
      <w:r>
        <w:rPr>
          <w:rFonts w:cs="Times New Roman"/>
        </w:rPr>
        <w:t>设备或阀组拉运至井场，进行安装调试。地面工程施工结束后，对施工场地临时占地进行平整恢复，清除井场临时占地内水泥基础、各类池体防渗层并进行平整。</w:t>
      </w:r>
    </w:p>
    <w:p w:rsidR="00C645C9" w:rsidRDefault="00F955D9">
      <w:pPr>
        <w:spacing w:line="360" w:lineRule="auto"/>
        <w:ind w:firstLineChars="200" w:firstLine="480"/>
        <w:jc w:val="both"/>
        <w:rPr>
          <w:rFonts w:cs="Times New Roman"/>
        </w:rPr>
      </w:pPr>
      <w:r>
        <w:rPr>
          <w:rFonts w:cs="Times New Roman" w:hint="eastAsia"/>
        </w:rPr>
        <w:t>（</w:t>
      </w:r>
      <w:r>
        <w:rPr>
          <w:rFonts w:cs="Times New Roman" w:hint="eastAsia"/>
        </w:rPr>
        <w:t>2</w:t>
      </w:r>
      <w:r>
        <w:rPr>
          <w:rFonts w:cs="Times New Roman" w:hint="eastAsia"/>
        </w:rPr>
        <w:t>）</w:t>
      </w:r>
      <w:r>
        <w:rPr>
          <w:rFonts w:cs="Times New Roman"/>
        </w:rPr>
        <w:t>钻井</w:t>
      </w:r>
    </w:p>
    <w:p w:rsidR="00C645C9" w:rsidRDefault="00F955D9">
      <w:pPr>
        <w:spacing w:line="360" w:lineRule="auto"/>
        <w:ind w:firstLine="480"/>
        <w:jc w:val="both"/>
        <w:rPr>
          <w:rFonts w:cs="Times New Roman"/>
          <w:szCs w:val="22"/>
        </w:rPr>
      </w:pPr>
      <w:r>
        <w:rPr>
          <w:rFonts w:cs="Times New Roman"/>
        </w:rPr>
        <w:t>工艺包括钻井、固井（下套管、注水泥）和完井等过程。钻井前要进行钻前准备工作，完井后要清理井场。钻前准备：包括平整井场、构筑钻井设备地基</w:t>
      </w:r>
      <w:r>
        <w:rPr>
          <w:rFonts w:cs="Times New Roman" w:hint="eastAsia"/>
        </w:rPr>
        <w:t>和</w:t>
      </w:r>
      <w:r>
        <w:rPr>
          <w:rFonts w:cs="Times New Roman"/>
        </w:rPr>
        <w:t>布置钻井设备等。井场主要钻井设备有：钻机、泥浆罐及泥浆固相控制系统。井场配有控制室（车）。井场边缘靠近泥浆循环系统处设置泥浆罐（钻井期间存放钻井岩屑、废泥浆和废水）。在钻井时，泥浆自井口</w:t>
      </w:r>
      <w:r>
        <w:rPr>
          <w:rFonts w:cs="Times New Roman" w:hint="eastAsia"/>
        </w:rPr>
        <w:t>经</w:t>
      </w:r>
      <w:r>
        <w:rPr>
          <w:rFonts w:cs="Times New Roman"/>
        </w:rPr>
        <w:t>钻杆、钻头至井底，携带井底的岩屑</w:t>
      </w:r>
      <w:r>
        <w:rPr>
          <w:rFonts w:cs="Times New Roman"/>
        </w:rPr>
        <w:t>上返地面，经泥浆固相控制系统除去岩屑后循环使用</w:t>
      </w:r>
      <w:r>
        <w:rPr>
          <w:rFonts w:cs="Times New Roman" w:hint="eastAsia"/>
        </w:rPr>
        <w:t>。</w:t>
      </w:r>
      <w:r>
        <w:rPr>
          <w:rFonts w:cs="Times New Roman"/>
          <w:szCs w:val="22"/>
        </w:rPr>
        <w:t>在钻井过程中，根据钻头磨损情况、地层情况、井深设计及控制要求等需更换钻具而进行起下钻操作。钻杆、</w:t>
      </w:r>
      <w:bookmarkStart w:id="750" w:name="OLE_LINK779"/>
      <w:r>
        <w:rPr>
          <w:rFonts w:cs="Times New Roman"/>
          <w:szCs w:val="22"/>
        </w:rPr>
        <w:t>钻铤</w:t>
      </w:r>
      <w:bookmarkEnd w:id="750"/>
      <w:r>
        <w:rPr>
          <w:rFonts w:cs="Times New Roman"/>
          <w:szCs w:val="22"/>
        </w:rPr>
        <w:t>等钻具</w:t>
      </w:r>
      <w:bookmarkStart w:id="751" w:name="OLE_LINK1176"/>
      <w:r>
        <w:rPr>
          <w:rFonts w:cs="Times New Roman" w:hint="eastAsia"/>
          <w:szCs w:val="22"/>
        </w:rPr>
        <w:t>黏附</w:t>
      </w:r>
      <w:bookmarkEnd w:id="751"/>
      <w:r>
        <w:rPr>
          <w:rFonts w:cs="Times New Roman"/>
          <w:szCs w:val="22"/>
        </w:rPr>
        <w:t>少量的钻井液和钻屑，这部分固体废物排往井场泥浆罐内采用双层套管，水泥返高地面方式进行固井。在完成最后一个井段的钻井和固井后，实施完井作业，如果因未钻获油藏等原因而需弃井时，则封堵井眼，切除地面以下</w:t>
      </w:r>
      <w:r>
        <w:rPr>
          <w:rFonts w:cs="Times New Roman"/>
          <w:szCs w:val="22"/>
        </w:rPr>
        <w:t>1m</w:t>
      </w:r>
      <w:r>
        <w:rPr>
          <w:rFonts w:cs="Times New Roman"/>
          <w:szCs w:val="22"/>
        </w:rPr>
        <w:t>内的套管头。完井后清理井场，随即可开展采油生产或试采。完井后要清运井场废弃物，恢复地貌，做到工完料尽场地清。</w:t>
      </w:r>
    </w:p>
    <w:p w:rsidR="00C645C9" w:rsidRDefault="00F955D9">
      <w:pPr>
        <w:spacing w:line="360" w:lineRule="auto"/>
        <w:ind w:firstLineChars="200" w:firstLine="480"/>
        <w:jc w:val="both"/>
        <w:rPr>
          <w:rFonts w:cs="Times New Roman"/>
        </w:rPr>
      </w:pPr>
      <w:r>
        <w:rPr>
          <w:rFonts w:cs="Times New Roman"/>
        </w:rPr>
        <w:t>本</w:t>
      </w:r>
      <w:r>
        <w:rPr>
          <w:rFonts w:cs="Times New Roman" w:hint="eastAsia"/>
        </w:rPr>
        <w:t>工程</w:t>
      </w:r>
      <w:r>
        <w:rPr>
          <w:rFonts w:cs="Times New Roman"/>
        </w:rPr>
        <w:t>计划部署</w:t>
      </w:r>
      <w:r>
        <w:rPr>
          <w:rFonts w:cs="Times New Roman" w:hint="eastAsia"/>
        </w:rPr>
        <w:t>2</w:t>
      </w:r>
      <w:r>
        <w:rPr>
          <w:rFonts w:cs="Times New Roman"/>
        </w:rPr>
        <w:t>口井，其中</w:t>
      </w:r>
      <w:r>
        <w:rPr>
          <w:rFonts w:cs="Times New Roman" w:hint="eastAsia"/>
        </w:rPr>
        <w:t>老井侧钻井</w:t>
      </w:r>
      <w:r>
        <w:rPr>
          <w:rFonts w:cs="Times New Roman" w:hint="eastAsia"/>
        </w:rPr>
        <w:t>1</w:t>
      </w:r>
      <w:r>
        <w:rPr>
          <w:rFonts w:cs="Times New Roman" w:hint="eastAsia"/>
        </w:rPr>
        <w:t>口，</w:t>
      </w:r>
      <w:r>
        <w:rPr>
          <w:rFonts w:cs="Times New Roman"/>
        </w:rPr>
        <w:t>新钻井</w:t>
      </w:r>
      <w:r>
        <w:rPr>
          <w:rFonts w:cs="Times New Roman"/>
        </w:rPr>
        <w:t>1</w:t>
      </w:r>
      <w:r>
        <w:rPr>
          <w:rFonts w:cs="Times New Roman"/>
        </w:rPr>
        <w:t>口。</w:t>
      </w:r>
      <w:bookmarkStart w:id="752" w:name="OLE_LINK1337"/>
      <w:r>
        <w:rPr>
          <w:rFonts w:cs="Times New Roman" w:hint="eastAsia"/>
        </w:rPr>
        <w:t>本工程</w:t>
      </w:r>
      <w:r>
        <w:rPr>
          <w:rFonts w:cs="Times New Roman"/>
        </w:rPr>
        <w:t>总进尺</w:t>
      </w:r>
      <w:r>
        <w:rPr>
          <w:rFonts w:cs="Times New Roman"/>
        </w:rPr>
        <w:t>7445.53m</w:t>
      </w:r>
      <w:bookmarkEnd w:id="752"/>
      <w:r>
        <w:rPr>
          <w:rFonts w:cs="Times New Roman" w:hint="eastAsia"/>
        </w:rPr>
        <w:t>。</w:t>
      </w:r>
    </w:p>
    <w:p w:rsidR="00C645C9" w:rsidRDefault="00F955D9">
      <w:pPr>
        <w:spacing w:line="360" w:lineRule="auto"/>
        <w:ind w:firstLineChars="200" w:firstLine="480"/>
        <w:jc w:val="both"/>
        <w:rPr>
          <w:rFonts w:cs="Times New Roman"/>
        </w:rPr>
      </w:pPr>
      <w:r>
        <w:rPr>
          <w:rFonts w:cs="Times New Roman" w:hint="eastAsia"/>
        </w:rPr>
        <w:t>（</w:t>
      </w:r>
      <w:r>
        <w:rPr>
          <w:rFonts w:cs="Times New Roman" w:hint="eastAsia"/>
        </w:rPr>
        <w:t>3</w:t>
      </w:r>
      <w:r>
        <w:rPr>
          <w:rFonts w:cs="Times New Roman" w:hint="eastAsia"/>
        </w:rPr>
        <w:t>）</w:t>
      </w:r>
      <w:r>
        <w:rPr>
          <w:rFonts w:cs="Times New Roman" w:hint="eastAsia"/>
        </w:rPr>
        <w:t>测井</w:t>
      </w:r>
    </w:p>
    <w:p w:rsidR="00C645C9" w:rsidRDefault="00F955D9">
      <w:pPr>
        <w:pStyle w:val="a5"/>
        <w:ind w:firstLineChars="200" w:firstLine="480"/>
      </w:pPr>
      <w:r>
        <w:rPr>
          <w:rFonts w:ascii="Times New Roman" w:hAnsi="Times New Roman" w:cs="Times New Roman"/>
        </w:rPr>
        <w:t>在钻井过程中需利用电测、声波幅度测井或使用测井仪等方法，测定井斜和固井质量，判断油气层位置等，以便及时采取相应措施，保证钻井质量，即为测</w:t>
      </w:r>
      <w:r>
        <w:rPr>
          <w:rFonts w:ascii="Times New Roman" w:hAnsi="Times New Roman" w:cs="Times New Roman"/>
        </w:rPr>
        <w:lastRenderedPageBreak/>
        <w:t>井作业。测井就是在钻井过程中及钻井完成以后，利用测量地层电阻、自然电位、声波、声幅及放射性等方式确定含油层位，检查固井质量并确定射孔层位等</w:t>
      </w:r>
      <w:r>
        <w:rPr>
          <w:rFonts w:ascii="Times New Roman" w:hAnsi="Times New Roman" w:cs="Times New Roman" w:hint="eastAsia"/>
        </w:rPr>
        <w:t>。</w:t>
      </w:r>
    </w:p>
    <w:p w:rsidR="00C645C9" w:rsidRDefault="00F955D9">
      <w:pPr>
        <w:spacing w:line="360" w:lineRule="auto"/>
        <w:ind w:firstLineChars="200" w:firstLine="480"/>
        <w:jc w:val="both"/>
        <w:rPr>
          <w:rFonts w:cs="Times New Roman"/>
        </w:rPr>
      </w:pPr>
      <w:bookmarkStart w:id="753" w:name="OLE_LINK778"/>
      <w:r>
        <w:rPr>
          <w:rFonts w:cs="Times New Roman" w:hint="eastAsia"/>
        </w:rPr>
        <w:t>（</w:t>
      </w:r>
      <w:r>
        <w:rPr>
          <w:rFonts w:cs="Times New Roman" w:hint="eastAsia"/>
        </w:rPr>
        <w:t>4</w:t>
      </w:r>
      <w:r>
        <w:rPr>
          <w:rFonts w:cs="Times New Roman" w:hint="eastAsia"/>
        </w:rPr>
        <w:t>）</w:t>
      </w:r>
      <w:r>
        <w:rPr>
          <w:rFonts w:cs="Times New Roman"/>
        </w:rPr>
        <w:t>管线建设</w:t>
      </w:r>
    </w:p>
    <w:bookmarkEnd w:id="753"/>
    <w:p w:rsidR="00C645C9" w:rsidRDefault="00F955D9">
      <w:pPr>
        <w:spacing w:line="360" w:lineRule="auto"/>
        <w:ind w:firstLineChars="200" w:firstLine="480"/>
        <w:jc w:val="both"/>
        <w:rPr>
          <w:rFonts w:cs="Times New Roman"/>
        </w:rPr>
      </w:pPr>
      <w:r>
        <w:rPr>
          <w:rFonts w:cs="Times New Roman"/>
        </w:rPr>
        <w:t>管线施工工艺流程详见图</w:t>
      </w:r>
      <w:r>
        <w:rPr>
          <w:rFonts w:cs="Times New Roman"/>
        </w:rPr>
        <w:t>3.</w:t>
      </w:r>
      <w:r>
        <w:rPr>
          <w:rFonts w:cs="Times New Roman" w:hint="eastAsia"/>
        </w:rPr>
        <w:t>3</w:t>
      </w:r>
      <w:r>
        <w:rPr>
          <w:rFonts w:cs="Times New Roman"/>
        </w:rPr>
        <w:t>-</w:t>
      </w:r>
      <w:r>
        <w:rPr>
          <w:rFonts w:cs="Times New Roman" w:hint="eastAsia"/>
        </w:rPr>
        <w:t>1</w:t>
      </w:r>
      <w:r>
        <w:rPr>
          <w:rFonts w:cs="Times New Roman"/>
        </w:rPr>
        <w:t>。</w:t>
      </w:r>
    </w:p>
    <w:p w:rsidR="00C645C9" w:rsidRDefault="00C645C9">
      <w:pPr>
        <w:adjustRightInd w:val="0"/>
        <w:snapToGrid w:val="0"/>
        <w:jc w:val="center"/>
        <w:rPr>
          <w:rFonts w:cs="Times New Roman"/>
        </w:rPr>
      </w:pPr>
    </w:p>
    <w:p w:rsidR="00C645C9" w:rsidRDefault="00F955D9">
      <w:pPr>
        <w:adjustRightInd w:val="0"/>
        <w:snapToGrid w:val="0"/>
        <w:jc w:val="center"/>
        <w:rPr>
          <w:rFonts w:eastAsia="黑体" w:cs="Times New Roman"/>
          <w:sz w:val="21"/>
          <w:szCs w:val="21"/>
        </w:rPr>
      </w:pPr>
      <w:r>
        <w:rPr>
          <w:rFonts w:eastAsia="黑体" w:cs="Times New Roman"/>
          <w:sz w:val="21"/>
          <w:szCs w:val="21"/>
        </w:rPr>
        <w:t>图</w:t>
      </w:r>
      <w:r>
        <w:rPr>
          <w:rFonts w:eastAsia="黑体" w:cs="Times New Roman"/>
          <w:sz w:val="21"/>
          <w:szCs w:val="21"/>
        </w:rPr>
        <w:t>3.</w:t>
      </w:r>
      <w:r>
        <w:rPr>
          <w:rFonts w:eastAsia="黑体" w:cs="Times New Roman" w:hint="eastAsia"/>
          <w:sz w:val="21"/>
          <w:szCs w:val="21"/>
        </w:rPr>
        <w:t>3-1</w:t>
      </w:r>
      <w:r>
        <w:rPr>
          <w:rFonts w:eastAsia="黑体" w:cs="Times New Roman"/>
          <w:sz w:val="21"/>
          <w:szCs w:val="21"/>
        </w:rPr>
        <w:t xml:space="preserve">    </w:t>
      </w:r>
      <w:r>
        <w:rPr>
          <w:rFonts w:eastAsia="黑体" w:cs="Times New Roman"/>
          <w:sz w:val="21"/>
          <w:szCs w:val="21"/>
        </w:rPr>
        <w:t>管线施工工艺流程及产污环节示意图</w:t>
      </w:r>
    </w:p>
    <w:p w:rsidR="00C645C9" w:rsidRDefault="00C645C9">
      <w:pPr>
        <w:keepLines/>
        <w:adjustRightInd w:val="0"/>
        <w:snapToGrid w:val="0"/>
        <w:spacing w:line="360" w:lineRule="auto"/>
        <w:jc w:val="both"/>
        <w:rPr>
          <w:rFonts w:cs="Times New Roman"/>
          <w:b/>
          <w:szCs w:val="22"/>
        </w:rPr>
      </w:pPr>
    </w:p>
    <w:p w:rsidR="00C645C9" w:rsidRDefault="00F955D9">
      <w:pPr>
        <w:keepLines/>
        <w:adjustRightInd w:val="0"/>
        <w:snapToGrid w:val="0"/>
        <w:spacing w:line="360" w:lineRule="auto"/>
        <w:jc w:val="both"/>
        <w:outlineLvl w:val="3"/>
        <w:rPr>
          <w:rFonts w:cs="Times New Roman"/>
          <w:b/>
          <w:szCs w:val="22"/>
        </w:rPr>
      </w:pPr>
      <w:r>
        <w:rPr>
          <w:rFonts w:cs="Times New Roman"/>
          <w:b/>
          <w:szCs w:val="22"/>
        </w:rPr>
        <w:t>3.</w:t>
      </w:r>
      <w:r>
        <w:rPr>
          <w:rFonts w:cs="Times New Roman" w:hint="eastAsia"/>
          <w:b/>
          <w:szCs w:val="22"/>
        </w:rPr>
        <w:t>3</w:t>
      </w:r>
      <w:r>
        <w:rPr>
          <w:rFonts w:cs="Times New Roman"/>
          <w:b/>
          <w:szCs w:val="22"/>
        </w:rPr>
        <w:t>.1.</w:t>
      </w:r>
      <w:r>
        <w:rPr>
          <w:rFonts w:cs="Times New Roman"/>
          <w:b/>
          <w:szCs w:val="22"/>
        </w:rPr>
        <w:t>2</w:t>
      </w:r>
      <w:r>
        <w:rPr>
          <w:rFonts w:cs="Times New Roman"/>
          <w:b/>
          <w:szCs w:val="22"/>
        </w:rPr>
        <w:t>运营期</w:t>
      </w:r>
    </w:p>
    <w:p w:rsidR="00C645C9" w:rsidRDefault="00F955D9">
      <w:pPr>
        <w:pStyle w:val="a5"/>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采气工程</w:t>
      </w:r>
    </w:p>
    <w:p w:rsidR="00C645C9" w:rsidRDefault="00F955D9">
      <w:pPr>
        <w:spacing w:line="360" w:lineRule="auto"/>
        <w:ind w:firstLineChars="200" w:firstLine="496"/>
        <w:jc w:val="both"/>
        <w:rPr>
          <w:rFonts w:cs="Times New Roman"/>
        </w:rPr>
      </w:pPr>
      <w:r>
        <w:rPr>
          <w:rFonts w:cs="Times New Roman"/>
          <w:spacing w:val="4"/>
          <w:kern w:val="24"/>
          <w:szCs w:val="22"/>
        </w:rPr>
        <w:t>本工程开发方式采用衰竭式开发，</w:t>
      </w:r>
      <w:bookmarkStart w:id="754" w:name="OLE_LINK277"/>
      <w:r>
        <w:rPr>
          <w:rFonts w:cs="Times New Roman"/>
          <w:spacing w:val="4"/>
          <w:kern w:val="24"/>
          <w:szCs w:val="22"/>
        </w:rPr>
        <w:t>开发层</w:t>
      </w:r>
      <w:bookmarkEnd w:id="754"/>
      <w:r>
        <w:rPr>
          <w:rFonts w:cs="Times New Roman"/>
          <w:spacing w:val="4"/>
          <w:kern w:val="24"/>
          <w:szCs w:val="22"/>
        </w:rPr>
        <w:t>系为白垩系巴什基奇克组</w:t>
      </w:r>
      <w:r>
        <w:rPr>
          <w:rFonts w:cs="Times New Roman"/>
          <w:szCs w:val="22"/>
        </w:rPr>
        <w:t>。</w:t>
      </w:r>
    </w:p>
    <w:p w:rsidR="00C645C9" w:rsidRDefault="00F955D9">
      <w:pPr>
        <w:pStyle w:val="a5"/>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井下作业</w:t>
      </w:r>
    </w:p>
    <w:p w:rsidR="00C645C9" w:rsidRDefault="00F955D9">
      <w:pPr>
        <w:pStyle w:val="a5"/>
        <w:ind w:firstLineChars="200" w:firstLine="480"/>
        <w:rPr>
          <w:rFonts w:ascii="Times New Roman" w:hAnsi="Times New Roman" w:cs="Times New Roman"/>
        </w:rPr>
      </w:pPr>
      <w:r>
        <w:rPr>
          <w:rFonts w:ascii="Times New Roman" w:hAnsi="Times New Roman" w:cs="Times New Roman"/>
        </w:rPr>
        <w:t>井下作业是进行采油生产的重要手段之一。一般在采油井投产前及投产以后进行，一般包括酸化、压裂、下泵、试油、洗井、修井、除砂、清蜡等一系列工艺过程。本工程井下作业主要为洗井、修井等，一般不进行酸化、压裂。</w:t>
      </w:r>
    </w:p>
    <w:p w:rsidR="00C645C9" w:rsidRDefault="00F955D9">
      <w:pPr>
        <w:pStyle w:val="a5"/>
        <w:ind w:firstLineChars="200" w:firstLine="480"/>
        <w:rPr>
          <w:rFonts w:ascii="Times New Roman" w:hAnsi="Times New Roman" w:cs="Times New Roman"/>
        </w:rPr>
      </w:pPr>
      <w:r>
        <w:rPr>
          <w:rFonts w:ascii="Times New Roman" w:hAnsi="Times New Roman" w:cs="Times New Roman"/>
          <w:szCs w:val="20"/>
        </w:rPr>
        <w:t>（</w:t>
      </w:r>
      <w:r>
        <w:rPr>
          <w:rFonts w:ascii="Times New Roman" w:hAnsi="Times New Roman" w:cs="Times New Roman"/>
          <w:szCs w:val="20"/>
        </w:rPr>
        <w:t>3</w:t>
      </w:r>
      <w:r>
        <w:rPr>
          <w:rFonts w:ascii="Times New Roman" w:hAnsi="Times New Roman" w:cs="Times New Roman"/>
          <w:szCs w:val="20"/>
        </w:rPr>
        <w:t>）</w:t>
      </w:r>
      <w:bookmarkStart w:id="755" w:name="OLE_LINK780"/>
      <w:r>
        <w:rPr>
          <w:rFonts w:ascii="Times New Roman" w:hAnsi="Times New Roman" w:cs="Times New Roman"/>
        </w:rPr>
        <w:t>井场油气处理</w:t>
      </w:r>
      <w:bookmarkEnd w:id="755"/>
    </w:p>
    <w:p w:rsidR="00C645C9" w:rsidRDefault="00F955D9">
      <w:pPr>
        <w:pStyle w:val="a5"/>
        <w:ind w:firstLineChars="200" w:firstLine="480"/>
        <w:rPr>
          <w:rFonts w:ascii="Times New Roman" w:hAnsi="Times New Roman" w:cs="Times New Roman"/>
          <w:bCs/>
        </w:rPr>
      </w:pPr>
      <w:r>
        <w:rPr>
          <w:rFonts w:hint="eastAsia"/>
        </w:rPr>
        <w:t>本工程工艺流程</w:t>
      </w:r>
      <w:r>
        <w:rPr>
          <w:rFonts w:hint="eastAsia"/>
        </w:rPr>
        <w:t>为</w:t>
      </w:r>
      <w:r>
        <w:rPr>
          <w:rFonts w:hint="eastAsia"/>
        </w:rPr>
        <w:t>单井油气经油嘴后</w:t>
      </w:r>
      <w:r>
        <w:rPr>
          <w:rFonts w:hint="eastAsia"/>
        </w:rPr>
        <w:t>，</w:t>
      </w:r>
      <w:r>
        <w:rPr>
          <w:rFonts w:hint="eastAsia"/>
        </w:rPr>
        <w:t>加热至</w:t>
      </w:r>
      <w:r>
        <w:rPr>
          <w:rFonts w:hint="eastAsia"/>
        </w:rPr>
        <w:t>20</w:t>
      </w:r>
      <w:r>
        <w:rPr>
          <w:rFonts w:hint="eastAsia"/>
        </w:rPr>
        <w:t>℃进分离器分离，液经分离后进储集器缓冲装车外运</w:t>
      </w:r>
      <w:r>
        <w:rPr>
          <w:rFonts w:hint="eastAsia"/>
        </w:rPr>
        <w:t>至</w:t>
      </w:r>
      <w:r>
        <w:rPr>
          <w:rFonts w:ascii="Times New Roman" w:hAnsi="Times New Roman" w:cs="Times New Roman"/>
        </w:rPr>
        <w:t>雅克拉集气处理站处理</w:t>
      </w:r>
      <w:r>
        <w:rPr>
          <w:rFonts w:hint="eastAsia"/>
        </w:rPr>
        <w:t>，天然气分子筛脱水后进三股流换热器</w:t>
      </w:r>
      <w:r>
        <w:rPr>
          <w:rFonts w:hint="eastAsia"/>
        </w:rPr>
        <w:t>+J-T</w:t>
      </w:r>
      <w:r>
        <w:rPr>
          <w:rFonts w:hint="eastAsia"/>
        </w:rPr>
        <w:t>阀制冷脱烃，净化天然气经调压计量后</w:t>
      </w:r>
      <w:r>
        <w:rPr>
          <w:rFonts w:hint="eastAsia"/>
        </w:rPr>
        <w:t>销售给地方企业</w:t>
      </w:r>
      <w:r>
        <w:rPr>
          <w:rFonts w:hint="eastAsia"/>
        </w:rPr>
        <w:t>。预留冰机</w:t>
      </w:r>
      <w:r>
        <w:rPr>
          <w:rFonts w:hint="eastAsia"/>
        </w:rPr>
        <w:t>、</w:t>
      </w:r>
      <w:r>
        <w:rPr>
          <w:rFonts w:hint="eastAsia"/>
        </w:rPr>
        <w:t>混烃回收接口</w:t>
      </w:r>
      <w:r>
        <w:rPr>
          <w:rFonts w:hint="eastAsia"/>
        </w:rPr>
        <w:t>以及混烃储罐。凝析油装车时的</w:t>
      </w:r>
      <w:r>
        <w:rPr>
          <w:rFonts w:hint="eastAsia"/>
        </w:rPr>
        <w:t>VOCs</w:t>
      </w:r>
      <w:r>
        <w:rPr>
          <w:rFonts w:hint="eastAsia"/>
        </w:rPr>
        <w:t>通过密闭装车鹤管返回加热炉炉膛伴烧，事故状态下去往井场火炬放空燃烧处理。井场加热炉用气来源于天然气处理装置处理后的反输天然气。</w:t>
      </w:r>
    </w:p>
    <w:p w:rsidR="00C645C9" w:rsidRDefault="00C645C9">
      <w:pPr>
        <w:pStyle w:val="24"/>
        <w:adjustRightInd w:val="0"/>
        <w:snapToGrid w:val="0"/>
        <w:spacing w:after="0"/>
        <w:ind w:leftChars="0" w:left="0" w:firstLineChars="0" w:firstLine="0"/>
        <w:rPr>
          <w:b w:val="0"/>
          <w:bCs/>
          <w:sz w:val="24"/>
          <w:szCs w:val="24"/>
        </w:rPr>
      </w:pPr>
    </w:p>
    <w:p w:rsidR="00C645C9" w:rsidRDefault="00F955D9">
      <w:pPr>
        <w:pStyle w:val="a6"/>
        <w:adjustRightInd w:val="0"/>
        <w:snapToGrid w:val="0"/>
        <w:spacing w:line="240" w:lineRule="auto"/>
        <w:ind w:firstLineChars="0" w:firstLine="0"/>
        <w:jc w:val="center"/>
      </w:pPr>
      <w:r>
        <w:rPr>
          <w:rFonts w:eastAsia="黑体"/>
          <w:sz w:val="21"/>
          <w:szCs w:val="21"/>
          <w:lang w:bidi="ar"/>
        </w:rPr>
        <w:t>图</w:t>
      </w:r>
      <w:bookmarkStart w:id="756" w:name="OLE_LINK276"/>
      <w:r>
        <w:rPr>
          <w:rFonts w:eastAsia="黑体"/>
          <w:sz w:val="21"/>
          <w:szCs w:val="21"/>
          <w:lang w:bidi="ar"/>
        </w:rPr>
        <w:t>3.</w:t>
      </w:r>
      <w:bookmarkEnd w:id="756"/>
      <w:r>
        <w:rPr>
          <w:rFonts w:eastAsia="黑体" w:hint="eastAsia"/>
          <w:sz w:val="21"/>
          <w:szCs w:val="21"/>
          <w:lang w:bidi="ar"/>
        </w:rPr>
        <w:t>3-2</w:t>
      </w:r>
      <w:r>
        <w:rPr>
          <w:rFonts w:eastAsia="黑体"/>
          <w:sz w:val="21"/>
          <w:szCs w:val="21"/>
          <w:lang w:bidi="ar"/>
        </w:rPr>
        <w:t xml:space="preserve">   </w:t>
      </w:r>
      <w:r>
        <w:rPr>
          <w:rFonts w:eastAsia="黑体"/>
          <w:snapToGrid w:val="0"/>
          <w:sz w:val="21"/>
        </w:rPr>
        <w:t>新北</w:t>
      </w:r>
      <w:r>
        <w:rPr>
          <w:rFonts w:eastAsia="黑体"/>
          <w:snapToGrid w:val="0"/>
          <w:sz w:val="21"/>
        </w:rPr>
        <w:t>1X</w:t>
      </w:r>
      <w:r>
        <w:rPr>
          <w:rFonts w:eastAsia="黑体" w:hint="eastAsia"/>
          <w:snapToGrid w:val="0"/>
          <w:sz w:val="21"/>
        </w:rPr>
        <w:t>井场工艺流程</w:t>
      </w:r>
      <w:r>
        <w:rPr>
          <w:rFonts w:eastAsia="黑体"/>
          <w:snapToGrid w:val="0"/>
          <w:sz w:val="21"/>
        </w:rPr>
        <w:t>图</w:t>
      </w:r>
    </w:p>
    <w:p w:rsidR="00C645C9" w:rsidRDefault="00F955D9">
      <w:pPr>
        <w:keepLines/>
        <w:adjustRightInd w:val="0"/>
        <w:snapToGrid w:val="0"/>
        <w:spacing w:line="360" w:lineRule="auto"/>
        <w:jc w:val="both"/>
        <w:outlineLvl w:val="3"/>
        <w:rPr>
          <w:rFonts w:cs="Times New Roman"/>
          <w:b/>
          <w:szCs w:val="22"/>
        </w:rPr>
      </w:pPr>
      <w:r>
        <w:rPr>
          <w:rFonts w:cs="Times New Roman"/>
          <w:b/>
          <w:szCs w:val="22"/>
        </w:rPr>
        <w:t>3.</w:t>
      </w:r>
      <w:r>
        <w:rPr>
          <w:rFonts w:cs="Times New Roman" w:hint="eastAsia"/>
          <w:b/>
          <w:szCs w:val="22"/>
        </w:rPr>
        <w:t>3</w:t>
      </w:r>
      <w:r>
        <w:rPr>
          <w:rFonts w:cs="Times New Roman"/>
          <w:b/>
          <w:szCs w:val="22"/>
        </w:rPr>
        <w:t>.1.</w:t>
      </w:r>
      <w:r>
        <w:rPr>
          <w:rFonts w:cs="Times New Roman"/>
          <w:b/>
          <w:szCs w:val="22"/>
        </w:rPr>
        <w:t>3</w:t>
      </w:r>
      <w:r>
        <w:rPr>
          <w:rFonts w:cs="Times New Roman"/>
          <w:b/>
          <w:szCs w:val="22"/>
        </w:rPr>
        <w:t>退役期</w:t>
      </w:r>
    </w:p>
    <w:p w:rsidR="00C645C9" w:rsidRDefault="00F955D9">
      <w:pPr>
        <w:spacing w:line="360" w:lineRule="auto"/>
        <w:ind w:firstLineChars="200" w:firstLine="496"/>
        <w:jc w:val="both"/>
        <w:rPr>
          <w:rFonts w:cs="Times New Roman"/>
          <w:spacing w:val="4"/>
          <w:kern w:val="24"/>
          <w:szCs w:val="22"/>
        </w:rPr>
      </w:pPr>
      <w:r>
        <w:rPr>
          <w:rFonts w:cs="Times New Roman"/>
          <w:spacing w:val="4"/>
          <w:kern w:val="24"/>
          <w:szCs w:val="22"/>
        </w:rPr>
        <w:t>随着石油天然气开采的不断进行，其储量逐渐下降，最终井区将进入退役期。</w:t>
      </w:r>
    </w:p>
    <w:p w:rsidR="00C645C9" w:rsidRDefault="00F955D9">
      <w:pPr>
        <w:spacing w:line="360" w:lineRule="auto"/>
        <w:ind w:firstLineChars="200" w:firstLine="496"/>
        <w:jc w:val="both"/>
        <w:rPr>
          <w:rFonts w:cs="Times New Roman"/>
          <w:spacing w:val="4"/>
          <w:kern w:val="24"/>
          <w:szCs w:val="22"/>
        </w:rPr>
      </w:pPr>
      <w:r>
        <w:rPr>
          <w:rFonts w:cs="Times New Roman"/>
          <w:spacing w:val="4"/>
          <w:kern w:val="24"/>
          <w:szCs w:val="22"/>
        </w:rPr>
        <w:t>首先采用清水清洗注水通道，然后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rsidR="00C645C9" w:rsidRDefault="00F955D9">
      <w:pPr>
        <w:spacing w:line="360" w:lineRule="auto"/>
        <w:ind w:firstLineChars="200" w:firstLine="496"/>
        <w:jc w:val="both"/>
        <w:rPr>
          <w:rFonts w:cs="Times New Roman"/>
          <w:spacing w:val="4"/>
          <w:kern w:val="24"/>
          <w:szCs w:val="22"/>
        </w:rPr>
      </w:pPr>
      <w:r>
        <w:rPr>
          <w:rFonts w:cs="Times New Roman"/>
          <w:spacing w:val="4"/>
          <w:kern w:val="24"/>
          <w:szCs w:val="22"/>
        </w:rPr>
        <w:lastRenderedPageBreak/>
        <w:t>完成封井后，拆除井口装置，地下截去一定深度的表层套管；将永久性占地范围内的水泥平台或砂砾石铺垫清理，清除各种固体废物。然后根据周</w:t>
      </w:r>
      <w:r>
        <w:rPr>
          <w:rFonts w:cs="Times New Roman"/>
          <w:spacing w:val="4"/>
          <w:kern w:val="24"/>
          <w:szCs w:val="22"/>
        </w:rPr>
        <w:t>边区域的自然现状对其进行恢复，使井场恢复到相对自然的一种状态。保证对各类废弃井采取的固井、封井措施有效可行，防止发生油水窜层。</w:t>
      </w:r>
    </w:p>
    <w:p w:rsidR="00C645C9" w:rsidRDefault="00F955D9">
      <w:pPr>
        <w:pStyle w:val="a5"/>
        <w:outlineLvl w:val="3"/>
        <w:rPr>
          <w:rFonts w:ascii="Times New Roman" w:hAnsi="Times New Roman" w:cs="Times New Roman"/>
          <w:b/>
          <w:bCs/>
        </w:rPr>
      </w:pPr>
      <w:r>
        <w:rPr>
          <w:rFonts w:ascii="Times New Roman" w:hAnsi="Times New Roman" w:cs="Times New Roman"/>
          <w:b/>
          <w:bCs/>
        </w:rPr>
        <w:t>3.</w:t>
      </w:r>
      <w:r>
        <w:rPr>
          <w:rFonts w:ascii="Times New Roman" w:hAnsi="Times New Roman" w:cs="Times New Roman" w:hint="eastAsia"/>
          <w:b/>
          <w:bCs/>
        </w:rPr>
        <w:t>3</w:t>
      </w:r>
      <w:r>
        <w:rPr>
          <w:rFonts w:ascii="Times New Roman" w:hAnsi="Times New Roman" w:cs="Times New Roman"/>
          <w:b/>
          <w:bCs/>
        </w:rPr>
        <w:t>.1.</w:t>
      </w:r>
      <w:r>
        <w:rPr>
          <w:rFonts w:ascii="Times New Roman" w:hAnsi="Times New Roman" w:cs="Times New Roman"/>
          <w:b/>
          <w:bCs/>
        </w:rPr>
        <w:t>4</w:t>
      </w:r>
      <w:r>
        <w:rPr>
          <w:rFonts w:ascii="Times New Roman" w:hAnsi="Times New Roman" w:cs="Times New Roman"/>
          <w:b/>
          <w:bCs/>
        </w:rPr>
        <w:t>环境影响因素分析</w:t>
      </w:r>
    </w:p>
    <w:p w:rsidR="00C645C9" w:rsidRDefault="00F955D9">
      <w:pPr>
        <w:pStyle w:val="a5"/>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建设可分为</w:t>
      </w:r>
      <w:r>
        <w:rPr>
          <w:rFonts w:ascii="Times New Roman" w:hAnsi="Times New Roman" w:cs="Times New Roman"/>
        </w:rPr>
        <w:t>施工期</w:t>
      </w:r>
      <w:r>
        <w:rPr>
          <w:rFonts w:ascii="Times New Roman" w:hAnsi="Times New Roman" w:cs="Times New Roman"/>
        </w:rPr>
        <w:t>、</w:t>
      </w:r>
      <w:r>
        <w:rPr>
          <w:rFonts w:ascii="Times New Roman" w:hAnsi="Times New Roman" w:cs="Times New Roman"/>
        </w:rPr>
        <w:t>运营期</w:t>
      </w:r>
      <w:r>
        <w:rPr>
          <w:rFonts w:ascii="Times New Roman" w:hAnsi="Times New Roman" w:cs="Times New Roman"/>
        </w:rPr>
        <w:t>、退役期三个阶段。</w:t>
      </w:r>
    </w:p>
    <w:p w:rsidR="00C645C9" w:rsidRDefault="00F955D9">
      <w:pPr>
        <w:pStyle w:val="a5"/>
        <w:ind w:firstLineChars="200" w:firstLine="480"/>
        <w:rPr>
          <w:rFonts w:ascii="Times New Roman" w:hAnsi="Times New Roman" w:cs="Times New Roman"/>
        </w:rPr>
      </w:pPr>
      <w:r>
        <w:rPr>
          <w:rFonts w:ascii="Times New Roman" w:hAnsi="Times New Roman" w:cs="Times New Roman"/>
        </w:rPr>
        <w:t>施工期</w:t>
      </w:r>
      <w:r>
        <w:rPr>
          <w:rFonts w:ascii="Times New Roman" w:hAnsi="Times New Roman" w:cs="Times New Roman"/>
        </w:rPr>
        <w:t>环境影响的特点是持续时间短，破坏性强，在</w:t>
      </w: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建设结束后，可在一定时期消失；但如果污染防治和生态保护措施不当，可能持续很长时间，并且不可逆转，例如对生态环境的破坏。</w:t>
      </w:r>
      <w:r>
        <w:rPr>
          <w:rFonts w:ascii="Times New Roman" w:hAnsi="Times New Roman" w:cs="Times New Roman"/>
        </w:rPr>
        <w:t>运营期</w:t>
      </w:r>
      <w:r>
        <w:rPr>
          <w:rFonts w:ascii="Times New Roman" w:hAnsi="Times New Roman" w:cs="Times New Roman"/>
        </w:rPr>
        <w:t>环境影响持续时间长，并随着产能规模的增加而加大，贯穿于整个运营期。</w:t>
      </w:r>
      <w:r>
        <w:rPr>
          <w:rFonts w:ascii="Times New Roman" w:hAnsi="Times New Roman" w:cs="Times New Roman"/>
        </w:rPr>
        <w:t>退役期</w:t>
      </w:r>
      <w:r>
        <w:rPr>
          <w:rFonts w:ascii="Times New Roman" w:hAnsi="Times New Roman" w:cs="Times New Roman"/>
        </w:rPr>
        <w:t>后，如果封井和井场处置等措施得当，环境影响将很小；反之若出现封井不严，可能导致地下残余油水外溢等事故发生，产生局部环境污染。</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包括</w:t>
      </w:r>
      <w:r>
        <w:rPr>
          <w:rFonts w:ascii="Times New Roman" w:hAnsi="Times New Roman" w:cs="Times New Roman" w:hint="eastAsia"/>
        </w:rPr>
        <w:t>钻井工程、</w:t>
      </w:r>
      <w:r>
        <w:rPr>
          <w:rFonts w:ascii="Times New Roman" w:hAnsi="Times New Roman" w:cs="Times New Roman"/>
        </w:rPr>
        <w:t>地面工程建设、采油（气）、</w:t>
      </w:r>
      <w:r>
        <w:rPr>
          <w:rFonts w:ascii="Times New Roman" w:hAnsi="Times New Roman" w:cs="Times New Roman" w:hint="eastAsia"/>
        </w:rPr>
        <w:t>拉油</w:t>
      </w:r>
      <w:r>
        <w:rPr>
          <w:rFonts w:ascii="Times New Roman" w:hAnsi="Times New Roman" w:cs="Times New Roman"/>
        </w:rPr>
        <w:t>等施工作业内容，基本属于开发</w:t>
      </w:r>
      <w:r>
        <w:rPr>
          <w:rFonts w:ascii="Times New Roman" w:hAnsi="Times New Roman" w:cs="Times New Roman"/>
        </w:rPr>
        <w:t>施工期</w:t>
      </w:r>
      <w:r>
        <w:rPr>
          <w:rFonts w:ascii="Times New Roman" w:hAnsi="Times New Roman" w:cs="Times New Roman"/>
        </w:rPr>
        <w:t>和生产运营期的建设活动。其环境影响因素主要来源于</w:t>
      </w:r>
      <w:r>
        <w:rPr>
          <w:rFonts w:ascii="Times New Roman" w:hAnsi="Times New Roman" w:cs="Times New Roman" w:hint="eastAsia"/>
        </w:rPr>
        <w:t>气</w:t>
      </w:r>
      <w:r>
        <w:rPr>
          <w:rFonts w:ascii="Times New Roman" w:hAnsi="Times New Roman" w:cs="Times New Roman"/>
        </w:rPr>
        <w:t>井及与其相关采气、井下作业、油气</w:t>
      </w:r>
      <w:r>
        <w:rPr>
          <w:rFonts w:ascii="Times New Roman" w:hAnsi="Times New Roman" w:cs="Times New Roman" w:hint="eastAsia"/>
        </w:rPr>
        <w:t>分离及</w:t>
      </w:r>
      <w:r>
        <w:rPr>
          <w:rFonts w:ascii="Times New Roman" w:hAnsi="Times New Roman" w:cs="Times New Roman"/>
        </w:rPr>
        <w:t>储运等各工艺过程，影响结果包括非污染生态影响，以及排放的污染物质导致的环境污染，详见图</w:t>
      </w:r>
      <w:r>
        <w:rPr>
          <w:rFonts w:ascii="Times New Roman" w:hAnsi="Times New Roman" w:cs="Times New Roman"/>
        </w:rPr>
        <w:t>3.</w:t>
      </w:r>
      <w:r>
        <w:rPr>
          <w:rFonts w:ascii="Times New Roman" w:hAnsi="Times New Roman" w:cs="Times New Roman" w:hint="eastAsia"/>
        </w:rPr>
        <w:t>3-3</w:t>
      </w:r>
      <w:r>
        <w:rPr>
          <w:rFonts w:ascii="Times New Roman" w:hAnsi="Times New Roman" w:cs="Times New Roman"/>
        </w:rPr>
        <w:t>。</w:t>
      </w:r>
    </w:p>
    <w:p w:rsidR="00C645C9" w:rsidRDefault="00C645C9">
      <w:pPr>
        <w:pStyle w:val="a5"/>
        <w:spacing w:before="64" w:line="233" w:lineRule="auto"/>
        <w:ind w:left="119"/>
        <w:jc w:val="center"/>
        <w:rPr>
          <w:rFonts w:ascii="Times New Roman" w:eastAsia="黑体" w:hAnsi="Times New Roman" w:cs="Times New Roman"/>
          <w:sz w:val="21"/>
          <w:szCs w:val="21"/>
        </w:rPr>
      </w:pPr>
    </w:p>
    <w:p w:rsidR="00C645C9" w:rsidRDefault="00F955D9">
      <w:pPr>
        <w:pStyle w:val="a6"/>
        <w:adjustRightInd w:val="0"/>
        <w:snapToGrid w:val="0"/>
        <w:spacing w:line="240" w:lineRule="auto"/>
        <w:ind w:firstLineChars="0" w:firstLine="0"/>
        <w:jc w:val="center"/>
        <w:rPr>
          <w:rFonts w:eastAsia="黑体"/>
          <w:sz w:val="21"/>
          <w:szCs w:val="21"/>
          <w:lang w:bidi="ar"/>
        </w:rPr>
      </w:pPr>
      <w:r>
        <w:rPr>
          <w:rFonts w:eastAsia="黑体"/>
          <w:sz w:val="21"/>
          <w:szCs w:val="21"/>
          <w:lang w:bidi="ar"/>
        </w:rPr>
        <w:t>图</w:t>
      </w:r>
      <w:r>
        <w:rPr>
          <w:rFonts w:eastAsia="黑体"/>
          <w:sz w:val="21"/>
          <w:szCs w:val="21"/>
          <w:lang w:bidi="ar"/>
        </w:rPr>
        <w:t xml:space="preserve"> 3.</w:t>
      </w:r>
      <w:r>
        <w:rPr>
          <w:rFonts w:eastAsia="黑体" w:hint="eastAsia"/>
          <w:sz w:val="21"/>
          <w:szCs w:val="21"/>
          <w:lang w:bidi="ar"/>
        </w:rPr>
        <w:t>3-3</w:t>
      </w:r>
      <w:r>
        <w:rPr>
          <w:rFonts w:eastAsia="黑体"/>
          <w:sz w:val="21"/>
          <w:szCs w:val="21"/>
          <w:lang w:bidi="ar"/>
        </w:rPr>
        <w:t xml:space="preserve">   </w:t>
      </w:r>
      <w:bookmarkStart w:id="757" w:name="OLE_LINK280"/>
      <w:bookmarkStart w:id="758" w:name="_Toc10520"/>
      <w:r>
        <w:rPr>
          <w:rFonts w:eastAsia="黑体" w:hint="eastAsia"/>
          <w:sz w:val="21"/>
          <w:szCs w:val="21"/>
          <w:lang w:bidi="ar"/>
        </w:rPr>
        <w:t>运营期</w:t>
      </w:r>
      <w:r>
        <w:rPr>
          <w:rFonts w:eastAsia="黑体"/>
          <w:sz w:val="21"/>
          <w:szCs w:val="21"/>
          <w:lang w:bidi="ar"/>
        </w:rPr>
        <w:t>本工程工艺及污染物排放流程</w:t>
      </w:r>
      <w:bookmarkStart w:id="759" w:name="_Toc22827"/>
      <w:bookmarkStart w:id="760" w:name="_Toc7703"/>
      <w:bookmarkEnd w:id="757"/>
    </w:p>
    <w:p w:rsidR="00C645C9" w:rsidRDefault="00F955D9">
      <w:pPr>
        <w:pStyle w:val="3"/>
        <w:widowControl w:val="0"/>
        <w:adjustRightInd w:val="0"/>
        <w:snapToGrid w:val="0"/>
        <w:spacing w:before="0" w:after="0" w:line="360" w:lineRule="auto"/>
        <w:rPr>
          <w:rFonts w:ascii="Times New Roman" w:hAnsi="Times New Roman" w:cs="Times New Roman"/>
          <w:bCs/>
          <w:snapToGrid/>
          <w:color w:val="auto"/>
          <w:szCs w:val="28"/>
          <w:lang w:eastAsia="zh-CN"/>
        </w:rPr>
      </w:pPr>
      <w:bookmarkStart w:id="761" w:name="OLE_LINK844"/>
      <w:r>
        <w:rPr>
          <w:rFonts w:ascii="Times New Roman" w:hAnsi="Times New Roman" w:cs="Times New Roman"/>
          <w:bCs/>
          <w:snapToGrid/>
          <w:color w:val="auto"/>
          <w:szCs w:val="28"/>
          <w:lang w:eastAsia="zh-CN"/>
        </w:rPr>
        <w:t>3.</w:t>
      </w:r>
      <w:r>
        <w:rPr>
          <w:rFonts w:ascii="Times New Roman" w:hAnsi="Times New Roman" w:cs="Times New Roman" w:hint="eastAsia"/>
          <w:bCs/>
          <w:snapToGrid/>
          <w:color w:val="auto"/>
          <w:szCs w:val="28"/>
          <w:lang w:eastAsia="zh-CN"/>
        </w:rPr>
        <w:t>3</w:t>
      </w:r>
      <w:r>
        <w:rPr>
          <w:rFonts w:ascii="Times New Roman" w:hAnsi="Times New Roman" w:cs="Times New Roman"/>
          <w:bCs/>
          <w:snapToGrid/>
          <w:color w:val="auto"/>
          <w:szCs w:val="28"/>
          <w:lang w:eastAsia="zh-CN"/>
        </w:rPr>
        <w:t>.2</w:t>
      </w:r>
      <w:bookmarkEnd w:id="758"/>
      <w:bookmarkEnd w:id="759"/>
      <w:bookmarkEnd w:id="760"/>
      <w:r>
        <w:rPr>
          <w:rFonts w:ascii="Times New Roman" w:hAnsi="Times New Roman" w:cs="Times New Roman"/>
          <w:bCs/>
          <w:snapToGrid/>
          <w:color w:val="auto"/>
          <w:szCs w:val="28"/>
          <w:lang w:eastAsia="zh-CN"/>
        </w:rPr>
        <w:t>施工期环境影响因素分析</w:t>
      </w:r>
    </w:p>
    <w:bookmarkStart w:id="762" w:name="OLE_LINK4"/>
    <w:p w:rsidR="00C645C9" w:rsidRDefault="00F955D9">
      <w:pPr>
        <w:pStyle w:val="4"/>
        <w:widowControl w:val="0"/>
        <w:adjustRightInd w:val="0"/>
        <w:snapToGrid w:val="0"/>
        <w:rPr>
          <w:rFonts w:ascii="Times New Roman" w:hAnsi="Times New Roman" w:cs="Times New Roman"/>
          <w:color w:val="auto"/>
          <w:szCs w:val="24"/>
          <w:lang w:eastAsia="zh-CN"/>
        </w:rPr>
      </w:pPr>
      <w:r>
        <w:rPr>
          <w:rFonts w:ascii="Times New Roman" w:hAnsi="Times New Roman" w:cs="Times New Roman"/>
          <w:color w:val="auto"/>
        </w:rPr>
        <w:fldChar w:fldCharType="begin"/>
      </w:r>
      <w:r>
        <w:rPr>
          <w:rFonts w:ascii="Times New Roman" w:hAnsi="Times New Roman" w:cs="Times New Roman"/>
          <w:color w:val="auto"/>
          <w:lang w:eastAsia="zh-CN"/>
        </w:rPr>
        <w:instrText xml:space="preserve"> HYPERLINK "</w:instrText>
      </w:r>
      <w:r>
        <w:rPr>
          <w:rFonts w:ascii="Times New Roman" w:hAnsi="Times New Roman" w:cs="Times New Roman"/>
          <w:color w:val="auto"/>
          <w:lang w:eastAsia="zh-CN"/>
        </w:rPr>
        <w:instrText xml:space="preserve">3.2.3.1" </w:instrText>
      </w:r>
      <w:r>
        <w:rPr>
          <w:rFonts w:ascii="Times New Roman" w:hAnsi="Times New Roman" w:cs="Times New Roman"/>
          <w:color w:val="auto"/>
        </w:rPr>
        <w:fldChar w:fldCharType="separate"/>
      </w:r>
      <w:r>
        <w:rPr>
          <w:rFonts w:ascii="Times New Roman" w:hAnsi="Times New Roman" w:cs="Times New Roman"/>
          <w:color w:val="auto"/>
          <w:lang w:eastAsia="zh-CN"/>
        </w:rPr>
        <w:t>3.</w:t>
      </w:r>
      <w:r>
        <w:rPr>
          <w:rFonts w:ascii="Times New Roman" w:hAnsi="Times New Roman" w:cs="Times New Roman" w:hint="eastAsia"/>
          <w:color w:val="auto"/>
          <w:lang w:eastAsia="zh-CN"/>
        </w:rPr>
        <w:t>3</w:t>
      </w:r>
      <w:r>
        <w:rPr>
          <w:rFonts w:ascii="Times New Roman" w:hAnsi="Times New Roman" w:cs="Times New Roman"/>
          <w:color w:val="auto"/>
          <w:lang w:eastAsia="zh-CN"/>
        </w:rPr>
        <w:t>.</w:t>
      </w:r>
      <w:r>
        <w:rPr>
          <w:rFonts w:ascii="Times New Roman" w:hAnsi="Times New Roman" w:cs="Times New Roman"/>
          <w:color w:val="auto"/>
          <w:lang w:eastAsia="zh-CN"/>
        </w:rPr>
        <w:t>2</w:t>
      </w:r>
      <w:r>
        <w:rPr>
          <w:rFonts w:ascii="Times New Roman" w:hAnsi="Times New Roman" w:cs="Times New Roman"/>
          <w:color w:val="auto"/>
          <w:lang w:eastAsia="zh-CN"/>
        </w:rPr>
        <w:t>.1</w:t>
      </w:r>
      <w:r>
        <w:rPr>
          <w:rFonts w:ascii="Times New Roman" w:hAnsi="Times New Roman" w:cs="Times New Roman"/>
          <w:color w:val="auto"/>
        </w:rPr>
        <w:fldChar w:fldCharType="end"/>
      </w:r>
      <w:r>
        <w:rPr>
          <w:rFonts w:ascii="Times New Roman" w:hAnsi="Times New Roman" w:cs="Times New Roman"/>
          <w:color w:val="auto"/>
          <w:lang w:eastAsia="zh-CN"/>
        </w:rPr>
        <w:t>生态影响因素</w:t>
      </w:r>
      <w:bookmarkEnd w:id="762"/>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生态影响主要体现在</w:t>
      </w:r>
      <w:r>
        <w:rPr>
          <w:rFonts w:ascii="Times New Roman" w:hAnsi="Times New Roman" w:cs="Times New Roman"/>
        </w:rPr>
        <w:t>井</w:t>
      </w:r>
      <w:r>
        <w:rPr>
          <w:rFonts w:ascii="Times New Roman" w:hAnsi="Times New Roman" w:cs="Times New Roman"/>
        </w:rPr>
        <w:t>场建设阶段，如占用土地、施工对地表植被的影响、土壤扰动等。</w:t>
      </w:r>
      <w:r>
        <w:rPr>
          <w:rFonts w:hint="eastAsia"/>
        </w:rPr>
        <w:t>本工程均为永久占地，</w:t>
      </w:r>
      <w:r>
        <w:rPr>
          <w:rFonts w:ascii="Times New Roman" w:hAnsi="Times New Roman" w:cs="Times New Roman"/>
        </w:rPr>
        <w:t>工程占地类型</w:t>
      </w:r>
      <w:r>
        <w:rPr>
          <w:rFonts w:ascii="Times New Roman" w:hAnsi="Times New Roman" w:cs="Times New Roman" w:hint="eastAsia"/>
        </w:rPr>
        <w:t>为</w:t>
      </w:r>
      <w:r>
        <w:rPr>
          <w:rFonts w:ascii="Times New Roman" w:hAnsi="Times New Roman" w:cs="Times New Roman" w:hint="eastAsia"/>
        </w:rPr>
        <w:t>果园、水浇地、农村道路和采矿用地</w:t>
      </w:r>
      <w:r>
        <w:rPr>
          <w:rFonts w:ascii="Times New Roman" w:hAnsi="Times New Roman" w:cs="Times New Roman"/>
        </w:rPr>
        <w:t>。地面工程施工作业包括</w:t>
      </w:r>
      <w:r>
        <w:rPr>
          <w:rFonts w:ascii="Times New Roman" w:hAnsi="Times New Roman" w:cs="Times New Roman"/>
        </w:rPr>
        <w:t>井</w:t>
      </w:r>
      <w:r>
        <w:rPr>
          <w:rFonts w:ascii="Times New Roman" w:hAnsi="Times New Roman" w:cs="Times New Roman"/>
        </w:rPr>
        <w:t>场场地平整、管线</w:t>
      </w:r>
      <w:r>
        <w:rPr>
          <w:rFonts w:ascii="Times New Roman" w:hAnsi="Times New Roman" w:cs="Times New Roman" w:hint="eastAsia"/>
        </w:rPr>
        <w:t>组装</w:t>
      </w:r>
      <w:r>
        <w:rPr>
          <w:rFonts w:ascii="Times New Roman" w:hAnsi="Times New Roman" w:cs="Times New Roman"/>
        </w:rPr>
        <w:t>等，施工作业直接破坏了地面植被，造成了土壤扰动，容易导致水土流失。</w:t>
      </w:r>
    </w:p>
    <w:p w:rsidR="00C645C9" w:rsidRDefault="00F955D9">
      <w:pPr>
        <w:pStyle w:val="a5"/>
        <w:widowControl w:val="0"/>
        <w:snapToGrid w:val="0"/>
        <w:ind w:firstLineChars="200" w:firstLine="480"/>
        <w:jc w:val="both"/>
        <w:rPr>
          <w:rFonts w:ascii="Times New Roman" w:hAnsi="Times New Roman" w:cs="Times New Roman"/>
          <w:spacing w:val="1"/>
        </w:rPr>
      </w:pPr>
      <w:r>
        <w:rPr>
          <w:rFonts w:ascii="Times New Roman" w:hAnsi="Times New Roman" w:cs="Times New Roman"/>
        </w:rPr>
        <w:t>根据估算，</w:t>
      </w: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总</w:t>
      </w:r>
      <w:bookmarkStart w:id="763" w:name="OLE_LINK781"/>
      <w:r>
        <w:rPr>
          <w:rFonts w:ascii="Times New Roman" w:hAnsi="Times New Roman" w:cs="Times New Roman"/>
        </w:rPr>
        <w:t>占地</w:t>
      </w:r>
      <w:bookmarkEnd w:id="763"/>
      <w:r>
        <w:rPr>
          <w:rFonts w:ascii="Times New Roman" w:hAnsi="Times New Roman" w:cs="Times New Roman"/>
        </w:rPr>
        <w:t>约</w:t>
      </w:r>
      <w:r>
        <w:rPr>
          <w:rFonts w:ascii="Times New Roman" w:hAnsi="Times New Roman" w:cs="Times New Roman" w:hint="eastAsia"/>
        </w:rPr>
        <w:t>4.09</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，详见表</w:t>
      </w:r>
      <w:r>
        <w:rPr>
          <w:rFonts w:ascii="Times New Roman" w:hAnsi="Times New Roman" w:cs="Times New Roman"/>
        </w:rPr>
        <w:t>3.3-</w:t>
      </w:r>
      <w:r>
        <w:rPr>
          <w:rFonts w:ascii="Times New Roman" w:hAnsi="Times New Roman" w:cs="Times New Roman" w:hint="eastAsia"/>
        </w:rPr>
        <w:t>1</w:t>
      </w:r>
      <w:r>
        <w:rPr>
          <w:rFonts w:ascii="Times New Roman" w:hAnsi="Times New Roman" w:cs="Times New Roman"/>
        </w:rPr>
        <w:t>。</w:t>
      </w:r>
    </w:p>
    <w:p w:rsidR="00C645C9" w:rsidRDefault="00F955D9" w:rsidP="005718BB">
      <w:pPr>
        <w:pStyle w:val="a6"/>
        <w:adjustRightInd w:val="0"/>
        <w:snapToGrid w:val="0"/>
        <w:spacing w:line="240" w:lineRule="auto"/>
        <w:ind w:firstLine="420"/>
        <w:jc w:val="center"/>
        <w:rPr>
          <w:rFonts w:eastAsia="黑体"/>
          <w:sz w:val="21"/>
          <w:szCs w:val="21"/>
          <w:lang w:bidi="ar"/>
        </w:rPr>
      </w:pPr>
      <w:r>
        <w:rPr>
          <w:rFonts w:eastAsia="黑体"/>
          <w:sz w:val="21"/>
          <w:szCs w:val="21"/>
          <w:lang w:bidi="ar"/>
        </w:rPr>
        <w:t>表</w:t>
      </w:r>
      <w:r>
        <w:rPr>
          <w:rFonts w:eastAsia="黑体"/>
          <w:sz w:val="21"/>
          <w:szCs w:val="21"/>
          <w:lang w:bidi="ar"/>
        </w:rPr>
        <w:t>3.</w:t>
      </w:r>
      <w:r>
        <w:rPr>
          <w:rFonts w:eastAsia="黑体" w:hint="eastAsia"/>
          <w:sz w:val="21"/>
          <w:szCs w:val="21"/>
          <w:lang w:bidi="ar"/>
        </w:rPr>
        <w:t>3-1</w:t>
      </w:r>
      <w:r>
        <w:rPr>
          <w:rFonts w:eastAsia="黑体"/>
          <w:sz w:val="21"/>
          <w:szCs w:val="21"/>
          <w:lang w:bidi="ar"/>
        </w:rPr>
        <w:t xml:space="preserve">   </w:t>
      </w:r>
      <w:r>
        <w:rPr>
          <w:rFonts w:eastAsia="黑体"/>
          <w:sz w:val="21"/>
          <w:szCs w:val="21"/>
          <w:lang w:bidi="ar"/>
        </w:rPr>
        <w:t>占地面积统计表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396"/>
        <w:gridCol w:w="871"/>
        <w:gridCol w:w="981"/>
        <w:gridCol w:w="897"/>
        <w:gridCol w:w="3892"/>
      </w:tblGrid>
      <w:tr w:rsidR="00C645C9">
        <w:trPr>
          <w:trHeight w:val="371"/>
          <w:tblHeader/>
          <w:jc w:val="center"/>
        </w:trPr>
        <w:tc>
          <w:tcPr>
            <w:tcW w:w="339"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序号</w:t>
            </w:r>
          </w:p>
        </w:tc>
        <w:tc>
          <w:tcPr>
            <w:tcW w:w="809"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工程内容</w:t>
            </w:r>
          </w:p>
        </w:tc>
        <w:tc>
          <w:tcPr>
            <w:tcW w:w="1594" w:type="pct"/>
            <w:gridSpan w:val="3"/>
            <w:vAlign w:val="center"/>
          </w:tcPr>
          <w:p w:rsidR="00C645C9" w:rsidRDefault="00F955D9">
            <w:pPr>
              <w:adjustRightInd w:val="0"/>
              <w:snapToGrid w:val="0"/>
              <w:jc w:val="center"/>
              <w:rPr>
                <w:rFonts w:cs="Times New Roman"/>
                <w:sz w:val="21"/>
                <w:szCs w:val="21"/>
              </w:rPr>
            </w:pPr>
            <w:r>
              <w:rPr>
                <w:rFonts w:cs="Times New Roman"/>
                <w:sz w:val="21"/>
                <w:szCs w:val="21"/>
              </w:rPr>
              <w:t>占地面积（</w:t>
            </w:r>
            <w:bookmarkStart w:id="764" w:name="OLE_LINK1158"/>
            <w:r>
              <w:rPr>
                <w:rFonts w:cs="Times New Roman"/>
                <w:sz w:val="21"/>
                <w:szCs w:val="21"/>
              </w:rPr>
              <w:t>h</w:t>
            </w:r>
            <w:r>
              <w:rPr>
                <w:rFonts w:cs="Times New Roman"/>
                <w:sz w:val="21"/>
                <w:szCs w:val="21"/>
              </w:rPr>
              <w:t>m²</w:t>
            </w:r>
            <w:bookmarkEnd w:id="764"/>
            <w:r>
              <w:rPr>
                <w:rFonts w:cs="Times New Roman"/>
                <w:sz w:val="21"/>
                <w:szCs w:val="21"/>
              </w:rPr>
              <w:t>）</w:t>
            </w:r>
          </w:p>
        </w:tc>
        <w:tc>
          <w:tcPr>
            <w:tcW w:w="2256"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说明</w:t>
            </w:r>
          </w:p>
        </w:tc>
      </w:tr>
      <w:tr w:rsidR="00C645C9">
        <w:trPr>
          <w:trHeight w:val="211"/>
          <w:tblHeader/>
          <w:jc w:val="center"/>
        </w:trPr>
        <w:tc>
          <w:tcPr>
            <w:tcW w:w="339" w:type="pct"/>
            <w:vMerge/>
            <w:vAlign w:val="center"/>
          </w:tcPr>
          <w:p w:rsidR="00C645C9" w:rsidRDefault="00C645C9">
            <w:pPr>
              <w:adjustRightInd w:val="0"/>
              <w:snapToGrid w:val="0"/>
              <w:rPr>
                <w:rFonts w:cs="Times New Roman"/>
                <w:b/>
                <w:bCs/>
                <w:sz w:val="21"/>
                <w:szCs w:val="21"/>
              </w:rPr>
            </w:pPr>
          </w:p>
        </w:tc>
        <w:tc>
          <w:tcPr>
            <w:tcW w:w="809" w:type="pct"/>
            <w:vMerge/>
            <w:vAlign w:val="center"/>
          </w:tcPr>
          <w:p w:rsidR="00C645C9" w:rsidRDefault="00C645C9">
            <w:pPr>
              <w:adjustRightInd w:val="0"/>
              <w:snapToGrid w:val="0"/>
              <w:rPr>
                <w:rFonts w:cs="Times New Roman"/>
                <w:b/>
                <w:bCs/>
                <w:sz w:val="21"/>
                <w:szCs w:val="21"/>
              </w:rPr>
            </w:pPr>
          </w:p>
        </w:tc>
        <w:tc>
          <w:tcPr>
            <w:tcW w:w="505" w:type="pct"/>
            <w:vAlign w:val="center"/>
          </w:tcPr>
          <w:p w:rsidR="00C645C9" w:rsidRDefault="00F955D9">
            <w:pPr>
              <w:adjustRightInd w:val="0"/>
              <w:snapToGrid w:val="0"/>
              <w:jc w:val="center"/>
              <w:rPr>
                <w:rFonts w:cs="Times New Roman"/>
                <w:sz w:val="21"/>
                <w:szCs w:val="21"/>
              </w:rPr>
            </w:pPr>
            <w:r>
              <w:rPr>
                <w:rFonts w:cs="Times New Roman"/>
                <w:sz w:val="21"/>
                <w:szCs w:val="21"/>
              </w:rPr>
              <w:t>永久</w:t>
            </w:r>
          </w:p>
        </w:tc>
        <w:tc>
          <w:tcPr>
            <w:tcW w:w="569" w:type="pct"/>
            <w:vAlign w:val="center"/>
          </w:tcPr>
          <w:p w:rsidR="00C645C9" w:rsidRDefault="00F955D9">
            <w:pPr>
              <w:adjustRightInd w:val="0"/>
              <w:snapToGrid w:val="0"/>
              <w:jc w:val="center"/>
              <w:rPr>
                <w:rFonts w:cs="Times New Roman"/>
                <w:sz w:val="21"/>
                <w:szCs w:val="21"/>
              </w:rPr>
            </w:pPr>
            <w:bookmarkStart w:id="765" w:name="OLE_LINK1136"/>
            <w:r>
              <w:rPr>
                <w:rFonts w:cs="Times New Roman"/>
                <w:sz w:val="21"/>
                <w:szCs w:val="21"/>
              </w:rPr>
              <w:t>临时</w:t>
            </w:r>
            <w:bookmarkEnd w:id="765"/>
          </w:p>
        </w:tc>
        <w:tc>
          <w:tcPr>
            <w:tcW w:w="520" w:type="pct"/>
            <w:vAlign w:val="center"/>
          </w:tcPr>
          <w:p w:rsidR="00C645C9" w:rsidRDefault="00F955D9">
            <w:pPr>
              <w:adjustRightInd w:val="0"/>
              <w:snapToGrid w:val="0"/>
              <w:jc w:val="center"/>
              <w:rPr>
                <w:rFonts w:cs="Times New Roman"/>
                <w:sz w:val="21"/>
                <w:szCs w:val="21"/>
              </w:rPr>
            </w:pPr>
            <w:bookmarkStart w:id="766" w:name="OLE_LINK1135"/>
            <w:r>
              <w:rPr>
                <w:rFonts w:cs="Times New Roman"/>
                <w:sz w:val="21"/>
                <w:szCs w:val="21"/>
              </w:rPr>
              <w:t>总占地</w:t>
            </w:r>
            <w:bookmarkEnd w:id="766"/>
          </w:p>
        </w:tc>
        <w:tc>
          <w:tcPr>
            <w:tcW w:w="2256" w:type="pct"/>
            <w:vMerge/>
            <w:vAlign w:val="center"/>
          </w:tcPr>
          <w:p w:rsidR="00C645C9" w:rsidRDefault="00C645C9">
            <w:pPr>
              <w:adjustRightInd w:val="0"/>
              <w:snapToGrid w:val="0"/>
              <w:rPr>
                <w:rFonts w:cs="Times New Roman"/>
                <w:b/>
                <w:bCs/>
                <w:sz w:val="21"/>
                <w:szCs w:val="21"/>
              </w:rPr>
            </w:pPr>
          </w:p>
        </w:tc>
      </w:tr>
      <w:tr w:rsidR="00C645C9">
        <w:trPr>
          <w:trHeight w:val="765"/>
          <w:jc w:val="center"/>
        </w:trPr>
        <w:tc>
          <w:tcPr>
            <w:tcW w:w="339" w:type="pct"/>
            <w:vAlign w:val="center"/>
          </w:tcPr>
          <w:p w:rsidR="00C645C9" w:rsidRDefault="00F955D9">
            <w:pPr>
              <w:jc w:val="center"/>
              <w:rPr>
                <w:rFonts w:cs="Times New Roman"/>
                <w:sz w:val="21"/>
                <w:szCs w:val="21"/>
              </w:rPr>
            </w:pPr>
            <w:bookmarkStart w:id="767" w:name="OLE_LINK283" w:colFirst="2" w:colLast="4"/>
            <w:bookmarkStart w:id="768" w:name="OLE_LINK121" w:colFirst="4" w:colLast="4"/>
            <w:r>
              <w:rPr>
                <w:rFonts w:cs="Times New Roman"/>
                <w:sz w:val="21"/>
                <w:szCs w:val="21"/>
              </w:rPr>
              <w:t>1</w:t>
            </w:r>
          </w:p>
        </w:tc>
        <w:tc>
          <w:tcPr>
            <w:tcW w:w="809" w:type="pct"/>
            <w:vAlign w:val="center"/>
          </w:tcPr>
          <w:p w:rsidR="00C645C9" w:rsidRDefault="00F955D9">
            <w:pPr>
              <w:jc w:val="center"/>
              <w:rPr>
                <w:rFonts w:cs="Times New Roman"/>
                <w:sz w:val="21"/>
                <w:szCs w:val="21"/>
              </w:rPr>
            </w:pPr>
            <w:r>
              <w:rPr>
                <w:rFonts w:cs="Times New Roman"/>
                <w:sz w:val="21"/>
                <w:szCs w:val="21"/>
              </w:rPr>
              <w:t>井场</w:t>
            </w:r>
          </w:p>
        </w:tc>
        <w:tc>
          <w:tcPr>
            <w:tcW w:w="505" w:type="pct"/>
            <w:vAlign w:val="center"/>
          </w:tcPr>
          <w:p w:rsidR="00C645C9" w:rsidRDefault="00F955D9">
            <w:pPr>
              <w:jc w:val="center"/>
              <w:rPr>
                <w:rFonts w:cs="Times New Roman"/>
                <w:sz w:val="21"/>
                <w:szCs w:val="21"/>
              </w:rPr>
            </w:pPr>
            <w:bookmarkStart w:id="769" w:name="OLE_LINK1379"/>
            <w:r>
              <w:rPr>
                <w:rFonts w:cs="Times New Roman" w:hint="eastAsia"/>
                <w:sz w:val="21"/>
                <w:szCs w:val="21"/>
              </w:rPr>
              <w:t>3.43</w:t>
            </w:r>
            <w:bookmarkEnd w:id="769"/>
          </w:p>
        </w:tc>
        <w:tc>
          <w:tcPr>
            <w:tcW w:w="569" w:type="pct"/>
            <w:vAlign w:val="center"/>
          </w:tcPr>
          <w:p w:rsidR="00C645C9" w:rsidRDefault="00F955D9">
            <w:pPr>
              <w:jc w:val="center"/>
              <w:rPr>
                <w:rFonts w:cs="Times New Roman"/>
                <w:sz w:val="21"/>
                <w:szCs w:val="21"/>
              </w:rPr>
            </w:pPr>
            <w:r>
              <w:rPr>
                <w:rFonts w:cs="Times New Roman"/>
                <w:sz w:val="21"/>
                <w:szCs w:val="21"/>
              </w:rPr>
              <w:t>0</w:t>
            </w:r>
          </w:p>
        </w:tc>
        <w:tc>
          <w:tcPr>
            <w:tcW w:w="520" w:type="pct"/>
            <w:vAlign w:val="center"/>
          </w:tcPr>
          <w:p w:rsidR="00C645C9" w:rsidRDefault="00F955D9">
            <w:pPr>
              <w:jc w:val="center"/>
              <w:rPr>
                <w:rFonts w:cs="Times New Roman"/>
                <w:sz w:val="21"/>
                <w:szCs w:val="21"/>
              </w:rPr>
            </w:pPr>
            <w:r>
              <w:rPr>
                <w:rFonts w:cs="Times New Roman" w:hint="eastAsia"/>
                <w:sz w:val="21"/>
                <w:szCs w:val="21"/>
              </w:rPr>
              <w:t>3.43</w:t>
            </w:r>
          </w:p>
        </w:tc>
        <w:tc>
          <w:tcPr>
            <w:tcW w:w="2256" w:type="pct"/>
            <w:vAlign w:val="center"/>
          </w:tcPr>
          <w:p w:rsidR="00C645C9" w:rsidRDefault="00F955D9">
            <w:pPr>
              <w:jc w:val="both"/>
              <w:rPr>
                <w:rFonts w:cs="Times New Roman"/>
                <w:sz w:val="21"/>
                <w:szCs w:val="21"/>
              </w:rPr>
            </w:pPr>
            <w:r>
              <w:rPr>
                <w:rFonts w:cs="Times New Roman"/>
                <w:sz w:val="21"/>
                <w:szCs w:val="21"/>
              </w:rPr>
              <w:t>本</w:t>
            </w:r>
            <w:r>
              <w:rPr>
                <w:rFonts w:cs="Times New Roman"/>
                <w:sz w:val="21"/>
                <w:szCs w:val="21"/>
              </w:rPr>
              <w:t>工程</w:t>
            </w:r>
            <w:r>
              <w:rPr>
                <w:rFonts w:cs="Times New Roman"/>
                <w:sz w:val="21"/>
                <w:szCs w:val="21"/>
              </w:rPr>
              <w:t>计划</w:t>
            </w:r>
            <w:r>
              <w:rPr>
                <w:rFonts w:cs="Times New Roman"/>
                <w:sz w:val="21"/>
                <w:szCs w:val="21"/>
              </w:rPr>
              <w:t>在</w:t>
            </w:r>
            <w:bookmarkStart w:id="770" w:name="OLE_LINK1156"/>
            <w:r>
              <w:rPr>
                <w:rFonts w:cs="Times New Roman"/>
                <w:sz w:val="21"/>
                <w:szCs w:val="21"/>
              </w:rPr>
              <w:t>新北</w:t>
            </w:r>
            <w:r>
              <w:rPr>
                <w:rFonts w:cs="Times New Roman"/>
                <w:sz w:val="21"/>
                <w:szCs w:val="21"/>
              </w:rPr>
              <w:t>1X</w:t>
            </w:r>
            <w:r>
              <w:rPr>
                <w:rFonts w:cs="Times New Roman"/>
                <w:sz w:val="21"/>
                <w:szCs w:val="21"/>
              </w:rPr>
              <w:t>井</w:t>
            </w:r>
            <w:bookmarkEnd w:id="770"/>
            <w:r>
              <w:rPr>
                <w:rFonts w:cs="Times New Roman"/>
                <w:sz w:val="21"/>
                <w:szCs w:val="21"/>
              </w:rPr>
              <w:t>和</w:t>
            </w:r>
            <w:bookmarkStart w:id="771" w:name="OLE_LINK1155"/>
            <w:r>
              <w:rPr>
                <w:rFonts w:cs="Times New Roman"/>
                <w:sz w:val="21"/>
                <w:szCs w:val="21"/>
              </w:rPr>
              <w:t>新北</w:t>
            </w:r>
            <w:r>
              <w:rPr>
                <w:rFonts w:cs="Times New Roman"/>
                <w:sz w:val="21"/>
                <w:szCs w:val="21"/>
              </w:rPr>
              <w:t>7</w:t>
            </w:r>
            <w:r>
              <w:rPr>
                <w:rFonts w:cs="Times New Roman"/>
                <w:sz w:val="21"/>
                <w:szCs w:val="21"/>
              </w:rPr>
              <w:t>井井场</w:t>
            </w:r>
            <w:bookmarkEnd w:id="771"/>
            <w:r>
              <w:rPr>
                <w:rFonts w:cs="Times New Roman"/>
                <w:sz w:val="21"/>
                <w:szCs w:val="21"/>
              </w:rPr>
              <w:t>内，新建天然气处理装置、加热炉、火炬区、油气分离流程、工具间等</w:t>
            </w:r>
            <w:r>
              <w:rPr>
                <w:rFonts w:cs="Times New Roman"/>
                <w:sz w:val="21"/>
                <w:szCs w:val="21"/>
              </w:rPr>
              <w:t>。</w:t>
            </w:r>
          </w:p>
        </w:tc>
      </w:tr>
      <w:tr w:rsidR="00C645C9">
        <w:trPr>
          <w:trHeight w:val="765"/>
          <w:jc w:val="center"/>
        </w:trPr>
        <w:tc>
          <w:tcPr>
            <w:tcW w:w="339" w:type="pct"/>
            <w:vAlign w:val="center"/>
          </w:tcPr>
          <w:p w:rsidR="00C645C9" w:rsidRDefault="00F955D9">
            <w:pPr>
              <w:jc w:val="center"/>
              <w:rPr>
                <w:rFonts w:cs="Times New Roman"/>
                <w:sz w:val="21"/>
                <w:szCs w:val="21"/>
              </w:rPr>
            </w:pPr>
            <w:bookmarkStart w:id="772" w:name="OLE_LINK762" w:colFirst="3" w:colLast="3"/>
            <w:r>
              <w:rPr>
                <w:rFonts w:cs="Times New Roman" w:hint="eastAsia"/>
                <w:sz w:val="21"/>
                <w:szCs w:val="21"/>
              </w:rPr>
              <w:t>2</w:t>
            </w:r>
          </w:p>
        </w:tc>
        <w:tc>
          <w:tcPr>
            <w:tcW w:w="1396" w:type="dxa"/>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放喷池</w:t>
            </w:r>
          </w:p>
        </w:tc>
        <w:tc>
          <w:tcPr>
            <w:tcW w:w="505" w:type="pct"/>
            <w:vAlign w:val="center"/>
          </w:tcPr>
          <w:p w:rsidR="00C645C9" w:rsidRDefault="00F955D9">
            <w:pPr>
              <w:jc w:val="center"/>
              <w:rPr>
                <w:rFonts w:cs="Times New Roman"/>
                <w:sz w:val="21"/>
                <w:szCs w:val="21"/>
              </w:rPr>
            </w:pPr>
            <w:r>
              <w:rPr>
                <w:rFonts w:cs="Times New Roman"/>
                <w:sz w:val="21"/>
                <w:szCs w:val="21"/>
              </w:rPr>
              <w:t>/</w:t>
            </w:r>
          </w:p>
        </w:tc>
        <w:tc>
          <w:tcPr>
            <w:tcW w:w="569" w:type="pct"/>
            <w:vAlign w:val="center"/>
          </w:tcPr>
          <w:p w:rsidR="00C645C9" w:rsidRDefault="00F955D9">
            <w:pPr>
              <w:jc w:val="center"/>
              <w:rPr>
                <w:rFonts w:cs="Times New Roman"/>
                <w:sz w:val="21"/>
                <w:szCs w:val="21"/>
              </w:rPr>
            </w:pPr>
            <w:r>
              <w:rPr>
                <w:rFonts w:cs="Times New Roman"/>
                <w:sz w:val="21"/>
                <w:szCs w:val="21"/>
              </w:rPr>
              <w:t>0.0</w:t>
            </w:r>
            <w:r>
              <w:rPr>
                <w:rFonts w:cs="Times New Roman" w:hint="eastAsia"/>
                <w:sz w:val="21"/>
                <w:szCs w:val="21"/>
              </w:rPr>
              <w:t>8</w:t>
            </w:r>
          </w:p>
        </w:tc>
        <w:tc>
          <w:tcPr>
            <w:tcW w:w="897" w:type="dxa"/>
            <w:vAlign w:val="center"/>
          </w:tcPr>
          <w:p w:rsidR="00C645C9" w:rsidRDefault="00F955D9">
            <w:pPr>
              <w:jc w:val="center"/>
              <w:rPr>
                <w:rFonts w:cs="Times New Roman"/>
                <w:sz w:val="21"/>
                <w:szCs w:val="21"/>
              </w:rPr>
            </w:pPr>
            <w:r>
              <w:rPr>
                <w:rFonts w:cs="Times New Roman"/>
                <w:sz w:val="21"/>
                <w:szCs w:val="21"/>
              </w:rPr>
              <w:t>0.0</w:t>
            </w:r>
            <w:r>
              <w:rPr>
                <w:rFonts w:cs="Times New Roman" w:hint="eastAsia"/>
                <w:sz w:val="21"/>
                <w:szCs w:val="21"/>
              </w:rPr>
              <w:t>8</w:t>
            </w:r>
          </w:p>
        </w:tc>
        <w:tc>
          <w:tcPr>
            <w:tcW w:w="3892" w:type="dxa"/>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单井放喷池</w:t>
            </w:r>
            <w:r>
              <w:rPr>
                <w:rFonts w:ascii="Times New Roman" w:hAnsi="Times New Roman"/>
                <w:sz w:val="21"/>
                <w:szCs w:val="21"/>
              </w:rPr>
              <w:t>2</w:t>
            </w:r>
            <w:r>
              <w:rPr>
                <w:rFonts w:ascii="Times New Roman" w:hAnsi="Times New Roman"/>
                <w:sz w:val="21"/>
                <w:szCs w:val="21"/>
              </w:rPr>
              <w:t>0</w:t>
            </w:r>
            <w:r>
              <w:rPr>
                <w:rFonts w:ascii="Times New Roman" w:eastAsia="Times New Roman" w:hAnsi="Times New Roman"/>
                <w:sz w:val="21"/>
                <w:szCs w:val="21"/>
              </w:rPr>
              <w:t>0m</w:t>
            </w:r>
            <w:r>
              <w:rPr>
                <w:rFonts w:ascii="Times New Roman" w:eastAsia="Times New Roman" w:hAnsi="Times New Roman"/>
                <w:sz w:val="21"/>
                <w:szCs w:val="21"/>
                <w:vertAlign w:val="superscript"/>
              </w:rPr>
              <w:t>2</w:t>
            </w:r>
            <w:r>
              <w:rPr>
                <w:rFonts w:ascii="Times New Roman" w:hAnsi="Times New Roman"/>
                <w:sz w:val="21"/>
                <w:szCs w:val="21"/>
              </w:rPr>
              <w:t>×</w:t>
            </w:r>
            <w:r>
              <w:rPr>
                <w:rFonts w:ascii="Times New Roman" w:hAnsi="Times New Roman" w:hint="eastAsia"/>
                <w:sz w:val="21"/>
                <w:szCs w:val="21"/>
              </w:rPr>
              <w:t>4</w:t>
            </w:r>
          </w:p>
        </w:tc>
      </w:tr>
      <w:tr w:rsidR="00C645C9">
        <w:trPr>
          <w:trHeight w:val="765"/>
          <w:jc w:val="center"/>
        </w:trPr>
        <w:tc>
          <w:tcPr>
            <w:tcW w:w="339" w:type="pct"/>
            <w:vAlign w:val="center"/>
          </w:tcPr>
          <w:p w:rsidR="00C645C9" w:rsidRDefault="00F955D9">
            <w:pPr>
              <w:jc w:val="center"/>
              <w:rPr>
                <w:rFonts w:cs="Times New Roman"/>
                <w:sz w:val="21"/>
                <w:szCs w:val="21"/>
              </w:rPr>
            </w:pPr>
            <w:r>
              <w:rPr>
                <w:rFonts w:cs="Times New Roman" w:hint="eastAsia"/>
                <w:sz w:val="21"/>
                <w:szCs w:val="21"/>
              </w:rPr>
              <w:lastRenderedPageBreak/>
              <w:t>3</w:t>
            </w:r>
          </w:p>
        </w:tc>
        <w:tc>
          <w:tcPr>
            <w:tcW w:w="1396" w:type="dxa"/>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临时生活区</w:t>
            </w:r>
          </w:p>
        </w:tc>
        <w:tc>
          <w:tcPr>
            <w:tcW w:w="505" w:type="pct"/>
            <w:vAlign w:val="center"/>
          </w:tcPr>
          <w:p w:rsidR="00C645C9" w:rsidRDefault="00F955D9">
            <w:pPr>
              <w:jc w:val="center"/>
              <w:rPr>
                <w:rFonts w:cs="Times New Roman"/>
                <w:sz w:val="21"/>
                <w:szCs w:val="21"/>
              </w:rPr>
            </w:pPr>
            <w:r>
              <w:rPr>
                <w:rFonts w:cs="Times New Roman"/>
                <w:sz w:val="21"/>
                <w:szCs w:val="21"/>
              </w:rPr>
              <w:t>/</w:t>
            </w:r>
          </w:p>
        </w:tc>
        <w:tc>
          <w:tcPr>
            <w:tcW w:w="569" w:type="pct"/>
            <w:vAlign w:val="center"/>
          </w:tcPr>
          <w:p w:rsidR="00C645C9" w:rsidRDefault="00F955D9">
            <w:pPr>
              <w:jc w:val="center"/>
              <w:rPr>
                <w:rFonts w:cs="Times New Roman"/>
                <w:sz w:val="21"/>
                <w:szCs w:val="21"/>
              </w:rPr>
            </w:pPr>
            <w:bookmarkStart w:id="773" w:name="OLE_LINK1137"/>
            <w:r>
              <w:rPr>
                <w:rFonts w:cs="Times New Roman"/>
                <w:sz w:val="21"/>
                <w:szCs w:val="21"/>
              </w:rPr>
              <w:t>0.</w:t>
            </w:r>
            <w:bookmarkEnd w:id="773"/>
            <w:r>
              <w:rPr>
                <w:rFonts w:cs="Times New Roman"/>
                <w:sz w:val="21"/>
                <w:szCs w:val="21"/>
              </w:rPr>
              <w:t>58</w:t>
            </w:r>
          </w:p>
        </w:tc>
        <w:tc>
          <w:tcPr>
            <w:tcW w:w="897" w:type="dxa"/>
            <w:vAlign w:val="center"/>
          </w:tcPr>
          <w:p w:rsidR="00C645C9" w:rsidRDefault="00F955D9">
            <w:pPr>
              <w:jc w:val="center"/>
              <w:rPr>
                <w:rFonts w:cs="Times New Roman"/>
                <w:sz w:val="21"/>
                <w:szCs w:val="21"/>
              </w:rPr>
            </w:pPr>
            <w:r>
              <w:rPr>
                <w:rFonts w:cs="Times New Roman"/>
                <w:sz w:val="21"/>
                <w:szCs w:val="21"/>
              </w:rPr>
              <w:t>0.58</w:t>
            </w:r>
          </w:p>
        </w:tc>
        <w:tc>
          <w:tcPr>
            <w:tcW w:w="3892" w:type="dxa"/>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新北</w:t>
            </w:r>
            <w:r>
              <w:rPr>
                <w:rFonts w:ascii="Times New Roman" w:hAnsi="Times New Roman"/>
                <w:sz w:val="21"/>
                <w:szCs w:val="21"/>
              </w:rPr>
              <w:t>1X</w:t>
            </w:r>
            <w:r>
              <w:rPr>
                <w:rFonts w:ascii="Times New Roman" w:hAnsi="Times New Roman"/>
                <w:sz w:val="21"/>
                <w:szCs w:val="21"/>
              </w:rPr>
              <w:t>井井场外</w:t>
            </w:r>
            <w:r>
              <w:rPr>
                <w:rFonts w:ascii="Times New Roman" w:hAnsi="Times New Roman"/>
                <w:sz w:val="21"/>
                <w:szCs w:val="21"/>
              </w:rPr>
              <w:t>2300</w:t>
            </w:r>
            <w:bookmarkStart w:id="774" w:name="OLE_LINK1160"/>
            <w:r>
              <w:rPr>
                <w:rFonts w:ascii="Times New Roman" w:hAnsi="Times New Roman"/>
                <w:sz w:val="21"/>
                <w:szCs w:val="21"/>
              </w:rPr>
              <w:t>m</w:t>
            </w:r>
            <w:r>
              <w:rPr>
                <w:rFonts w:ascii="Times New Roman" w:hAnsi="Times New Roman"/>
                <w:sz w:val="21"/>
                <w:szCs w:val="21"/>
                <w:vertAlign w:val="superscript"/>
              </w:rPr>
              <w:t>2</w:t>
            </w:r>
            <w:bookmarkEnd w:id="774"/>
            <w:r>
              <w:rPr>
                <w:rFonts w:ascii="Times New Roman" w:hAnsi="Times New Roman"/>
                <w:sz w:val="21"/>
                <w:szCs w:val="21"/>
              </w:rPr>
              <w:t>。新北</w:t>
            </w:r>
            <w:r>
              <w:rPr>
                <w:rFonts w:ascii="Times New Roman" w:hAnsi="Times New Roman"/>
                <w:sz w:val="21"/>
                <w:szCs w:val="21"/>
              </w:rPr>
              <w:t>7</w:t>
            </w:r>
            <w:r>
              <w:rPr>
                <w:rFonts w:ascii="Times New Roman" w:hAnsi="Times New Roman"/>
                <w:sz w:val="21"/>
                <w:szCs w:val="21"/>
              </w:rPr>
              <w:t>井</w:t>
            </w:r>
            <w:bookmarkStart w:id="775" w:name="OLE_LINK1157"/>
            <w:r>
              <w:rPr>
                <w:rFonts w:ascii="Times New Roman" w:hAnsi="Times New Roman"/>
                <w:sz w:val="21"/>
                <w:szCs w:val="21"/>
              </w:rPr>
              <w:t>井场外</w:t>
            </w:r>
            <w:bookmarkEnd w:id="775"/>
            <w:r>
              <w:rPr>
                <w:rFonts w:ascii="Times New Roman" w:hAnsi="Times New Roman"/>
                <w:sz w:val="21"/>
                <w:szCs w:val="21"/>
              </w:rPr>
              <w:t>，</w:t>
            </w:r>
            <w:bookmarkStart w:id="776" w:name="OLE_LINK1159"/>
            <w:r>
              <w:rPr>
                <w:rFonts w:ascii="Times New Roman" w:hAnsi="Times New Roman"/>
                <w:sz w:val="21"/>
                <w:szCs w:val="21"/>
              </w:rPr>
              <w:t>3500</w:t>
            </w:r>
            <w:bookmarkEnd w:id="776"/>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w:t>
            </w:r>
          </w:p>
        </w:tc>
      </w:tr>
      <w:tr w:rsidR="00C645C9">
        <w:trPr>
          <w:trHeight w:val="530"/>
          <w:jc w:val="center"/>
        </w:trPr>
        <w:tc>
          <w:tcPr>
            <w:tcW w:w="1148" w:type="pct"/>
            <w:gridSpan w:val="2"/>
            <w:vAlign w:val="center"/>
          </w:tcPr>
          <w:p w:rsidR="00C645C9" w:rsidRDefault="00F955D9">
            <w:pPr>
              <w:jc w:val="center"/>
              <w:rPr>
                <w:rFonts w:cs="Times New Roman"/>
                <w:sz w:val="21"/>
                <w:szCs w:val="21"/>
              </w:rPr>
            </w:pPr>
            <w:bookmarkStart w:id="777" w:name="OLE_LINK782" w:colFirst="1" w:colLast="2"/>
            <w:bookmarkEnd w:id="767"/>
            <w:bookmarkEnd w:id="768"/>
            <w:bookmarkEnd w:id="772"/>
            <w:r>
              <w:rPr>
                <w:rFonts w:cs="Times New Roman"/>
                <w:sz w:val="21"/>
                <w:szCs w:val="21"/>
              </w:rPr>
              <w:t>合计</w:t>
            </w:r>
          </w:p>
        </w:tc>
        <w:tc>
          <w:tcPr>
            <w:tcW w:w="871" w:type="dxa"/>
            <w:vAlign w:val="center"/>
          </w:tcPr>
          <w:p w:rsidR="00C645C9" w:rsidRDefault="00F955D9">
            <w:pPr>
              <w:jc w:val="center"/>
              <w:rPr>
                <w:rFonts w:cs="Times New Roman"/>
                <w:sz w:val="21"/>
                <w:szCs w:val="21"/>
              </w:rPr>
            </w:pPr>
            <w:r>
              <w:rPr>
                <w:rFonts w:cs="Times New Roman" w:hint="eastAsia"/>
                <w:sz w:val="21"/>
                <w:szCs w:val="21"/>
              </w:rPr>
              <w:t>3.43</w:t>
            </w:r>
          </w:p>
        </w:tc>
        <w:tc>
          <w:tcPr>
            <w:tcW w:w="982" w:type="dxa"/>
            <w:vAlign w:val="center"/>
          </w:tcPr>
          <w:p w:rsidR="00C645C9" w:rsidRDefault="00F955D9">
            <w:pPr>
              <w:jc w:val="center"/>
              <w:rPr>
                <w:rFonts w:cs="Times New Roman"/>
                <w:sz w:val="21"/>
                <w:szCs w:val="21"/>
              </w:rPr>
            </w:pPr>
            <w:bookmarkStart w:id="778" w:name="OLE_LINK763"/>
            <w:bookmarkStart w:id="779" w:name="OLE_LINK764"/>
            <w:r>
              <w:rPr>
                <w:rFonts w:cs="Times New Roman" w:hint="eastAsia"/>
                <w:sz w:val="21"/>
                <w:szCs w:val="21"/>
              </w:rPr>
              <w:t>0.</w:t>
            </w:r>
            <w:bookmarkEnd w:id="778"/>
            <w:bookmarkEnd w:id="779"/>
            <w:r>
              <w:rPr>
                <w:rFonts w:cs="Times New Roman" w:hint="eastAsia"/>
                <w:sz w:val="21"/>
                <w:szCs w:val="21"/>
              </w:rPr>
              <w:t>66</w:t>
            </w:r>
          </w:p>
        </w:tc>
        <w:tc>
          <w:tcPr>
            <w:tcW w:w="897" w:type="dxa"/>
            <w:vAlign w:val="center"/>
          </w:tcPr>
          <w:p w:rsidR="00C645C9" w:rsidRDefault="00F955D9">
            <w:pPr>
              <w:jc w:val="center"/>
              <w:rPr>
                <w:rFonts w:cs="Times New Roman"/>
                <w:sz w:val="21"/>
                <w:szCs w:val="21"/>
              </w:rPr>
            </w:pPr>
            <w:bookmarkStart w:id="780" w:name="OLE_LINK1508"/>
            <w:r>
              <w:rPr>
                <w:rFonts w:cs="Times New Roman" w:hint="eastAsia"/>
                <w:sz w:val="21"/>
                <w:szCs w:val="21"/>
              </w:rPr>
              <w:t>4.09</w:t>
            </w:r>
            <w:bookmarkEnd w:id="780"/>
          </w:p>
        </w:tc>
        <w:tc>
          <w:tcPr>
            <w:tcW w:w="2256" w:type="pct"/>
            <w:vAlign w:val="center"/>
          </w:tcPr>
          <w:p w:rsidR="00C645C9" w:rsidRDefault="00F955D9">
            <w:pPr>
              <w:jc w:val="center"/>
              <w:rPr>
                <w:rFonts w:cs="Times New Roman"/>
                <w:sz w:val="21"/>
                <w:szCs w:val="21"/>
              </w:rPr>
            </w:pPr>
            <w:r>
              <w:rPr>
                <w:rFonts w:cs="Times New Roman"/>
                <w:sz w:val="21"/>
                <w:szCs w:val="21"/>
              </w:rPr>
              <w:t>/</w:t>
            </w:r>
          </w:p>
        </w:tc>
      </w:tr>
    </w:tbl>
    <w:bookmarkStart w:id="781" w:name="OLE_LINK288"/>
    <w:bookmarkEnd w:id="777"/>
    <w:p w:rsidR="00C645C9" w:rsidRDefault="00F955D9">
      <w:pPr>
        <w:pStyle w:val="4"/>
        <w:adjustRightInd w:val="0"/>
        <w:snapToGrid w:val="0"/>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"3.2.3.2"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hint="eastAsia"/>
          <w:color w:val="auto"/>
          <w:lang w:eastAsia="zh-CN"/>
        </w:rPr>
        <w:t>3</w:t>
      </w:r>
      <w:r>
        <w:rPr>
          <w:rFonts w:ascii="Times New Roman" w:hAnsi="Times New Roman" w:cs="Times New Roman"/>
          <w:color w:val="auto"/>
        </w:rPr>
        <w:t>.</w:t>
      </w:r>
      <w:r>
        <w:rPr>
          <w:rFonts w:ascii="Times New Roman" w:hAnsi="Times New Roman" w:cs="Times New Roman"/>
          <w:color w:val="auto"/>
          <w:lang w:eastAsia="zh-CN"/>
        </w:rPr>
        <w:t>2</w:t>
      </w:r>
      <w:r>
        <w:rPr>
          <w:rFonts w:ascii="Times New Roman" w:hAnsi="Times New Roman" w:cs="Times New Roman"/>
          <w:color w:val="auto"/>
        </w:rPr>
        <w:t>.2</w:t>
      </w:r>
      <w:r>
        <w:rPr>
          <w:rFonts w:ascii="Times New Roman" w:hAnsi="Times New Roman" w:cs="Times New Roman"/>
          <w:color w:val="auto"/>
        </w:rPr>
        <w:fldChar w:fldCharType="end"/>
      </w:r>
      <w:r>
        <w:rPr>
          <w:rFonts w:ascii="Times New Roman" w:hAnsi="Times New Roman" w:cs="Times New Roman"/>
          <w:color w:val="auto"/>
          <w:szCs w:val="22"/>
        </w:rPr>
        <w:t>施工期污染源分析</w:t>
      </w:r>
    </w:p>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hint="eastAsia"/>
        </w:rPr>
        <w:t>1</w:t>
      </w:r>
      <w:r>
        <w:rPr>
          <w:rFonts w:cs="Times New Roman"/>
        </w:rPr>
        <w:t>）</w:t>
      </w:r>
      <w:r>
        <w:rPr>
          <w:rFonts w:cs="Times New Roman"/>
        </w:rPr>
        <w:t>废水污染源</w:t>
      </w:r>
    </w:p>
    <w:p w:rsidR="00C645C9" w:rsidRDefault="00F955D9">
      <w:pPr>
        <w:pStyle w:val="00"/>
        <w:adjustRightInd w:val="0"/>
        <w:snapToGrid w:val="0"/>
        <w:jc w:val="both"/>
        <w:rPr>
          <w:color w:val="auto"/>
        </w:rPr>
      </w:pPr>
      <w:bookmarkStart w:id="782" w:name="OLE_LINK835"/>
      <w:r>
        <w:rPr>
          <w:color w:val="auto"/>
        </w:rPr>
        <w:t>①</w:t>
      </w:r>
      <w:bookmarkEnd w:id="782"/>
      <w:r>
        <w:rPr>
          <w:color w:val="auto"/>
        </w:rPr>
        <w:t>生活污水</w:t>
      </w:r>
    </w:p>
    <w:p w:rsidR="00C645C9" w:rsidRDefault="00F955D9">
      <w:pPr>
        <w:pStyle w:val="aff"/>
        <w:adjustRightInd w:val="0"/>
        <w:snapToGrid w:val="0"/>
        <w:jc w:val="both"/>
        <w:rPr>
          <w:rFonts w:cs="Times New Roman"/>
          <w:color w:val="auto"/>
        </w:rPr>
      </w:pPr>
      <w:r>
        <w:rPr>
          <w:rFonts w:cs="Times New Roman"/>
          <w:color w:val="auto"/>
        </w:rPr>
        <w:t>本工程施工期施工人员约</w:t>
      </w:r>
      <w:r>
        <w:rPr>
          <w:rFonts w:cs="Times New Roman" w:hint="eastAsia"/>
          <w:color w:val="auto"/>
        </w:rPr>
        <w:t>1</w:t>
      </w:r>
      <w:r>
        <w:rPr>
          <w:rFonts w:cs="Times New Roman"/>
          <w:color w:val="auto"/>
        </w:rPr>
        <w:t>0</w:t>
      </w:r>
      <w:r>
        <w:rPr>
          <w:rFonts w:cs="Times New Roman"/>
          <w:color w:val="auto"/>
        </w:rPr>
        <w:t>人，施工期</w:t>
      </w:r>
      <w:r>
        <w:rPr>
          <w:rFonts w:cs="Times New Roman" w:hint="eastAsia"/>
          <w:color w:val="auto"/>
        </w:rPr>
        <w:t>270</w:t>
      </w:r>
      <w:r>
        <w:rPr>
          <w:rFonts w:cs="Times New Roman"/>
          <w:color w:val="auto"/>
        </w:rPr>
        <w:t>天。每人每天生活用水最高按</w:t>
      </w:r>
      <w:r>
        <w:rPr>
          <w:rFonts w:cs="Times New Roman"/>
          <w:color w:val="auto"/>
        </w:rPr>
        <w:t>100L</w:t>
      </w:r>
      <w:r>
        <w:rPr>
          <w:rFonts w:cs="Times New Roman"/>
          <w:color w:val="auto"/>
        </w:rPr>
        <w:t>计算，生活用水总量为</w:t>
      </w:r>
      <w:r>
        <w:rPr>
          <w:rFonts w:cs="Times New Roman" w:hint="eastAsia"/>
          <w:color w:val="auto"/>
        </w:rPr>
        <w:t>270</w:t>
      </w:r>
      <w:r>
        <w:rPr>
          <w:rFonts w:cs="Times New Roman"/>
          <w:color w:val="auto"/>
        </w:rPr>
        <w:t>m³</w:t>
      </w:r>
      <w:r>
        <w:rPr>
          <w:rFonts w:cs="Times New Roman"/>
          <w:color w:val="auto"/>
        </w:rPr>
        <w:t>，生活污水排放量按用水量的</w:t>
      </w:r>
      <w:r>
        <w:rPr>
          <w:rFonts w:cs="Times New Roman"/>
          <w:color w:val="auto"/>
        </w:rPr>
        <w:t>80%</w:t>
      </w:r>
      <w:r>
        <w:rPr>
          <w:rFonts w:cs="Times New Roman"/>
          <w:color w:val="auto"/>
        </w:rPr>
        <w:t>计，</w:t>
      </w:r>
      <w:r>
        <w:rPr>
          <w:color w:val="auto"/>
        </w:rPr>
        <w:t>则</w:t>
      </w:r>
      <w:r>
        <w:rPr>
          <w:rFonts w:hint="eastAsia"/>
          <w:color w:val="auto"/>
        </w:rPr>
        <w:t>施工</w:t>
      </w:r>
      <w:r>
        <w:rPr>
          <w:color w:val="auto"/>
        </w:rPr>
        <w:t>期内</w:t>
      </w:r>
      <w:bookmarkStart w:id="783" w:name="OLE_LINK766"/>
      <w:r>
        <w:rPr>
          <w:color w:val="auto"/>
        </w:rPr>
        <w:t>生活污水总产生量</w:t>
      </w:r>
      <w:bookmarkEnd w:id="783"/>
      <w:r>
        <w:rPr>
          <w:color w:val="auto"/>
        </w:rPr>
        <w:t>总计为</w:t>
      </w:r>
      <w:r>
        <w:rPr>
          <w:rFonts w:hint="eastAsia"/>
          <w:color w:val="auto"/>
        </w:rPr>
        <w:t>216</w:t>
      </w:r>
      <w:r>
        <w:rPr>
          <w:rFonts w:hint="eastAsia"/>
          <w:color w:val="auto"/>
        </w:rPr>
        <w:t>m</w:t>
      </w:r>
      <w:r>
        <w:rPr>
          <w:rFonts w:hint="eastAsia"/>
          <w:color w:val="auto"/>
          <w:vertAlign w:val="superscript"/>
        </w:rPr>
        <w:t>3</w:t>
      </w:r>
      <w:r>
        <w:rPr>
          <w:color w:val="auto"/>
        </w:rPr>
        <w:t>，</w:t>
      </w:r>
      <w:r>
        <w:rPr>
          <w:rFonts w:cs="Times New Roman"/>
          <w:color w:val="auto"/>
        </w:rPr>
        <w:t>生活污水主要污染物为</w:t>
      </w:r>
      <w:r>
        <w:rPr>
          <w:rFonts w:cs="Times New Roman"/>
          <w:color w:val="auto"/>
        </w:rPr>
        <w:t>COD</w:t>
      </w:r>
      <w:r>
        <w:rPr>
          <w:rFonts w:cs="Times New Roman"/>
          <w:color w:val="auto"/>
        </w:rPr>
        <w:t>、</w:t>
      </w:r>
      <w:r>
        <w:rPr>
          <w:rFonts w:cs="Times New Roman"/>
          <w:color w:val="auto"/>
        </w:rPr>
        <w:t>NH</w:t>
      </w:r>
      <w:r>
        <w:rPr>
          <w:rFonts w:cs="Times New Roman"/>
          <w:color w:val="auto"/>
          <w:vertAlign w:val="subscript"/>
        </w:rPr>
        <w:t>3</w:t>
      </w:r>
      <w:r>
        <w:rPr>
          <w:rFonts w:cs="Times New Roman"/>
          <w:color w:val="auto"/>
        </w:rPr>
        <w:t>-N</w:t>
      </w:r>
      <w:r>
        <w:rPr>
          <w:rFonts w:cs="Times New Roman"/>
          <w:color w:val="auto"/>
        </w:rPr>
        <w:t>、</w:t>
      </w:r>
      <w:r>
        <w:rPr>
          <w:rFonts w:cs="Times New Roman"/>
          <w:color w:val="auto"/>
        </w:rPr>
        <w:t>SS</w:t>
      </w:r>
      <w:r>
        <w:rPr>
          <w:rFonts w:cs="Times New Roman"/>
          <w:color w:val="auto"/>
        </w:rPr>
        <w:t>等，其主要指标浓度</w:t>
      </w:r>
      <w:r>
        <w:rPr>
          <w:rFonts w:cs="Times New Roman"/>
          <w:color w:val="auto"/>
        </w:rPr>
        <w:t>COD</w:t>
      </w:r>
      <w:r>
        <w:rPr>
          <w:rFonts w:cs="Times New Roman"/>
          <w:color w:val="auto"/>
        </w:rPr>
        <w:t>为</w:t>
      </w:r>
      <w:r>
        <w:rPr>
          <w:rFonts w:cs="Times New Roman"/>
          <w:color w:val="auto"/>
        </w:rPr>
        <w:t>350mg/L</w:t>
      </w:r>
      <w:r>
        <w:rPr>
          <w:rFonts w:cs="Times New Roman"/>
          <w:color w:val="auto"/>
        </w:rPr>
        <w:t>，</w:t>
      </w:r>
      <w:r>
        <w:rPr>
          <w:rFonts w:cs="Times New Roman"/>
          <w:color w:val="auto"/>
        </w:rPr>
        <w:t>NH</w:t>
      </w:r>
      <w:r>
        <w:rPr>
          <w:rFonts w:cs="Times New Roman"/>
          <w:color w:val="auto"/>
          <w:vertAlign w:val="subscript"/>
        </w:rPr>
        <w:t>3</w:t>
      </w:r>
      <w:r>
        <w:rPr>
          <w:rFonts w:cs="Times New Roman"/>
          <w:color w:val="auto"/>
        </w:rPr>
        <w:t>-N</w:t>
      </w:r>
      <w:r>
        <w:rPr>
          <w:rFonts w:cs="Times New Roman"/>
          <w:color w:val="auto"/>
        </w:rPr>
        <w:t>为</w:t>
      </w:r>
      <w:r>
        <w:rPr>
          <w:rFonts w:cs="Times New Roman"/>
          <w:color w:val="auto"/>
        </w:rPr>
        <w:t>60mg/L</w:t>
      </w:r>
      <w:r>
        <w:rPr>
          <w:rFonts w:cs="Times New Roman"/>
          <w:color w:val="auto"/>
        </w:rPr>
        <w:t>、</w:t>
      </w:r>
      <w:r>
        <w:rPr>
          <w:rFonts w:cs="Times New Roman"/>
          <w:color w:val="auto"/>
        </w:rPr>
        <w:t>SS</w:t>
      </w:r>
      <w:r>
        <w:rPr>
          <w:rFonts w:cs="Times New Roman"/>
          <w:color w:val="auto"/>
        </w:rPr>
        <w:t>为</w:t>
      </w:r>
      <w:r>
        <w:rPr>
          <w:rFonts w:cs="Times New Roman"/>
          <w:color w:val="auto"/>
        </w:rPr>
        <w:t>240mg/L</w:t>
      </w:r>
      <w:r>
        <w:rPr>
          <w:rFonts w:cs="Times New Roman"/>
          <w:color w:val="auto"/>
        </w:rPr>
        <w:t>。施工期生活污水经井场一体化污水处理装置处理后，水质达到《农村生活污水处理排放标准》（</w:t>
      </w:r>
      <w:r>
        <w:rPr>
          <w:rFonts w:cs="Times New Roman"/>
          <w:color w:val="auto"/>
        </w:rPr>
        <w:t>DB65 4275-2019</w:t>
      </w:r>
      <w:r>
        <w:rPr>
          <w:rFonts w:cs="Times New Roman"/>
          <w:color w:val="auto"/>
        </w:rPr>
        <w:t>）表二的</w:t>
      </w:r>
      <w:r>
        <w:rPr>
          <w:rFonts w:cs="Times New Roman"/>
          <w:color w:val="auto"/>
        </w:rPr>
        <w:t>B</w:t>
      </w:r>
      <w:r>
        <w:rPr>
          <w:rFonts w:cs="Times New Roman"/>
          <w:color w:val="auto"/>
        </w:rPr>
        <w:t>级标准、《农田灌溉水质标准》（</w:t>
      </w:r>
      <w:r>
        <w:rPr>
          <w:rFonts w:cs="Times New Roman"/>
          <w:color w:val="auto"/>
        </w:rPr>
        <w:t>GB 5084-2021</w:t>
      </w:r>
      <w:r>
        <w:rPr>
          <w:rFonts w:cs="Times New Roman"/>
          <w:color w:val="auto"/>
        </w:rPr>
        <w:t>）表一旱地作物标准后用于井场及道路降尘</w:t>
      </w:r>
      <w:r>
        <w:rPr>
          <w:rFonts w:cs="Times New Roman"/>
          <w:color w:val="auto"/>
        </w:rPr>
        <w:t>。</w:t>
      </w:r>
    </w:p>
    <w:p w:rsidR="00C645C9" w:rsidRDefault="00F955D9">
      <w:pPr>
        <w:pStyle w:val="00"/>
        <w:adjustRightInd w:val="0"/>
        <w:snapToGrid w:val="0"/>
        <w:jc w:val="both"/>
        <w:rPr>
          <w:color w:val="auto"/>
        </w:rPr>
      </w:pPr>
      <w:bookmarkStart w:id="784" w:name="OLE_LINK836"/>
      <w:r>
        <w:rPr>
          <w:color w:val="auto"/>
        </w:rPr>
        <w:t>②</w:t>
      </w:r>
      <w:bookmarkStart w:id="785" w:name="OLE_LINK787"/>
      <w:bookmarkEnd w:id="784"/>
      <w:r>
        <w:rPr>
          <w:color w:val="auto"/>
        </w:rPr>
        <w:t>钻井废水</w:t>
      </w:r>
      <w:bookmarkEnd w:id="785"/>
    </w:p>
    <w:p w:rsidR="00C645C9" w:rsidRDefault="00F955D9">
      <w:pPr>
        <w:pStyle w:val="00"/>
        <w:adjustRightInd w:val="0"/>
        <w:snapToGrid w:val="0"/>
        <w:jc w:val="both"/>
        <w:rPr>
          <w:color w:val="auto"/>
        </w:rPr>
      </w:pPr>
      <w:r>
        <w:rPr>
          <w:rFonts w:hint="eastAsia"/>
          <w:color w:val="auto"/>
        </w:rPr>
        <w:t>本工</w:t>
      </w:r>
      <w:r>
        <w:rPr>
          <w:rFonts w:hint="eastAsia"/>
          <w:color w:val="auto"/>
        </w:rPr>
        <w:t>程计划部署</w:t>
      </w:r>
      <w:r>
        <w:rPr>
          <w:rFonts w:hint="eastAsia"/>
          <w:color w:val="auto"/>
        </w:rPr>
        <w:t>2</w:t>
      </w:r>
      <w:r>
        <w:rPr>
          <w:rFonts w:hint="eastAsia"/>
          <w:color w:val="auto"/>
        </w:rPr>
        <w:t>口井，其中老井侧钻井</w:t>
      </w:r>
      <w:r>
        <w:rPr>
          <w:rFonts w:hint="eastAsia"/>
          <w:color w:val="auto"/>
        </w:rPr>
        <w:t>1</w:t>
      </w:r>
      <w:r>
        <w:rPr>
          <w:rFonts w:hint="eastAsia"/>
          <w:color w:val="auto"/>
        </w:rPr>
        <w:t>口，</w:t>
      </w:r>
      <w:bookmarkStart w:id="786" w:name="OLE_LINK1283"/>
      <w:r>
        <w:rPr>
          <w:color w:val="auto"/>
        </w:rPr>
        <w:t>新钻井</w:t>
      </w:r>
      <w:bookmarkEnd w:id="786"/>
      <w:r>
        <w:rPr>
          <w:color w:val="auto"/>
        </w:rPr>
        <w:t>1</w:t>
      </w:r>
      <w:r>
        <w:rPr>
          <w:color w:val="auto"/>
        </w:rPr>
        <w:t>口</w:t>
      </w:r>
      <w:r>
        <w:rPr>
          <w:rFonts w:hint="eastAsia"/>
          <w:color w:val="auto"/>
        </w:rPr>
        <w:t>。</w:t>
      </w:r>
      <w:r>
        <w:rPr>
          <w:rFonts w:hint="eastAsia"/>
          <w:color w:val="auto"/>
        </w:rPr>
        <w:t>本工程</w:t>
      </w:r>
      <w:bookmarkStart w:id="787" w:name="OLE_LINK1336"/>
      <w:r>
        <w:rPr>
          <w:color w:val="auto"/>
          <w:spacing w:val="-3"/>
        </w:rPr>
        <w:t>总进尺</w:t>
      </w:r>
      <w:bookmarkStart w:id="788" w:name="OLE_LINK1285"/>
      <w:r>
        <w:rPr>
          <w:rFonts w:hint="eastAsia"/>
          <w:color w:val="auto"/>
          <w:spacing w:val="-3"/>
        </w:rPr>
        <w:t>7445.53</w:t>
      </w:r>
      <w:bookmarkEnd w:id="788"/>
      <w:r>
        <w:rPr>
          <w:color w:val="auto"/>
          <w:spacing w:val="-3"/>
        </w:rPr>
        <w:t>m</w:t>
      </w:r>
      <w:bookmarkEnd w:id="787"/>
      <w:r>
        <w:rPr>
          <w:color w:val="auto"/>
        </w:rPr>
        <w:t>。</w:t>
      </w:r>
      <w:r>
        <w:rPr>
          <w:color w:val="auto"/>
        </w:rPr>
        <w:t>根据</w:t>
      </w:r>
      <w:r>
        <w:rPr>
          <w:rFonts w:hint="eastAsia"/>
          <w:color w:val="auto"/>
        </w:rPr>
        <w:t>《排放源统计调查产排污核算方法和系数手册》</w:t>
      </w:r>
      <w:r>
        <w:rPr>
          <w:color w:val="auto"/>
        </w:rPr>
        <w:t>中石油和天然气开采专业及辅助性活动行业系数手册</w:t>
      </w:r>
      <w:r>
        <w:rPr>
          <w:rFonts w:hint="eastAsia"/>
          <w:color w:val="auto"/>
        </w:rPr>
        <w:t>，</w:t>
      </w:r>
      <w:r>
        <w:rPr>
          <w:color w:val="auto"/>
        </w:rPr>
        <w:t>钻井作业废水（</w:t>
      </w:r>
      <w:r>
        <w:rPr>
          <w:color w:val="auto"/>
        </w:rPr>
        <w:t>≥4km</w:t>
      </w:r>
      <w:r>
        <w:rPr>
          <w:color w:val="auto"/>
        </w:rPr>
        <w:t>进尺）产污系数</w:t>
      </w:r>
      <w:r>
        <w:rPr>
          <w:color w:val="auto"/>
        </w:rPr>
        <w:t>52.64</w:t>
      </w:r>
      <w:r>
        <w:rPr>
          <w:color w:val="auto"/>
        </w:rPr>
        <w:t>吨</w:t>
      </w:r>
      <w:r>
        <w:rPr>
          <w:color w:val="auto"/>
        </w:rPr>
        <w:t>/</w:t>
      </w:r>
      <w:r>
        <w:rPr>
          <w:color w:val="auto"/>
        </w:rPr>
        <w:t>百米</w:t>
      </w:r>
      <w:r>
        <w:rPr>
          <w:color w:val="auto"/>
        </w:rPr>
        <w:t>。</w:t>
      </w:r>
      <w:r>
        <w:rPr>
          <w:rFonts w:hint="eastAsia"/>
          <w:color w:val="auto"/>
        </w:rPr>
        <w:t>本工程</w:t>
      </w:r>
      <w:r>
        <w:rPr>
          <w:color w:val="auto"/>
        </w:rPr>
        <w:t>钻井废水产生量为</w:t>
      </w:r>
      <w:r>
        <w:rPr>
          <w:rFonts w:hint="eastAsia"/>
          <w:color w:val="auto"/>
        </w:rPr>
        <w:t>3919.33</w:t>
      </w:r>
      <w:r>
        <w:rPr>
          <w:color w:val="auto"/>
        </w:rPr>
        <w:t>m³</w:t>
      </w:r>
      <w:r>
        <w:rPr>
          <w:color w:val="auto"/>
        </w:rPr>
        <w:t>。钻井废水连同钻井泥浆、岩屑一同进入泥浆不落地处理系统处理，处理后的废水全部回用，不外排。</w:t>
      </w:r>
    </w:p>
    <w:bookmarkStart w:id="789" w:name="OLE_LINK837"/>
    <w:p w:rsidR="00C645C9" w:rsidRDefault="00F955D9">
      <w:pPr>
        <w:adjustRightInd w:val="0"/>
        <w:snapToGrid w:val="0"/>
        <w:spacing w:line="360" w:lineRule="auto"/>
        <w:ind w:firstLineChars="200" w:firstLine="480"/>
      </w:pPr>
      <w:r>
        <w:fldChar w:fldCharType="begin"/>
      </w:r>
      <w:r>
        <w:instrText xml:space="preserve"> = 3 \* GB3 \* MERGEFORMAT </w:instrText>
      </w:r>
      <w:r>
        <w:fldChar w:fldCharType="separate"/>
      </w:r>
      <w:r>
        <w:t>③</w:t>
      </w:r>
      <w:r>
        <w:fldChar w:fldCharType="end"/>
      </w:r>
      <w:bookmarkEnd w:id="789"/>
      <w:r>
        <w:rPr>
          <w:rFonts w:hint="eastAsia"/>
        </w:rPr>
        <w:t>酸化压裂废水</w:t>
      </w:r>
    </w:p>
    <w:p w:rsidR="00C645C9" w:rsidRDefault="00F955D9">
      <w:pPr>
        <w:adjustRightInd w:val="0"/>
        <w:snapToGrid w:val="0"/>
        <w:spacing w:line="360" w:lineRule="auto"/>
        <w:ind w:firstLineChars="200" w:firstLine="480"/>
      </w:pPr>
      <w:r>
        <w:rPr>
          <w:rFonts w:hint="eastAsia"/>
        </w:rPr>
        <w:t>本工程产生的</w:t>
      </w:r>
      <w:r>
        <w:rPr>
          <w:rFonts w:hint="eastAsia"/>
        </w:rPr>
        <w:t>酸化压裂废水</w:t>
      </w:r>
      <w:r>
        <w:t>量约</w:t>
      </w:r>
      <w:r>
        <w:t>100</w:t>
      </w:r>
      <w:r>
        <w:rPr>
          <w:rFonts w:hint="eastAsia"/>
        </w:rPr>
        <w:t>0</w:t>
      </w:r>
      <w:r>
        <w:t>m</w:t>
      </w:r>
      <w:r>
        <w:rPr>
          <w:vertAlign w:val="superscript"/>
        </w:rPr>
        <w:t>3</w:t>
      </w:r>
      <w:r>
        <w:t>，属于废酸类危险废物，采用专用废液收集罐收集后运至</w:t>
      </w:r>
      <w:r>
        <w:rPr>
          <w:rFonts w:hint="eastAsia"/>
        </w:rPr>
        <w:t>塔河油田绿色环保工作站</w:t>
      </w:r>
      <w:r>
        <w:t>处理。对于本工程产</w:t>
      </w:r>
      <w:r>
        <w:rPr>
          <w:rFonts w:hint="eastAsia"/>
        </w:rPr>
        <w:t>生的</w:t>
      </w:r>
      <w:r>
        <w:t>危险废物由专用运输车辆进行运输、转移，并严格按照《危险废物转移联单管理办法》，实施危险废物转移联单管理制度</w:t>
      </w:r>
      <w:r>
        <w:rPr>
          <w:rFonts w:hint="eastAsia"/>
        </w:rPr>
        <w:t>。</w:t>
      </w:r>
    </w:p>
    <w:p w:rsidR="00C645C9" w:rsidRDefault="00F955D9">
      <w:pPr>
        <w:adjustRightInd w:val="0"/>
        <w:snapToGrid w:val="0"/>
        <w:spacing w:line="360" w:lineRule="auto"/>
        <w:ind w:firstLineChars="200" w:firstLine="480"/>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t>④</w:t>
      </w:r>
      <w:r>
        <w:rPr>
          <w:rFonts w:cs="Times New Roman"/>
        </w:rPr>
        <w:fldChar w:fldCharType="end"/>
      </w:r>
      <w:r>
        <w:rPr>
          <w:rFonts w:cs="Times New Roman"/>
        </w:rPr>
        <w:t>试压废水</w:t>
      </w:r>
    </w:p>
    <w:p w:rsidR="00C645C9" w:rsidRDefault="00F955D9">
      <w:pPr>
        <w:pStyle w:val="aff7"/>
        <w:adjustRightInd w:val="0"/>
        <w:snapToGrid w:val="0"/>
        <w:jc w:val="both"/>
        <w:rPr>
          <w:rFonts w:cs="Times New Roman"/>
        </w:rPr>
      </w:pPr>
      <w:bookmarkStart w:id="790" w:name="OLE_LINK453"/>
      <w:r>
        <w:rPr>
          <w:rFonts w:cs="Times New Roman"/>
          <w:szCs w:val="24"/>
        </w:rPr>
        <w:t>本</w:t>
      </w:r>
      <w:r>
        <w:rPr>
          <w:rFonts w:cs="Times New Roman" w:hint="eastAsia"/>
          <w:szCs w:val="24"/>
          <w:lang w:val="en-US"/>
        </w:rPr>
        <w:t>工程</w:t>
      </w:r>
      <w:r>
        <w:t>单井至</w:t>
      </w:r>
      <w:bookmarkStart w:id="791" w:name="OLE_LINK462"/>
      <w:r>
        <w:rPr>
          <w:rFonts w:hint="eastAsia"/>
          <w:lang w:val="en-US"/>
        </w:rPr>
        <w:t>储罐</w:t>
      </w:r>
      <w:bookmarkEnd w:id="791"/>
      <w:r>
        <w:rPr>
          <w:rFonts w:hint="eastAsia"/>
          <w:lang w:val="en-US"/>
        </w:rPr>
        <w:t>的</w:t>
      </w:r>
      <w:r>
        <w:rPr>
          <w:rFonts w:cs="Times New Roman"/>
          <w:szCs w:val="24"/>
        </w:rPr>
        <w:t>管道</w:t>
      </w:r>
      <w:r>
        <w:rPr>
          <w:rFonts w:cs="Times New Roman" w:hint="eastAsia"/>
          <w:szCs w:val="24"/>
          <w:lang w:val="en-US"/>
        </w:rPr>
        <w:t>共计</w:t>
      </w:r>
      <w:bookmarkStart w:id="792" w:name="OLE_LINK250"/>
      <w:r>
        <w:rPr>
          <w:rFonts w:cs="Times New Roman" w:hint="eastAsia"/>
          <w:szCs w:val="24"/>
          <w:lang w:val="en-US"/>
        </w:rPr>
        <w:t>0.163</w:t>
      </w:r>
      <w:bookmarkEnd w:id="792"/>
      <w:r>
        <w:rPr>
          <w:rFonts w:cs="Times New Roman" w:hint="eastAsia"/>
          <w:szCs w:val="24"/>
          <w:lang w:val="en-US"/>
        </w:rPr>
        <w:t>km</w:t>
      </w:r>
      <w:r>
        <w:rPr>
          <w:rFonts w:cs="Times New Roman" w:hint="eastAsia"/>
          <w:szCs w:val="24"/>
          <w:lang w:val="en-US"/>
        </w:rPr>
        <w:t>，</w:t>
      </w:r>
      <w:r>
        <w:rPr>
          <w:rFonts w:cs="Times New Roman"/>
          <w:szCs w:val="24"/>
        </w:rPr>
        <w:t>采用无腐蚀性洁净水作为试压介质，管道试压废水中主要污染物为</w:t>
      </w:r>
      <w:r>
        <w:rPr>
          <w:rFonts w:cs="Times New Roman"/>
          <w:szCs w:val="24"/>
        </w:rPr>
        <w:t>SS</w:t>
      </w:r>
      <w:r>
        <w:rPr>
          <w:rFonts w:cs="Times New Roman"/>
          <w:szCs w:val="24"/>
        </w:rPr>
        <w:t>。管道试压分段进行，试压水排出后进入下一段管线循环使用。试压结束后，产生的试压废水按照每千米</w:t>
      </w:r>
      <w:bookmarkStart w:id="793" w:name="OLE_LINK452"/>
      <w:r>
        <w:rPr>
          <w:rFonts w:cs="Times New Roman"/>
          <w:szCs w:val="24"/>
        </w:rPr>
        <w:t>2.5</w:t>
      </w:r>
      <w:bookmarkEnd w:id="793"/>
      <w:r>
        <w:rPr>
          <w:rFonts w:cs="Times New Roman"/>
          <w:szCs w:val="24"/>
        </w:rPr>
        <w:t>m</w:t>
      </w:r>
      <w:r>
        <w:rPr>
          <w:rFonts w:cs="Times New Roman"/>
          <w:szCs w:val="24"/>
          <w:vertAlign w:val="superscript"/>
        </w:rPr>
        <w:t>3</w:t>
      </w:r>
      <w:r>
        <w:rPr>
          <w:rFonts w:cs="Times New Roman"/>
          <w:szCs w:val="24"/>
        </w:rPr>
        <w:t>计算，</w:t>
      </w:r>
      <w:r>
        <w:rPr>
          <w:rFonts w:cs="Times New Roman"/>
          <w:szCs w:val="24"/>
        </w:rPr>
        <w:t>本</w:t>
      </w:r>
      <w:r>
        <w:rPr>
          <w:rFonts w:cs="Times New Roman" w:hint="eastAsia"/>
          <w:szCs w:val="24"/>
          <w:lang w:val="en-US"/>
        </w:rPr>
        <w:t>工程</w:t>
      </w:r>
      <w:r>
        <w:rPr>
          <w:rFonts w:cs="Times New Roman"/>
          <w:szCs w:val="24"/>
        </w:rPr>
        <w:t>试压废水约为</w:t>
      </w:r>
      <w:r>
        <w:rPr>
          <w:rFonts w:cs="Times New Roman" w:hint="eastAsia"/>
          <w:szCs w:val="24"/>
          <w:lang w:val="en-US"/>
        </w:rPr>
        <w:t>0.4075</w:t>
      </w:r>
      <w:r>
        <w:rPr>
          <w:rFonts w:cs="Times New Roman"/>
          <w:szCs w:val="24"/>
        </w:rPr>
        <w:t>m</w:t>
      </w:r>
      <w:r>
        <w:rPr>
          <w:rFonts w:cs="Times New Roman"/>
          <w:szCs w:val="24"/>
          <w:vertAlign w:val="superscript"/>
        </w:rPr>
        <w:t>3</w:t>
      </w:r>
      <w:r>
        <w:rPr>
          <w:rFonts w:cs="Times New Roman"/>
          <w:szCs w:val="24"/>
        </w:rPr>
        <w:t>，主要污染物为</w:t>
      </w:r>
      <w:r>
        <w:rPr>
          <w:rFonts w:cs="Times New Roman"/>
          <w:szCs w:val="24"/>
        </w:rPr>
        <w:t>SS</w:t>
      </w:r>
      <w:r>
        <w:rPr>
          <w:rFonts w:cs="Times New Roman"/>
          <w:szCs w:val="24"/>
        </w:rPr>
        <w:t>。新建管线的试压废水可用作场地降尘用</w:t>
      </w:r>
      <w:r>
        <w:rPr>
          <w:rFonts w:cs="Times New Roman"/>
          <w:szCs w:val="24"/>
        </w:rPr>
        <w:lastRenderedPageBreak/>
        <w:t>水</w:t>
      </w:r>
      <w:r>
        <w:rPr>
          <w:rFonts w:cs="Times New Roman"/>
        </w:rPr>
        <w:t>。</w:t>
      </w:r>
    </w:p>
    <w:bookmarkEnd w:id="790"/>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固体废物</w:t>
      </w:r>
      <w:bookmarkStart w:id="794" w:name="OLE_LINK295"/>
      <w:r>
        <w:rPr>
          <w:rFonts w:ascii="Times New Roman" w:hAnsi="Times New Roman" w:cs="Times New Roman"/>
        </w:rPr>
        <w:t>污染源</w:t>
      </w:r>
      <w:bookmarkEnd w:id="794"/>
    </w:p>
    <w:p w:rsidR="00C645C9" w:rsidRDefault="00F955D9">
      <w:pPr>
        <w:pStyle w:val="00"/>
        <w:adjustRightInd w:val="0"/>
        <w:snapToGrid w:val="0"/>
        <w:rPr>
          <w:color w:val="auto"/>
        </w:rPr>
      </w:pPr>
      <w:r>
        <w:rPr>
          <w:color w:val="auto"/>
        </w:rPr>
        <w:fldChar w:fldCharType="begin"/>
      </w:r>
      <w:r>
        <w:rPr>
          <w:color w:val="auto"/>
        </w:rPr>
        <w:instrText xml:space="preserve"> = 1 \* GB3 </w:instrText>
      </w:r>
      <w:r>
        <w:rPr>
          <w:color w:val="auto"/>
        </w:rPr>
        <w:fldChar w:fldCharType="separate"/>
      </w:r>
      <w:r>
        <w:rPr>
          <w:rFonts w:ascii="宋体" w:cs="宋体" w:hint="eastAsia"/>
          <w:color w:val="auto"/>
        </w:rPr>
        <w:t>①</w:t>
      </w:r>
      <w:r>
        <w:rPr>
          <w:color w:val="auto"/>
        </w:rPr>
        <w:fldChar w:fldCharType="end"/>
      </w:r>
      <w:r>
        <w:rPr>
          <w:color w:val="auto"/>
        </w:rPr>
        <w:t>钻井泥浆</w:t>
      </w:r>
    </w:p>
    <w:p w:rsidR="00C645C9" w:rsidRDefault="00F955D9">
      <w:pPr>
        <w:pStyle w:val="Char3"/>
        <w:adjustRightInd w:val="0"/>
        <w:snapToGrid w:val="0"/>
        <w:spacing w:line="360" w:lineRule="auto"/>
        <w:ind w:firstLine="512"/>
      </w:pPr>
      <w:r>
        <w:t>钻井泥浆的排放量依井的深度而增加，其排放量计算采用《油田开发环境影响评价文集》中的经验公式：</w:t>
      </w:r>
    </w:p>
    <w:p w:rsidR="00C645C9" w:rsidRDefault="00F955D9">
      <w:pPr>
        <w:pStyle w:val="affff4"/>
        <w:adjustRightInd w:val="0"/>
        <w:ind w:firstLine="420"/>
        <w:jc w:val="center"/>
        <w:rPr>
          <w:kern w:val="2"/>
          <w:sz w:val="21"/>
        </w:rPr>
      </w:pPr>
      <w:r>
        <w:rPr>
          <w:noProof/>
          <w:kern w:val="2"/>
          <w:sz w:val="21"/>
        </w:rPr>
        <w:drawing>
          <wp:inline distT="0" distB="0" distL="114300" distR="114300">
            <wp:extent cx="2028825" cy="390525"/>
            <wp:effectExtent l="0" t="0" r="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2028825" cy="390525"/>
                    </a:xfrm>
                    <a:prstGeom prst="rect">
                      <a:avLst/>
                    </a:prstGeom>
                    <a:noFill/>
                    <a:ln>
                      <a:noFill/>
                    </a:ln>
                  </pic:spPr>
                </pic:pic>
              </a:graphicData>
            </a:graphic>
          </wp:inline>
        </w:drawing>
      </w:r>
    </w:p>
    <w:p w:rsidR="00C645C9" w:rsidRDefault="00F955D9">
      <w:pPr>
        <w:pStyle w:val="affff4"/>
        <w:adjustRightInd w:val="0"/>
        <w:ind w:firstLine="480"/>
        <w:rPr>
          <w:kern w:val="2"/>
          <w:sz w:val="24"/>
          <w:szCs w:val="24"/>
        </w:rPr>
      </w:pPr>
      <w:r>
        <w:rPr>
          <w:kern w:val="2"/>
          <w:sz w:val="24"/>
          <w:szCs w:val="24"/>
        </w:rPr>
        <w:t>式中：</w:t>
      </w:r>
      <w:r>
        <w:rPr>
          <w:kern w:val="2"/>
          <w:sz w:val="24"/>
          <w:szCs w:val="24"/>
        </w:rPr>
        <w:t>V——</w:t>
      </w:r>
      <w:r>
        <w:rPr>
          <w:kern w:val="2"/>
          <w:sz w:val="24"/>
          <w:szCs w:val="24"/>
        </w:rPr>
        <w:t>排到地面上的泥浆量（</w:t>
      </w:r>
      <w:r>
        <w:rPr>
          <w:kern w:val="2"/>
          <w:sz w:val="24"/>
          <w:szCs w:val="24"/>
        </w:rPr>
        <w:t>m</w:t>
      </w:r>
      <w:r>
        <w:rPr>
          <w:kern w:val="2"/>
          <w:sz w:val="24"/>
          <w:szCs w:val="24"/>
          <w:vertAlign w:val="superscript"/>
        </w:rPr>
        <w:t>3</w:t>
      </w:r>
      <w:r>
        <w:rPr>
          <w:kern w:val="2"/>
          <w:sz w:val="24"/>
          <w:szCs w:val="24"/>
        </w:rPr>
        <w:t>）；</w:t>
      </w:r>
    </w:p>
    <w:p w:rsidR="00C645C9" w:rsidRDefault="00F955D9">
      <w:pPr>
        <w:pStyle w:val="affff4"/>
        <w:adjustRightInd w:val="0"/>
        <w:ind w:firstLineChars="500" w:firstLine="1200"/>
        <w:rPr>
          <w:kern w:val="2"/>
          <w:sz w:val="24"/>
          <w:szCs w:val="24"/>
        </w:rPr>
      </w:pPr>
      <w:r>
        <w:rPr>
          <w:kern w:val="2"/>
          <w:sz w:val="24"/>
          <w:szCs w:val="24"/>
        </w:rPr>
        <w:t>D——</w:t>
      </w:r>
      <w:r>
        <w:rPr>
          <w:kern w:val="2"/>
          <w:sz w:val="24"/>
          <w:szCs w:val="24"/>
        </w:rPr>
        <w:t>井眼的平均直径（</w:t>
      </w:r>
      <w:r>
        <w:rPr>
          <w:kern w:val="2"/>
          <w:sz w:val="24"/>
          <w:szCs w:val="24"/>
        </w:rPr>
        <w:t>m</w:t>
      </w:r>
      <w:r>
        <w:rPr>
          <w:kern w:val="2"/>
          <w:sz w:val="24"/>
          <w:szCs w:val="24"/>
        </w:rPr>
        <w:t>）；</w:t>
      </w:r>
    </w:p>
    <w:p w:rsidR="00C645C9" w:rsidRDefault="00F955D9">
      <w:pPr>
        <w:pStyle w:val="affff4"/>
        <w:adjustRightInd w:val="0"/>
        <w:ind w:firstLineChars="500" w:firstLine="1200"/>
        <w:rPr>
          <w:kern w:val="2"/>
          <w:sz w:val="24"/>
          <w:szCs w:val="24"/>
        </w:rPr>
      </w:pPr>
      <w:r>
        <w:rPr>
          <w:kern w:val="2"/>
          <w:sz w:val="24"/>
          <w:szCs w:val="24"/>
        </w:rPr>
        <w:t>h——</w:t>
      </w:r>
      <w:r>
        <w:rPr>
          <w:kern w:val="2"/>
          <w:sz w:val="24"/>
          <w:szCs w:val="24"/>
        </w:rPr>
        <w:t>井深（</w:t>
      </w:r>
      <w:r>
        <w:rPr>
          <w:kern w:val="2"/>
          <w:sz w:val="24"/>
          <w:szCs w:val="24"/>
        </w:rPr>
        <w:t>m</w:t>
      </w:r>
      <w:r>
        <w:rPr>
          <w:kern w:val="2"/>
          <w:sz w:val="24"/>
          <w:szCs w:val="24"/>
        </w:rPr>
        <w:t>）。</w:t>
      </w:r>
    </w:p>
    <w:p w:rsidR="00C645C9" w:rsidRDefault="00F955D9">
      <w:pPr>
        <w:pStyle w:val="00"/>
        <w:adjustRightInd w:val="0"/>
        <w:snapToGrid w:val="0"/>
        <w:jc w:val="both"/>
        <w:rPr>
          <w:color w:val="auto"/>
        </w:rPr>
      </w:pPr>
      <w:r>
        <w:rPr>
          <w:color w:val="auto"/>
        </w:rPr>
        <w:t>本工程</w:t>
      </w:r>
      <w:r>
        <w:rPr>
          <w:color w:val="auto"/>
        </w:rPr>
        <w:t>钻井过程中新</w:t>
      </w:r>
      <w:r>
        <w:rPr>
          <w:rFonts w:hint="eastAsia"/>
          <w:color w:val="auto"/>
        </w:rPr>
        <w:t>钻井</w:t>
      </w:r>
      <w:bookmarkStart w:id="795" w:name="OLE_LINK1427"/>
      <w:r>
        <w:rPr>
          <w:color w:val="auto"/>
        </w:rPr>
        <w:t>一开、二开</w:t>
      </w:r>
      <w:r>
        <w:rPr>
          <w:rFonts w:hint="eastAsia"/>
          <w:color w:val="auto"/>
        </w:rPr>
        <w:t>采用</w:t>
      </w:r>
      <w:r>
        <w:rPr>
          <w:color w:val="auto"/>
        </w:rPr>
        <w:t>非磺化水基泥浆，三开</w:t>
      </w:r>
      <w:r>
        <w:rPr>
          <w:rFonts w:hint="eastAsia"/>
          <w:color w:val="auto"/>
        </w:rPr>
        <w:t>采用</w:t>
      </w:r>
      <w:r>
        <w:rPr>
          <w:color w:val="auto"/>
        </w:rPr>
        <w:t>磺化水基泥浆，四开及侧钻</w:t>
      </w:r>
      <w:r>
        <w:rPr>
          <w:rFonts w:hint="eastAsia"/>
          <w:color w:val="auto"/>
        </w:rPr>
        <w:t>采用</w:t>
      </w:r>
      <w:r>
        <w:rPr>
          <w:color w:val="auto"/>
        </w:rPr>
        <w:t>油基泥浆</w:t>
      </w:r>
      <w:bookmarkEnd w:id="795"/>
      <w:r>
        <w:rPr>
          <w:color w:val="auto"/>
        </w:rPr>
        <w:t>。由以上经验公式计算可得，</w:t>
      </w:r>
      <w:r>
        <w:rPr>
          <w:color w:val="auto"/>
        </w:rPr>
        <w:t>本</w:t>
      </w:r>
      <w:r>
        <w:rPr>
          <w:rFonts w:hint="eastAsia"/>
          <w:color w:val="auto"/>
        </w:rPr>
        <w:t>工程</w:t>
      </w:r>
      <w:r>
        <w:rPr>
          <w:color w:val="auto"/>
        </w:rPr>
        <w:t>产生的废弃泥浆量约</w:t>
      </w:r>
      <w:bookmarkStart w:id="796" w:name="OLE_LINK1293"/>
      <w:r>
        <w:rPr>
          <w:color w:val="auto"/>
        </w:rPr>
        <w:t>1082.9</w:t>
      </w:r>
      <w:r>
        <w:rPr>
          <w:rFonts w:hint="eastAsia"/>
          <w:color w:val="auto"/>
        </w:rPr>
        <w:t>8</w:t>
      </w:r>
      <w:r>
        <w:rPr>
          <w:color w:val="auto"/>
        </w:rPr>
        <w:t>m</w:t>
      </w:r>
      <w:r>
        <w:rPr>
          <w:color w:val="auto"/>
          <w:vertAlign w:val="superscript"/>
        </w:rPr>
        <w:t>3</w:t>
      </w:r>
      <w:bookmarkEnd w:id="796"/>
      <w:r>
        <w:rPr>
          <w:color w:val="auto"/>
        </w:rPr>
        <w:t>，其中非磺化水基泥浆约</w:t>
      </w:r>
      <w:bookmarkStart w:id="797" w:name="OLE_LINK1415"/>
      <w:r>
        <w:rPr>
          <w:color w:val="auto"/>
        </w:rPr>
        <w:t>717.11</w:t>
      </w:r>
      <w:bookmarkEnd w:id="797"/>
      <w:r>
        <w:rPr>
          <w:color w:val="auto"/>
        </w:rPr>
        <w:t>m</w:t>
      </w:r>
      <w:r>
        <w:rPr>
          <w:color w:val="auto"/>
          <w:vertAlign w:val="superscript"/>
        </w:rPr>
        <w:t>3</w:t>
      </w:r>
      <w:r>
        <w:rPr>
          <w:color w:val="auto"/>
        </w:rPr>
        <w:t>，</w:t>
      </w:r>
      <w:bookmarkStart w:id="798" w:name="OLE_LINK1409"/>
      <w:bookmarkStart w:id="799" w:name="OLE_LINK1434"/>
      <w:r>
        <w:rPr>
          <w:color w:val="auto"/>
        </w:rPr>
        <w:t>磺化水基泥浆</w:t>
      </w:r>
      <w:bookmarkEnd w:id="798"/>
      <w:r>
        <w:rPr>
          <w:color w:val="auto"/>
        </w:rPr>
        <w:t>约</w:t>
      </w:r>
      <w:bookmarkStart w:id="800" w:name="OLE_LINK1418"/>
      <w:bookmarkStart w:id="801" w:name="OLE_LINK1410"/>
      <w:r>
        <w:rPr>
          <w:rFonts w:hint="eastAsia"/>
          <w:color w:val="auto"/>
        </w:rPr>
        <w:t>96.27</w:t>
      </w:r>
      <w:bookmarkEnd w:id="800"/>
      <w:r>
        <w:rPr>
          <w:color w:val="auto"/>
        </w:rPr>
        <w:t>m</w:t>
      </w:r>
      <w:r>
        <w:rPr>
          <w:color w:val="auto"/>
          <w:vertAlign w:val="superscript"/>
        </w:rPr>
        <w:t>3</w:t>
      </w:r>
      <w:bookmarkEnd w:id="801"/>
      <w:r>
        <w:rPr>
          <w:rFonts w:hint="eastAsia"/>
          <w:color w:val="auto"/>
        </w:rPr>
        <w:t>，</w:t>
      </w:r>
      <w:r>
        <w:rPr>
          <w:rFonts w:hint="eastAsia"/>
          <w:color w:val="auto"/>
        </w:rPr>
        <w:t>油基泥浆</w:t>
      </w:r>
      <w:bookmarkStart w:id="802" w:name="OLE_LINK1419"/>
      <w:r>
        <w:rPr>
          <w:rFonts w:hint="eastAsia"/>
          <w:color w:val="auto"/>
        </w:rPr>
        <w:t>269.6</w:t>
      </w:r>
      <w:bookmarkEnd w:id="802"/>
      <w:r>
        <w:rPr>
          <w:color w:val="auto"/>
        </w:rPr>
        <w:t>m</w:t>
      </w:r>
      <w:r>
        <w:rPr>
          <w:color w:val="auto"/>
          <w:vertAlign w:val="superscript"/>
        </w:rPr>
        <w:t>3</w:t>
      </w:r>
      <w:r>
        <w:rPr>
          <w:color w:val="auto"/>
        </w:rPr>
        <w:t>。</w:t>
      </w:r>
    </w:p>
    <w:bookmarkEnd w:id="799"/>
    <w:p w:rsidR="00C645C9" w:rsidRDefault="00F955D9">
      <w:pPr>
        <w:pStyle w:val="aff"/>
        <w:adjustRightInd w:val="0"/>
        <w:snapToGrid w:val="0"/>
        <w:ind w:firstLineChars="200" w:firstLine="480"/>
        <w:rPr>
          <w:color w:val="auto"/>
        </w:rPr>
      </w:pPr>
      <w:r>
        <w:rPr>
          <w:color w:val="auto"/>
        </w:rPr>
        <w:fldChar w:fldCharType="begin"/>
      </w:r>
      <w:r>
        <w:rPr>
          <w:color w:val="auto"/>
        </w:rPr>
        <w:instrText xml:space="preserve"> = 2 \* GB3 </w:instrText>
      </w:r>
      <w:r>
        <w:rPr>
          <w:color w:val="auto"/>
        </w:rPr>
        <w:fldChar w:fldCharType="separate"/>
      </w:r>
      <w:r>
        <w:rPr>
          <w:rFonts w:ascii="宋体" w:hAnsi="宋体" w:hint="eastAsia"/>
          <w:color w:val="auto"/>
        </w:rPr>
        <w:t>②</w:t>
      </w:r>
      <w:r>
        <w:rPr>
          <w:color w:val="auto"/>
        </w:rPr>
        <w:fldChar w:fldCharType="end"/>
      </w:r>
      <w:r>
        <w:rPr>
          <w:color w:val="auto"/>
        </w:rPr>
        <w:t>钻井岩屑</w:t>
      </w:r>
    </w:p>
    <w:p w:rsidR="00C645C9" w:rsidRDefault="00F955D9">
      <w:pPr>
        <w:pStyle w:val="affff4"/>
        <w:adjustRightInd w:val="0"/>
        <w:ind w:firstLine="512"/>
        <w:rPr>
          <w:kern w:val="2"/>
          <w:sz w:val="21"/>
        </w:rPr>
      </w:pPr>
      <w:r>
        <w:rPr>
          <w:spacing w:val="8"/>
          <w:kern w:val="24"/>
          <w:sz w:val="24"/>
          <w:szCs w:val="24"/>
        </w:rPr>
        <w:t>钻井过程中，岩石经钻头和泥浆的研磨而破碎成岩屑，并经泥浆携带至地面，进入不落地处理系统。本工程钻井岩屑可用下式计算：</w:t>
      </w:r>
    </w:p>
    <w:p w:rsidR="00C645C9" w:rsidRDefault="00F955D9">
      <w:pPr>
        <w:pStyle w:val="affff4"/>
        <w:adjustRightInd w:val="0"/>
        <w:ind w:firstLine="420"/>
        <w:jc w:val="center"/>
        <w:rPr>
          <w:rFonts w:cs="Times New Roman"/>
          <w:kern w:val="2"/>
          <w:sz w:val="21"/>
        </w:rPr>
      </w:pPr>
      <w:r>
        <w:rPr>
          <w:rFonts w:cs="Times New Roman"/>
          <w:kern w:val="2"/>
          <w:sz w:val="21"/>
        </w:rPr>
        <w:t>W=1/4×л×D</w:t>
      </w:r>
      <w:r>
        <w:rPr>
          <w:rFonts w:cs="Times New Roman"/>
          <w:kern w:val="2"/>
          <w:sz w:val="21"/>
          <w:vertAlign w:val="superscript"/>
        </w:rPr>
        <w:t>2</w:t>
      </w:r>
      <w:r>
        <w:rPr>
          <w:rFonts w:cs="Times New Roman"/>
          <w:kern w:val="2"/>
          <w:sz w:val="21"/>
        </w:rPr>
        <w:t>×h×P</w:t>
      </w:r>
    </w:p>
    <w:p w:rsidR="00C645C9" w:rsidRDefault="00F955D9">
      <w:pPr>
        <w:pStyle w:val="aff"/>
        <w:adjustRightInd w:val="0"/>
        <w:snapToGrid w:val="0"/>
        <w:ind w:firstLineChars="200" w:firstLine="480"/>
        <w:rPr>
          <w:rFonts w:cs="Times New Roman"/>
          <w:color w:val="auto"/>
        </w:rPr>
      </w:pPr>
      <w:r>
        <w:rPr>
          <w:rFonts w:cs="Times New Roman"/>
          <w:color w:val="auto"/>
        </w:rPr>
        <w:t>式中：</w:t>
      </w:r>
      <w:r>
        <w:rPr>
          <w:rFonts w:cs="Times New Roman"/>
          <w:color w:val="auto"/>
        </w:rPr>
        <w:t>W</w:t>
      </w:r>
      <w:r>
        <w:rPr>
          <w:rFonts w:cs="Times New Roman"/>
          <w:color w:val="auto"/>
          <w:szCs w:val="20"/>
        </w:rPr>
        <w:t>——</w:t>
      </w:r>
      <w:r>
        <w:rPr>
          <w:rFonts w:cs="Times New Roman"/>
          <w:color w:val="auto"/>
        </w:rPr>
        <w:t>钻井岩屑排放量，</w:t>
      </w:r>
      <w:r>
        <w:rPr>
          <w:rFonts w:cs="Times New Roman"/>
          <w:color w:val="auto"/>
        </w:rPr>
        <w:t>m³</w:t>
      </w:r>
      <w:r>
        <w:rPr>
          <w:rFonts w:cs="Times New Roman"/>
          <w:color w:val="auto"/>
        </w:rPr>
        <w:t>；</w:t>
      </w:r>
    </w:p>
    <w:p w:rsidR="00C645C9" w:rsidRDefault="00F955D9">
      <w:pPr>
        <w:pStyle w:val="aff"/>
        <w:adjustRightInd w:val="0"/>
        <w:snapToGrid w:val="0"/>
        <w:ind w:firstLineChars="500" w:firstLine="1200"/>
        <w:rPr>
          <w:rFonts w:cs="Times New Roman"/>
          <w:color w:val="auto"/>
        </w:rPr>
      </w:pPr>
      <w:r>
        <w:rPr>
          <w:rFonts w:cs="Times New Roman"/>
          <w:color w:val="auto"/>
        </w:rPr>
        <w:t>D</w:t>
      </w:r>
      <w:r>
        <w:rPr>
          <w:rFonts w:cs="Times New Roman"/>
          <w:color w:val="auto"/>
          <w:szCs w:val="20"/>
        </w:rPr>
        <w:t>——</w:t>
      </w:r>
      <w:r>
        <w:rPr>
          <w:rFonts w:cs="Times New Roman"/>
          <w:color w:val="auto"/>
        </w:rPr>
        <w:t>井的直径，</w:t>
      </w:r>
      <w:r>
        <w:rPr>
          <w:rFonts w:cs="Times New Roman"/>
          <w:color w:val="auto"/>
        </w:rPr>
        <w:t>m</w:t>
      </w:r>
      <w:r>
        <w:rPr>
          <w:rFonts w:cs="Times New Roman"/>
          <w:color w:val="auto"/>
        </w:rPr>
        <w:t>；</w:t>
      </w:r>
      <w:r>
        <w:rPr>
          <w:rFonts w:cs="Times New Roman"/>
          <w:color w:val="auto"/>
        </w:rPr>
        <w:t>h</w:t>
      </w:r>
      <w:r>
        <w:rPr>
          <w:rFonts w:cs="Times New Roman"/>
          <w:color w:val="auto"/>
        </w:rPr>
        <w:t>－井深，</w:t>
      </w:r>
      <w:r>
        <w:rPr>
          <w:rFonts w:cs="Times New Roman"/>
          <w:color w:val="auto"/>
        </w:rPr>
        <w:t>m</w:t>
      </w:r>
      <w:r>
        <w:rPr>
          <w:rFonts w:cs="Times New Roman"/>
          <w:color w:val="auto"/>
        </w:rPr>
        <w:t>；</w:t>
      </w:r>
    </w:p>
    <w:p w:rsidR="00C645C9" w:rsidRDefault="00F955D9">
      <w:pPr>
        <w:pStyle w:val="aff"/>
        <w:adjustRightInd w:val="0"/>
        <w:snapToGrid w:val="0"/>
        <w:ind w:firstLineChars="500" w:firstLine="1200"/>
        <w:rPr>
          <w:rFonts w:cs="Times New Roman"/>
          <w:color w:val="auto"/>
        </w:rPr>
      </w:pPr>
      <w:r>
        <w:rPr>
          <w:rFonts w:cs="Times New Roman"/>
          <w:color w:val="auto"/>
        </w:rPr>
        <w:t>P</w:t>
      </w:r>
      <w:r>
        <w:rPr>
          <w:rFonts w:cs="Times New Roman"/>
          <w:color w:val="auto"/>
          <w:szCs w:val="20"/>
        </w:rPr>
        <w:t>——</w:t>
      </w:r>
      <w:r>
        <w:rPr>
          <w:rFonts w:cs="Times New Roman"/>
          <w:color w:val="auto"/>
        </w:rPr>
        <w:t>膨胀系数，取</w:t>
      </w:r>
      <w:r>
        <w:rPr>
          <w:rFonts w:cs="Times New Roman"/>
          <w:color w:val="auto"/>
        </w:rPr>
        <w:t>P=2.2</w:t>
      </w:r>
      <w:r>
        <w:rPr>
          <w:rFonts w:cs="Times New Roman" w:hint="eastAsia"/>
          <w:color w:val="auto"/>
        </w:rPr>
        <w:t>。</w:t>
      </w:r>
    </w:p>
    <w:p w:rsidR="00C645C9" w:rsidRDefault="00F955D9">
      <w:pPr>
        <w:adjustRightInd w:val="0"/>
        <w:snapToGrid w:val="0"/>
        <w:spacing w:line="360" w:lineRule="auto"/>
        <w:ind w:firstLineChars="200" w:firstLine="480"/>
        <w:rPr>
          <w:rFonts w:cs="Times New Roman"/>
        </w:rPr>
      </w:pPr>
      <w:r>
        <w:rPr>
          <w:rFonts w:cs="Times New Roman"/>
        </w:rPr>
        <w:t>利用上述公式计算出钻井期内产生的岩屑量为</w:t>
      </w:r>
      <w:bookmarkStart w:id="803" w:name="OLE_LINK1294"/>
      <w:r>
        <w:rPr>
          <w:rFonts w:cs="Times New Roman"/>
        </w:rPr>
        <w:t>1812.1</w:t>
      </w:r>
      <w:r>
        <w:rPr>
          <w:rFonts w:cs="Times New Roman" w:hint="eastAsia"/>
        </w:rPr>
        <w:t>7</w:t>
      </w:r>
      <w:r>
        <w:rPr>
          <w:rFonts w:cs="Times New Roman"/>
        </w:rPr>
        <w:t>m</w:t>
      </w:r>
      <w:r>
        <w:rPr>
          <w:rFonts w:cs="Times New Roman"/>
          <w:vertAlign w:val="superscript"/>
        </w:rPr>
        <w:t>3</w:t>
      </w:r>
      <w:bookmarkEnd w:id="803"/>
      <w:r>
        <w:rPr>
          <w:rFonts w:cs="Times New Roman"/>
        </w:rPr>
        <w:t>，其中膨润土泥浆钻井岩屑</w:t>
      </w:r>
      <w:bookmarkStart w:id="804" w:name="OLE_LINK1420"/>
      <w:r>
        <w:rPr>
          <w:rFonts w:cs="Times New Roman"/>
        </w:rPr>
        <w:t>1529.73</w:t>
      </w:r>
      <w:bookmarkEnd w:id="804"/>
      <w:r>
        <w:rPr>
          <w:rFonts w:cs="Times New Roman"/>
        </w:rPr>
        <w:t>m</w:t>
      </w:r>
      <w:r>
        <w:rPr>
          <w:rFonts w:cs="Times New Roman"/>
          <w:vertAlign w:val="superscript"/>
        </w:rPr>
        <w:t>3</w:t>
      </w:r>
      <w:r>
        <w:rPr>
          <w:rFonts w:cs="Times New Roman"/>
        </w:rPr>
        <w:t>，</w:t>
      </w:r>
      <w:bookmarkStart w:id="805" w:name="OLE_LINK1416"/>
      <w:bookmarkStart w:id="806" w:name="OLE_LINK1417"/>
      <w:bookmarkStart w:id="807" w:name="OLE_LINK1435"/>
      <w:r>
        <w:rPr>
          <w:rFonts w:cs="Times New Roman"/>
        </w:rPr>
        <w:t>磺化泥浆钻井岩屑</w:t>
      </w:r>
      <w:bookmarkStart w:id="808" w:name="OLE_LINK1421"/>
      <w:bookmarkEnd w:id="805"/>
      <w:r>
        <w:rPr>
          <w:rFonts w:cs="Times New Roman" w:hint="eastAsia"/>
        </w:rPr>
        <w:t>24.13</w:t>
      </w:r>
      <w:bookmarkEnd w:id="808"/>
      <w:r>
        <w:rPr>
          <w:rFonts w:cs="Times New Roman"/>
        </w:rPr>
        <w:t>m</w:t>
      </w:r>
      <w:r>
        <w:rPr>
          <w:rFonts w:cs="Times New Roman"/>
          <w:vertAlign w:val="superscript"/>
        </w:rPr>
        <w:t>3</w:t>
      </w:r>
      <w:bookmarkEnd w:id="806"/>
      <w:r>
        <w:rPr>
          <w:rFonts w:cs="Times New Roman" w:hint="eastAsia"/>
        </w:rPr>
        <w:t>，</w:t>
      </w:r>
      <w:r>
        <w:rPr>
          <w:rFonts w:cs="Times New Roman" w:hint="eastAsia"/>
        </w:rPr>
        <w:t>油基</w:t>
      </w:r>
      <w:r>
        <w:rPr>
          <w:rFonts w:cs="Times New Roman"/>
        </w:rPr>
        <w:t>泥浆钻井岩屑</w:t>
      </w:r>
      <w:r>
        <w:rPr>
          <w:rFonts w:cs="Times New Roman" w:hint="eastAsia"/>
        </w:rPr>
        <w:t>258.31</w:t>
      </w:r>
      <w:r>
        <w:rPr>
          <w:rFonts w:cs="Times New Roman"/>
        </w:rPr>
        <w:t>m</w:t>
      </w:r>
      <w:r>
        <w:rPr>
          <w:rFonts w:cs="Times New Roman"/>
          <w:vertAlign w:val="superscript"/>
        </w:rPr>
        <w:t>3</w:t>
      </w:r>
      <w:r>
        <w:rPr>
          <w:rFonts w:cs="Times New Roman"/>
        </w:rPr>
        <w:t>。</w:t>
      </w:r>
      <w:bookmarkEnd w:id="807"/>
    </w:p>
    <w:p w:rsidR="00C645C9" w:rsidRDefault="00F955D9">
      <w:pPr>
        <w:pStyle w:val="aff"/>
        <w:adjustRightInd w:val="0"/>
        <w:snapToGrid w:val="0"/>
        <w:ind w:firstLineChars="200" w:firstLine="480"/>
        <w:rPr>
          <w:color w:val="auto"/>
        </w:rPr>
      </w:pPr>
      <w:r>
        <w:rPr>
          <w:rFonts w:hint="eastAsia"/>
          <w:color w:val="auto"/>
        </w:rPr>
        <w:t>本工程</w:t>
      </w:r>
      <w:r>
        <w:rPr>
          <w:color w:val="auto"/>
        </w:rPr>
        <w:t>钻井工程包含新</w:t>
      </w:r>
      <w:r>
        <w:rPr>
          <w:rFonts w:hint="eastAsia"/>
          <w:color w:val="auto"/>
        </w:rPr>
        <w:t>钻井</w:t>
      </w:r>
      <w:r>
        <w:rPr>
          <w:color w:val="auto"/>
        </w:rPr>
        <w:t>1</w:t>
      </w:r>
      <w:r>
        <w:rPr>
          <w:color w:val="auto"/>
        </w:rPr>
        <w:t>口、老井侧钻</w:t>
      </w:r>
      <w:r>
        <w:rPr>
          <w:rFonts w:hint="eastAsia"/>
          <w:color w:val="auto"/>
        </w:rPr>
        <w:t>井</w:t>
      </w:r>
      <w:r>
        <w:rPr>
          <w:rFonts w:hint="eastAsia"/>
          <w:color w:val="auto"/>
        </w:rPr>
        <w:t>1</w:t>
      </w:r>
      <w:r>
        <w:rPr>
          <w:color w:val="auto"/>
        </w:rPr>
        <w:t>口，根据上述计算结果，钻井泥浆及岩屑产生量估算结果见表</w:t>
      </w:r>
      <w:r>
        <w:rPr>
          <w:rFonts w:hint="eastAsia"/>
          <w:color w:val="auto"/>
        </w:rPr>
        <w:t>3.3-2</w:t>
      </w:r>
      <w:r>
        <w:rPr>
          <w:rFonts w:hint="eastAsia"/>
          <w:color w:val="auto"/>
        </w:rPr>
        <w:t>。</w:t>
      </w:r>
    </w:p>
    <w:p w:rsidR="00C645C9" w:rsidRDefault="00F955D9">
      <w:pPr>
        <w:pStyle w:val="00"/>
        <w:adjustRightInd w:val="0"/>
        <w:snapToGrid w:val="0"/>
        <w:spacing w:line="240" w:lineRule="auto"/>
        <w:ind w:firstLineChars="0" w:firstLine="0"/>
        <w:jc w:val="center"/>
        <w:rPr>
          <w:rFonts w:eastAsia="黑体"/>
          <w:color w:val="auto"/>
          <w:kern w:val="0"/>
          <w:sz w:val="21"/>
          <w:szCs w:val="21"/>
          <w:lang w:bidi="ar"/>
        </w:rPr>
      </w:pPr>
      <w:bookmarkStart w:id="809" w:name="OLE_LINK1292"/>
      <w:r>
        <w:rPr>
          <w:rFonts w:eastAsia="黑体"/>
          <w:snapToGrid w:val="0"/>
          <w:color w:val="auto"/>
          <w:sz w:val="21"/>
          <w:szCs w:val="21"/>
          <w:lang w:val="en-GB"/>
        </w:rPr>
        <w:t>表</w:t>
      </w:r>
      <w:r>
        <w:rPr>
          <w:rFonts w:eastAsia="黑体" w:hint="eastAsia"/>
          <w:snapToGrid w:val="0"/>
          <w:color w:val="auto"/>
          <w:sz w:val="21"/>
          <w:szCs w:val="21"/>
        </w:rPr>
        <w:t>3.3-</w:t>
      </w:r>
      <w:r>
        <w:rPr>
          <w:rFonts w:eastAsia="黑体" w:hint="eastAsia"/>
          <w:snapToGrid w:val="0"/>
          <w:color w:val="auto"/>
          <w:sz w:val="21"/>
          <w:szCs w:val="21"/>
        </w:rPr>
        <w:t>2</w:t>
      </w:r>
      <w:r>
        <w:rPr>
          <w:rFonts w:eastAsia="黑体" w:hint="eastAsia"/>
          <w:snapToGrid w:val="0"/>
          <w:color w:val="auto"/>
          <w:sz w:val="21"/>
          <w:szCs w:val="21"/>
        </w:rPr>
        <w:t xml:space="preserve"> </w:t>
      </w:r>
      <w:r>
        <w:rPr>
          <w:rFonts w:eastAsia="黑体"/>
          <w:snapToGrid w:val="0"/>
          <w:color w:val="auto"/>
          <w:sz w:val="21"/>
          <w:szCs w:val="21"/>
          <w:lang w:val="en-GB"/>
        </w:rPr>
        <w:t xml:space="preserve">  </w:t>
      </w:r>
      <w:r>
        <w:rPr>
          <w:rFonts w:eastAsia="黑体"/>
          <w:snapToGrid w:val="0"/>
          <w:color w:val="auto"/>
          <w:sz w:val="21"/>
          <w:szCs w:val="21"/>
          <w:lang w:val="en-GB"/>
        </w:rPr>
        <w:t>本工程</w:t>
      </w:r>
      <w:r>
        <w:rPr>
          <w:rFonts w:eastAsia="黑体"/>
          <w:color w:val="auto"/>
          <w:kern w:val="0"/>
          <w:sz w:val="21"/>
          <w:szCs w:val="21"/>
          <w:lang w:bidi="ar"/>
        </w:rPr>
        <w:t>钻井泥浆及岩屑产生量估算表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1440"/>
        <w:gridCol w:w="2220"/>
        <w:gridCol w:w="2594"/>
      </w:tblGrid>
      <w:tr w:rsidR="00C645C9">
        <w:trPr>
          <w:trHeight w:val="418"/>
          <w:jc w:val="center"/>
        </w:trPr>
        <w:tc>
          <w:tcPr>
            <w:tcW w:w="2105" w:type="dxa"/>
            <w:vAlign w:val="center"/>
          </w:tcPr>
          <w:p w:rsidR="00C645C9" w:rsidRDefault="00F955D9">
            <w:pPr>
              <w:jc w:val="center"/>
              <w:rPr>
                <w:rFonts w:cs="Times New Roman"/>
                <w:sz w:val="21"/>
                <w:szCs w:val="18"/>
              </w:rPr>
            </w:pPr>
            <w:bookmarkStart w:id="810" w:name="OLE_LINK1286" w:colFirst="2" w:colLast="2"/>
            <w:r>
              <w:rPr>
                <w:rFonts w:cs="Times New Roman"/>
                <w:sz w:val="21"/>
                <w:szCs w:val="18"/>
              </w:rPr>
              <w:t>井型</w:t>
            </w:r>
          </w:p>
        </w:tc>
        <w:tc>
          <w:tcPr>
            <w:tcW w:w="1440" w:type="dxa"/>
            <w:vAlign w:val="center"/>
          </w:tcPr>
          <w:p w:rsidR="00C645C9" w:rsidRDefault="00F955D9">
            <w:pPr>
              <w:jc w:val="center"/>
              <w:rPr>
                <w:rFonts w:cs="Times New Roman"/>
                <w:sz w:val="21"/>
                <w:szCs w:val="18"/>
              </w:rPr>
            </w:pPr>
            <w:r>
              <w:rPr>
                <w:rFonts w:cs="Times New Roman"/>
                <w:sz w:val="21"/>
                <w:szCs w:val="18"/>
              </w:rPr>
              <w:t>钻井液类型</w:t>
            </w:r>
          </w:p>
        </w:tc>
        <w:tc>
          <w:tcPr>
            <w:tcW w:w="2220" w:type="dxa"/>
            <w:vAlign w:val="center"/>
          </w:tcPr>
          <w:p w:rsidR="00C645C9" w:rsidRDefault="00F955D9">
            <w:pPr>
              <w:jc w:val="center"/>
              <w:rPr>
                <w:rFonts w:cs="Times New Roman"/>
                <w:sz w:val="21"/>
                <w:szCs w:val="18"/>
              </w:rPr>
            </w:pPr>
            <w:r>
              <w:rPr>
                <w:rFonts w:cs="Times New Roman"/>
                <w:sz w:val="21"/>
                <w:szCs w:val="18"/>
              </w:rPr>
              <w:t>废弃</w:t>
            </w:r>
            <w:bookmarkStart w:id="811" w:name="OLE_LINK1407"/>
            <w:r>
              <w:rPr>
                <w:rFonts w:cs="Times New Roman"/>
                <w:sz w:val="21"/>
                <w:szCs w:val="18"/>
              </w:rPr>
              <w:t>泥浆</w:t>
            </w:r>
            <w:bookmarkEnd w:id="811"/>
            <w:r>
              <w:rPr>
                <w:rFonts w:cs="Times New Roman"/>
                <w:sz w:val="21"/>
                <w:szCs w:val="18"/>
              </w:rPr>
              <w:t>产生量（</w:t>
            </w:r>
            <w:r>
              <w:rPr>
                <w:rFonts w:cs="Times New Roman"/>
                <w:sz w:val="21"/>
                <w:szCs w:val="18"/>
              </w:rPr>
              <w:t>m³</w:t>
            </w:r>
            <w:r>
              <w:rPr>
                <w:rFonts w:cs="Times New Roman"/>
                <w:sz w:val="21"/>
                <w:szCs w:val="18"/>
              </w:rPr>
              <w:t>）</w:t>
            </w:r>
          </w:p>
        </w:tc>
        <w:tc>
          <w:tcPr>
            <w:tcW w:w="2594" w:type="dxa"/>
            <w:vAlign w:val="center"/>
          </w:tcPr>
          <w:p w:rsidR="00C645C9" w:rsidRDefault="00F955D9">
            <w:pPr>
              <w:jc w:val="center"/>
              <w:rPr>
                <w:rFonts w:cs="Times New Roman"/>
                <w:sz w:val="21"/>
                <w:szCs w:val="18"/>
              </w:rPr>
            </w:pPr>
            <w:r>
              <w:rPr>
                <w:rFonts w:cs="Times New Roman"/>
                <w:sz w:val="21"/>
                <w:szCs w:val="18"/>
              </w:rPr>
              <w:t>废弃钻井岩屑产生量（</w:t>
            </w:r>
            <w:r>
              <w:rPr>
                <w:rFonts w:cs="Times New Roman"/>
                <w:sz w:val="21"/>
                <w:szCs w:val="18"/>
              </w:rPr>
              <w:t>m³</w:t>
            </w:r>
            <w:r>
              <w:rPr>
                <w:rFonts w:cs="Times New Roman"/>
                <w:sz w:val="21"/>
                <w:szCs w:val="18"/>
              </w:rPr>
              <w:t>）</w:t>
            </w:r>
          </w:p>
        </w:tc>
      </w:tr>
      <w:tr w:rsidR="00C645C9">
        <w:trPr>
          <w:trHeight w:val="315"/>
          <w:jc w:val="center"/>
        </w:trPr>
        <w:tc>
          <w:tcPr>
            <w:tcW w:w="2105" w:type="dxa"/>
            <w:vMerge w:val="restart"/>
            <w:vAlign w:val="center"/>
          </w:tcPr>
          <w:p w:rsidR="00C645C9" w:rsidRDefault="00F955D9">
            <w:pPr>
              <w:jc w:val="center"/>
              <w:rPr>
                <w:rFonts w:cs="Times New Roman"/>
                <w:sz w:val="21"/>
                <w:szCs w:val="18"/>
              </w:rPr>
            </w:pPr>
            <w:bookmarkStart w:id="812" w:name="OLE_LINK1406" w:colFirst="3" w:colLast="3"/>
            <w:bookmarkStart w:id="813" w:name="OLE_LINK1405" w:colFirst="2" w:colLast="2"/>
            <w:r>
              <w:rPr>
                <w:rFonts w:cs="Times New Roman"/>
                <w:sz w:val="21"/>
                <w:szCs w:val="18"/>
              </w:rPr>
              <w:t>新</w:t>
            </w:r>
            <w:r>
              <w:rPr>
                <w:rFonts w:cs="Times New Roman" w:hint="eastAsia"/>
                <w:sz w:val="21"/>
                <w:szCs w:val="18"/>
              </w:rPr>
              <w:t>钻</w:t>
            </w:r>
            <w:r>
              <w:rPr>
                <w:rFonts w:cs="Times New Roman"/>
                <w:sz w:val="21"/>
                <w:szCs w:val="18"/>
              </w:rPr>
              <w:t>井（</w:t>
            </w:r>
            <w:r>
              <w:rPr>
                <w:rFonts w:cs="Times New Roman" w:hint="eastAsia"/>
                <w:sz w:val="21"/>
                <w:szCs w:val="18"/>
              </w:rPr>
              <w:t>新北</w:t>
            </w:r>
            <w:r>
              <w:rPr>
                <w:rFonts w:cs="Times New Roman" w:hint="eastAsia"/>
                <w:sz w:val="21"/>
                <w:szCs w:val="18"/>
              </w:rPr>
              <w:t>7</w:t>
            </w:r>
            <w:r>
              <w:rPr>
                <w:rFonts w:cs="Times New Roman" w:hint="eastAsia"/>
                <w:sz w:val="21"/>
                <w:szCs w:val="18"/>
              </w:rPr>
              <w:t>井</w:t>
            </w:r>
            <w:r>
              <w:rPr>
                <w:rFonts w:cs="Times New Roman"/>
                <w:sz w:val="21"/>
                <w:szCs w:val="18"/>
              </w:rPr>
              <w:t>）</w:t>
            </w:r>
          </w:p>
        </w:tc>
        <w:tc>
          <w:tcPr>
            <w:tcW w:w="1440" w:type="dxa"/>
            <w:vAlign w:val="center"/>
          </w:tcPr>
          <w:p w:rsidR="00C645C9" w:rsidRDefault="00F955D9">
            <w:pPr>
              <w:jc w:val="center"/>
              <w:rPr>
                <w:rFonts w:cs="Times New Roman"/>
                <w:sz w:val="21"/>
                <w:szCs w:val="18"/>
              </w:rPr>
            </w:pPr>
            <w:bookmarkStart w:id="814" w:name="OLE_LINK1287"/>
            <w:r>
              <w:rPr>
                <w:rFonts w:cs="Times New Roman"/>
                <w:sz w:val="21"/>
                <w:szCs w:val="18"/>
              </w:rPr>
              <w:t>水基非磺化</w:t>
            </w:r>
            <w:bookmarkEnd w:id="814"/>
          </w:p>
        </w:tc>
        <w:tc>
          <w:tcPr>
            <w:tcW w:w="2220" w:type="dxa"/>
            <w:vAlign w:val="center"/>
          </w:tcPr>
          <w:p w:rsidR="00C645C9" w:rsidRDefault="00F955D9">
            <w:pPr>
              <w:jc w:val="center"/>
              <w:rPr>
                <w:rFonts w:cs="Times New Roman"/>
                <w:sz w:val="21"/>
                <w:szCs w:val="18"/>
              </w:rPr>
            </w:pPr>
            <w:r>
              <w:rPr>
                <w:rFonts w:cs="Times New Roman" w:hint="eastAsia"/>
                <w:sz w:val="21"/>
                <w:szCs w:val="18"/>
              </w:rPr>
              <w:t>717.11</w:t>
            </w:r>
          </w:p>
        </w:tc>
        <w:tc>
          <w:tcPr>
            <w:tcW w:w="2594" w:type="dxa"/>
            <w:vAlign w:val="center"/>
          </w:tcPr>
          <w:p w:rsidR="00C645C9" w:rsidRDefault="00F955D9">
            <w:pPr>
              <w:jc w:val="center"/>
              <w:textAlignment w:val="center"/>
              <w:rPr>
                <w:rFonts w:cs="Times New Roman"/>
                <w:sz w:val="21"/>
                <w:szCs w:val="21"/>
                <w:lang w:bidi="ar"/>
              </w:rPr>
            </w:pPr>
            <w:r>
              <w:rPr>
                <w:rFonts w:cs="Times New Roman" w:hint="eastAsia"/>
                <w:sz w:val="21"/>
                <w:szCs w:val="21"/>
                <w:lang w:bidi="ar"/>
              </w:rPr>
              <w:t>1529.73</w:t>
            </w:r>
          </w:p>
        </w:tc>
      </w:tr>
      <w:bookmarkEnd w:id="810"/>
      <w:tr w:rsidR="00C645C9">
        <w:trPr>
          <w:trHeight w:val="315"/>
          <w:jc w:val="center"/>
        </w:trPr>
        <w:tc>
          <w:tcPr>
            <w:tcW w:w="2105" w:type="dxa"/>
            <w:vMerge/>
            <w:vAlign w:val="center"/>
          </w:tcPr>
          <w:p w:rsidR="00C645C9" w:rsidRDefault="00C645C9">
            <w:pPr>
              <w:jc w:val="center"/>
              <w:rPr>
                <w:rFonts w:cs="Times New Roman"/>
                <w:sz w:val="21"/>
                <w:szCs w:val="18"/>
              </w:rPr>
            </w:pPr>
          </w:p>
        </w:tc>
        <w:tc>
          <w:tcPr>
            <w:tcW w:w="1440" w:type="dxa"/>
            <w:vAlign w:val="center"/>
          </w:tcPr>
          <w:p w:rsidR="00C645C9" w:rsidRDefault="00F955D9">
            <w:pPr>
              <w:jc w:val="center"/>
              <w:rPr>
                <w:rFonts w:cs="Times New Roman"/>
                <w:sz w:val="21"/>
                <w:szCs w:val="18"/>
              </w:rPr>
            </w:pPr>
            <w:bookmarkStart w:id="815" w:name="OLE_LINK1288"/>
            <w:r>
              <w:rPr>
                <w:rFonts w:cs="Times New Roman"/>
                <w:sz w:val="21"/>
                <w:szCs w:val="18"/>
              </w:rPr>
              <w:t>水基</w:t>
            </w:r>
            <w:bookmarkStart w:id="816" w:name="OLE_LINK1404"/>
            <w:r>
              <w:rPr>
                <w:rFonts w:cs="Times New Roman"/>
                <w:sz w:val="21"/>
                <w:szCs w:val="18"/>
              </w:rPr>
              <w:t>磺化</w:t>
            </w:r>
            <w:bookmarkEnd w:id="815"/>
            <w:bookmarkEnd w:id="816"/>
          </w:p>
        </w:tc>
        <w:tc>
          <w:tcPr>
            <w:tcW w:w="2220" w:type="dxa"/>
            <w:vAlign w:val="center"/>
          </w:tcPr>
          <w:p w:rsidR="00C645C9" w:rsidRDefault="00F955D9">
            <w:pPr>
              <w:jc w:val="center"/>
              <w:rPr>
                <w:rFonts w:cs="Times New Roman"/>
                <w:sz w:val="21"/>
                <w:szCs w:val="18"/>
              </w:rPr>
            </w:pPr>
            <w:bookmarkStart w:id="817" w:name="OLE_LINK1411"/>
            <w:r>
              <w:rPr>
                <w:rFonts w:cs="Times New Roman" w:hint="eastAsia"/>
                <w:sz w:val="21"/>
                <w:szCs w:val="18"/>
              </w:rPr>
              <w:t>96.27</w:t>
            </w:r>
            <w:bookmarkEnd w:id="817"/>
          </w:p>
        </w:tc>
        <w:tc>
          <w:tcPr>
            <w:tcW w:w="2594" w:type="dxa"/>
            <w:vAlign w:val="center"/>
          </w:tcPr>
          <w:p w:rsidR="00C645C9" w:rsidRDefault="00F955D9">
            <w:pPr>
              <w:jc w:val="center"/>
              <w:textAlignment w:val="center"/>
              <w:rPr>
                <w:rFonts w:cs="Times New Roman"/>
                <w:sz w:val="21"/>
                <w:szCs w:val="21"/>
                <w:lang w:bidi="ar"/>
              </w:rPr>
            </w:pPr>
            <w:bookmarkStart w:id="818" w:name="OLE_LINK1414"/>
            <w:r>
              <w:rPr>
                <w:rFonts w:cs="Times New Roman" w:hint="eastAsia"/>
                <w:sz w:val="21"/>
                <w:szCs w:val="21"/>
                <w:lang w:bidi="ar"/>
              </w:rPr>
              <w:t>24.13</w:t>
            </w:r>
            <w:bookmarkEnd w:id="818"/>
          </w:p>
        </w:tc>
      </w:tr>
      <w:tr w:rsidR="00C645C9">
        <w:trPr>
          <w:trHeight w:val="315"/>
          <w:jc w:val="center"/>
        </w:trPr>
        <w:tc>
          <w:tcPr>
            <w:tcW w:w="2105" w:type="dxa"/>
            <w:vMerge/>
            <w:vAlign w:val="center"/>
          </w:tcPr>
          <w:p w:rsidR="00C645C9" w:rsidRDefault="00C645C9">
            <w:pPr>
              <w:jc w:val="center"/>
              <w:rPr>
                <w:rFonts w:cs="Times New Roman"/>
                <w:sz w:val="21"/>
                <w:szCs w:val="18"/>
              </w:rPr>
            </w:pPr>
            <w:bookmarkStart w:id="819" w:name="OLE_LINK1413" w:colFirst="2" w:colLast="2"/>
          </w:p>
        </w:tc>
        <w:tc>
          <w:tcPr>
            <w:tcW w:w="1440" w:type="dxa"/>
            <w:vAlign w:val="center"/>
          </w:tcPr>
          <w:p w:rsidR="00C645C9" w:rsidRDefault="00F955D9">
            <w:pPr>
              <w:jc w:val="center"/>
              <w:rPr>
                <w:rFonts w:cs="Times New Roman"/>
                <w:sz w:val="21"/>
                <w:szCs w:val="18"/>
              </w:rPr>
            </w:pPr>
            <w:bookmarkStart w:id="820" w:name="OLE_LINK1403"/>
            <w:r>
              <w:rPr>
                <w:rFonts w:cs="Times New Roman" w:hint="eastAsia"/>
                <w:sz w:val="21"/>
                <w:szCs w:val="18"/>
              </w:rPr>
              <w:t>油基</w:t>
            </w:r>
            <w:bookmarkEnd w:id="820"/>
          </w:p>
        </w:tc>
        <w:tc>
          <w:tcPr>
            <w:tcW w:w="2220" w:type="dxa"/>
            <w:vAlign w:val="center"/>
          </w:tcPr>
          <w:p w:rsidR="00C645C9" w:rsidRDefault="00F955D9">
            <w:pPr>
              <w:jc w:val="center"/>
              <w:rPr>
                <w:rFonts w:cs="Times New Roman"/>
                <w:sz w:val="21"/>
                <w:szCs w:val="18"/>
              </w:rPr>
            </w:pPr>
            <w:bookmarkStart w:id="821" w:name="OLE_LINK1412"/>
            <w:r>
              <w:rPr>
                <w:rFonts w:cs="Times New Roman" w:hint="eastAsia"/>
                <w:sz w:val="21"/>
                <w:szCs w:val="18"/>
              </w:rPr>
              <w:t>89.98</w:t>
            </w:r>
            <w:bookmarkEnd w:id="821"/>
          </w:p>
        </w:tc>
        <w:tc>
          <w:tcPr>
            <w:tcW w:w="2594" w:type="dxa"/>
            <w:vAlign w:val="center"/>
          </w:tcPr>
          <w:p w:rsidR="00C645C9" w:rsidRDefault="00F955D9">
            <w:pPr>
              <w:jc w:val="center"/>
              <w:textAlignment w:val="center"/>
              <w:rPr>
                <w:rFonts w:cs="Times New Roman"/>
                <w:sz w:val="21"/>
                <w:szCs w:val="21"/>
                <w:lang w:bidi="ar"/>
              </w:rPr>
            </w:pPr>
            <w:r>
              <w:rPr>
                <w:rFonts w:cs="Times New Roman" w:hint="eastAsia"/>
                <w:sz w:val="21"/>
                <w:szCs w:val="21"/>
                <w:lang w:bidi="ar"/>
              </w:rPr>
              <w:t>10.07</w:t>
            </w:r>
          </w:p>
        </w:tc>
      </w:tr>
      <w:tr w:rsidR="00C645C9">
        <w:trPr>
          <w:trHeight w:val="315"/>
          <w:jc w:val="center"/>
        </w:trPr>
        <w:tc>
          <w:tcPr>
            <w:tcW w:w="2105" w:type="dxa"/>
            <w:vAlign w:val="center"/>
          </w:tcPr>
          <w:p w:rsidR="00C645C9" w:rsidRDefault="00F955D9">
            <w:pPr>
              <w:jc w:val="both"/>
              <w:rPr>
                <w:rFonts w:cs="Times New Roman"/>
                <w:sz w:val="21"/>
                <w:szCs w:val="18"/>
              </w:rPr>
            </w:pPr>
            <w:r>
              <w:rPr>
                <w:rFonts w:cs="Times New Roman"/>
                <w:sz w:val="21"/>
                <w:szCs w:val="18"/>
              </w:rPr>
              <w:t>侧钻井（</w:t>
            </w:r>
            <w:r>
              <w:rPr>
                <w:rFonts w:cs="Times New Roman" w:hint="eastAsia"/>
                <w:sz w:val="21"/>
                <w:szCs w:val="18"/>
              </w:rPr>
              <w:t>新北</w:t>
            </w:r>
            <w:r>
              <w:rPr>
                <w:rFonts w:cs="Times New Roman" w:hint="eastAsia"/>
                <w:sz w:val="21"/>
                <w:szCs w:val="18"/>
              </w:rPr>
              <w:t>1X</w:t>
            </w:r>
            <w:r>
              <w:rPr>
                <w:rFonts w:cs="Times New Roman" w:hint="eastAsia"/>
                <w:sz w:val="21"/>
                <w:szCs w:val="18"/>
              </w:rPr>
              <w:t>井</w:t>
            </w:r>
            <w:r>
              <w:rPr>
                <w:rFonts w:cs="Times New Roman"/>
                <w:sz w:val="21"/>
                <w:szCs w:val="18"/>
              </w:rPr>
              <w:t>）</w:t>
            </w:r>
          </w:p>
        </w:tc>
        <w:tc>
          <w:tcPr>
            <w:tcW w:w="1440" w:type="dxa"/>
            <w:vAlign w:val="center"/>
          </w:tcPr>
          <w:p w:rsidR="00C645C9" w:rsidRDefault="00F955D9">
            <w:pPr>
              <w:jc w:val="center"/>
              <w:rPr>
                <w:rFonts w:cs="Times New Roman"/>
                <w:sz w:val="21"/>
                <w:szCs w:val="18"/>
              </w:rPr>
            </w:pPr>
            <w:r>
              <w:rPr>
                <w:rFonts w:cs="Times New Roman" w:hint="eastAsia"/>
                <w:sz w:val="21"/>
                <w:szCs w:val="18"/>
              </w:rPr>
              <w:t>油基</w:t>
            </w:r>
          </w:p>
        </w:tc>
        <w:tc>
          <w:tcPr>
            <w:tcW w:w="2220" w:type="dxa"/>
            <w:vAlign w:val="bottom"/>
          </w:tcPr>
          <w:p w:rsidR="00C645C9" w:rsidRDefault="00F955D9">
            <w:pPr>
              <w:jc w:val="center"/>
              <w:rPr>
                <w:rFonts w:cs="Times New Roman"/>
                <w:sz w:val="21"/>
                <w:szCs w:val="18"/>
              </w:rPr>
            </w:pPr>
            <w:r>
              <w:rPr>
                <w:rFonts w:cs="Times New Roman" w:hint="eastAsia"/>
                <w:sz w:val="21"/>
                <w:szCs w:val="18"/>
              </w:rPr>
              <w:t xml:space="preserve">179.62 </w:t>
            </w:r>
          </w:p>
        </w:tc>
        <w:tc>
          <w:tcPr>
            <w:tcW w:w="2594" w:type="dxa"/>
            <w:vAlign w:val="bottom"/>
          </w:tcPr>
          <w:p w:rsidR="00C645C9" w:rsidRDefault="00F955D9">
            <w:pPr>
              <w:jc w:val="center"/>
              <w:rPr>
                <w:rFonts w:cs="Times New Roman"/>
                <w:sz w:val="21"/>
                <w:szCs w:val="18"/>
              </w:rPr>
            </w:pPr>
            <w:r>
              <w:rPr>
                <w:rFonts w:cs="Times New Roman" w:hint="eastAsia"/>
                <w:sz w:val="21"/>
                <w:szCs w:val="18"/>
              </w:rPr>
              <w:t>248.24</w:t>
            </w:r>
          </w:p>
        </w:tc>
      </w:tr>
      <w:bookmarkEnd w:id="812"/>
      <w:bookmarkEnd w:id="813"/>
      <w:bookmarkEnd w:id="819"/>
      <w:tr w:rsidR="00C645C9">
        <w:trPr>
          <w:trHeight w:val="315"/>
          <w:jc w:val="center"/>
        </w:trPr>
        <w:tc>
          <w:tcPr>
            <w:tcW w:w="3545" w:type="dxa"/>
            <w:gridSpan w:val="2"/>
            <w:vAlign w:val="center"/>
          </w:tcPr>
          <w:p w:rsidR="00C645C9" w:rsidRDefault="00F955D9">
            <w:pPr>
              <w:jc w:val="center"/>
              <w:rPr>
                <w:rFonts w:cs="Times New Roman"/>
                <w:sz w:val="21"/>
                <w:szCs w:val="18"/>
              </w:rPr>
            </w:pPr>
            <w:r>
              <w:rPr>
                <w:rFonts w:cs="Times New Roman"/>
                <w:sz w:val="21"/>
                <w:szCs w:val="18"/>
              </w:rPr>
              <w:t>合计</w:t>
            </w:r>
          </w:p>
        </w:tc>
        <w:tc>
          <w:tcPr>
            <w:tcW w:w="2220" w:type="dxa"/>
            <w:vAlign w:val="bottom"/>
          </w:tcPr>
          <w:p w:rsidR="00C645C9" w:rsidRDefault="00F955D9">
            <w:pPr>
              <w:jc w:val="center"/>
              <w:rPr>
                <w:rFonts w:cs="Times New Roman"/>
                <w:sz w:val="21"/>
                <w:szCs w:val="18"/>
              </w:rPr>
            </w:pPr>
            <w:bookmarkStart w:id="822" w:name="OLE_LINK1408"/>
            <w:r>
              <w:rPr>
                <w:rFonts w:cs="Times New Roman" w:hint="eastAsia"/>
                <w:sz w:val="21"/>
                <w:szCs w:val="18"/>
              </w:rPr>
              <w:t>1082.9</w:t>
            </w:r>
            <w:bookmarkEnd w:id="822"/>
            <w:r>
              <w:rPr>
                <w:rFonts w:cs="Times New Roman" w:hint="eastAsia"/>
                <w:sz w:val="21"/>
                <w:szCs w:val="18"/>
              </w:rPr>
              <w:t>8</w:t>
            </w:r>
          </w:p>
        </w:tc>
        <w:tc>
          <w:tcPr>
            <w:tcW w:w="2594" w:type="dxa"/>
            <w:vAlign w:val="bottom"/>
          </w:tcPr>
          <w:p w:rsidR="00C645C9" w:rsidRDefault="00F955D9">
            <w:pPr>
              <w:jc w:val="center"/>
              <w:rPr>
                <w:rFonts w:cs="Times New Roman"/>
                <w:sz w:val="21"/>
                <w:szCs w:val="18"/>
              </w:rPr>
            </w:pPr>
            <w:r>
              <w:rPr>
                <w:rFonts w:cs="Times New Roman" w:hint="eastAsia"/>
                <w:sz w:val="21"/>
                <w:szCs w:val="18"/>
              </w:rPr>
              <w:t>1812.1</w:t>
            </w:r>
            <w:r>
              <w:rPr>
                <w:rFonts w:cs="Times New Roman" w:hint="eastAsia"/>
                <w:sz w:val="21"/>
                <w:szCs w:val="18"/>
              </w:rPr>
              <w:t>7</w:t>
            </w:r>
          </w:p>
        </w:tc>
      </w:tr>
    </w:tbl>
    <w:p w:rsidR="00C645C9" w:rsidRDefault="00F955D9">
      <w:pPr>
        <w:pStyle w:val="00"/>
        <w:adjustRightInd w:val="0"/>
        <w:snapToGrid w:val="0"/>
        <w:jc w:val="both"/>
        <w:rPr>
          <w:color w:val="auto"/>
        </w:rPr>
      </w:pPr>
      <w:bookmarkStart w:id="823" w:name="OLE_LINK1422"/>
      <w:bookmarkEnd w:id="809"/>
      <w:r>
        <w:rPr>
          <w:rFonts w:hint="eastAsia"/>
          <w:color w:val="auto"/>
        </w:rPr>
        <w:lastRenderedPageBreak/>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hint="eastAsia"/>
          <w:color w:val="auto"/>
        </w:rPr>
        <w:t>DB65/T 3997-2017</w:t>
      </w:r>
      <w:r>
        <w:rPr>
          <w:rFonts w:hint="eastAsia"/>
          <w:color w:val="auto"/>
        </w:rPr>
        <w:t>）中综合利用污染物限值要求，同时石油烃满足《土壤环境质量</w:t>
      </w:r>
      <w:r>
        <w:rPr>
          <w:rFonts w:hint="eastAsia"/>
          <w:color w:val="auto"/>
        </w:rPr>
        <w:t xml:space="preserve"> </w:t>
      </w:r>
      <w:r>
        <w:rPr>
          <w:rFonts w:hint="eastAsia"/>
          <w:color w:val="auto"/>
        </w:rPr>
        <w:t>建设用地土壤污染风险管控标准（试行）》（</w:t>
      </w:r>
      <w:r>
        <w:rPr>
          <w:rFonts w:hint="eastAsia"/>
          <w:color w:val="auto"/>
        </w:rPr>
        <w:t>GB36600-2018</w:t>
      </w:r>
      <w:r>
        <w:rPr>
          <w:rFonts w:hint="eastAsia"/>
          <w:color w:val="auto"/>
        </w:rPr>
        <w:t>）中表</w:t>
      </w:r>
      <w:r>
        <w:rPr>
          <w:rFonts w:hint="eastAsia"/>
          <w:color w:val="auto"/>
        </w:rPr>
        <w:t>2</w:t>
      </w:r>
      <w:r>
        <w:rPr>
          <w:rFonts w:hint="eastAsia"/>
          <w:color w:val="auto"/>
        </w:rPr>
        <w:t>第二类用地风险筛选值后，可用于铺垫油区内的井场等；磺化水基泥浆在现场进行固液分离，分离后的</w:t>
      </w:r>
      <w:r>
        <w:rPr>
          <w:rFonts w:hint="eastAsia"/>
          <w:color w:val="auto"/>
        </w:rPr>
        <w:t>液体</w:t>
      </w:r>
      <w:r>
        <w:rPr>
          <w:rFonts w:hint="eastAsia"/>
          <w:color w:val="auto"/>
        </w:rPr>
        <w:t>用于钻井液配备，固相拉运至塔河油田绿色环保工作</w:t>
      </w:r>
      <w:r>
        <w:rPr>
          <w:rFonts w:hint="eastAsia"/>
          <w:color w:val="auto"/>
        </w:rPr>
        <w:t>站的含油污泥处理系统处置。油基泥浆采用油基泥浆不落地系统在井场进行固液分离，液相回用于钻井，固相使用专用罐收集后，拉运至塔河油田绿色环保工作站的含油污泥处理系统处置。</w:t>
      </w:r>
    </w:p>
    <w:bookmarkEnd w:id="823"/>
    <w:p w:rsidR="00C645C9" w:rsidRDefault="00F955D9">
      <w:pPr>
        <w:pStyle w:val="affff4"/>
        <w:adjustRightInd w:val="0"/>
        <w:ind w:firstLine="480"/>
        <w:rPr>
          <w:kern w:val="2"/>
          <w:sz w:val="24"/>
          <w:szCs w:val="24"/>
        </w:rPr>
      </w:pPr>
      <w:r>
        <w:rPr>
          <w:kern w:val="2"/>
          <w:sz w:val="24"/>
          <w:szCs w:val="24"/>
        </w:rPr>
        <w:fldChar w:fldCharType="begin"/>
      </w:r>
      <w:r>
        <w:rPr>
          <w:kern w:val="2"/>
          <w:sz w:val="24"/>
          <w:szCs w:val="24"/>
        </w:rPr>
        <w:instrText xml:space="preserve"> = 3 \* GB3 \* MERGEFORMAT </w:instrText>
      </w:r>
      <w:r>
        <w:rPr>
          <w:kern w:val="2"/>
          <w:sz w:val="24"/>
          <w:szCs w:val="24"/>
        </w:rPr>
        <w:fldChar w:fldCharType="separate"/>
      </w:r>
      <w:r>
        <w:rPr>
          <w:rFonts w:ascii="宋体" w:hAnsi="宋体" w:hint="eastAsia"/>
          <w:kern w:val="2"/>
          <w:sz w:val="24"/>
          <w:szCs w:val="24"/>
        </w:rPr>
        <w:t>③</w:t>
      </w:r>
      <w:r>
        <w:rPr>
          <w:kern w:val="2"/>
          <w:sz w:val="24"/>
          <w:szCs w:val="24"/>
        </w:rPr>
        <w:fldChar w:fldCharType="end"/>
      </w:r>
      <w:r>
        <w:rPr>
          <w:kern w:val="2"/>
          <w:sz w:val="24"/>
          <w:szCs w:val="24"/>
        </w:rPr>
        <w:t>落地油</w:t>
      </w:r>
    </w:p>
    <w:p w:rsidR="00C645C9" w:rsidRDefault="00F955D9">
      <w:pPr>
        <w:widowControl w:val="0"/>
        <w:adjustRightInd w:val="0"/>
        <w:snapToGrid w:val="0"/>
        <w:spacing w:line="360" w:lineRule="auto"/>
        <w:ind w:firstLineChars="200" w:firstLine="480"/>
        <w:rPr>
          <w:rFonts w:cs="Times New Roman"/>
        </w:rPr>
      </w:pPr>
      <w:r>
        <w:rPr>
          <w:rFonts w:cs="Times New Roman"/>
        </w:rPr>
        <w:t>落地油主要来自突发环境事件和</w:t>
      </w:r>
      <w:r>
        <w:rPr>
          <w:rFonts w:cs="Times New Roman" w:hint="eastAsia"/>
        </w:rPr>
        <w:t>油气</w:t>
      </w:r>
      <w:r>
        <w:rPr>
          <w:rFonts w:cs="Times New Roman"/>
        </w:rPr>
        <w:t>处理环节等，属于《国家危险废物名录（</w:t>
      </w:r>
      <w:r>
        <w:rPr>
          <w:rFonts w:cs="Times New Roman"/>
        </w:rPr>
        <w:t>2025</w:t>
      </w:r>
      <w:r>
        <w:rPr>
          <w:rFonts w:cs="Times New Roman"/>
        </w:rPr>
        <w:t>年版）》，</w:t>
      </w:r>
      <w:r>
        <w:rPr>
          <w:rFonts w:cs="Times New Roman"/>
        </w:rPr>
        <w:t>HW08</w:t>
      </w:r>
      <w:r>
        <w:rPr>
          <w:rFonts w:cs="Times New Roman"/>
        </w:rPr>
        <w:t>类危险废物（废物代码：</w:t>
      </w:r>
      <w:r>
        <w:rPr>
          <w:rFonts w:cs="Times New Roman"/>
        </w:rPr>
        <w:t>071-001-08</w:t>
      </w:r>
      <w:r>
        <w:rPr>
          <w:rFonts w:cs="Times New Roman"/>
        </w:rPr>
        <w:t>）。</w:t>
      </w:r>
    </w:p>
    <w:p w:rsidR="00C645C9" w:rsidRDefault="00F955D9">
      <w:pPr>
        <w:pStyle w:val="affff4"/>
        <w:adjustRightInd w:val="0"/>
        <w:ind w:firstLine="480"/>
        <w:rPr>
          <w:rFonts w:cs="Times New Roman"/>
          <w:sz w:val="24"/>
          <w:szCs w:val="24"/>
        </w:rPr>
      </w:pPr>
      <w:r>
        <w:rPr>
          <w:rFonts w:cs="Times New Roman"/>
          <w:sz w:val="24"/>
          <w:szCs w:val="24"/>
        </w:rPr>
        <w:t>本工程预计新增落地油</w:t>
      </w:r>
      <w:r>
        <w:rPr>
          <w:rFonts w:cs="Times New Roman"/>
          <w:sz w:val="24"/>
          <w:szCs w:val="24"/>
        </w:rPr>
        <w:t>0.3t/a</w:t>
      </w:r>
      <w:r>
        <w:rPr>
          <w:rFonts w:cs="Times New Roman"/>
          <w:sz w:val="24"/>
          <w:szCs w:val="24"/>
        </w:rPr>
        <w:t>，落地油回收率为</w:t>
      </w:r>
      <w:r>
        <w:rPr>
          <w:rFonts w:cs="Times New Roman"/>
          <w:sz w:val="24"/>
          <w:szCs w:val="24"/>
        </w:rPr>
        <w:t>100%</w:t>
      </w:r>
      <w:r>
        <w:rPr>
          <w:rFonts w:cs="Times New Roman"/>
          <w:sz w:val="24"/>
          <w:szCs w:val="24"/>
        </w:rPr>
        <w:t>，落地油不在施工站场储存，直接在作业施工现场由施工人员回收至罐车内，罐车采用密闭的专用罐车，统一由塔河油田绿色环保</w:t>
      </w:r>
      <w:r>
        <w:rPr>
          <w:rFonts w:cs="Times New Roman" w:hint="eastAsia"/>
          <w:sz w:val="24"/>
          <w:szCs w:val="24"/>
        </w:rPr>
        <w:t>工作</w:t>
      </w:r>
      <w:r>
        <w:rPr>
          <w:rFonts w:cs="Times New Roman"/>
          <w:sz w:val="24"/>
          <w:szCs w:val="24"/>
        </w:rPr>
        <w:t>站进行无害化处理。严格按照《危险废物贮存污染控制标准》（</w:t>
      </w:r>
      <w:r>
        <w:rPr>
          <w:rFonts w:cs="Times New Roman"/>
          <w:sz w:val="24"/>
          <w:szCs w:val="24"/>
        </w:rPr>
        <w:t>GB18597-2023</w:t>
      </w:r>
      <w:r>
        <w:rPr>
          <w:rFonts w:cs="Times New Roman"/>
          <w:sz w:val="24"/>
          <w:szCs w:val="24"/>
        </w:rPr>
        <w:t>）、《危险废物收集</w:t>
      </w:r>
      <w:r>
        <w:rPr>
          <w:rFonts w:cs="Times New Roman" w:hint="eastAsia"/>
          <w:sz w:val="24"/>
          <w:szCs w:val="24"/>
        </w:rPr>
        <w:t xml:space="preserve"> </w:t>
      </w:r>
      <w:r>
        <w:rPr>
          <w:rFonts w:cs="Times New Roman"/>
          <w:sz w:val="24"/>
          <w:szCs w:val="24"/>
        </w:rPr>
        <w:t>贮存</w:t>
      </w:r>
      <w:r>
        <w:rPr>
          <w:rFonts w:cs="Times New Roman" w:hint="eastAsia"/>
          <w:sz w:val="24"/>
          <w:szCs w:val="24"/>
        </w:rPr>
        <w:t xml:space="preserve"> </w:t>
      </w:r>
      <w:r>
        <w:rPr>
          <w:rFonts w:cs="Times New Roman"/>
          <w:sz w:val="24"/>
          <w:szCs w:val="24"/>
        </w:rPr>
        <w:t>运输技术规范》（</w:t>
      </w:r>
      <w:r>
        <w:rPr>
          <w:rFonts w:cs="Times New Roman"/>
          <w:sz w:val="24"/>
          <w:szCs w:val="24"/>
        </w:rPr>
        <w:t>HJ2025-2012</w:t>
      </w:r>
      <w:r>
        <w:rPr>
          <w:rFonts w:cs="Times New Roman"/>
          <w:sz w:val="24"/>
          <w:szCs w:val="24"/>
        </w:rPr>
        <w:t>）和《危险废物转移管理办法》</w:t>
      </w:r>
      <w:r>
        <w:rPr>
          <w:rFonts w:cs="Times New Roman" w:hint="eastAsia"/>
          <w:sz w:val="24"/>
          <w:szCs w:val="24"/>
        </w:rPr>
        <w:t>（生态环境部、公安部、交通运输部令第</w:t>
      </w:r>
      <w:r>
        <w:rPr>
          <w:rFonts w:cs="Times New Roman" w:hint="eastAsia"/>
          <w:sz w:val="24"/>
          <w:szCs w:val="24"/>
        </w:rPr>
        <w:t>23</w:t>
      </w:r>
      <w:r>
        <w:rPr>
          <w:rFonts w:cs="Times New Roman" w:hint="eastAsia"/>
          <w:sz w:val="24"/>
          <w:szCs w:val="24"/>
        </w:rPr>
        <w:t>号）</w:t>
      </w:r>
      <w:r>
        <w:rPr>
          <w:rFonts w:cs="Times New Roman"/>
          <w:sz w:val="24"/>
          <w:szCs w:val="24"/>
        </w:rPr>
        <w:t>中的相关要求收集、贮存、运输</w:t>
      </w:r>
      <w:r>
        <w:rPr>
          <w:rFonts w:cs="Times New Roman" w:hint="eastAsia"/>
          <w:sz w:val="24"/>
          <w:szCs w:val="24"/>
        </w:rPr>
        <w:t>。</w:t>
      </w:r>
    </w:p>
    <w:p w:rsidR="00C645C9" w:rsidRDefault="00F955D9">
      <w:pPr>
        <w:pStyle w:val="affff4"/>
        <w:adjustRightInd w:val="0"/>
        <w:ind w:firstLine="480"/>
        <w:rPr>
          <w:rFonts w:cs="Times New Roman"/>
          <w:sz w:val="24"/>
          <w:szCs w:val="24"/>
        </w:rPr>
      </w:pPr>
      <w:r>
        <w:rPr>
          <w:rFonts w:cs="Times New Roman" w:hint="eastAsia"/>
          <w:sz w:val="24"/>
          <w:szCs w:val="24"/>
        </w:rPr>
        <w:t>④废润滑油</w:t>
      </w:r>
    </w:p>
    <w:p w:rsidR="00C645C9" w:rsidRDefault="00F955D9">
      <w:pPr>
        <w:pStyle w:val="affff4"/>
        <w:adjustRightInd w:val="0"/>
        <w:ind w:firstLine="480"/>
        <w:rPr>
          <w:rFonts w:cs="Times New Roman"/>
          <w:kern w:val="2"/>
          <w:sz w:val="24"/>
          <w:szCs w:val="24"/>
        </w:rPr>
      </w:pPr>
      <w:r>
        <w:rPr>
          <w:rFonts w:cs="Times New Roman" w:hint="eastAsia"/>
          <w:sz w:val="24"/>
          <w:szCs w:val="24"/>
        </w:rPr>
        <w:t>废润滑油主要来自设备维修过程，属于《国家危险废物名录（</w:t>
      </w:r>
      <w:r>
        <w:rPr>
          <w:rFonts w:cs="Times New Roman" w:hint="eastAsia"/>
          <w:sz w:val="24"/>
          <w:szCs w:val="24"/>
        </w:rPr>
        <w:t>2025</w:t>
      </w:r>
      <w:r>
        <w:rPr>
          <w:rFonts w:cs="Times New Roman" w:hint="eastAsia"/>
          <w:sz w:val="24"/>
          <w:szCs w:val="24"/>
        </w:rPr>
        <w:t>年版）》，</w:t>
      </w:r>
      <w:r>
        <w:rPr>
          <w:rFonts w:cs="Times New Roman" w:hint="eastAsia"/>
          <w:sz w:val="24"/>
          <w:szCs w:val="24"/>
        </w:rPr>
        <w:t>HW0</w:t>
      </w:r>
      <w:r>
        <w:rPr>
          <w:rFonts w:cs="Times New Roman" w:hint="eastAsia"/>
          <w:sz w:val="24"/>
          <w:szCs w:val="24"/>
        </w:rPr>
        <w:t>8</w:t>
      </w:r>
      <w:r>
        <w:rPr>
          <w:rFonts w:cs="Times New Roman" w:hint="eastAsia"/>
          <w:sz w:val="24"/>
          <w:szCs w:val="24"/>
        </w:rPr>
        <w:t>类危险废物（废物代码：</w:t>
      </w:r>
      <w:r>
        <w:rPr>
          <w:rFonts w:cs="Times New Roman" w:hint="eastAsia"/>
          <w:sz w:val="24"/>
          <w:szCs w:val="24"/>
        </w:rPr>
        <w:t>900-214-08</w:t>
      </w:r>
      <w:r>
        <w:rPr>
          <w:rFonts w:cs="Times New Roman" w:hint="eastAsia"/>
          <w:sz w:val="24"/>
          <w:szCs w:val="24"/>
        </w:rPr>
        <w:t>）。废润滑油间歇产生，废润滑油产生量约</w:t>
      </w:r>
      <w:r>
        <w:rPr>
          <w:rFonts w:cs="Times New Roman" w:hint="eastAsia"/>
          <w:sz w:val="24"/>
          <w:szCs w:val="24"/>
        </w:rPr>
        <w:t>0</w:t>
      </w:r>
      <w:r>
        <w:rPr>
          <w:rFonts w:cs="Times New Roman"/>
          <w:sz w:val="24"/>
          <w:szCs w:val="24"/>
        </w:rPr>
        <w:t>.5t/a</w:t>
      </w:r>
      <w:r>
        <w:rPr>
          <w:rFonts w:cs="Times New Roman"/>
          <w:sz w:val="24"/>
          <w:szCs w:val="24"/>
        </w:rPr>
        <w:t>，</w:t>
      </w:r>
      <w:bookmarkStart w:id="824" w:name="OLE_LINK1012"/>
      <w:r>
        <w:rPr>
          <w:rFonts w:cs="Times New Roman" w:hint="eastAsia"/>
          <w:sz w:val="24"/>
          <w:szCs w:val="24"/>
        </w:rPr>
        <w:t>收集后委托持有危险废物经营许可证的单位利用处置</w:t>
      </w:r>
      <w:bookmarkEnd w:id="824"/>
      <w:r>
        <w:rPr>
          <w:rFonts w:cs="Times New Roman"/>
          <w:sz w:val="24"/>
          <w:szCs w:val="24"/>
        </w:rPr>
        <w:t>。</w:t>
      </w:r>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5 \* GB3 \* MERGEFORMAT </w:instrText>
      </w:r>
      <w:r>
        <w:rPr>
          <w:rFonts w:ascii="Times New Roman" w:hAnsi="Times New Roman" w:cs="Times New Roman"/>
        </w:rPr>
        <w:fldChar w:fldCharType="separate"/>
      </w:r>
      <w:r>
        <w:rPr>
          <w:rFonts w:ascii="Times New Roman" w:hAnsi="Times New Roman" w:cs="Times New Roman"/>
        </w:rPr>
        <w:t>⑤</w:t>
      </w:r>
      <w:r>
        <w:rPr>
          <w:rFonts w:ascii="Times New Roman" w:hAnsi="Times New Roman" w:cs="Times New Roman"/>
        </w:rPr>
        <w:fldChar w:fldCharType="end"/>
      </w:r>
      <w:r>
        <w:rPr>
          <w:rFonts w:ascii="Times New Roman" w:hAnsi="Times New Roman" w:cs="Times New Roman"/>
        </w:rPr>
        <w:t>生活垃圾</w:t>
      </w:r>
    </w:p>
    <w:p w:rsidR="00C645C9" w:rsidRDefault="00F955D9" w:rsidP="005718BB">
      <w:pPr>
        <w:pStyle w:val="aff"/>
        <w:adjustRightInd w:val="0"/>
        <w:snapToGrid w:val="0"/>
        <w:rPr>
          <w:rFonts w:cs="Times New Roman"/>
          <w:color w:val="auto"/>
        </w:rPr>
      </w:pPr>
      <w:r>
        <w:rPr>
          <w:rFonts w:cs="Times New Roman"/>
          <w:color w:val="auto"/>
        </w:rPr>
        <w:t>本工程施工期施工人员</w:t>
      </w:r>
      <w:r>
        <w:rPr>
          <w:rFonts w:cs="Times New Roman"/>
          <w:color w:val="auto"/>
        </w:rPr>
        <w:t>1</w:t>
      </w:r>
      <w:r>
        <w:rPr>
          <w:rFonts w:cs="Times New Roman"/>
          <w:color w:val="auto"/>
        </w:rPr>
        <w:t>0</w:t>
      </w:r>
      <w:r>
        <w:rPr>
          <w:rFonts w:cs="Times New Roman"/>
          <w:color w:val="auto"/>
        </w:rPr>
        <w:t>人，施工期</w:t>
      </w:r>
      <w:r>
        <w:rPr>
          <w:rFonts w:cs="Times New Roman"/>
          <w:color w:val="auto"/>
        </w:rPr>
        <w:t>270</w:t>
      </w:r>
      <w:r>
        <w:rPr>
          <w:rFonts w:cs="Times New Roman"/>
          <w:color w:val="auto"/>
        </w:rPr>
        <w:t>天</w:t>
      </w:r>
      <w:r>
        <w:rPr>
          <w:rFonts w:cs="Times New Roman"/>
          <w:color w:val="auto"/>
        </w:rPr>
        <w:t>，平均每人每天产生</w:t>
      </w:r>
      <w:bookmarkStart w:id="825" w:name="OLE_LINK768"/>
      <w:r>
        <w:rPr>
          <w:rFonts w:cs="Times New Roman"/>
          <w:color w:val="auto"/>
        </w:rPr>
        <w:t>生活垃圾</w:t>
      </w:r>
      <w:bookmarkEnd w:id="825"/>
      <w:r>
        <w:rPr>
          <w:rFonts w:cs="Times New Roman"/>
          <w:color w:val="auto"/>
        </w:rPr>
        <w:t>0.5kg</w:t>
      </w:r>
      <w:r>
        <w:rPr>
          <w:rFonts w:cs="Times New Roman"/>
          <w:color w:val="auto"/>
        </w:rPr>
        <w:t>。整个施工过程生活垃圾产生量共计</w:t>
      </w:r>
      <w:r>
        <w:rPr>
          <w:rFonts w:cs="Times New Roman"/>
          <w:color w:val="auto"/>
        </w:rPr>
        <w:t>1.35</w:t>
      </w:r>
      <w:r>
        <w:rPr>
          <w:rFonts w:cs="Times New Roman"/>
          <w:color w:val="auto"/>
        </w:rPr>
        <w:t>t</w:t>
      </w:r>
      <w:r>
        <w:rPr>
          <w:rFonts w:cs="Times New Roman"/>
          <w:color w:val="auto"/>
        </w:rPr>
        <w:t>，</w:t>
      </w:r>
      <w:bookmarkStart w:id="826" w:name="OLE_LINK1018"/>
      <w:r>
        <w:rPr>
          <w:rFonts w:cs="Times New Roman"/>
          <w:color w:val="auto"/>
        </w:rPr>
        <w:t>生活垃圾集中收集后，委托库车绿能环保科技有限公司清运处置</w:t>
      </w:r>
      <w:bookmarkEnd w:id="826"/>
      <w:r>
        <w:rPr>
          <w:rFonts w:cs="Times New Roman"/>
          <w:color w:val="auto"/>
        </w:rPr>
        <w:t>。</w:t>
      </w:r>
    </w:p>
    <w:p w:rsidR="00C645C9" w:rsidRDefault="00F955D9">
      <w:pPr>
        <w:pStyle w:val="afe"/>
        <w:widowControl w:val="0"/>
        <w:snapToGrid w:val="0"/>
        <w:spacing w:line="360" w:lineRule="auto"/>
        <w:ind w:firstLine="500"/>
        <w:jc w:val="both"/>
        <w:rPr>
          <w:rFonts w:ascii="Times New Roman" w:hAnsi="Times New Roman"/>
          <w:kern w:val="2"/>
          <w:szCs w:val="24"/>
        </w:rPr>
      </w:pPr>
      <w:r>
        <w:rPr>
          <w:rFonts w:ascii="Times New Roman" w:hAnsi="Times New Roman"/>
          <w:sz w:val="25"/>
          <w:szCs w:val="25"/>
        </w:rPr>
        <w:fldChar w:fldCharType="begin"/>
      </w:r>
      <w:r>
        <w:rPr>
          <w:rFonts w:ascii="Times New Roman" w:hAnsi="Times New Roman"/>
          <w:sz w:val="25"/>
          <w:szCs w:val="25"/>
        </w:rPr>
        <w:instrText xml:space="preserve"> = 6 \* GB3 \* MERGEFORMAT </w:instrText>
      </w:r>
      <w:r>
        <w:rPr>
          <w:rFonts w:ascii="Times New Roman" w:hAnsi="Times New Roman"/>
          <w:sz w:val="25"/>
          <w:szCs w:val="25"/>
        </w:rPr>
        <w:fldChar w:fldCharType="separate"/>
      </w:r>
      <w:r>
        <w:rPr>
          <w:rFonts w:ascii="Times New Roman" w:hAnsi="Times New Roman"/>
        </w:rPr>
        <w:t>⑥</w:t>
      </w:r>
      <w:r>
        <w:rPr>
          <w:rFonts w:ascii="Times New Roman" w:hAnsi="Times New Roman"/>
          <w:sz w:val="25"/>
          <w:szCs w:val="25"/>
        </w:rPr>
        <w:fldChar w:fldCharType="end"/>
      </w:r>
      <w:r>
        <w:rPr>
          <w:rFonts w:ascii="Times New Roman" w:hAnsi="Times New Roman"/>
          <w:kern w:val="2"/>
          <w:szCs w:val="24"/>
        </w:rPr>
        <w:t>施工废料</w:t>
      </w:r>
    </w:p>
    <w:p w:rsidR="00C645C9" w:rsidRDefault="00F955D9">
      <w:pPr>
        <w:widowControl w:val="0"/>
        <w:adjustRightInd w:val="0"/>
        <w:snapToGrid w:val="0"/>
        <w:spacing w:line="360" w:lineRule="auto"/>
        <w:ind w:firstLineChars="200" w:firstLine="480"/>
        <w:rPr>
          <w:rFonts w:cs="Times New Roman"/>
        </w:rPr>
      </w:pPr>
      <w:r>
        <w:rPr>
          <w:rFonts w:cs="Times New Roman"/>
        </w:rPr>
        <w:t>施工废料主要包括管材边角料、焊接作业中产生的废焊渣等。根据类比调查，施工废料的产生量约为</w:t>
      </w:r>
      <w:r>
        <w:rPr>
          <w:rFonts w:cs="Times New Roman"/>
        </w:rPr>
        <w:t>0.2t/km</w:t>
      </w:r>
      <w:r>
        <w:rPr>
          <w:rFonts w:cs="Times New Roman"/>
        </w:rPr>
        <w:t>，</w:t>
      </w:r>
      <w:r>
        <w:rPr>
          <w:rFonts w:cs="Times New Roman"/>
        </w:rPr>
        <w:t>本</w:t>
      </w:r>
      <w:r>
        <w:rPr>
          <w:rFonts w:cs="Times New Roman"/>
        </w:rPr>
        <w:t>工程</w:t>
      </w:r>
      <w:r>
        <w:rPr>
          <w:rFonts w:cs="Times New Roman"/>
        </w:rPr>
        <w:t>新建管线</w:t>
      </w:r>
      <w:r>
        <w:rPr>
          <w:rFonts w:cs="Times New Roman"/>
        </w:rPr>
        <w:t>0.078</w:t>
      </w:r>
      <w:r>
        <w:rPr>
          <w:rFonts w:cs="Times New Roman"/>
        </w:rPr>
        <w:t>km</w:t>
      </w:r>
      <w:r>
        <w:rPr>
          <w:rFonts w:cs="Times New Roman"/>
        </w:rPr>
        <w:t>，施工废料产生量约为</w:t>
      </w:r>
      <w:r>
        <w:rPr>
          <w:rFonts w:cs="Times New Roman"/>
        </w:rPr>
        <w:t>0.0156</w:t>
      </w:r>
      <w:r>
        <w:rPr>
          <w:rFonts w:cs="Times New Roman"/>
        </w:rPr>
        <w:t>t</w:t>
      </w:r>
      <w:r>
        <w:rPr>
          <w:rFonts w:cs="Times New Roman"/>
        </w:rPr>
        <w:t>。施工废料应首先考虑回收利用，不可回收利用部分由库车绿能环保科技</w:t>
      </w:r>
      <w:r>
        <w:rPr>
          <w:rFonts w:cs="Times New Roman"/>
        </w:rPr>
        <w:lastRenderedPageBreak/>
        <w:t>有限公司拉运至库车经济开发区工业固废填埋场合规处置。</w:t>
      </w:r>
    </w:p>
    <w:p w:rsidR="00C645C9" w:rsidRDefault="00F955D9" w:rsidP="005718BB">
      <w:pPr>
        <w:pStyle w:val="aff"/>
        <w:adjustRightInd w:val="0"/>
        <w:snapToGrid w:val="0"/>
        <w:ind w:firstLine="563"/>
        <w:rPr>
          <w:rFonts w:cs="Times New Roman"/>
          <w:color w:val="auto"/>
        </w:rPr>
      </w:pPr>
      <w:r>
        <w:rPr>
          <w:rFonts w:cs="Times New Roman"/>
          <w:color w:val="auto"/>
          <w:kern w:val="2"/>
          <w:sz w:val="25"/>
          <w:szCs w:val="25"/>
        </w:rPr>
        <w:fldChar w:fldCharType="begin"/>
      </w:r>
      <w:r>
        <w:rPr>
          <w:rFonts w:cs="Times New Roman"/>
          <w:color w:val="auto"/>
          <w:kern w:val="2"/>
          <w:sz w:val="25"/>
          <w:szCs w:val="25"/>
        </w:rPr>
        <w:instrText xml:space="preserve"> = 7 \* GB3 \* MERGEFORMAT </w:instrText>
      </w:r>
      <w:r>
        <w:rPr>
          <w:rFonts w:cs="Times New Roman"/>
          <w:color w:val="auto"/>
          <w:kern w:val="2"/>
          <w:sz w:val="25"/>
          <w:szCs w:val="25"/>
        </w:rPr>
        <w:fldChar w:fldCharType="separate"/>
      </w:r>
      <w:r>
        <w:rPr>
          <w:rFonts w:cs="Times New Roman"/>
          <w:color w:val="auto"/>
        </w:rPr>
        <w:t>⑦</w:t>
      </w:r>
      <w:r>
        <w:rPr>
          <w:rFonts w:cs="Times New Roman"/>
          <w:color w:val="auto"/>
          <w:kern w:val="2"/>
          <w:sz w:val="25"/>
          <w:szCs w:val="25"/>
        </w:rPr>
        <w:fldChar w:fldCharType="end"/>
      </w:r>
      <w:r>
        <w:rPr>
          <w:rFonts w:cs="Times New Roman"/>
          <w:color w:val="auto"/>
        </w:rPr>
        <w:t>土石方平衡</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本工程挖方量</w:t>
      </w:r>
      <w:bookmarkStart w:id="827" w:name="OLE_LINK791"/>
      <w:r>
        <w:rPr>
          <w:rFonts w:cs="Times New Roman"/>
          <w:bCs/>
        </w:rPr>
        <w:t>2.9065</w:t>
      </w:r>
      <w:bookmarkEnd w:id="827"/>
      <w:r>
        <w:rPr>
          <w:rFonts w:cs="Times New Roman"/>
          <w:bCs/>
        </w:rPr>
        <w:t>万</w:t>
      </w:r>
      <w:r>
        <w:rPr>
          <w:rFonts w:cs="Times New Roman"/>
          <w:kern w:val="2"/>
        </w:rPr>
        <w:t>m</w:t>
      </w:r>
      <w:r>
        <w:rPr>
          <w:rFonts w:cs="Times New Roman"/>
          <w:kern w:val="2"/>
          <w:vertAlign w:val="superscript"/>
        </w:rPr>
        <w:t>3</w:t>
      </w:r>
      <w:r>
        <w:rPr>
          <w:rFonts w:cs="Times New Roman"/>
          <w:kern w:val="2"/>
        </w:rPr>
        <w:t>，</w:t>
      </w:r>
      <w:r>
        <w:rPr>
          <w:rFonts w:cs="Times New Roman"/>
          <w:bCs/>
        </w:rPr>
        <w:t>填方量</w:t>
      </w:r>
      <w:r>
        <w:rPr>
          <w:rFonts w:cs="Times New Roman"/>
          <w:bCs/>
        </w:rPr>
        <w:t>2.9065</w:t>
      </w:r>
      <w:r>
        <w:rPr>
          <w:rFonts w:cs="Times New Roman"/>
          <w:bCs/>
        </w:rPr>
        <w:t>万</w:t>
      </w:r>
      <w:r>
        <w:rPr>
          <w:rFonts w:cs="Times New Roman"/>
          <w:kern w:val="2"/>
        </w:rPr>
        <w:t>m</w:t>
      </w:r>
      <w:r>
        <w:rPr>
          <w:rFonts w:cs="Times New Roman"/>
          <w:kern w:val="2"/>
          <w:vertAlign w:val="superscript"/>
        </w:rPr>
        <w:t>3</w:t>
      </w:r>
      <w:r>
        <w:rPr>
          <w:rFonts w:cs="Times New Roman"/>
          <w:kern w:val="2"/>
        </w:rPr>
        <w:t>，</w:t>
      </w:r>
      <w:r>
        <w:rPr>
          <w:rFonts w:cs="Times New Roman" w:hint="eastAsia"/>
          <w:kern w:val="2"/>
        </w:rPr>
        <w:t>无</w:t>
      </w:r>
      <w:r>
        <w:rPr>
          <w:rFonts w:cs="Times New Roman"/>
          <w:kern w:val="2"/>
        </w:rPr>
        <w:t>借方</w:t>
      </w:r>
      <w:r>
        <w:rPr>
          <w:rFonts w:cs="Times New Roman" w:hint="eastAsia"/>
          <w:kern w:val="2"/>
        </w:rPr>
        <w:t>、</w:t>
      </w:r>
      <w:r>
        <w:rPr>
          <w:rFonts w:cs="Times New Roman"/>
          <w:bCs/>
        </w:rPr>
        <w:t>弃方</w:t>
      </w:r>
      <w:r>
        <w:rPr>
          <w:rFonts w:cs="Times New Roman"/>
          <w:bCs/>
        </w:rPr>
        <w:t>。</w:t>
      </w:r>
      <w:r>
        <w:rPr>
          <w:rFonts w:cs="Times New Roman" w:hint="eastAsia"/>
          <w:bCs/>
        </w:rPr>
        <w:t>本工程场平高度约为</w:t>
      </w:r>
      <w:r>
        <w:rPr>
          <w:rFonts w:cs="Times New Roman" w:hint="eastAsia"/>
          <w:bCs/>
        </w:rPr>
        <w:t>0.5m</w:t>
      </w:r>
      <w:r>
        <w:rPr>
          <w:rFonts w:cs="Times New Roman" w:hint="eastAsia"/>
          <w:bCs/>
        </w:rPr>
        <w:t>，</w:t>
      </w:r>
      <w:r>
        <w:rPr>
          <w:rFonts w:cs="Times New Roman"/>
        </w:rPr>
        <w:t>开挖量为</w:t>
      </w:r>
      <w:r>
        <w:rPr>
          <w:rFonts w:cs="Times New Roman"/>
          <w:bCs/>
        </w:rPr>
        <w:t>29065</w:t>
      </w:r>
      <w:r>
        <w:rPr>
          <w:rFonts w:cs="Times New Roman"/>
        </w:rPr>
        <w:t>m</w:t>
      </w:r>
      <w:r>
        <w:rPr>
          <w:rFonts w:cs="Times New Roman"/>
          <w:vertAlign w:val="superscript"/>
        </w:rPr>
        <w:t>3</w:t>
      </w:r>
      <w:r>
        <w:rPr>
          <w:rFonts w:cs="Times New Roman"/>
        </w:rPr>
        <w:t>，全部用于回填，场地平整</w:t>
      </w:r>
      <w:r>
        <w:rPr>
          <w:rFonts w:cs="Times New Roman"/>
          <w:bCs/>
        </w:rPr>
        <w:t>。</w:t>
      </w:r>
      <w:r>
        <w:rPr>
          <w:rFonts w:cs="Times New Roman"/>
          <w:bCs/>
        </w:rPr>
        <w:t>本</w:t>
      </w:r>
      <w:r>
        <w:rPr>
          <w:rFonts w:cs="Times New Roman" w:hint="eastAsia"/>
          <w:bCs/>
        </w:rPr>
        <w:t>工程</w:t>
      </w:r>
      <w:r>
        <w:rPr>
          <w:rFonts w:cs="Times New Roman"/>
          <w:bCs/>
        </w:rPr>
        <w:t>土石方平衡表见下表</w:t>
      </w:r>
      <w:r>
        <w:rPr>
          <w:rFonts w:cs="Times New Roman"/>
          <w:bCs/>
        </w:rPr>
        <w:t>3.</w:t>
      </w:r>
      <w:r>
        <w:rPr>
          <w:rFonts w:cs="Times New Roman" w:hint="eastAsia"/>
          <w:bCs/>
        </w:rPr>
        <w:t>3-3</w:t>
      </w:r>
      <w:r>
        <w:rPr>
          <w:rFonts w:cs="Times New Roman"/>
          <w:bCs/>
        </w:rPr>
        <w:t>。</w:t>
      </w:r>
    </w:p>
    <w:p w:rsidR="00C645C9" w:rsidRDefault="00F955D9">
      <w:pPr>
        <w:widowControl w:val="0"/>
        <w:adjustRightInd w:val="0"/>
        <w:snapToGrid w:val="0"/>
        <w:jc w:val="center"/>
        <w:rPr>
          <w:rFonts w:eastAsia="黑体" w:cs="Times New Roman"/>
          <w:sz w:val="21"/>
          <w:szCs w:val="21"/>
          <w:vertAlign w:val="superscript"/>
          <w:lang w:val="zh-CN"/>
        </w:rPr>
      </w:pPr>
      <w:r>
        <w:rPr>
          <w:rFonts w:eastAsia="黑体" w:cs="Times New Roman"/>
          <w:sz w:val="21"/>
          <w:szCs w:val="21"/>
          <w:lang w:val="zh-CN"/>
        </w:rPr>
        <w:t>表</w:t>
      </w:r>
      <w:r>
        <w:rPr>
          <w:rFonts w:eastAsia="黑体" w:cs="Times New Roman"/>
          <w:sz w:val="21"/>
          <w:szCs w:val="21"/>
          <w:lang w:val="zh-CN"/>
        </w:rPr>
        <w:t>3.</w:t>
      </w:r>
      <w:r>
        <w:rPr>
          <w:rFonts w:eastAsia="黑体" w:cs="Times New Roman" w:hint="eastAsia"/>
          <w:sz w:val="21"/>
          <w:szCs w:val="21"/>
        </w:rPr>
        <w:t>3-3</w:t>
      </w:r>
      <w:r>
        <w:rPr>
          <w:rFonts w:eastAsia="黑体" w:cs="Times New Roman"/>
          <w:sz w:val="21"/>
          <w:szCs w:val="21"/>
        </w:rPr>
        <w:t xml:space="preserve">   </w:t>
      </w:r>
      <w:r>
        <w:rPr>
          <w:rFonts w:eastAsia="黑体" w:cs="Times New Roman"/>
          <w:sz w:val="21"/>
          <w:szCs w:val="21"/>
          <w:lang w:val="zh-CN"/>
        </w:rPr>
        <w:t>土方挖填方平衡表</w:t>
      </w:r>
      <w:r>
        <w:rPr>
          <w:rFonts w:eastAsia="黑体" w:cs="Times New Roman"/>
          <w:sz w:val="21"/>
          <w:szCs w:val="21"/>
        </w:rPr>
        <w:t xml:space="preserve">    </w:t>
      </w:r>
      <w:r>
        <w:rPr>
          <w:rFonts w:eastAsia="黑体" w:cs="Times New Roman"/>
          <w:sz w:val="21"/>
          <w:szCs w:val="21"/>
          <w:lang w:val="zh-CN"/>
        </w:rPr>
        <w:t>单位：</w:t>
      </w:r>
      <w:r>
        <w:rPr>
          <w:rFonts w:eastAsia="黑体" w:cs="Times New Roman"/>
          <w:sz w:val="21"/>
          <w:szCs w:val="21"/>
        </w:rPr>
        <w:t>万</w:t>
      </w:r>
      <w:r>
        <w:rPr>
          <w:rFonts w:eastAsia="黑体" w:cs="Times New Roman"/>
          <w:sz w:val="21"/>
          <w:szCs w:val="21"/>
          <w:lang w:val="zh-CN"/>
        </w:rPr>
        <w:t>m</w:t>
      </w:r>
      <w:r>
        <w:rPr>
          <w:rFonts w:eastAsia="黑体" w:cs="Times New Roman"/>
          <w:sz w:val="21"/>
          <w:szCs w:val="21"/>
          <w:vertAlign w:val="superscript"/>
          <w:lang w:val="zh-CN"/>
        </w:rPr>
        <w:t>3</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28" w:type="dxa"/>
          <w:bottom w:w="15" w:type="dxa"/>
          <w:right w:w="28" w:type="dxa"/>
        </w:tblCellMar>
        <w:tblLook w:val="04A0" w:firstRow="1" w:lastRow="0" w:firstColumn="1" w:lastColumn="0" w:noHBand="0" w:noVBand="1"/>
      </w:tblPr>
      <w:tblGrid>
        <w:gridCol w:w="2337"/>
        <w:gridCol w:w="1052"/>
        <w:gridCol w:w="1052"/>
        <w:gridCol w:w="1052"/>
        <w:gridCol w:w="1052"/>
        <w:gridCol w:w="1054"/>
        <w:gridCol w:w="1052"/>
      </w:tblGrid>
      <w:tr w:rsidR="00C645C9">
        <w:trPr>
          <w:trHeight w:val="365"/>
          <w:jc w:val="center"/>
        </w:trPr>
        <w:tc>
          <w:tcPr>
            <w:tcW w:w="1350" w:type="pct"/>
            <w:vMerge w:val="restart"/>
            <w:vAlign w:val="center"/>
          </w:tcPr>
          <w:p w:rsidR="00C645C9" w:rsidRDefault="00F955D9">
            <w:pPr>
              <w:pStyle w:val="afa"/>
              <w:rPr>
                <w:szCs w:val="21"/>
              </w:rPr>
            </w:pPr>
            <w:bookmarkStart w:id="828" w:name="OLE_LINK788" w:colFirst="1" w:colLast="2"/>
            <w:r>
              <w:rPr>
                <w:szCs w:val="21"/>
                <w:lang w:bidi="ar"/>
              </w:rPr>
              <w:t>工程分区</w:t>
            </w:r>
          </w:p>
        </w:tc>
        <w:tc>
          <w:tcPr>
            <w:tcW w:w="608" w:type="pct"/>
            <w:vMerge w:val="restart"/>
            <w:vAlign w:val="center"/>
          </w:tcPr>
          <w:p w:rsidR="00C645C9" w:rsidRDefault="00F955D9">
            <w:pPr>
              <w:pStyle w:val="afa"/>
              <w:rPr>
                <w:szCs w:val="21"/>
              </w:rPr>
            </w:pPr>
            <w:bookmarkStart w:id="829" w:name="OLE_LINK789"/>
            <w:r>
              <w:rPr>
                <w:szCs w:val="21"/>
                <w:lang w:bidi="ar"/>
              </w:rPr>
              <w:t>挖方</w:t>
            </w:r>
            <w:bookmarkEnd w:id="829"/>
          </w:p>
        </w:tc>
        <w:tc>
          <w:tcPr>
            <w:tcW w:w="608" w:type="pct"/>
            <w:vMerge w:val="restart"/>
            <w:vAlign w:val="center"/>
          </w:tcPr>
          <w:p w:rsidR="00C645C9" w:rsidRDefault="00F955D9">
            <w:pPr>
              <w:pStyle w:val="afa"/>
              <w:rPr>
                <w:szCs w:val="21"/>
              </w:rPr>
            </w:pPr>
            <w:bookmarkStart w:id="830" w:name="OLE_LINK790"/>
            <w:r>
              <w:rPr>
                <w:snapToGrid w:val="0"/>
                <w:szCs w:val="21"/>
              </w:rPr>
              <w:t>填方</w:t>
            </w:r>
            <w:bookmarkEnd w:id="830"/>
          </w:p>
        </w:tc>
        <w:tc>
          <w:tcPr>
            <w:tcW w:w="1216" w:type="pct"/>
            <w:gridSpan w:val="2"/>
            <w:vAlign w:val="center"/>
          </w:tcPr>
          <w:p w:rsidR="00C645C9" w:rsidRDefault="00F955D9">
            <w:pPr>
              <w:pStyle w:val="afa"/>
              <w:rPr>
                <w:szCs w:val="21"/>
              </w:rPr>
            </w:pPr>
            <w:r>
              <w:rPr>
                <w:szCs w:val="21"/>
              </w:rPr>
              <w:t>借方</w:t>
            </w:r>
          </w:p>
        </w:tc>
        <w:tc>
          <w:tcPr>
            <w:tcW w:w="1217" w:type="pct"/>
            <w:gridSpan w:val="2"/>
            <w:vAlign w:val="center"/>
          </w:tcPr>
          <w:p w:rsidR="00C645C9" w:rsidRDefault="00F955D9">
            <w:pPr>
              <w:pStyle w:val="afa"/>
              <w:rPr>
                <w:szCs w:val="21"/>
              </w:rPr>
            </w:pPr>
            <w:r>
              <w:rPr>
                <w:szCs w:val="21"/>
              </w:rPr>
              <w:t>弃方量</w:t>
            </w:r>
          </w:p>
        </w:tc>
      </w:tr>
      <w:tr w:rsidR="00C645C9">
        <w:trPr>
          <w:trHeight w:val="90"/>
          <w:jc w:val="center"/>
        </w:trPr>
        <w:tc>
          <w:tcPr>
            <w:tcW w:w="1350" w:type="pct"/>
            <w:vMerge/>
            <w:vAlign w:val="center"/>
          </w:tcPr>
          <w:p w:rsidR="00C645C9" w:rsidRDefault="00C645C9">
            <w:pPr>
              <w:pStyle w:val="afa"/>
              <w:rPr>
                <w:szCs w:val="21"/>
              </w:rPr>
            </w:pPr>
          </w:p>
        </w:tc>
        <w:tc>
          <w:tcPr>
            <w:tcW w:w="608" w:type="pct"/>
            <w:vMerge/>
            <w:vAlign w:val="center"/>
          </w:tcPr>
          <w:p w:rsidR="00C645C9" w:rsidRDefault="00C645C9">
            <w:pPr>
              <w:pStyle w:val="afa"/>
              <w:rPr>
                <w:szCs w:val="21"/>
              </w:rPr>
            </w:pPr>
          </w:p>
        </w:tc>
        <w:tc>
          <w:tcPr>
            <w:tcW w:w="608" w:type="pct"/>
            <w:vMerge/>
            <w:vAlign w:val="center"/>
          </w:tcPr>
          <w:p w:rsidR="00C645C9" w:rsidRDefault="00C645C9">
            <w:pPr>
              <w:pStyle w:val="afa"/>
              <w:rPr>
                <w:szCs w:val="21"/>
              </w:rPr>
            </w:pPr>
          </w:p>
        </w:tc>
        <w:tc>
          <w:tcPr>
            <w:tcW w:w="608" w:type="pct"/>
            <w:vAlign w:val="center"/>
          </w:tcPr>
          <w:p w:rsidR="00C645C9" w:rsidRDefault="00F955D9">
            <w:pPr>
              <w:pStyle w:val="afa"/>
              <w:rPr>
                <w:szCs w:val="21"/>
              </w:rPr>
            </w:pPr>
            <w:r>
              <w:rPr>
                <w:szCs w:val="21"/>
              </w:rPr>
              <w:t>数量</w:t>
            </w:r>
          </w:p>
        </w:tc>
        <w:tc>
          <w:tcPr>
            <w:tcW w:w="608" w:type="pct"/>
            <w:vAlign w:val="center"/>
          </w:tcPr>
          <w:p w:rsidR="00C645C9" w:rsidRDefault="00F955D9">
            <w:pPr>
              <w:pStyle w:val="afa"/>
              <w:rPr>
                <w:szCs w:val="21"/>
              </w:rPr>
            </w:pPr>
            <w:r>
              <w:rPr>
                <w:szCs w:val="21"/>
              </w:rPr>
              <w:t>来源</w:t>
            </w:r>
          </w:p>
        </w:tc>
        <w:tc>
          <w:tcPr>
            <w:tcW w:w="609" w:type="pct"/>
            <w:vAlign w:val="center"/>
          </w:tcPr>
          <w:p w:rsidR="00C645C9" w:rsidRDefault="00F955D9">
            <w:pPr>
              <w:pStyle w:val="afa"/>
              <w:rPr>
                <w:szCs w:val="21"/>
              </w:rPr>
            </w:pPr>
            <w:r>
              <w:rPr>
                <w:szCs w:val="21"/>
              </w:rPr>
              <w:t>数量</w:t>
            </w:r>
          </w:p>
        </w:tc>
        <w:tc>
          <w:tcPr>
            <w:tcW w:w="608" w:type="pct"/>
            <w:vAlign w:val="center"/>
          </w:tcPr>
          <w:p w:rsidR="00C645C9" w:rsidRDefault="00F955D9">
            <w:pPr>
              <w:pStyle w:val="afa"/>
              <w:rPr>
                <w:szCs w:val="21"/>
              </w:rPr>
            </w:pPr>
            <w:r>
              <w:rPr>
                <w:szCs w:val="21"/>
              </w:rPr>
              <w:t>去向</w:t>
            </w:r>
          </w:p>
        </w:tc>
      </w:tr>
      <w:tr w:rsidR="00C645C9">
        <w:trPr>
          <w:trHeight w:val="90"/>
          <w:jc w:val="center"/>
        </w:trPr>
        <w:tc>
          <w:tcPr>
            <w:tcW w:w="1350" w:type="pct"/>
            <w:vAlign w:val="center"/>
          </w:tcPr>
          <w:p w:rsidR="00C645C9" w:rsidRDefault="00F955D9">
            <w:pPr>
              <w:pStyle w:val="afa"/>
              <w:rPr>
                <w:szCs w:val="21"/>
              </w:rPr>
            </w:pPr>
            <w:r>
              <w:rPr>
                <w:szCs w:val="21"/>
                <w:lang w:bidi="ar"/>
              </w:rPr>
              <w:t>井场</w:t>
            </w:r>
            <w:r>
              <w:rPr>
                <w:szCs w:val="21"/>
                <w:lang w:bidi="ar"/>
              </w:rPr>
              <w:t>工程</w:t>
            </w:r>
          </w:p>
        </w:tc>
        <w:tc>
          <w:tcPr>
            <w:tcW w:w="608" w:type="pct"/>
            <w:vAlign w:val="center"/>
          </w:tcPr>
          <w:p w:rsidR="00C645C9" w:rsidRDefault="00F955D9">
            <w:pPr>
              <w:pStyle w:val="afa"/>
              <w:rPr>
                <w:szCs w:val="21"/>
              </w:rPr>
            </w:pPr>
            <w:bookmarkStart w:id="831" w:name="OLE_LINK287"/>
            <w:r>
              <w:rPr>
                <w:szCs w:val="21"/>
              </w:rPr>
              <w:t>2.9065</w:t>
            </w:r>
            <w:bookmarkEnd w:id="831"/>
          </w:p>
        </w:tc>
        <w:tc>
          <w:tcPr>
            <w:tcW w:w="608" w:type="pct"/>
            <w:vAlign w:val="center"/>
          </w:tcPr>
          <w:p w:rsidR="00C645C9" w:rsidRDefault="00F955D9">
            <w:pPr>
              <w:overflowPunct w:val="0"/>
              <w:autoSpaceDE w:val="0"/>
              <w:autoSpaceDN w:val="0"/>
              <w:adjustRightInd w:val="0"/>
              <w:snapToGrid w:val="0"/>
              <w:jc w:val="center"/>
              <w:textAlignment w:val="baseline"/>
              <w:rPr>
                <w:rFonts w:cs="Times New Roman"/>
                <w:sz w:val="21"/>
                <w:szCs w:val="21"/>
              </w:rPr>
            </w:pPr>
            <w:r>
              <w:rPr>
                <w:rFonts w:cs="Times New Roman"/>
                <w:sz w:val="21"/>
                <w:szCs w:val="21"/>
              </w:rPr>
              <w:t>2.9065</w:t>
            </w:r>
          </w:p>
        </w:tc>
        <w:tc>
          <w:tcPr>
            <w:tcW w:w="608" w:type="pct"/>
            <w:vAlign w:val="center"/>
          </w:tcPr>
          <w:p w:rsidR="00C645C9" w:rsidRDefault="00F955D9">
            <w:pPr>
              <w:overflowPunct w:val="0"/>
              <w:autoSpaceDE w:val="0"/>
              <w:autoSpaceDN w:val="0"/>
              <w:adjustRightInd w:val="0"/>
              <w:snapToGrid w:val="0"/>
              <w:jc w:val="center"/>
              <w:textAlignment w:val="baseline"/>
              <w:rPr>
                <w:rFonts w:cs="Times New Roman"/>
                <w:sz w:val="21"/>
                <w:szCs w:val="21"/>
                <w:lang w:bidi="ar"/>
              </w:rPr>
            </w:pPr>
            <w:r>
              <w:rPr>
                <w:rFonts w:cs="Times New Roman"/>
                <w:sz w:val="21"/>
                <w:szCs w:val="21"/>
                <w:lang w:bidi="ar"/>
              </w:rPr>
              <w:t>0</w:t>
            </w:r>
          </w:p>
        </w:tc>
        <w:tc>
          <w:tcPr>
            <w:tcW w:w="608" w:type="pct"/>
            <w:vAlign w:val="center"/>
          </w:tcPr>
          <w:p w:rsidR="00C645C9" w:rsidRDefault="00F955D9">
            <w:pPr>
              <w:pStyle w:val="afa"/>
              <w:rPr>
                <w:szCs w:val="21"/>
                <w:lang w:bidi="ar"/>
              </w:rPr>
            </w:pPr>
            <w:r>
              <w:rPr>
                <w:szCs w:val="21"/>
                <w:lang w:bidi="ar"/>
              </w:rPr>
              <w:t>-</w:t>
            </w:r>
          </w:p>
        </w:tc>
        <w:tc>
          <w:tcPr>
            <w:tcW w:w="609" w:type="pct"/>
            <w:vAlign w:val="center"/>
          </w:tcPr>
          <w:p w:rsidR="00C645C9" w:rsidRDefault="00F955D9">
            <w:pPr>
              <w:pStyle w:val="afa"/>
              <w:rPr>
                <w:szCs w:val="21"/>
                <w:lang w:bidi="ar"/>
              </w:rPr>
            </w:pPr>
            <w:bookmarkStart w:id="832" w:name="OLE_LINK289"/>
            <w:r>
              <w:rPr>
                <w:szCs w:val="21"/>
                <w:lang w:bidi="ar"/>
              </w:rPr>
              <w:t>0</w:t>
            </w:r>
            <w:bookmarkEnd w:id="832"/>
          </w:p>
        </w:tc>
        <w:tc>
          <w:tcPr>
            <w:tcW w:w="608" w:type="pct"/>
            <w:vAlign w:val="center"/>
          </w:tcPr>
          <w:p w:rsidR="00C645C9" w:rsidRDefault="00F955D9">
            <w:pPr>
              <w:pStyle w:val="afa"/>
              <w:rPr>
                <w:szCs w:val="21"/>
                <w:lang w:bidi="ar"/>
              </w:rPr>
            </w:pPr>
            <w:r>
              <w:rPr>
                <w:szCs w:val="21"/>
                <w:lang w:bidi="ar"/>
              </w:rPr>
              <w:t>-</w:t>
            </w:r>
          </w:p>
        </w:tc>
      </w:tr>
      <w:bookmarkEnd w:id="828"/>
      <w:tr w:rsidR="00C645C9">
        <w:trPr>
          <w:trHeight w:val="130"/>
          <w:jc w:val="center"/>
        </w:trPr>
        <w:tc>
          <w:tcPr>
            <w:tcW w:w="1350" w:type="pct"/>
            <w:vAlign w:val="center"/>
          </w:tcPr>
          <w:p w:rsidR="00C645C9" w:rsidRDefault="00F955D9">
            <w:pPr>
              <w:pStyle w:val="afa"/>
              <w:rPr>
                <w:szCs w:val="21"/>
              </w:rPr>
            </w:pPr>
            <w:r>
              <w:rPr>
                <w:szCs w:val="21"/>
                <w:lang w:bidi="ar"/>
              </w:rPr>
              <w:t>合计</w:t>
            </w:r>
          </w:p>
        </w:tc>
        <w:tc>
          <w:tcPr>
            <w:tcW w:w="608" w:type="pct"/>
            <w:vAlign w:val="center"/>
          </w:tcPr>
          <w:p w:rsidR="00C645C9" w:rsidRDefault="00F955D9">
            <w:pPr>
              <w:overflowPunct w:val="0"/>
              <w:autoSpaceDE w:val="0"/>
              <w:autoSpaceDN w:val="0"/>
              <w:adjustRightInd w:val="0"/>
              <w:snapToGrid w:val="0"/>
              <w:jc w:val="center"/>
              <w:textAlignment w:val="baseline"/>
              <w:rPr>
                <w:rFonts w:cs="Times New Roman"/>
                <w:sz w:val="21"/>
                <w:szCs w:val="21"/>
              </w:rPr>
            </w:pPr>
            <w:r>
              <w:rPr>
                <w:rFonts w:cs="Times New Roman"/>
                <w:sz w:val="21"/>
                <w:szCs w:val="21"/>
              </w:rPr>
              <w:t>2.9065</w:t>
            </w:r>
          </w:p>
        </w:tc>
        <w:tc>
          <w:tcPr>
            <w:tcW w:w="608" w:type="pct"/>
            <w:vAlign w:val="center"/>
          </w:tcPr>
          <w:p w:rsidR="00C645C9" w:rsidRDefault="00F955D9">
            <w:pPr>
              <w:overflowPunct w:val="0"/>
              <w:autoSpaceDE w:val="0"/>
              <w:autoSpaceDN w:val="0"/>
              <w:adjustRightInd w:val="0"/>
              <w:snapToGrid w:val="0"/>
              <w:jc w:val="center"/>
              <w:textAlignment w:val="baseline"/>
              <w:rPr>
                <w:rFonts w:cs="Times New Roman"/>
                <w:sz w:val="21"/>
                <w:szCs w:val="21"/>
              </w:rPr>
            </w:pPr>
            <w:r>
              <w:rPr>
                <w:rFonts w:cs="Times New Roman"/>
                <w:sz w:val="21"/>
                <w:szCs w:val="21"/>
              </w:rPr>
              <w:t>2.9065</w:t>
            </w:r>
          </w:p>
        </w:tc>
        <w:tc>
          <w:tcPr>
            <w:tcW w:w="608" w:type="pct"/>
            <w:vAlign w:val="center"/>
          </w:tcPr>
          <w:p w:rsidR="00C645C9" w:rsidRDefault="00F955D9">
            <w:pPr>
              <w:overflowPunct w:val="0"/>
              <w:autoSpaceDE w:val="0"/>
              <w:autoSpaceDN w:val="0"/>
              <w:adjustRightInd w:val="0"/>
              <w:snapToGrid w:val="0"/>
              <w:jc w:val="center"/>
              <w:textAlignment w:val="baseline"/>
              <w:rPr>
                <w:rFonts w:cs="Times New Roman"/>
                <w:sz w:val="21"/>
                <w:szCs w:val="21"/>
              </w:rPr>
            </w:pPr>
            <w:r>
              <w:rPr>
                <w:rFonts w:cs="Times New Roman"/>
                <w:sz w:val="21"/>
                <w:szCs w:val="21"/>
                <w:lang w:bidi="ar"/>
              </w:rPr>
              <w:t>0</w:t>
            </w:r>
          </w:p>
        </w:tc>
        <w:tc>
          <w:tcPr>
            <w:tcW w:w="608" w:type="pct"/>
            <w:vAlign w:val="center"/>
          </w:tcPr>
          <w:p w:rsidR="00C645C9" w:rsidRDefault="00F955D9">
            <w:pPr>
              <w:pStyle w:val="afa"/>
              <w:rPr>
                <w:szCs w:val="21"/>
                <w:lang w:bidi="ar"/>
              </w:rPr>
            </w:pPr>
            <w:bookmarkStart w:id="833" w:name="OLE_LINK290"/>
            <w:r>
              <w:rPr>
                <w:szCs w:val="21"/>
                <w:lang w:bidi="ar"/>
              </w:rPr>
              <w:t>-</w:t>
            </w:r>
            <w:bookmarkEnd w:id="833"/>
          </w:p>
        </w:tc>
        <w:tc>
          <w:tcPr>
            <w:tcW w:w="609" w:type="pct"/>
            <w:vAlign w:val="center"/>
          </w:tcPr>
          <w:p w:rsidR="00C645C9" w:rsidRDefault="00F955D9">
            <w:pPr>
              <w:pStyle w:val="afa"/>
              <w:rPr>
                <w:szCs w:val="21"/>
                <w:lang w:bidi="ar"/>
              </w:rPr>
            </w:pPr>
            <w:r>
              <w:rPr>
                <w:szCs w:val="21"/>
                <w:lang w:bidi="ar"/>
              </w:rPr>
              <w:t>0</w:t>
            </w:r>
          </w:p>
        </w:tc>
        <w:tc>
          <w:tcPr>
            <w:tcW w:w="608" w:type="pct"/>
            <w:vAlign w:val="center"/>
          </w:tcPr>
          <w:p w:rsidR="00C645C9" w:rsidRDefault="00F955D9">
            <w:pPr>
              <w:pStyle w:val="afa"/>
              <w:rPr>
                <w:szCs w:val="21"/>
                <w:lang w:bidi="ar"/>
              </w:rPr>
            </w:pPr>
            <w:r>
              <w:rPr>
                <w:szCs w:val="21"/>
                <w:lang w:bidi="ar"/>
              </w:rPr>
              <w:t>-</w:t>
            </w:r>
          </w:p>
        </w:tc>
      </w:tr>
    </w:tbl>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bookmarkStart w:id="834" w:name="OLE_LINK294"/>
      <w:r>
        <w:rPr>
          <w:rFonts w:ascii="Times New Roman" w:hAnsi="Times New Roman" w:cs="Times New Roman"/>
        </w:rPr>
        <w:t>废气污染源</w:t>
      </w:r>
      <w:bookmarkEnd w:id="834"/>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在施工期对环境空气的影响</w:t>
      </w:r>
      <w:r>
        <w:rPr>
          <w:rFonts w:ascii="Times New Roman" w:hAnsi="Times New Roman" w:cs="Times New Roman"/>
        </w:rPr>
        <w:t>包括钻井废气</w:t>
      </w:r>
      <w:r>
        <w:rPr>
          <w:rFonts w:ascii="Times New Roman" w:hAnsi="Times New Roman" w:cs="Times New Roman" w:hint="eastAsia"/>
        </w:rPr>
        <w:t>、</w:t>
      </w:r>
      <w:bookmarkStart w:id="835" w:name="OLE_LINK1183"/>
      <w:r>
        <w:rPr>
          <w:rFonts w:ascii="Times New Roman" w:hAnsi="Times New Roman" w:cs="Times New Roman"/>
        </w:rPr>
        <w:t>施工</w:t>
      </w:r>
      <w:r>
        <w:rPr>
          <w:rFonts w:ascii="Times New Roman" w:hAnsi="Times New Roman" w:cs="Times New Roman"/>
        </w:rPr>
        <w:t>扬尘</w:t>
      </w:r>
      <w:bookmarkEnd w:id="835"/>
      <w:r>
        <w:rPr>
          <w:rFonts w:ascii="Times New Roman" w:hAnsi="Times New Roman" w:cs="Times New Roman"/>
        </w:rPr>
        <w:t>、焊接废气</w:t>
      </w:r>
      <w:r>
        <w:rPr>
          <w:rFonts w:ascii="Times New Roman" w:hAnsi="Times New Roman" w:cs="Times New Roman" w:hint="eastAsia"/>
        </w:rPr>
        <w:t>、</w:t>
      </w:r>
      <w:r>
        <w:rPr>
          <w:rFonts w:ascii="Times New Roman" w:hAnsi="Times New Roman" w:cs="Times New Roman"/>
          <w:szCs w:val="20"/>
        </w:rPr>
        <w:t>施工机械废气</w:t>
      </w:r>
      <w:r>
        <w:rPr>
          <w:rFonts w:cs="Times New Roman" w:hint="eastAsia"/>
          <w:szCs w:val="20"/>
        </w:rPr>
        <w:t>及</w:t>
      </w:r>
      <w:r>
        <w:rPr>
          <w:rFonts w:ascii="Times New Roman" w:hAnsi="Times New Roman" w:cs="Times New Roman"/>
          <w:szCs w:val="20"/>
        </w:rPr>
        <w:t>运输车辆尾气</w:t>
      </w:r>
      <w:r>
        <w:rPr>
          <w:rFonts w:ascii="Times New Roman" w:hAnsi="Times New Roman" w:cs="Times New Roman"/>
        </w:rPr>
        <w:t>。</w:t>
      </w:r>
    </w:p>
    <w:p w:rsidR="00C645C9" w:rsidRDefault="00F955D9" w:rsidP="005718BB">
      <w:pPr>
        <w:pStyle w:val="a6"/>
        <w:ind w:firstLine="480"/>
      </w:pPr>
      <w:bookmarkStart w:id="836" w:name="OLE_LINK1184"/>
      <w:r>
        <w:t>①</w:t>
      </w:r>
      <w:bookmarkStart w:id="837" w:name="OLE_LINK1182"/>
      <w:r>
        <w:t>钻井废气</w:t>
      </w:r>
      <w:bookmarkEnd w:id="837"/>
    </w:p>
    <w:p w:rsidR="00C645C9" w:rsidRDefault="00F955D9" w:rsidP="005718BB">
      <w:pPr>
        <w:pStyle w:val="a6"/>
        <w:ind w:firstLine="480"/>
      </w:pPr>
      <w:r>
        <w:t>本工程钻井期间用电优先由区域现有供电系统提供，柴油发电机作为备用电源。本工程使用环保检验合格的柴油发电机，钻井作业柴油机烟气排放集中在钻井施工期的短暂时段，且平均日排放量不大，加之大气环境影响评价范围内地域辽阔，扩散条件较好，因此柴油发电机组废气不会对周围环境产生明显影响。</w:t>
      </w:r>
    </w:p>
    <w:p w:rsidR="00C645C9" w:rsidRDefault="00F955D9" w:rsidP="005718BB">
      <w:pPr>
        <w:pStyle w:val="a6"/>
        <w:ind w:firstLine="480"/>
      </w:pPr>
      <w:bookmarkStart w:id="838" w:name="OLE_LINK282"/>
      <w:bookmarkEnd w:id="836"/>
      <w:r>
        <w:t>②</w:t>
      </w:r>
      <w:r>
        <w:t>施工</w:t>
      </w:r>
      <w:bookmarkEnd w:id="838"/>
      <w:r>
        <w:t>扬尘</w:t>
      </w:r>
    </w:p>
    <w:p w:rsidR="00C645C9" w:rsidRDefault="00F955D9" w:rsidP="005718BB">
      <w:pPr>
        <w:pStyle w:val="a6"/>
        <w:ind w:firstLine="516"/>
      </w:pPr>
      <w:r>
        <w:rPr>
          <w:spacing w:val="9"/>
        </w:rPr>
        <w:t>施工扬尘主要来自场地平整</w:t>
      </w:r>
      <w:r>
        <w:rPr>
          <w:rFonts w:hint="eastAsia"/>
          <w:spacing w:val="9"/>
        </w:rPr>
        <w:t>和</w:t>
      </w:r>
      <w:r>
        <w:rPr>
          <w:spacing w:val="9"/>
        </w:rPr>
        <w:t>车辆运输过程中产生，井场施工周期较短，且采取洒水抑尘</w:t>
      </w:r>
      <w:r>
        <w:rPr>
          <w:rFonts w:hint="eastAsia"/>
          <w:spacing w:val="9"/>
        </w:rPr>
        <w:t>措施</w:t>
      </w:r>
      <w:r>
        <w:rPr>
          <w:spacing w:val="9"/>
        </w:rPr>
        <w:t>，运输车辆采取减速慢行和苫盖措施，可有效降低扬尘对周围大气环境的不利影响</w:t>
      </w:r>
      <w:r>
        <w:rPr>
          <w:spacing w:val="9"/>
        </w:rPr>
        <w:t>。</w:t>
      </w:r>
    </w:p>
    <w:p w:rsidR="00C645C9" w:rsidRDefault="00F955D9" w:rsidP="005718BB">
      <w:pPr>
        <w:pStyle w:val="a6"/>
        <w:ind w:firstLine="480"/>
      </w:pPr>
      <w:r>
        <w:t>③</w:t>
      </w:r>
      <w:r>
        <w:t>焊接废气</w:t>
      </w:r>
    </w:p>
    <w:p w:rsidR="00C645C9" w:rsidRDefault="00F955D9" w:rsidP="005718BB">
      <w:pPr>
        <w:pStyle w:val="a6"/>
        <w:ind w:firstLine="480"/>
      </w:pPr>
      <w:r>
        <w:t>金属材质管线连接过程中会产生一定量的焊接烟气，污染物主</w:t>
      </w:r>
      <w:r>
        <w:t>要为颗粒物。</w:t>
      </w:r>
      <w:r>
        <w:rPr>
          <w:rFonts w:hint="eastAsia"/>
        </w:rPr>
        <w:t>管线焊接时间一般都较短，从影响范围和程度来看，焊接废气对周围大气环境的影响是有限的。</w:t>
      </w:r>
    </w:p>
    <w:bookmarkStart w:id="839" w:name="OLE_LINK285"/>
    <w:p w:rsidR="00C645C9" w:rsidRDefault="00F955D9" w:rsidP="005718BB">
      <w:pPr>
        <w:pStyle w:val="a6"/>
        <w:ind w:firstLine="480"/>
      </w:pPr>
      <w:r>
        <w:fldChar w:fldCharType="begin"/>
      </w:r>
      <w:r>
        <w:instrText xml:space="preserve"> = 4 \* GB3 \* MERGEFORMAT </w:instrText>
      </w:r>
      <w:r>
        <w:fldChar w:fldCharType="separate"/>
      </w:r>
      <w:r>
        <w:t>④</w:t>
      </w:r>
      <w:r>
        <w:fldChar w:fldCharType="end"/>
      </w:r>
      <w:r>
        <w:t>施工机械废气</w:t>
      </w:r>
      <w:r>
        <w:rPr>
          <w:rFonts w:hint="eastAsia"/>
        </w:rPr>
        <w:t>及</w:t>
      </w:r>
      <w:r>
        <w:t>运输车辆尾气</w:t>
      </w:r>
      <w:bookmarkEnd w:id="839"/>
    </w:p>
    <w:p w:rsidR="00C645C9" w:rsidRDefault="00F955D9" w:rsidP="005718BB">
      <w:pPr>
        <w:pStyle w:val="a6"/>
        <w:ind w:firstLine="480"/>
      </w:pPr>
      <w:r>
        <w:rPr>
          <w:rFonts w:hint="eastAsia"/>
        </w:rPr>
        <w:t>在油气田钻井工程和地面工程施工中使用多种燃油机动设备和运输车辆，</w:t>
      </w:r>
      <w:r>
        <w:t>会产生机械设备和车辆内燃机燃料燃烧废气，其污染物主要有颗粒物、</w:t>
      </w:r>
      <w:r>
        <w:t>SO</w:t>
      </w:r>
      <w:r>
        <w:rPr>
          <w:vertAlign w:val="subscript"/>
        </w:rPr>
        <w:t>2</w:t>
      </w:r>
      <w:r>
        <w:t>、</w:t>
      </w:r>
      <w:r>
        <w:t>NO</w:t>
      </w:r>
      <w:r>
        <w:rPr>
          <w:vertAlign w:val="subscript"/>
        </w:rPr>
        <w:t>X</w:t>
      </w:r>
      <w:r>
        <w:t>等</w:t>
      </w:r>
      <w:r>
        <w:t>。</w:t>
      </w:r>
      <w:r>
        <w:t>施工机械和</w:t>
      </w:r>
      <w:bookmarkStart w:id="840" w:name="OLE_LINK286"/>
      <w:r>
        <w:t>运输</w:t>
      </w:r>
      <w:bookmarkEnd w:id="840"/>
      <w:r>
        <w:t>车辆运行时间一般都较短，从影响范围和程度来看，对周围大气环境的影响是有限的</w:t>
      </w:r>
      <w: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lastRenderedPageBreak/>
        <w:t>（</w:t>
      </w:r>
      <w:r>
        <w:rPr>
          <w:rFonts w:cs="Times New Roman"/>
        </w:rPr>
        <w:t>4</w:t>
      </w:r>
      <w:r>
        <w:rPr>
          <w:rFonts w:cs="Times New Roman"/>
        </w:rPr>
        <w:t>）</w:t>
      </w:r>
      <w:r>
        <w:rPr>
          <w:rFonts w:cs="Times New Roman"/>
        </w:rPr>
        <w:t>噪声污染源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hint="eastAsia"/>
        </w:rPr>
        <w:t>本工程施工期噪声主要包括钻井工程、土方施工、各类施工机械和运输车辆产生的噪声。</w:t>
      </w:r>
      <w:r>
        <w:rPr>
          <w:rFonts w:ascii="Times New Roman" w:hAnsi="Times New Roman" w:cs="Times New Roman"/>
        </w:rPr>
        <w:t>参照《</w:t>
      </w:r>
      <w:bookmarkStart w:id="841" w:name="OLE_LINK291"/>
      <w:r>
        <w:rPr>
          <w:rFonts w:ascii="Times New Roman" w:hAnsi="Times New Roman" w:cs="Times New Roman"/>
        </w:rPr>
        <w:t>环境噪声与振动控制工程技术导则</w:t>
      </w:r>
      <w:bookmarkEnd w:id="841"/>
      <w:r>
        <w:rPr>
          <w:rFonts w:ascii="Times New Roman" w:hAnsi="Times New Roman" w:cs="Times New Roman"/>
        </w:rPr>
        <w:t>》</w:t>
      </w:r>
      <w:r>
        <w:rPr>
          <w:rFonts w:ascii="Times New Roman" w:hAnsi="Times New Roman" w:cs="Times New Roman"/>
        </w:rPr>
        <w:t>（</w:t>
      </w:r>
      <w:r>
        <w:rPr>
          <w:rFonts w:ascii="Times New Roman" w:hAnsi="Times New Roman" w:cs="Times New Roman"/>
        </w:rPr>
        <w:t>HJ 2034-2013</w:t>
      </w:r>
      <w:r>
        <w:rPr>
          <w:rFonts w:ascii="Times New Roman" w:hAnsi="Times New Roman" w:cs="Times New Roman"/>
        </w:rPr>
        <w:t>）</w:t>
      </w:r>
      <w:r>
        <w:rPr>
          <w:rFonts w:ascii="Times New Roman" w:hAnsi="Times New Roman" w:cs="Times New Roman"/>
        </w:rPr>
        <w:t>中表</w:t>
      </w:r>
      <w:r>
        <w:rPr>
          <w:rFonts w:ascii="Times New Roman" w:hAnsi="Times New Roman" w:cs="Times New Roman"/>
        </w:rPr>
        <w:t>A.2</w:t>
      </w:r>
      <w:r>
        <w:rPr>
          <w:rFonts w:ascii="Times New Roman" w:hAnsi="Times New Roman" w:cs="Times New Roman"/>
        </w:rPr>
        <w:t>和类比油田开发工程中井场</w:t>
      </w:r>
      <w:r>
        <w:rPr>
          <w:rFonts w:ascii="Times New Roman" w:hAnsi="Times New Roman" w:cs="Times New Roman" w:hint="eastAsia"/>
        </w:rPr>
        <w:t>和</w:t>
      </w:r>
      <w:r>
        <w:rPr>
          <w:rFonts w:ascii="Times New Roman" w:hAnsi="Times New Roman" w:cs="Times New Roman"/>
        </w:rPr>
        <w:t>管线铺设实际情况，</w:t>
      </w:r>
      <w:r>
        <w:rPr>
          <w:rFonts w:ascii="Times New Roman" w:hAnsi="Times New Roman" w:cs="Times New Roman" w:hint="eastAsia"/>
        </w:rPr>
        <w:t>本工程</w:t>
      </w:r>
      <w:r>
        <w:rPr>
          <w:rFonts w:ascii="Times New Roman" w:hAnsi="Times New Roman" w:cs="Times New Roman"/>
        </w:rPr>
        <w:t>施工期拟采用的各类施工设备产噪值见表</w:t>
      </w:r>
      <w:r>
        <w:rPr>
          <w:rFonts w:ascii="Times New Roman" w:hAnsi="Times New Roman" w:cs="Times New Roman"/>
        </w:rPr>
        <w:t>3.</w:t>
      </w:r>
      <w:r>
        <w:rPr>
          <w:rFonts w:ascii="Times New Roman" w:hAnsi="Times New Roman" w:cs="Times New Roman" w:hint="eastAsia"/>
        </w:rPr>
        <w:t>3-4</w:t>
      </w:r>
      <w:r>
        <w:rPr>
          <w:rFonts w:ascii="Times New Roman" w:hAnsi="Times New Roman" w:cs="Times New Roman"/>
        </w:rPr>
        <w:t>。</w:t>
      </w:r>
    </w:p>
    <w:p w:rsidR="00C645C9" w:rsidRDefault="00F955D9">
      <w:pPr>
        <w:widowControl w:val="0"/>
        <w:jc w:val="center"/>
        <w:rPr>
          <w:rFonts w:eastAsia="黑体" w:cs="Times New Roman"/>
          <w:sz w:val="21"/>
          <w:szCs w:val="21"/>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 xml:space="preserve">3-4   </w:t>
      </w:r>
      <w:r>
        <w:rPr>
          <w:rFonts w:eastAsia="黑体" w:cs="Times New Roman"/>
          <w:sz w:val="21"/>
          <w:szCs w:val="21"/>
        </w:rPr>
        <w:t>主要施工设备噪声源不同距离声压级</w:t>
      </w:r>
      <w:r>
        <w:rPr>
          <w:rFonts w:eastAsia="黑体" w:cs="Times New Roman" w:hint="eastAsia"/>
          <w:sz w:val="21"/>
          <w:szCs w:val="21"/>
        </w:rPr>
        <w:t xml:space="preserve">   </w:t>
      </w:r>
      <w:r>
        <w:rPr>
          <w:rFonts w:eastAsia="黑体" w:cs="Times New Roman"/>
          <w:sz w:val="21"/>
          <w:szCs w:val="21"/>
        </w:rPr>
        <w:t>单位：</w:t>
      </w:r>
      <w:r>
        <w:rPr>
          <w:rFonts w:eastAsia="黑体" w:cs="Times New Roman"/>
          <w:sz w:val="21"/>
          <w:szCs w:val="21"/>
        </w:rPr>
        <w:t>dB</w:t>
      </w:r>
      <w:r>
        <w:rPr>
          <w:rFonts w:eastAsia="黑体" w:cs="Times New Roman"/>
          <w:sz w:val="21"/>
          <w:szCs w:val="21"/>
        </w:rPr>
        <w:t>（</w:t>
      </w:r>
      <w:r>
        <w:rPr>
          <w:rFonts w:eastAsia="黑体" w:cs="Times New Roman"/>
          <w:sz w:val="21"/>
          <w:szCs w:val="21"/>
        </w:rPr>
        <w:t>A</w:t>
      </w:r>
      <w:r>
        <w:rPr>
          <w:rFonts w:eastAsia="黑体" w:cs="Times New Roman"/>
          <w:sz w:val="21"/>
          <w:szCs w:val="21"/>
        </w:rPr>
        <w:t>）</w:t>
      </w:r>
      <w:r>
        <w:rPr>
          <w:rFonts w:eastAsia="黑体" w:cs="Times New Roman"/>
          <w:sz w:val="21"/>
          <w:szCs w:val="21"/>
        </w:rPr>
        <w:t>/m</w:t>
      </w:r>
    </w:p>
    <w:tbl>
      <w:tblPr>
        <w:tblStyle w:val="af3"/>
        <w:tblW w:w="8650" w:type="dxa"/>
        <w:tblInd w:w="-1" w:type="dxa"/>
        <w:tblLook w:val="04A0" w:firstRow="1" w:lastRow="0" w:firstColumn="1" w:lastColumn="0" w:noHBand="0" w:noVBand="1"/>
      </w:tblPr>
      <w:tblGrid>
        <w:gridCol w:w="1325"/>
        <w:gridCol w:w="3662"/>
        <w:gridCol w:w="3663"/>
      </w:tblGrid>
      <w:tr w:rsidR="00C645C9">
        <w:trPr>
          <w:trHeight w:val="232"/>
        </w:trPr>
        <w:tc>
          <w:tcPr>
            <w:tcW w:w="1325" w:type="dxa"/>
            <w:vAlign w:val="center"/>
          </w:tcPr>
          <w:p w:rsidR="00C645C9" w:rsidRDefault="00F955D9">
            <w:pPr>
              <w:pStyle w:val="af9"/>
              <w:adjustRightInd w:val="0"/>
              <w:snapToGrid w:val="0"/>
              <w:spacing w:line="240" w:lineRule="auto"/>
              <w:rPr>
                <w:b w:val="0"/>
                <w:bCs/>
              </w:rPr>
            </w:pPr>
            <w:bookmarkStart w:id="842" w:name="_Toc180591660"/>
            <w:r>
              <w:rPr>
                <w:rFonts w:hint="eastAsia"/>
                <w:b w:val="0"/>
                <w:bCs/>
              </w:rPr>
              <w:t>序号</w:t>
            </w:r>
            <w:bookmarkEnd w:id="842"/>
          </w:p>
        </w:tc>
        <w:tc>
          <w:tcPr>
            <w:tcW w:w="3662" w:type="dxa"/>
            <w:vAlign w:val="center"/>
          </w:tcPr>
          <w:p w:rsidR="00C645C9" w:rsidRDefault="00F955D9">
            <w:pPr>
              <w:pStyle w:val="af9"/>
              <w:adjustRightInd w:val="0"/>
              <w:snapToGrid w:val="0"/>
              <w:spacing w:line="240" w:lineRule="auto"/>
              <w:rPr>
                <w:b w:val="0"/>
                <w:bCs/>
              </w:rPr>
            </w:pPr>
            <w:bookmarkStart w:id="843" w:name="_Toc180591661"/>
            <w:r>
              <w:rPr>
                <w:rFonts w:hint="eastAsia"/>
                <w:b w:val="0"/>
                <w:bCs/>
              </w:rPr>
              <w:t>设备名称</w:t>
            </w:r>
            <w:bookmarkEnd w:id="843"/>
          </w:p>
        </w:tc>
        <w:tc>
          <w:tcPr>
            <w:tcW w:w="3663" w:type="dxa"/>
            <w:vAlign w:val="center"/>
          </w:tcPr>
          <w:p w:rsidR="00C645C9" w:rsidRDefault="00F955D9">
            <w:pPr>
              <w:pStyle w:val="af9"/>
              <w:adjustRightInd w:val="0"/>
              <w:snapToGrid w:val="0"/>
              <w:spacing w:line="240" w:lineRule="auto"/>
              <w:rPr>
                <w:b w:val="0"/>
                <w:bCs/>
              </w:rPr>
            </w:pPr>
            <w:bookmarkStart w:id="844" w:name="_Toc180591662"/>
            <w:r>
              <w:rPr>
                <w:b w:val="0"/>
                <w:bCs/>
                <w:lang w:bidi="ar"/>
              </w:rPr>
              <w:t>噪声值</w:t>
            </w:r>
            <w:r>
              <w:rPr>
                <w:b w:val="0"/>
                <w:bCs/>
                <w:lang w:bidi="ar"/>
              </w:rPr>
              <w:t>/</w:t>
            </w:r>
            <w:r>
              <w:rPr>
                <w:b w:val="0"/>
                <w:bCs/>
                <w:lang w:bidi="ar"/>
              </w:rPr>
              <w:t>距离</w:t>
            </w:r>
            <w:bookmarkEnd w:id="844"/>
          </w:p>
        </w:tc>
      </w:tr>
      <w:tr w:rsidR="00C645C9">
        <w:tc>
          <w:tcPr>
            <w:tcW w:w="1325" w:type="dxa"/>
            <w:vAlign w:val="center"/>
          </w:tcPr>
          <w:p w:rsidR="00C645C9" w:rsidRDefault="00F955D9">
            <w:pPr>
              <w:pStyle w:val="afb"/>
              <w:adjustRightInd w:val="0"/>
              <w:snapToGrid w:val="0"/>
              <w:spacing w:line="240" w:lineRule="auto"/>
              <w:rPr>
                <w:szCs w:val="21"/>
                <w:lang w:bidi="ar"/>
              </w:rPr>
            </w:pPr>
            <w:r>
              <w:rPr>
                <w:szCs w:val="21"/>
                <w:lang w:bidi="ar"/>
              </w:rPr>
              <w:t>1</w:t>
            </w:r>
          </w:p>
        </w:tc>
        <w:tc>
          <w:tcPr>
            <w:tcW w:w="3662" w:type="dxa"/>
            <w:vAlign w:val="center"/>
          </w:tcPr>
          <w:p w:rsidR="00C645C9" w:rsidRDefault="00F955D9">
            <w:pPr>
              <w:pStyle w:val="afb"/>
              <w:adjustRightInd w:val="0"/>
              <w:snapToGrid w:val="0"/>
              <w:spacing w:line="240" w:lineRule="auto"/>
              <w:rPr>
                <w:szCs w:val="21"/>
                <w:lang w:bidi="ar"/>
              </w:rPr>
            </w:pPr>
            <w:r>
              <w:rPr>
                <w:szCs w:val="21"/>
                <w:lang w:bidi="ar"/>
              </w:rPr>
              <w:t>装载机</w:t>
            </w:r>
          </w:p>
        </w:tc>
        <w:tc>
          <w:tcPr>
            <w:tcW w:w="3663" w:type="dxa"/>
            <w:vAlign w:val="center"/>
          </w:tcPr>
          <w:p w:rsidR="00C645C9" w:rsidRDefault="00F955D9">
            <w:pPr>
              <w:pStyle w:val="afb"/>
              <w:adjustRightInd w:val="0"/>
              <w:snapToGrid w:val="0"/>
              <w:spacing w:line="240" w:lineRule="auto"/>
              <w:rPr>
                <w:szCs w:val="21"/>
                <w:lang w:bidi="ar"/>
              </w:rPr>
            </w:pPr>
            <w:r>
              <w:rPr>
                <w:rFonts w:hint="eastAsia"/>
                <w:szCs w:val="21"/>
                <w:lang w:bidi="ar"/>
              </w:rPr>
              <w:t>90</w:t>
            </w:r>
            <w:r>
              <w:rPr>
                <w:szCs w:val="21"/>
                <w:lang w:bidi="ar"/>
              </w:rPr>
              <w:t>/5</w:t>
            </w:r>
          </w:p>
        </w:tc>
      </w:tr>
      <w:tr w:rsidR="00C645C9">
        <w:tc>
          <w:tcPr>
            <w:tcW w:w="1325" w:type="dxa"/>
            <w:vAlign w:val="center"/>
          </w:tcPr>
          <w:p w:rsidR="00C645C9" w:rsidRDefault="00F955D9">
            <w:pPr>
              <w:pStyle w:val="afb"/>
              <w:adjustRightInd w:val="0"/>
              <w:snapToGrid w:val="0"/>
              <w:spacing w:line="240" w:lineRule="auto"/>
              <w:rPr>
                <w:szCs w:val="21"/>
                <w:lang w:bidi="ar"/>
              </w:rPr>
            </w:pPr>
            <w:r>
              <w:rPr>
                <w:szCs w:val="21"/>
                <w:lang w:bidi="ar"/>
              </w:rPr>
              <w:t>2</w:t>
            </w:r>
          </w:p>
        </w:tc>
        <w:tc>
          <w:tcPr>
            <w:tcW w:w="3662" w:type="dxa"/>
            <w:vAlign w:val="center"/>
          </w:tcPr>
          <w:p w:rsidR="00C645C9" w:rsidRDefault="00F955D9">
            <w:pPr>
              <w:pStyle w:val="afb"/>
              <w:adjustRightInd w:val="0"/>
              <w:snapToGrid w:val="0"/>
              <w:spacing w:line="240" w:lineRule="auto"/>
              <w:rPr>
                <w:szCs w:val="21"/>
                <w:lang w:bidi="ar"/>
              </w:rPr>
            </w:pPr>
            <w:r>
              <w:rPr>
                <w:szCs w:val="21"/>
                <w:lang w:bidi="ar"/>
              </w:rPr>
              <w:t>挖掘机</w:t>
            </w:r>
          </w:p>
        </w:tc>
        <w:tc>
          <w:tcPr>
            <w:tcW w:w="3663" w:type="dxa"/>
            <w:vAlign w:val="center"/>
          </w:tcPr>
          <w:p w:rsidR="00C645C9" w:rsidRDefault="00F955D9">
            <w:pPr>
              <w:pStyle w:val="afb"/>
              <w:adjustRightInd w:val="0"/>
              <w:snapToGrid w:val="0"/>
              <w:spacing w:line="240" w:lineRule="auto"/>
              <w:rPr>
                <w:szCs w:val="21"/>
                <w:lang w:bidi="ar"/>
              </w:rPr>
            </w:pPr>
            <w:r>
              <w:rPr>
                <w:rFonts w:hint="eastAsia"/>
                <w:szCs w:val="21"/>
                <w:lang w:bidi="ar"/>
              </w:rPr>
              <w:t>80</w:t>
            </w:r>
            <w:r>
              <w:rPr>
                <w:szCs w:val="21"/>
                <w:lang w:bidi="ar"/>
              </w:rPr>
              <w:t>/5</w:t>
            </w:r>
          </w:p>
        </w:tc>
      </w:tr>
      <w:tr w:rsidR="00C645C9">
        <w:tc>
          <w:tcPr>
            <w:tcW w:w="1325" w:type="dxa"/>
            <w:vAlign w:val="center"/>
          </w:tcPr>
          <w:p w:rsidR="00C645C9" w:rsidRDefault="00F955D9">
            <w:pPr>
              <w:pStyle w:val="afb"/>
              <w:adjustRightInd w:val="0"/>
              <w:snapToGrid w:val="0"/>
              <w:spacing w:line="240" w:lineRule="auto"/>
              <w:rPr>
                <w:szCs w:val="21"/>
                <w:lang w:bidi="ar"/>
              </w:rPr>
            </w:pPr>
            <w:r>
              <w:rPr>
                <w:szCs w:val="21"/>
                <w:lang w:bidi="ar"/>
              </w:rPr>
              <w:t>3</w:t>
            </w:r>
          </w:p>
        </w:tc>
        <w:tc>
          <w:tcPr>
            <w:tcW w:w="3662" w:type="dxa"/>
            <w:vAlign w:val="center"/>
          </w:tcPr>
          <w:p w:rsidR="00C645C9" w:rsidRDefault="00F955D9">
            <w:pPr>
              <w:pStyle w:val="afb"/>
              <w:adjustRightInd w:val="0"/>
              <w:snapToGrid w:val="0"/>
              <w:spacing w:line="240" w:lineRule="auto"/>
              <w:rPr>
                <w:szCs w:val="21"/>
                <w:lang w:bidi="ar"/>
              </w:rPr>
            </w:pPr>
            <w:r>
              <w:rPr>
                <w:szCs w:val="21"/>
                <w:lang w:bidi="ar"/>
              </w:rPr>
              <w:t>运输车辆</w:t>
            </w:r>
          </w:p>
        </w:tc>
        <w:tc>
          <w:tcPr>
            <w:tcW w:w="3663" w:type="dxa"/>
            <w:vAlign w:val="center"/>
          </w:tcPr>
          <w:p w:rsidR="00C645C9" w:rsidRDefault="00F955D9">
            <w:pPr>
              <w:pStyle w:val="afb"/>
              <w:adjustRightInd w:val="0"/>
              <w:snapToGrid w:val="0"/>
              <w:spacing w:line="240" w:lineRule="auto"/>
              <w:rPr>
                <w:szCs w:val="21"/>
                <w:lang w:bidi="ar"/>
              </w:rPr>
            </w:pPr>
            <w:r>
              <w:rPr>
                <w:rFonts w:hint="eastAsia"/>
                <w:szCs w:val="21"/>
                <w:lang w:bidi="ar"/>
              </w:rPr>
              <w:t>82</w:t>
            </w:r>
            <w:r>
              <w:rPr>
                <w:szCs w:val="21"/>
                <w:lang w:bidi="ar"/>
              </w:rPr>
              <w:t>/5</w:t>
            </w:r>
          </w:p>
        </w:tc>
      </w:tr>
      <w:tr w:rsidR="00C645C9">
        <w:tc>
          <w:tcPr>
            <w:tcW w:w="1325" w:type="dxa"/>
            <w:vAlign w:val="center"/>
          </w:tcPr>
          <w:p w:rsidR="00C645C9" w:rsidRDefault="00F955D9">
            <w:pPr>
              <w:pStyle w:val="afb"/>
              <w:adjustRightInd w:val="0"/>
              <w:snapToGrid w:val="0"/>
              <w:spacing w:line="240" w:lineRule="auto"/>
              <w:rPr>
                <w:szCs w:val="21"/>
                <w:lang w:bidi="ar"/>
              </w:rPr>
            </w:pPr>
            <w:r>
              <w:rPr>
                <w:szCs w:val="21"/>
                <w:lang w:bidi="ar"/>
              </w:rPr>
              <w:t>4</w:t>
            </w:r>
          </w:p>
        </w:tc>
        <w:tc>
          <w:tcPr>
            <w:tcW w:w="3662" w:type="dxa"/>
            <w:vAlign w:val="center"/>
          </w:tcPr>
          <w:p w:rsidR="00C645C9" w:rsidRDefault="00F955D9">
            <w:pPr>
              <w:pStyle w:val="afb"/>
              <w:adjustRightInd w:val="0"/>
              <w:snapToGrid w:val="0"/>
              <w:spacing w:line="240" w:lineRule="auto"/>
              <w:rPr>
                <w:szCs w:val="21"/>
                <w:lang w:bidi="ar"/>
              </w:rPr>
            </w:pPr>
            <w:r>
              <w:rPr>
                <w:szCs w:val="21"/>
                <w:lang w:bidi="ar"/>
              </w:rPr>
              <w:t>压路机</w:t>
            </w:r>
          </w:p>
        </w:tc>
        <w:tc>
          <w:tcPr>
            <w:tcW w:w="3663" w:type="dxa"/>
            <w:vAlign w:val="center"/>
          </w:tcPr>
          <w:p w:rsidR="00C645C9" w:rsidRDefault="00F955D9">
            <w:pPr>
              <w:pStyle w:val="afb"/>
              <w:adjustRightInd w:val="0"/>
              <w:snapToGrid w:val="0"/>
              <w:spacing w:line="240" w:lineRule="auto"/>
              <w:rPr>
                <w:szCs w:val="21"/>
                <w:lang w:bidi="ar"/>
              </w:rPr>
            </w:pPr>
            <w:r>
              <w:rPr>
                <w:rFonts w:hint="eastAsia"/>
                <w:szCs w:val="21"/>
                <w:lang w:bidi="ar"/>
              </w:rPr>
              <w:t>8</w:t>
            </w:r>
            <w:r>
              <w:rPr>
                <w:szCs w:val="21"/>
                <w:lang w:bidi="ar"/>
              </w:rPr>
              <w:t>0/5</w:t>
            </w:r>
          </w:p>
        </w:tc>
      </w:tr>
      <w:tr w:rsidR="00C645C9">
        <w:tc>
          <w:tcPr>
            <w:tcW w:w="1325" w:type="dxa"/>
            <w:vAlign w:val="center"/>
          </w:tcPr>
          <w:p w:rsidR="00C645C9" w:rsidRDefault="00F955D9">
            <w:pPr>
              <w:pStyle w:val="afb"/>
              <w:adjustRightInd w:val="0"/>
              <w:snapToGrid w:val="0"/>
              <w:spacing w:line="240" w:lineRule="auto"/>
              <w:rPr>
                <w:szCs w:val="21"/>
                <w:lang w:bidi="ar"/>
              </w:rPr>
            </w:pPr>
            <w:r>
              <w:rPr>
                <w:szCs w:val="21"/>
                <w:lang w:bidi="ar"/>
              </w:rPr>
              <w:t>5</w:t>
            </w:r>
          </w:p>
        </w:tc>
        <w:tc>
          <w:tcPr>
            <w:tcW w:w="3662" w:type="dxa"/>
            <w:vAlign w:val="center"/>
          </w:tcPr>
          <w:p w:rsidR="00C645C9" w:rsidRDefault="00F955D9">
            <w:pPr>
              <w:pStyle w:val="afb"/>
              <w:adjustRightInd w:val="0"/>
              <w:snapToGrid w:val="0"/>
              <w:spacing w:line="240" w:lineRule="auto"/>
              <w:rPr>
                <w:szCs w:val="21"/>
                <w:lang w:bidi="ar"/>
              </w:rPr>
            </w:pPr>
            <w:r>
              <w:rPr>
                <w:rFonts w:hint="eastAsia"/>
                <w:szCs w:val="21"/>
                <w:lang w:bidi="ar"/>
              </w:rPr>
              <w:t>推土机</w:t>
            </w:r>
          </w:p>
        </w:tc>
        <w:tc>
          <w:tcPr>
            <w:tcW w:w="3663" w:type="dxa"/>
            <w:vAlign w:val="center"/>
          </w:tcPr>
          <w:p w:rsidR="00C645C9" w:rsidRDefault="00F955D9">
            <w:pPr>
              <w:pStyle w:val="afb"/>
              <w:adjustRightInd w:val="0"/>
              <w:snapToGrid w:val="0"/>
              <w:spacing w:line="240" w:lineRule="auto"/>
              <w:rPr>
                <w:szCs w:val="21"/>
                <w:lang w:bidi="ar"/>
              </w:rPr>
            </w:pPr>
            <w:r>
              <w:rPr>
                <w:rFonts w:hint="eastAsia"/>
                <w:szCs w:val="21"/>
                <w:lang w:bidi="ar"/>
              </w:rPr>
              <w:t>83</w:t>
            </w:r>
            <w:r>
              <w:rPr>
                <w:szCs w:val="21"/>
                <w:lang w:bidi="ar"/>
              </w:rPr>
              <w:t>/5</w:t>
            </w:r>
          </w:p>
        </w:tc>
      </w:tr>
    </w:tbl>
    <w:bookmarkEnd w:id="781"/>
    <w:p w:rsidR="00C645C9" w:rsidRDefault="00F955D9">
      <w:pPr>
        <w:pStyle w:val="a5"/>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）施工期</w:t>
      </w:r>
      <w:r>
        <w:rPr>
          <w:rFonts w:ascii="Times New Roman" w:hAnsi="Times New Roman" w:cs="Times New Roman"/>
        </w:rPr>
        <w:t>污染物排放汇总表</w:t>
      </w:r>
    </w:p>
    <w:p w:rsidR="00C645C9" w:rsidRDefault="00F955D9">
      <w:pPr>
        <w:pStyle w:val="a5"/>
        <w:ind w:firstLineChars="200" w:firstLine="480"/>
        <w:rPr>
          <w:rFonts w:ascii="Times New Roman" w:hAnsi="Times New Roman" w:cs="Times New Roman"/>
        </w:rPr>
      </w:pPr>
      <w:r>
        <w:rPr>
          <w:rFonts w:ascii="Times New Roman" w:hAnsi="Times New Roman" w:cs="Times New Roman"/>
        </w:rPr>
        <w:t>施工期</w:t>
      </w:r>
      <w:r>
        <w:rPr>
          <w:rFonts w:ascii="Times New Roman" w:hAnsi="Times New Roman" w:cs="Times New Roman"/>
        </w:rPr>
        <w:t>污染物排放汇总见表</w:t>
      </w:r>
      <w:r>
        <w:rPr>
          <w:rFonts w:ascii="Times New Roman" w:hAnsi="Times New Roman" w:cs="Times New Roman"/>
        </w:rPr>
        <w:t>3.</w:t>
      </w:r>
      <w:r>
        <w:rPr>
          <w:rFonts w:ascii="Times New Roman" w:hAnsi="Times New Roman" w:cs="Times New Roman" w:hint="eastAsia"/>
        </w:rPr>
        <w:t>3-5</w:t>
      </w:r>
      <w:r>
        <w:rPr>
          <w:rFonts w:ascii="Times New Roman" w:hAnsi="Times New Roman" w:cs="Times New Roman"/>
        </w:rPr>
        <w:t>。</w:t>
      </w:r>
    </w:p>
    <w:p w:rsidR="00C645C9" w:rsidRDefault="00F955D9" w:rsidP="005718BB">
      <w:pPr>
        <w:pStyle w:val="a6"/>
        <w:adjustRightInd w:val="0"/>
        <w:snapToGrid w:val="0"/>
        <w:spacing w:line="240" w:lineRule="auto"/>
        <w:ind w:firstLine="420"/>
        <w:jc w:val="center"/>
      </w:pPr>
      <w:r>
        <w:rPr>
          <w:rFonts w:eastAsia="黑体"/>
          <w:sz w:val="21"/>
          <w:szCs w:val="21"/>
          <w:lang w:bidi="ar"/>
        </w:rPr>
        <w:t>表</w:t>
      </w:r>
      <w:r>
        <w:rPr>
          <w:rFonts w:eastAsia="黑体"/>
          <w:sz w:val="21"/>
          <w:szCs w:val="21"/>
          <w:lang w:bidi="ar"/>
        </w:rPr>
        <w:t>3.</w:t>
      </w:r>
      <w:r>
        <w:rPr>
          <w:rFonts w:eastAsia="黑体" w:hint="eastAsia"/>
          <w:sz w:val="21"/>
          <w:szCs w:val="21"/>
          <w:lang w:bidi="ar"/>
        </w:rPr>
        <w:t>3-5</w:t>
      </w:r>
      <w:r>
        <w:rPr>
          <w:rFonts w:eastAsia="黑体"/>
          <w:sz w:val="21"/>
          <w:szCs w:val="21"/>
          <w:lang w:bidi="ar"/>
        </w:rPr>
        <w:t xml:space="preserve">   </w:t>
      </w:r>
      <w:r>
        <w:rPr>
          <w:rFonts w:eastAsia="黑体"/>
          <w:sz w:val="21"/>
          <w:szCs w:val="21"/>
          <w:lang w:bidi="ar"/>
        </w:rPr>
        <w:t>施工期污染物排放汇总</w:t>
      </w:r>
    </w:p>
    <w:tbl>
      <w:tblPr>
        <w:tblW w:w="8684" w:type="dxa"/>
        <w:jc w:val="center"/>
        <w:tblLayout w:type="fixed"/>
        <w:tblLook w:val="04A0" w:firstRow="1" w:lastRow="0" w:firstColumn="1" w:lastColumn="0" w:noHBand="0" w:noVBand="1"/>
      </w:tblPr>
      <w:tblGrid>
        <w:gridCol w:w="903"/>
        <w:gridCol w:w="459"/>
        <w:gridCol w:w="1611"/>
        <w:gridCol w:w="1040"/>
        <w:gridCol w:w="1370"/>
        <w:gridCol w:w="3301"/>
      </w:tblGrid>
      <w:tr w:rsidR="00C645C9">
        <w:trPr>
          <w:trHeight w:val="312"/>
          <w:jc w:val="center"/>
        </w:trPr>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项</w:t>
            </w:r>
            <w:r>
              <w:rPr>
                <w:rFonts w:cs="Times New Roman"/>
                <w:sz w:val="21"/>
                <w:szCs w:val="21"/>
                <w:lang w:bidi="ar"/>
              </w:rPr>
              <w:t xml:space="preserve"> </w:t>
            </w:r>
            <w:r>
              <w:rPr>
                <w:rFonts w:cs="Times New Roman"/>
                <w:sz w:val="21"/>
                <w:szCs w:val="21"/>
                <w:lang w:bidi="ar"/>
              </w:rPr>
              <w:t>目</w:t>
            </w:r>
          </w:p>
        </w:tc>
        <w:tc>
          <w:tcPr>
            <w:tcW w:w="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工程</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污染源</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主要污染物排放量</w:t>
            </w:r>
          </w:p>
        </w:tc>
        <w:tc>
          <w:tcPr>
            <w:tcW w:w="3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排放去向</w:t>
            </w:r>
          </w:p>
        </w:tc>
      </w:tr>
      <w:tr w:rsidR="00C645C9">
        <w:trPr>
          <w:trHeight w:val="90"/>
          <w:jc w:val="center"/>
        </w:trPr>
        <w:tc>
          <w:tcPr>
            <w:tcW w:w="90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废</w:t>
            </w:r>
            <w:r>
              <w:rPr>
                <w:rFonts w:cs="Times New Roman" w:hint="eastAsia"/>
                <w:sz w:val="21"/>
                <w:szCs w:val="21"/>
                <w:lang w:bidi="ar"/>
              </w:rPr>
              <w:t>水</w:t>
            </w:r>
            <w:r>
              <w:rPr>
                <w:rFonts w:cs="Times New Roman"/>
                <w:sz w:val="21"/>
                <w:szCs w:val="21"/>
                <w:lang w:bidi="ar"/>
              </w:rPr>
              <w:t>污染源</w:t>
            </w:r>
          </w:p>
        </w:tc>
        <w:tc>
          <w:tcPr>
            <w:tcW w:w="459" w:type="dxa"/>
            <w:vMerge w:val="restart"/>
            <w:tcBorders>
              <w:top w:val="single" w:sz="4" w:space="0" w:color="auto"/>
              <w:left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井场</w:t>
            </w:r>
          </w:p>
        </w:tc>
        <w:tc>
          <w:tcPr>
            <w:tcW w:w="161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生活污水</w:t>
            </w:r>
          </w:p>
        </w:tc>
        <w:tc>
          <w:tcPr>
            <w:tcW w:w="104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lang w:bidi="ar"/>
              </w:rPr>
              <w:t>COD</w:t>
            </w:r>
            <w:r>
              <w:rPr>
                <w:rFonts w:cs="Times New Roman"/>
                <w:sz w:val="21"/>
                <w:szCs w:val="21"/>
                <w:lang w:bidi="ar"/>
              </w:rPr>
              <w:t>、</w:t>
            </w:r>
            <w:r>
              <w:rPr>
                <w:rFonts w:cs="Times New Roman" w:hint="eastAsia"/>
                <w:sz w:val="21"/>
                <w:szCs w:val="21"/>
                <w:lang w:bidi="en-US"/>
              </w:rPr>
              <w:t>BOD</w:t>
            </w:r>
            <w:r>
              <w:rPr>
                <w:rFonts w:cs="Times New Roman" w:hint="eastAsia"/>
                <w:sz w:val="21"/>
                <w:szCs w:val="21"/>
                <w:vertAlign w:val="subscript"/>
                <w:lang w:bidi="en-US"/>
              </w:rPr>
              <w:t>5</w:t>
            </w:r>
            <w:r>
              <w:rPr>
                <w:rFonts w:cs="Times New Roman" w:hint="eastAsia"/>
                <w:sz w:val="21"/>
                <w:szCs w:val="21"/>
                <w:lang w:bidi="en-US"/>
              </w:rPr>
              <w:t>、氨氮等</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hint="eastAsia"/>
                <w:sz w:val="21"/>
                <w:szCs w:val="21"/>
                <w:lang w:bidi="ar"/>
              </w:rPr>
              <w:t>216</w:t>
            </w:r>
            <w:r>
              <w:rPr>
                <w:rFonts w:cs="Times New Roman"/>
                <w:sz w:val="21"/>
                <w:szCs w:val="21"/>
                <w:lang w:bidi="ar"/>
              </w:rPr>
              <w:t>m</w:t>
            </w:r>
            <w:r>
              <w:rPr>
                <w:rFonts w:cs="Times New Roman"/>
                <w:sz w:val="21"/>
                <w:szCs w:val="21"/>
                <w:vertAlign w:val="superscript"/>
                <w:lang w:bidi="ar"/>
              </w:rPr>
              <w:t>3</w:t>
            </w:r>
          </w:p>
        </w:tc>
        <w:tc>
          <w:tcPr>
            <w:tcW w:w="330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both"/>
              <w:textAlignment w:val="center"/>
              <w:rPr>
                <w:rFonts w:cs="Times New Roman"/>
                <w:sz w:val="21"/>
                <w:szCs w:val="21"/>
              </w:rPr>
            </w:pPr>
            <w:r>
              <w:rPr>
                <w:rFonts w:cs="Times New Roman"/>
                <w:sz w:val="21"/>
                <w:szCs w:val="21"/>
              </w:rPr>
              <w:t>生活污水经井场一体化污水处理装置处理后，水质达到《农村生活污水处理排放标准》（</w:t>
            </w:r>
            <w:r>
              <w:rPr>
                <w:rFonts w:cs="Times New Roman"/>
                <w:sz w:val="21"/>
                <w:szCs w:val="21"/>
              </w:rPr>
              <w:t>DB65 4275-2019</w:t>
            </w:r>
            <w:r>
              <w:rPr>
                <w:rFonts w:cs="Times New Roman"/>
                <w:sz w:val="21"/>
                <w:szCs w:val="21"/>
              </w:rPr>
              <w:t>）表二的</w:t>
            </w:r>
            <w:r>
              <w:rPr>
                <w:rFonts w:cs="Times New Roman"/>
                <w:sz w:val="21"/>
                <w:szCs w:val="21"/>
              </w:rPr>
              <w:t>B</w:t>
            </w:r>
            <w:r>
              <w:rPr>
                <w:rFonts w:cs="Times New Roman"/>
                <w:sz w:val="21"/>
                <w:szCs w:val="21"/>
              </w:rPr>
              <w:t>级标准、《农田灌溉水质标准》（</w:t>
            </w:r>
            <w:r>
              <w:rPr>
                <w:rFonts w:cs="Times New Roman"/>
                <w:sz w:val="21"/>
                <w:szCs w:val="21"/>
              </w:rPr>
              <w:t>GB 5084-2021</w:t>
            </w:r>
            <w:r>
              <w:rPr>
                <w:rFonts w:cs="Times New Roman"/>
                <w:sz w:val="21"/>
                <w:szCs w:val="21"/>
              </w:rPr>
              <w:t>）表一旱地作物标准后用于井场及道路降尘</w:t>
            </w:r>
            <w:r>
              <w:rPr>
                <w:rFonts w:cs="Times New Roman"/>
                <w:sz w:val="21"/>
                <w:szCs w:val="21"/>
                <w:lang w:bidi="ar"/>
              </w:rPr>
              <w:t>。</w:t>
            </w:r>
          </w:p>
        </w:tc>
      </w:tr>
      <w:tr w:rsidR="00C645C9">
        <w:trPr>
          <w:trHeight w:val="90"/>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钻井废水</w:t>
            </w:r>
          </w:p>
        </w:tc>
        <w:tc>
          <w:tcPr>
            <w:tcW w:w="104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SS</w:t>
            </w:r>
            <w:r>
              <w:rPr>
                <w:rFonts w:cs="Times New Roman"/>
                <w:sz w:val="21"/>
                <w:szCs w:val="21"/>
                <w:lang w:bidi="ar"/>
              </w:rPr>
              <w:t>、</w:t>
            </w:r>
            <w:r>
              <w:rPr>
                <w:rFonts w:cs="Times New Roman"/>
                <w:sz w:val="21"/>
                <w:szCs w:val="21"/>
                <w:lang w:bidi="ar"/>
              </w:rPr>
              <w:t>COD</w:t>
            </w:r>
            <w:r>
              <w:rPr>
                <w:rFonts w:cs="Times New Roman"/>
                <w:sz w:val="21"/>
                <w:szCs w:val="21"/>
                <w:lang w:bidi="ar"/>
              </w:rPr>
              <w:t>、石油类、挥发酚、硫化物</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3919.33</w:t>
            </w:r>
            <w:r>
              <w:rPr>
                <w:rFonts w:cs="Times New Roman"/>
                <w:sz w:val="21"/>
                <w:szCs w:val="21"/>
              </w:rPr>
              <w:t>m³</w:t>
            </w:r>
          </w:p>
        </w:tc>
        <w:tc>
          <w:tcPr>
            <w:tcW w:w="330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both"/>
              <w:textAlignment w:val="center"/>
              <w:rPr>
                <w:rFonts w:cs="Times New Roman"/>
                <w:sz w:val="21"/>
                <w:szCs w:val="21"/>
              </w:rPr>
            </w:pPr>
            <w:r>
              <w:rPr>
                <w:rFonts w:cs="Times New Roman"/>
                <w:sz w:val="21"/>
                <w:szCs w:val="21"/>
                <w:lang w:bidi="ar"/>
              </w:rPr>
              <w:t>钻井废水与钻井泥浆、岩屑一同进入不落地系统进行分离处理，分离后的液相拉运至其他新钻井回用于钻井液配制，不外排。</w:t>
            </w:r>
          </w:p>
        </w:tc>
      </w:tr>
      <w:tr w:rsidR="00C645C9">
        <w:trPr>
          <w:trHeight w:val="90"/>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hint="eastAsia"/>
                <w:sz w:val="21"/>
                <w:szCs w:val="21"/>
              </w:rPr>
              <w:t>酸化压裂废水</w:t>
            </w:r>
          </w:p>
        </w:tc>
        <w:tc>
          <w:tcPr>
            <w:tcW w:w="104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COD</w:t>
            </w:r>
            <w:r>
              <w:rPr>
                <w:rFonts w:cs="Times New Roman"/>
                <w:sz w:val="21"/>
                <w:szCs w:val="21"/>
                <w:lang w:bidi="ar"/>
              </w:rPr>
              <w:t>、挥发酚、硫化物</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sz w:val="21"/>
                <w:szCs w:val="21"/>
              </w:rPr>
              <w:t>100</w:t>
            </w:r>
            <w:r>
              <w:rPr>
                <w:rFonts w:hint="eastAsia"/>
                <w:sz w:val="21"/>
                <w:szCs w:val="21"/>
              </w:rPr>
              <w:t>0</w:t>
            </w:r>
            <w:r>
              <w:rPr>
                <w:sz w:val="21"/>
                <w:szCs w:val="21"/>
              </w:rPr>
              <w:t>m</w:t>
            </w:r>
            <w:r>
              <w:rPr>
                <w:sz w:val="21"/>
                <w:szCs w:val="21"/>
                <w:vertAlign w:val="superscript"/>
              </w:rPr>
              <w:t>3</w:t>
            </w:r>
          </w:p>
        </w:tc>
        <w:tc>
          <w:tcPr>
            <w:tcW w:w="330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jc w:val="both"/>
              <w:textAlignment w:val="center"/>
              <w:rPr>
                <w:rFonts w:cs="Times New Roman"/>
                <w:sz w:val="21"/>
                <w:szCs w:val="21"/>
              </w:rPr>
            </w:pPr>
            <w:r>
              <w:rPr>
                <w:rFonts w:cs="Times New Roman"/>
                <w:sz w:val="21"/>
                <w:szCs w:val="21"/>
                <w:lang w:bidi="ar"/>
              </w:rPr>
              <w:t>酸化压裂作业结束后压裂返排液排入回收罐中，运至塔河油田绿色环保站处理，处理达标后回注。</w:t>
            </w:r>
          </w:p>
        </w:tc>
      </w:tr>
      <w:tr w:rsidR="00C645C9">
        <w:trPr>
          <w:trHeight w:val="306"/>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管道试压</w:t>
            </w:r>
            <w:r>
              <w:rPr>
                <w:rFonts w:cs="Times New Roman"/>
                <w:sz w:val="21"/>
                <w:szCs w:val="21"/>
                <w:lang w:bidi="ar"/>
              </w:rPr>
              <w:t>废水</w:t>
            </w:r>
          </w:p>
        </w:tc>
        <w:tc>
          <w:tcPr>
            <w:tcW w:w="104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SS</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rPr>
              <w:t>0.</w:t>
            </w:r>
            <w:r>
              <w:rPr>
                <w:rFonts w:cs="Times New Roman" w:hint="eastAsia"/>
                <w:sz w:val="21"/>
                <w:szCs w:val="21"/>
              </w:rPr>
              <w:t>4075</w:t>
            </w:r>
            <w:r>
              <w:rPr>
                <w:rFonts w:cs="Times New Roman"/>
                <w:sz w:val="21"/>
                <w:szCs w:val="21"/>
                <w:lang w:bidi="ar"/>
              </w:rPr>
              <w:t>m</w:t>
            </w:r>
            <w:r>
              <w:rPr>
                <w:rFonts w:cs="Times New Roman"/>
                <w:sz w:val="21"/>
                <w:szCs w:val="21"/>
                <w:vertAlign w:val="superscript"/>
                <w:lang w:bidi="ar"/>
              </w:rPr>
              <w:t>3</w:t>
            </w:r>
          </w:p>
        </w:tc>
        <w:tc>
          <w:tcPr>
            <w:tcW w:w="3301" w:type="dxa"/>
            <w:tcBorders>
              <w:top w:val="single" w:sz="4" w:space="0" w:color="auto"/>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both"/>
              <w:textAlignment w:val="center"/>
              <w:rPr>
                <w:rFonts w:cs="Times New Roman"/>
                <w:sz w:val="21"/>
                <w:szCs w:val="21"/>
                <w:lang w:bidi="ar"/>
              </w:rPr>
            </w:pPr>
            <w:r>
              <w:rPr>
                <w:rFonts w:cs="Times New Roman"/>
                <w:sz w:val="21"/>
                <w:szCs w:val="21"/>
                <w:lang w:bidi="en-US"/>
              </w:rPr>
              <w:t>试压期间循环使用，试压结束后，试压废水可用作场地降尘用水</w:t>
            </w:r>
            <w:r>
              <w:rPr>
                <w:rFonts w:cs="Times New Roman"/>
                <w:sz w:val="21"/>
                <w:szCs w:val="21"/>
                <w:lang w:bidi="ar"/>
              </w:rPr>
              <w:t>。</w:t>
            </w:r>
          </w:p>
        </w:tc>
      </w:tr>
      <w:tr w:rsidR="00C645C9">
        <w:trPr>
          <w:trHeight w:val="308"/>
          <w:jc w:val="center"/>
        </w:trPr>
        <w:tc>
          <w:tcPr>
            <w:tcW w:w="903" w:type="dxa"/>
            <w:vMerge w:val="restart"/>
            <w:tcBorders>
              <w:top w:val="single" w:sz="4" w:space="0" w:color="000000"/>
              <w:left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845" w:name="OLE_LINK792" w:colFirst="2" w:colLast="5"/>
            <w:r>
              <w:rPr>
                <w:rFonts w:cs="Times New Roman"/>
                <w:sz w:val="21"/>
                <w:szCs w:val="21"/>
                <w:lang w:bidi="ar"/>
              </w:rPr>
              <w:t>固体废物污染源</w:t>
            </w:r>
          </w:p>
        </w:tc>
        <w:tc>
          <w:tcPr>
            <w:tcW w:w="459" w:type="dxa"/>
            <w:vMerge w:val="restart"/>
            <w:tcBorders>
              <w:top w:val="single" w:sz="4" w:space="0" w:color="000000"/>
              <w:left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846" w:name="OLE_LINK293"/>
            <w:r>
              <w:rPr>
                <w:rFonts w:cs="Times New Roman"/>
                <w:sz w:val="21"/>
                <w:szCs w:val="21"/>
                <w:lang w:bidi="ar"/>
              </w:rPr>
              <w:t>井场</w:t>
            </w:r>
            <w:bookmarkEnd w:id="846"/>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钻井岩屑</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岩屑</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1812.1</w:t>
            </w:r>
            <w:r>
              <w:rPr>
                <w:rFonts w:cs="Times New Roman" w:hint="eastAsia"/>
                <w:sz w:val="21"/>
                <w:szCs w:val="21"/>
                <w:lang w:bidi="ar"/>
              </w:rPr>
              <w:t>7</w:t>
            </w:r>
            <w:r>
              <w:rPr>
                <w:rFonts w:cs="Times New Roman"/>
                <w:sz w:val="21"/>
                <w:szCs w:val="21"/>
                <w:lang w:bidi="ar"/>
              </w:rPr>
              <w:t>m</w:t>
            </w:r>
            <w:r>
              <w:rPr>
                <w:rFonts w:cs="Times New Roman"/>
                <w:sz w:val="21"/>
                <w:szCs w:val="21"/>
                <w:vertAlign w:val="superscript"/>
                <w:lang w:bidi="ar"/>
              </w:rPr>
              <w:t>3</w:t>
            </w:r>
          </w:p>
        </w:tc>
        <w:tc>
          <w:tcPr>
            <w:tcW w:w="3301" w:type="dxa"/>
            <w:vMerge w:val="restart"/>
            <w:tcBorders>
              <w:top w:val="single" w:sz="4" w:space="0" w:color="000000"/>
              <w:left w:val="single" w:sz="4" w:space="0" w:color="000000"/>
              <w:right w:val="single" w:sz="4" w:space="0" w:color="000000"/>
            </w:tcBorders>
            <w:shd w:val="clear" w:color="auto" w:fill="auto"/>
            <w:vAlign w:val="center"/>
          </w:tcPr>
          <w:p w:rsidR="00C645C9" w:rsidRDefault="00F955D9">
            <w:pPr>
              <w:adjustRightInd w:val="0"/>
              <w:snapToGrid w:val="0"/>
              <w:jc w:val="both"/>
              <w:textAlignment w:val="center"/>
              <w:rPr>
                <w:rFonts w:cs="Times New Roman"/>
                <w:sz w:val="21"/>
                <w:szCs w:val="21"/>
              </w:rPr>
            </w:pPr>
            <w:r>
              <w:rPr>
                <w:rFonts w:cs="Times New Roman"/>
                <w:sz w:val="21"/>
                <w:szCs w:val="21"/>
                <w:lang w:bidi="ar"/>
              </w:rPr>
              <w:t>钻井期岩屑随钻井泥浆带出，</w:t>
            </w:r>
            <w:bookmarkStart w:id="847" w:name="OLE_LINK1426"/>
            <w:r>
              <w:rPr>
                <w:rFonts w:cs="Times New Roman"/>
                <w:sz w:val="21"/>
                <w:szCs w:val="21"/>
                <w:lang w:bidi="ar"/>
              </w:rPr>
              <w:t>一开、二开为非磺化水基泥浆，</w:t>
            </w:r>
            <w:r>
              <w:rPr>
                <w:rFonts w:cs="Times New Roman" w:hint="eastAsia"/>
                <w:sz w:val="21"/>
                <w:szCs w:val="21"/>
                <w:lang w:bidi="ar"/>
              </w:rPr>
              <w:t>三</w:t>
            </w:r>
            <w:r>
              <w:rPr>
                <w:rFonts w:cs="Times New Roman"/>
                <w:sz w:val="21"/>
                <w:szCs w:val="21"/>
                <w:lang w:bidi="ar"/>
              </w:rPr>
              <w:t>开</w:t>
            </w:r>
            <w:r>
              <w:rPr>
                <w:rFonts w:cs="Times New Roman" w:hint="eastAsia"/>
                <w:sz w:val="21"/>
                <w:szCs w:val="21"/>
                <w:lang w:bidi="ar"/>
              </w:rPr>
              <w:t>为</w:t>
            </w:r>
            <w:r>
              <w:rPr>
                <w:rFonts w:cs="Times New Roman"/>
                <w:sz w:val="21"/>
                <w:szCs w:val="21"/>
                <w:lang w:bidi="ar"/>
              </w:rPr>
              <w:t>磺化水基泥浆</w:t>
            </w:r>
            <w:r>
              <w:rPr>
                <w:rFonts w:cs="Times New Roman" w:hint="eastAsia"/>
                <w:sz w:val="21"/>
                <w:szCs w:val="21"/>
                <w:lang w:bidi="ar"/>
              </w:rPr>
              <w:t>，四</w:t>
            </w:r>
            <w:r>
              <w:rPr>
                <w:rFonts w:cs="Times New Roman"/>
                <w:sz w:val="21"/>
                <w:szCs w:val="21"/>
                <w:lang w:bidi="ar"/>
              </w:rPr>
              <w:t>开</w:t>
            </w:r>
            <w:r>
              <w:rPr>
                <w:rFonts w:cs="Times New Roman" w:hint="eastAsia"/>
                <w:sz w:val="21"/>
                <w:szCs w:val="21"/>
                <w:lang w:bidi="ar"/>
              </w:rPr>
              <w:t>及</w:t>
            </w:r>
            <w:r>
              <w:rPr>
                <w:rFonts w:cs="Times New Roman"/>
                <w:sz w:val="21"/>
                <w:szCs w:val="21"/>
                <w:lang w:bidi="ar"/>
              </w:rPr>
              <w:t>侧钻</w:t>
            </w:r>
            <w:r>
              <w:rPr>
                <w:rFonts w:cs="Times New Roman" w:hint="eastAsia"/>
                <w:sz w:val="21"/>
                <w:szCs w:val="21"/>
                <w:lang w:bidi="ar"/>
              </w:rPr>
              <w:t>为油基泥浆</w:t>
            </w:r>
            <w:r>
              <w:rPr>
                <w:rFonts w:cs="Times New Roman"/>
                <w:sz w:val="21"/>
                <w:szCs w:val="21"/>
                <w:lang w:bidi="ar"/>
              </w:rPr>
              <w:t>。</w:t>
            </w:r>
            <w:bookmarkEnd w:id="847"/>
            <w:r>
              <w:rPr>
                <w:rFonts w:cs="Times New Roman"/>
                <w:sz w:val="21"/>
                <w:szCs w:val="21"/>
                <w:lang w:bidi="ar"/>
              </w:rPr>
              <w:t>根据目前西北油田分公司钻井工程的要求，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cs="Times New Roman"/>
                <w:sz w:val="21"/>
                <w:szCs w:val="21"/>
                <w:lang w:bidi="ar"/>
              </w:rPr>
              <w:t>DB65/T 3997-2017</w:t>
            </w:r>
            <w:r>
              <w:rPr>
                <w:rFonts w:cs="Times New Roman"/>
                <w:sz w:val="21"/>
                <w:szCs w:val="21"/>
                <w:lang w:bidi="ar"/>
              </w:rPr>
              <w:t>）中综合利用</w:t>
            </w:r>
            <w:r>
              <w:rPr>
                <w:rFonts w:cs="Times New Roman"/>
                <w:sz w:val="21"/>
                <w:szCs w:val="21"/>
                <w:lang w:bidi="ar"/>
              </w:rPr>
              <w:lastRenderedPageBreak/>
              <w:t>污染物限值要求，同时石油烃满足《土壤环境质量</w:t>
            </w:r>
            <w:r>
              <w:rPr>
                <w:rFonts w:cs="Times New Roman"/>
                <w:sz w:val="21"/>
                <w:szCs w:val="21"/>
                <w:lang w:bidi="ar"/>
              </w:rPr>
              <w:t xml:space="preserve"> </w:t>
            </w:r>
            <w:r>
              <w:rPr>
                <w:rFonts w:cs="Times New Roman"/>
                <w:sz w:val="21"/>
                <w:szCs w:val="21"/>
                <w:lang w:bidi="ar"/>
              </w:rPr>
              <w:t>建设用地土壤污染风险管控标准（试行）》（</w:t>
            </w:r>
            <w:r>
              <w:rPr>
                <w:rFonts w:cs="Times New Roman"/>
                <w:sz w:val="21"/>
                <w:szCs w:val="21"/>
                <w:lang w:bidi="ar"/>
              </w:rPr>
              <w:t>GB36600-2018</w:t>
            </w:r>
            <w:r>
              <w:rPr>
                <w:rFonts w:cs="Times New Roman"/>
                <w:sz w:val="21"/>
                <w:szCs w:val="21"/>
                <w:lang w:bidi="ar"/>
              </w:rPr>
              <w:t>）中表</w:t>
            </w:r>
            <w:r>
              <w:rPr>
                <w:rFonts w:cs="Times New Roman"/>
                <w:sz w:val="21"/>
                <w:szCs w:val="21"/>
                <w:lang w:bidi="ar"/>
              </w:rPr>
              <w:t>2</w:t>
            </w:r>
            <w:r>
              <w:rPr>
                <w:rFonts w:cs="Times New Roman"/>
                <w:sz w:val="21"/>
                <w:szCs w:val="21"/>
                <w:lang w:bidi="ar"/>
              </w:rPr>
              <w:t>第二类用地风险筛选值后，可用于铺垫油区内的井场等；磺化水基泥浆在现场进行固液分离，分离后的液体用于钻井液配备</w:t>
            </w:r>
            <w:r>
              <w:rPr>
                <w:rFonts w:cs="Times New Roman"/>
                <w:sz w:val="21"/>
                <w:szCs w:val="21"/>
                <w:lang w:bidi="ar"/>
              </w:rPr>
              <w:t>，固相拉运至塔河油田绿色环保工作站的含油污泥处理系统处置。油基泥浆采用油基泥浆不落地系统在井场进行固液分离，液相回用于钻井，固相使用专用罐收集后，拉运至塔河油田绿色环保工作站的含油污泥处理系统处置</w:t>
            </w:r>
            <w:r>
              <w:rPr>
                <w:rFonts w:cs="Times New Roman" w:hint="eastAsia"/>
                <w:sz w:val="21"/>
                <w:szCs w:val="21"/>
                <w:lang w:bidi="ar"/>
              </w:rPr>
              <w:t>。</w:t>
            </w:r>
          </w:p>
        </w:tc>
      </w:tr>
      <w:tr w:rsidR="00C645C9">
        <w:trPr>
          <w:trHeight w:val="308"/>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bookmarkStart w:id="848" w:name="OLE_LINK793" w:colFirst="4" w:colLast="5"/>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钻井废弃泥浆</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钻井废弃泥浆</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1082.9</w:t>
            </w:r>
            <w:r>
              <w:rPr>
                <w:rFonts w:cs="Times New Roman" w:hint="eastAsia"/>
                <w:sz w:val="21"/>
                <w:szCs w:val="21"/>
                <w:lang w:bidi="ar"/>
              </w:rPr>
              <w:t>8</w:t>
            </w:r>
            <w:r>
              <w:rPr>
                <w:rFonts w:cs="Times New Roman"/>
                <w:sz w:val="21"/>
                <w:szCs w:val="21"/>
                <w:lang w:bidi="ar"/>
              </w:rPr>
              <w:t>m</w:t>
            </w:r>
            <w:r>
              <w:rPr>
                <w:rFonts w:cs="Times New Roman"/>
                <w:sz w:val="21"/>
                <w:szCs w:val="21"/>
                <w:vertAlign w:val="superscript"/>
                <w:lang w:bidi="ar"/>
              </w:rPr>
              <w:t>3</w:t>
            </w:r>
          </w:p>
        </w:tc>
        <w:tc>
          <w:tcPr>
            <w:tcW w:w="3301" w:type="dxa"/>
            <w:vMerge/>
            <w:tcBorders>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textAlignment w:val="center"/>
              <w:rPr>
                <w:rFonts w:cs="Times New Roman"/>
                <w:sz w:val="21"/>
                <w:szCs w:val="21"/>
                <w:lang w:bidi="ar"/>
              </w:rPr>
            </w:pPr>
          </w:p>
        </w:tc>
      </w:tr>
      <w:tr w:rsidR="00C645C9">
        <w:trPr>
          <w:trHeight w:val="308"/>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bookmarkStart w:id="849" w:name="OLE_LINK847" w:colFirst="2" w:colLast="5"/>
            <w:bookmarkEnd w:id="845"/>
            <w:bookmarkEnd w:id="848"/>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落地油</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850" w:name="OLE_LINK849"/>
            <w:r>
              <w:rPr>
                <w:rFonts w:cs="Times New Roman" w:hint="eastAsia"/>
                <w:sz w:val="21"/>
                <w:szCs w:val="21"/>
                <w:lang w:bidi="ar"/>
              </w:rPr>
              <w:t>0.3</w:t>
            </w:r>
            <w:r>
              <w:rPr>
                <w:rFonts w:cs="Times New Roman"/>
                <w:sz w:val="21"/>
                <w:szCs w:val="21"/>
                <w:lang w:bidi="ar"/>
              </w:rPr>
              <w:t>t</w:t>
            </w:r>
            <w:bookmarkEnd w:id="850"/>
          </w:p>
        </w:tc>
        <w:tc>
          <w:tcPr>
            <w:tcW w:w="3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textAlignment w:val="center"/>
              <w:rPr>
                <w:rFonts w:cs="Times New Roman"/>
                <w:sz w:val="21"/>
                <w:szCs w:val="21"/>
                <w:lang w:bidi="ar"/>
              </w:rPr>
            </w:pPr>
            <w:r>
              <w:rPr>
                <w:rFonts w:cs="Times New Roman"/>
                <w:sz w:val="21"/>
                <w:szCs w:val="21"/>
                <w:lang w:bidi="ar"/>
              </w:rPr>
              <w:t>罐车</w:t>
            </w:r>
            <w:r>
              <w:rPr>
                <w:rFonts w:cs="Times New Roman" w:hint="eastAsia"/>
                <w:sz w:val="21"/>
                <w:szCs w:val="21"/>
                <w:lang w:bidi="ar"/>
              </w:rPr>
              <w:t>回收，</w:t>
            </w:r>
            <w:r>
              <w:rPr>
                <w:rFonts w:cs="Times New Roman"/>
                <w:sz w:val="21"/>
                <w:szCs w:val="21"/>
                <w:lang w:bidi="ar"/>
              </w:rPr>
              <w:t>由塔河油田绿色环保工作站进行无害化处理</w:t>
            </w:r>
            <w:r>
              <w:rPr>
                <w:rFonts w:cs="Times New Roman"/>
                <w:sz w:val="21"/>
                <w:szCs w:val="21"/>
                <w:lang w:bidi="ar"/>
              </w:rPr>
              <w:t>。</w:t>
            </w:r>
          </w:p>
        </w:tc>
      </w:tr>
      <w:bookmarkEnd w:id="849"/>
      <w:tr w:rsidR="00C645C9">
        <w:trPr>
          <w:trHeight w:val="308"/>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废润滑油</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0.5</w:t>
            </w:r>
            <w:r>
              <w:rPr>
                <w:rFonts w:cs="Times New Roman"/>
                <w:sz w:val="21"/>
                <w:szCs w:val="21"/>
                <w:lang w:bidi="ar"/>
              </w:rPr>
              <w:t>t</w:t>
            </w:r>
          </w:p>
        </w:tc>
        <w:tc>
          <w:tcPr>
            <w:tcW w:w="3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textAlignment w:val="center"/>
              <w:rPr>
                <w:rFonts w:cs="Times New Roman"/>
                <w:sz w:val="21"/>
                <w:szCs w:val="21"/>
                <w:lang w:bidi="ar"/>
              </w:rPr>
            </w:pPr>
            <w:r>
              <w:rPr>
                <w:rFonts w:cs="Times New Roman"/>
                <w:sz w:val="21"/>
                <w:szCs w:val="21"/>
                <w:lang w:bidi="ar"/>
              </w:rPr>
              <w:t>收集后委托持有危险废物经营许可证的单位利用处置</w:t>
            </w:r>
            <w:r>
              <w:rPr>
                <w:rFonts w:cs="Times New Roman" w:hint="eastAsia"/>
                <w:sz w:val="21"/>
                <w:szCs w:val="21"/>
                <w:lang w:bidi="ar"/>
              </w:rPr>
              <w:t>。</w:t>
            </w:r>
          </w:p>
        </w:tc>
      </w:tr>
      <w:tr w:rsidR="00C645C9">
        <w:trPr>
          <w:trHeight w:val="308"/>
          <w:jc w:val="center"/>
        </w:trPr>
        <w:tc>
          <w:tcPr>
            <w:tcW w:w="903"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459"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生活垃圾</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bookmarkStart w:id="851" w:name="OLE_LINK848"/>
            <w:r>
              <w:rPr>
                <w:rFonts w:cs="Times New Roman"/>
                <w:sz w:val="21"/>
                <w:szCs w:val="21"/>
                <w:lang w:bidi="ar"/>
              </w:rPr>
              <w:t>/</w:t>
            </w:r>
            <w:bookmarkEnd w:id="851"/>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1.35</w:t>
            </w:r>
            <w:r>
              <w:rPr>
                <w:rFonts w:cs="Times New Roman"/>
                <w:sz w:val="21"/>
                <w:szCs w:val="21"/>
                <w:lang w:bidi="ar"/>
              </w:rPr>
              <w:t>t</w:t>
            </w:r>
          </w:p>
        </w:tc>
        <w:tc>
          <w:tcPr>
            <w:tcW w:w="3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textAlignment w:val="center"/>
              <w:rPr>
                <w:rFonts w:cs="Times New Roman"/>
                <w:sz w:val="21"/>
                <w:szCs w:val="21"/>
                <w:lang w:bidi="ar"/>
              </w:rPr>
            </w:pPr>
            <w:r>
              <w:rPr>
                <w:rFonts w:cs="Times New Roman"/>
                <w:sz w:val="21"/>
                <w:szCs w:val="21"/>
                <w:lang w:bidi="ar"/>
              </w:rPr>
              <w:t>生活垃圾集中收集后，委托库车绿能环保科技有限公司清运处置</w:t>
            </w:r>
            <w:r>
              <w:rPr>
                <w:rFonts w:cs="Times New Roman"/>
                <w:sz w:val="21"/>
                <w:szCs w:val="21"/>
                <w:lang w:bidi="ar"/>
              </w:rPr>
              <w:t>。</w:t>
            </w:r>
          </w:p>
        </w:tc>
      </w:tr>
      <w:tr w:rsidR="00C645C9">
        <w:trPr>
          <w:trHeight w:val="274"/>
          <w:jc w:val="center"/>
        </w:trPr>
        <w:tc>
          <w:tcPr>
            <w:tcW w:w="903" w:type="dxa"/>
            <w:vMerge/>
            <w:tcBorders>
              <w:left w:val="single" w:sz="4" w:space="0" w:color="000000"/>
              <w:bottom w:val="single" w:sz="4" w:space="0" w:color="auto"/>
              <w:right w:val="single" w:sz="4" w:space="0" w:color="000000"/>
            </w:tcBorders>
            <w:shd w:val="clear" w:color="auto" w:fill="auto"/>
            <w:vAlign w:val="center"/>
          </w:tcPr>
          <w:p w:rsidR="00C645C9" w:rsidRDefault="00C645C9">
            <w:pPr>
              <w:adjustRightInd w:val="0"/>
              <w:snapToGrid w:val="0"/>
              <w:jc w:val="center"/>
              <w:rPr>
                <w:rFonts w:cs="Times New Roman"/>
                <w:sz w:val="21"/>
                <w:szCs w:val="21"/>
              </w:rPr>
            </w:pPr>
          </w:p>
        </w:tc>
        <w:tc>
          <w:tcPr>
            <w:tcW w:w="459" w:type="dxa"/>
            <w:vMerge/>
            <w:tcBorders>
              <w:left w:val="single" w:sz="4" w:space="0" w:color="000000"/>
              <w:bottom w:val="single" w:sz="4" w:space="0" w:color="auto"/>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rPr>
            </w:pPr>
          </w:p>
        </w:tc>
        <w:tc>
          <w:tcPr>
            <w:tcW w:w="1611"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施工废料</w:t>
            </w:r>
          </w:p>
        </w:tc>
        <w:tc>
          <w:tcPr>
            <w:tcW w:w="104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bookmarkStart w:id="852" w:name="OLE_LINK292"/>
            <w:r>
              <w:rPr>
                <w:rFonts w:cs="Times New Roman"/>
                <w:sz w:val="21"/>
                <w:szCs w:val="21"/>
                <w:lang w:bidi="ar"/>
              </w:rPr>
              <w:t>/</w:t>
            </w:r>
            <w:bookmarkEnd w:id="852"/>
          </w:p>
        </w:tc>
        <w:tc>
          <w:tcPr>
            <w:tcW w:w="137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0.0156t</w:t>
            </w:r>
          </w:p>
        </w:tc>
        <w:tc>
          <w:tcPr>
            <w:tcW w:w="3301"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both"/>
              <w:textAlignment w:val="center"/>
              <w:rPr>
                <w:rFonts w:cs="Times New Roman"/>
                <w:sz w:val="21"/>
                <w:szCs w:val="21"/>
              </w:rPr>
            </w:pPr>
            <w:r>
              <w:rPr>
                <w:rFonts w:cs="Times New Roman"/>
                <w:sz w:val="21"/>
                <w:szCs w:val="21"/>
                <w:lang w:bidi="ar"/>
              </w:rPr>
              <w:t>施工废料应首先考虑回收利用，不可回收利用部分由库车绿能环保科技有限公司拉运至库车经济开发区工业固废填埋场合规处置</w:t>
            </w:r>
            <w:r>
              <w:rPr>
                <w:rFonts w:cs="Times New Roman"/>
                <w:sz w:val="21"/>
                <w:szCs w:val="21"/>
                <w:lang w:bidi="ar"/>
              </w:rPr>
              <w:t>。</w:t>
            </w:r>
          </w:p>
        </w:tc>
      </w:tr>
      <w:tr w:rsidR="00C645C9">
        <w:trPr>
          <w:trHeight w:val="274"/>
          <w:jc w:val="center"/>
        </w:trPr>
        <w:tc>
          <w:tcPr>
            <w:tcW w:w="9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废气污染源</w:t>
            </w:r>
          </w:p>
        </w:tc>
        <w:tc>
          <w:tcPr>
            <w:tcW w:w="459" w:type="dxa"/>
            <w:vMerge w:val="restart"/>
            <w:tcBorders>
              <w:left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井场</w:t>
            </w:r>
          </w:p>
        </w:tc>
        <w:tc>
          <w:tcPr>
            <w:tcW w:w="1611" w:type="dxa"/>
            <w:vMerge w:val="restart"/>
            <w:tcBorders>
              <w:top w:val="single" w:sz="4" w:space="0" w:color="000000"/>
              <w:left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钻井废气、</w:t>
            </w:r>
            <w:r>
              <w:rPr>
                <w:rFonts w:cs="Times New Roman"/>
                <w:sz w:val="21"/>
                <w:szCs w:val="21"/>
                <w:lang w:bidi="ar"/>
              </w:rPr>
              <w:t>施工扬尘、焊接废气</w:t>
            </w:r>
            <w:r>
              <w:rPr>
                <w:rFonts w:cs="Times New Roman" w:hint="eastAsia"/>
                <w:sz w:val="21"/>
                <w:szCs w:val="21"/>
                <w:lang w:bidi="ar"/>
              </w:rPr>
              <w:t>、施工机械废气及运输车辆尾气</w:t>
            </w:r>
          </w:p>
        </w:tc>
        <w:tc>
          <w:tcPr>
            <w:tcW w:w="104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CO</w:t>
            </w:r>
          </w:p>
        </w:tc>
        <w:tc>
          <w:tcPr>
            <w:tcW w:w="137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阶段性排放</w:t>
            </w:r>
          </w:p>
        </w:tc>
        <w:tc>
          <w:tcPr>
            <w:tcW w:w="3301" w:type="dxa"/>
            <w:vMerge w:val="restart"/>
            <w:tcBorders>
              <w:top w:val="single" w:sz="4" w:space="0" w:color="000000"/>
              <w:left w:val="single" w:sz="4" w:space="0" w:color="000000"/>
              <w:right w:val="single" w:sz="4" w:space="0" w:color="000000"/>
            </w:tcBorders>
            <w:shd w:val="clear" w:color="auto" w:fill="auto"/>
            <w:vAlign w:val="center"/>
          </w:tcPr>
          <w:p w:rsidR="00C645C9" w:rsidRDefault="00F955D9">
            <w:pPr>
              <w:adjustRightInd w:val="0"/>
              <w:snapToGrid w:val="0"/>
              <w:textAlignment w:val="center"/>
              <w:rPr>
                <w:rFonts w:cs="Times New Roman"/>
                <w:sz w:val="21"/>
                <w:szCs w:val="21"/>
                <w:lang w:bidi="ar"/>
              </w:rPr>
            </w:pPr>
            <w:r>
              <w:rPr>
                <w:rFonts w:cs="Times New Roman"/>
                <w:sz w:val="21"/>
                <w:szCs w:val="21"/>
                <w:lang w:bidi="ar"/>
              </w:rPr>
              <w:t>大气</w:t>
            </w:r>
          </w:p>
        </w:tc>
      </w:tr>
      <w:tr w:rsidR="00C645C9">
        <w:trPr>
          <w:trHeight w:val="274"/>
          <w:jc w:val="center"/>
        </w:trPr>
        <w:tc>
          <w:tcPr>
            <w:tcW w:w="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adjustRightInd w:val="0"/>
              <w:snapToGrid w:val="0"/>
              <w:jc w:val="center"/>
              <w:rPr>
                <w:rFonts w:cs="Times New Roman"/>
                <w:sz w:val="21"/>
                <w:szCs w:val="21"/>
              </w:rPr>
            </w:pPr>
          </w:p>
        </w:tc>
        <w:tc>
          <w:tcPr>
            <w:tcW w:w="459" w:type="dxa"/>
            <w:vMerge/>
            <w:tcBorders>
              <w:left w:val="single" w:sz="4" w:space="0" w:color="auto"/>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rPr>
            </w:pPr>
          </w:p>
        </w:tc>
        <w:tc>
          <w:tcPr>
            <w:tcW w:w="1611"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04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NO</w:t>
            </w:r>
            <w:r>
              <w:rPr>
                <w:rFonts w:cs="Times New Roman" w:hint="eastAsia"/>
                <w:sz w:val="21"/>
                <w:szCs w:val="21"/>
                <w:vertAlign w:val="subscript"/>
                <w:lang w:bidi="ar"/>
              </w:rPr>
              <w:t>x</w:t>
            </w:r>
          </w:p>
        </w:tc>
        <w:tc>
          <w:tcPr>
            <w:tcW w:w="137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阶段性排放</w:t>
            </w:r>
          </w:p>
        </w:tc>
        <w:tc>
          <w:tcPr>
            <w:tcW w:w="3301"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both"/>
              <w:textAlignment w:val="center"/>
              <w:rPr>
                <w:rFonts w:cs="Times New Roman"/>
                <w:sz w:val="21"/>
                <w:szCs w:val="21"/>
                <w:lang w:bidi="ar"/>
              </w:rPr>
            </w:pPr>
          </w:p>
        </w:tc>
      </w:tr>
      <w:tr w:rsidR="00C645C9">
        <w:trPr>
          <w:trHeight w:val="274"/>
          <w:jc w:val="center"/>
        </w:trPr>
        <w:tc>
          <w:tcPr>
            <w:tcW w:w="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adjustRightInd w:val="0"/>
              <w:snapToGrid w:val="0"/>
              <w:jc w:val="center"/>
              <w:rPr>
                <w:rFonts w:cs="Times New Roman"/>
                <w:sz w:val="21"/>
                <w:szCs w:val="21"/>
              </w:rPr>
            </w:pPr>
          </w:p>
        </w:tc>
        <w:tc>
          <w:tcPr>
            <w:tcW w:w="459" w:type="dxa"/>
            <w:vMerge/>
            <w:tcBorders>
              <w:left w:val="single" w:sz="4" w:space="0" w:color="auto"/>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rPr>
            </w:pPr>
          </w:p>
        </w:tc>
        <w:tc>
          <w:tcPr>
            <w:tcW w:w="1611"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04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SO</w:t>
            </w:r>
            <w:r>
              <w:rPr>
                <w:rFonts w:cs="Times New Roman"/>
                <w:sz w:val="21"/>
                <w:szCs w:val="21"/>
                <w:vertAlign w:val="subscript"/>
                <w:lang w:bidi="ar"/>
              </w:rPr>
              <w:t>2</w:t>
            </w:r>
          </w:p>
        </w:tc>
        <w:tc>
          <w:tcPr>
            <w:tcW w:w="137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阶段性排放</w:t>
            </w:r>
          </w:p>
        </w:tc>
        <w:tc>
          <w:tcPr>
            <w:tcW w:w="3301" w:type="dxa"/>
            <w:vMerge/>
            <w:tcBorders>
              <w:left w:val="single" w:sz="4" w:space="0" w:color="000000"/>
              <w:right w:val="single" w:sz="4" w:space="0" w:color="000000"/>
            </w:tcBorders>
            <w:shd w:val="clear" w:color="auto" w:fill="auto"/>
            <w:vAlign w:val="center"/>
          </w:tcPr>
          <w:p w:rsidR="00C645C9" w:rsidRDefault="00C645C9">
            <w:pPr>
              <w:adjustRightInd w:val="0"/>
              <w:snapToGrid w:val="0"/>
              <w:jc w:val="both"/>
              <w:textAlignment w:val="center"/>
              <w:rPr>
                <w:rFonts w:cs="Times New Roman"/>
                <w:sz w:val="21"/>
                <w:szCs w:val="21"/>
                <w:lang w:bidi="ar"/>
              </w:rPr>
            </w:pPr>
          </w:p>
        </w:tc>
      </w:tr>
      <w:tr w:rsidR="00C645C9">
        <w:trPr>
          <w:trHeight w:val="274"/>
          <w:jc w:val="center"/>
        </w:trPr>
        <w:tc>
          <w:tcPr>
            <w:tcW w:w="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adjustRightInd w:val="0"/>
              <w:snapToGrid w:val="0"/>
              <w:jc w:val="center"/>
              <w:rPr>
                <w:rFonts w:cs="Times New Roman"/>
                <w:sz w:val="21"/>
                <w:szCs w:val="21"/>
              </w:rPr>
            </w:pPr>
          </w:p>
        </w:tc>
        <w:tc>
          <w:tcPr>
            <w:tcW w:w="459" w:type="dxa"/>
            <w:vMerge/>
            <w:tcBorders>
              <w:left w:val="single" w:sz="4" w:space="0" w:color="auto"/>
              <w:bottom w:val="single" w:sz="4" w:space="0" w:color="auto"/>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rPr>
            </w:pPr>
          </w:p>
        </w:tc>
        <w:tc>
          <w:tcPr>
            <w:tcW w:w="1611" w:type="dxa"/>
            <w:vMerge/>
            <w:tcBorders>
              <w:left w:val="single" w:sz="4" w:space="0" w:color="000000"/>
              <w:bottom w:val="single" w:sz="4" w:space="0" w:color="auto"/>
              <w:right w:val="single" w:sz="4" w:space="0" w:color="000000"/>
            </w:tcBorders>
            <w:shd w:val="clear" w:color="auto" w:fill="auto"/>
            <w:vAlign w:val="center"/>
          </w:tcPr>
          <w:p w:rsidR="00C645C9" w:rsidRDefault="00C645C9">
            <w:pPr>
              <w:adjustRightInd w:val="0"/>
              <w:snapToGrid w:val="0"/>
              <w:jc w:val="center"/>
              <w:textAlignment w:val="center"/>
              <w:rPr>
                <w:rFonts w:cs="Times New Roman"/>
                <w:sz w:val="21"/>
                <w:szCs w:val="21"/>
                <w:lang w:bidi="ar"/>
              </w:rPr>
            </w:pPr>
          </w:p>
        </w:tc>
        <w:tc>
          <w:tcPr>
            <w:tcW w:w="104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hint="eastAsia"/>
                <w:sz w:val="21"/>
                <w:szCs w:val="21"/>
                <w:lang w:bidi="ar"/>
              </w:rPr>
              <w:t>颗粒物</w:t>
            </w:r>
          </w:p>
        </w:tc>
        <w:tc>
          <w:tcPr>
            <w:tcW w:w="1370"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1"/>
                <w:szCs w:val="21"/>
                <w:lang w:bidi="ar"/>
              </w:rPr>
            </w:pPr>
            <w:r>
              <w:rPr>
                <w:rFonts w:cs="Times New Roman"/>
                <w:sz w:val="21"/>
                <w:szCs w:val="21"/>
                <w:lang w:bidi="ar"/>
              </w:rPr>
              <w:t>阶段性排放</w:t>
            </w:r>
          </w:p>
        </w:tc>
        <w:tc>
          <w:tcPr>
            <w:tcW w:w="3301" w:type="dxa"/>
            <w:vMerge/>
            <w:tcBorders>
              <w:left w:val="single" w:sz="4" w:space="0" w:color="000000"/>
              <w:bottom w:val="single" w:sz="4" w:space="0" w:color="auto"/>
              <w:right w:val="single" w:sz="4" w:space="0" w:color="000000"/>
            </w:tcBorders>
            <w:shd w:val="clear" w:color="auto" w:fill="auto"/>
            <w:vAlign w:val="center"/>
          </w:tcPr>
          <w:p w:rsidR="00C645C9" w:rsidRDefault="00C645C9">
            <w:pPr>
              <w:adjustRightInd w:val="0"/>
              <w:snapToGrid w:val="0"/>
              <w:jc w:val="both"/>
              <w:textAlignment w:val="center"/>
              <w:rPr>
                <w:rFonts w:cs="Times New Roman"/>
                <w:sz w:val="21"/>
                <w:szCs w:val="21"/>
                <w:lang w:bidi="ar"/>
              </w:rPr>
            </w:pPr>
          </w:p>
        </w:tc>
      </w:tr>
      <w:tr w:rsidR="00C645C9">
        <w:trPr>
          <w:trHeight w:val="600"/>
          <w:jc w:val="center"/>
        </w:trPr>
        <w:tc>
          <w:tcPr>
            <w:tcW w:w="903" w:type="dxa"/>
            <w:tcBorders>
              <w:top w:val="single" w:sz="4" w:space="0" w:color="auto"/>
              <w:left w:val="single" w:sz="4" w:space="0" w:color="000000"/>
              <w:bottom w:val="single" w:sz="4" w:space="0" w:color="000000"/>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噪声污染源</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lang w:bidi="ar"/>
              </w:rPr>
              <w:t>井场</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lang w:bidi="en-US"/>
              </w:rPr>
              <w:t>土方施工</w:t>
            </w:r>
            <w:r>
              <w:rPr>
                <w:rFonts w:cs="Times New Roman" w:hint="eastAsia"/>
                <w:sz w:val="21"/>
                <w:szCs w:val="21"/>
                <w:lang w:bidi="en-US"/>
              </w:rPr>
              <w:t>、</w:t>
            </w:r>
            <w:r>
              <w:rPr>
                <w:rFonts w:cs="Times New Roman"/>
                <w:sz w:val="21"/>
                <w:szCs w:val="21"/>
                <w:lang w:bidi="en-US"/>
              </w:rPr>
              <w:t>施工机械、运输车辆</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lang w:bidi="ar"/>
              </w:rPr>
              <w:t>/</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lang w:bidi="en-US"/>
              </w:rPr>
              <w:t>8</w:t>
            </w:r>
            <w:r>
              <w:rPr>
                <w:rFonts w:cs="Times New Roman" w:hint="eastAsia"/>
                <w:sz w:val="21"/>
                <w:szCs w:val="21"/>
                <w:lang w:bidi="en-US"/>
              </w:rPr>
              <w:t>0</w:t>
            </w:r>
            <w:r>
              <w:rPr>
                <w:rFonts w:cs="Times New Roman"/>
                <w:sz w:val="21"/>
                <w:szCs w:val="21"/>
                <w:lang w:bidi="en-US"/>
              </w:rPr>
              <w:t>~</w:t>
            </w:r>
            <w:r>
              <w:rPr>
                <w:rFonts w:cs="Times New Roman" w:hint="eastAsia"/>
                <w:sz w:val="21"/>
                <w:szCs w:val="21"/>
                <w:lang w:bidi="en-US"/>
              </w:rPr>
              <w:t>90</w:t>
            </w:r>
            <w:r>
              <w:rPr>
                <w:rFonts w:cs="Times New Roman"/>
                <w:sz w:val="21"/>
                <w:szCs w:val="21"/>
                <w:lang w:bidi="en-US"/>
              </w:rPr>
              <w:t>dB</w:t>
            </w:r>
            <w:r>
              <w:rPr>
                <w:rFonts w:cs="Times New Roman" w:hint="eastAsia"/>
                <w:sz w:val="21"/>
                <w:szCs w:val="21"/>
                <w:lang w:bidi="en-US"/>
              </w:rPr>
              <w:t>（</w:t>
            </w:r>
            <w:r>
              <w:rPr>
                <w:rFonts w:cs="Times New Roman"/>
                <w:sz w:val="21"/>
                <w:szCs w:val="21"/>
                <w:lang w:bidi="en-US"/>
              </w:rPr>
              <w:t>A</w:t>
            </w:r>
            <w:r>
              <w:rPr>
                <w:rFonts w:cs="Times New Roman" w:hint="eastAsia"/>
                <w:sz w:val="21"/>
                <w:szCs w:val="21"/>
                <w:lang w:bidi="en-US"/>
              </w:rPr>
              <w:t>）</w:t>
            </w:r>
          </w:p>
        </w:tc>
        <w:tc>
          <w:tcPr>
            <w:tcW w:w="3301"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keepLines/>
              <w:autoSpaceDE w:val="0"/>
              <w:autoSpaceDN w:val="0"/>
              <w:adjustRightInd w:val="0"/>
              <w:snapToGrid w:val="0"/>
              <w:textAlignment w:val="center"/>
              <w:rPr>
                <w:rFonts w:cs="Times New Roman"/>
                <w:sz w:val="21"/>
                <w:szCs w:val="21"/>
              </w:rPr>
            </w:pPr>
            <w:r>
              <w:rPr>
                <w:rFonts w:cs="Times New Roman"/>
                <w:sz w:val="21"/>
                <w:szCs w:val="21"/>
                <w:lang w:bidi="en-US"/>
              </w:rPr>
              <w:t>加强施工管理</w:t>
            </w:r>
            <w:r>
              <w:rPr>
                <w:rFonts w:cs="Times New Roman" w:hint="eastAsia"/>
                <w:sz w:val="21"/>
                <w:szCs w:val="21"/>
                <w:lang w:bidi="en-US"/>
              </w:rPr>
              <w:t>。</w:t>
            </w:r>
          </w:p>
        </w:tc>
      </w:tr>
    </w:tbl>
    <w:p w:rsidR="00C645C9" w:rsidRDefault="00F955D9">
      <w:pPr>
        <w:pStyle w:val="3"/>
        <w:rPr>
          <w:rFonts w:ascii="Times New Roman" w:hAnsi="Times New Roman" w:cs="Times New Roman"/>
          <w:color w:val="auto"/>
          <w:szCs w:val="28"/>
          <w:lang w:eastAsia="zh-CN"/>
        </w:rPr>
      </w:pPr>
      <w:bookmarkStart w:id="853" w:name="OLE_LINK256"/>
      <w:r>
        <w:rPr>
          <w:rFonts w:ascii="Times New Roman" w:hAnsi="Times New Roman" w:cs="Times New Roman"/>
          <w:color w:val="auto"/>
          <w:szCs w:val="28"/>
          <w:lang w:eastAsia="zh-CN"/>
        </w:rPr>
        <w:t>3.</w:t>
      </w:r>
      <w:r>
        <w:rPr>
          <w:rFonts w:ascii="Times New Roman" w:hAnsi="Times New Roman" w:cs="Times New Roman" w:hint="eastAsia"/>
          <w:color w:val="auto"/>
          <w:szCs w:val="28"/>
          <w:lang w:eastAsia="zh-CN"/>
        </w:rPr>
        <w:t>3</w:t>
      </w:r>
      <w:r>
        <w:rPr>
          <w:rFonts w:ascii="Times New Roman" w:hAnsi="Times New Roman" w:cs="Times New Roman"/>
          <w:color w:val="auto"/>
          <w:szCs w:val="28"/>
          <w:lang w:eastAsia="zh-CN"/>
        </w:rPr>
        <w:t>.3</w:t>
      </w:r>
      <w:r>
        <w:rPr>
          <w:rFonts w:ascii="Times New Roman" w:hAnsi="Times New Roman" w:cs="Times New Roman"/>
          <w:color w:val="auto"/>
          <w:szCs w:val="28"/>
          <w:lang w:eastAsia="zh-CN"/>
        </w:rPr>
        <w:t>运营期环境影响因素分析</w:t>
      </w:r>
    </w:p>
    <w:bookmarkEnd w:id="853"/>
    <w:p w:rsidR="00C645C9" w:rsidRDefault="00F955D9">
      <w:pPr>
        <w:pStyle w:val="af0"/>
        <w:widowControl w:val="0"/>
        <w:adjustRightInd w:val="0"/>
        <w:spacing w:line="360" w:lineRule="auto"/>
        <w:jc w:val="both"/>
        <w:outlineLvl w:val="3"/>
        <w:rPr>
          <w:rFonts w:cs="Times New Roman"/>
          <w:b/>
          <w:bCs/>
          <w:kern w:val="2"/>
          <w:szCs w:val="20"/>
          <w:lang w:bidi="ar"/>
        </w:rPr>
      </w:pPr>
      <w:r>
        <w:rPr>
          <w:rFonts w:cs="Times New Roman"/>
          <w:b/>
          <w:bCs/>
          <w:kern w:val="2"/>
          <w:szCs w:val="20"/>
          <w:lang w:bidi="ar"/>
        </w:rPr>
        <w:t>3.</w:t>
      </w:r>
      <w:r>
        <w:rPr>
          <w:rFonts w:cs="Times New Roman" w:hint="eastAsia"/>
          <w:b/>
          <w:bCs/>
          <w:kern w:val="2"/>
          <w:szCs w:val="20"/>
          <w:lang w:bidi="ar"/>
        </w:rPr>
        <w:t>3</w:t>
      </w:r>
      <w:r>
        <w:rPr>
          <w:rFonts w:cs="Times New Roman"/>
          <w:b/>
          <w:bCs/>
          <w:kern w:val="2"/>
          <w:szCs w:val="20"/>
          <w:lang w:bidi="ar"/>
        </w:rPr>
        <w:t>.3.</w:t>
      </w:r>
      <w:r>
        <w:rPr>
          <w:rFonts w:cs="Times New Roman" w:hint="eastAsia"/>
          <w:b/>
          <w:bCs/>
          <w:kern w:val="2"/>
          <w:szCs w:val="20"/>
          <w:lang w:bidi="ar"/>
        </w:rPr>
        <w:t>1</w:t>
      </w:r>
      <w:r>
        <w:rPr>
          <w:rFonts w:cs="Times New Roman"/>
          <w:b/>
          <w:bCs/>
          <w:kern w:val="2"/>
          <w:szCs w:val="20"/>
          <w:lang w:bidi="ar"/>
        </w:rPr>
        <w:t>废水污染源</w:t>
      </w:r>
    </w:p>
    <w:p w:rsidR="00C645C9" w:rsidRDefault="00F955D9">
      <w:pPr>
        <w:pStyle w:val="af0"/>
        <w:widowControl w:val="0"/>
        <w:adjustRightInd w:val="0"/>
        <w:snapToGrid w:val="0"/>
        <w:spacing w:line="360" w:lineRule="auto"/>
        <w:ind w:firstLineChars="200" w:firstLine="480"/>
        <w:jc w:val="both"/>
        <w:rPr>
          <w:rFonts w:cs="Times New Roman"/>
          <w:kern w:val="2"/>
          <w:szCs w:val="20"/>
          <w:lang w:bidi="ar"/>
        </w:rPr>
      </w:pPr>
      <w:bookmarkStart w:id="854" w:name="OLE_LINK406"/>
      <w:r>
        <w:rPr>
          <w:rFonts w:cs="Times New Roman"/>
        </w:rPr>
        <w:t>①</w:t>
      </w:r>
      <w:r>
        <w:rPr>
          <w:rFonts w:cs="Times New Roman" w:hint="eastAsia"/>
          <w:kern w:val="2"/>
          <w:szCs w:val="20"/>
          <w:lang w:bidi="ar"/>
        </w:rPr>
        <w:t>生产废水</w:t>
      </w:r>
      <w:bookmarkEnd w:id="854"/>
    </w:p>
    <w:p w:rsidR="00C645C9" w:rsidRDefault="00F955D9">
      <w:pPr>
        <w:pStyle w:val="af0"/>
        <w:widowControl w:val="0"/>
        <w:adjustRightInd w:val="0"/>
        <w:snapToGrid w:val="0"/>
        <w:spacing w:line="360" w:lineRule="auto"/>
        <w:ind w:firstLineChars="200" w:firstLine="480"/>
        <w:jc w:val="both"/>
        <w:rPr>
          <w:rFonts w:cs="Times New Roman"/>
        </w:rPr>
      </w:pPr>
      <w:r>
        <w:rPr>
          <w:rFonts w:cs="Times New Roman"/>
          <w:kern w:val="2"/>
          <w:szCs w:val="20"/>
          <w:lang w:bidi="ar"/>
        </w:rPr>
        <w:t>本工程</w:t>
      </w:r>
      <w:r>
        <w:rPr>
          <w:rFonts w:cs="Times New Roman" w:hint="eastAsia"/>
          <w:kern w:val="2"/>
          <w:szCs w:val="20"/>
          <w:lang w:bidi="ar"/>
        </w:rPr>
        <w:t>气相经分离器分离后进入</w:t>
      </w:r>
      <w:bookmarkStart w:id="855" w:name="OLE_LINK296"/>
      <w:r>
        <w:rPr>
          <w:rFonts w:cs="Times New Roman" w:hint="eastAsia"/>
          <w:kern w:val="2"/>
          <w:szCs w:val="20"/>
          <w:lang w:bidi="ar"/>
        </w:rPr>
        <w:t>天然气</w:t>
      </w:r>
      <w:r>
        <w:rPr>
          <w:rFonts w:cs="Times New Roman" w:hint="eastAsia"/>
          <w:kern w:val="2"/>
          <w:szCs w:val="20"/>
          <w:lang w:bidi="ar"/>
        </w:rPr>
        <w:t>处理装置</w:t>
      </w:r>
      <w:bookmarkEnd w:id="855"/>
      <w:r>
        <w:rPr>
          <w:rFonts w:cs="Times New Roman" w:hint="eastAsia"/>
          <w:kern w:val="2"/>
          <w:szCs w:val="20"/>
          <w:lang w:bidi="ar"/>
        </w:rPr>
        <w:t>进行处理，</w:t>
      </w:r>
      <w:bookmarkStart w:id="856" w:name="OLE_LINK297"/>
      <w:r>
        <w:rPr>
          <w:rFonts w:cs="Times New Roman" w:hint="eastAsia"/>
          <w:kern w:val="2"/>
          <w:szCs w:val="20"/>
          <w:lang w:bidi="ar"/>
        </w:rPr>
        <w:t>天然气</w:t>
      </w:r>
      <w:r>
        <w:rPr>
          <w:rFonts w:cs="Times New Roman" w:hint="eastAsia"/>
          <w:kern w:val="2"/>
          <w:szCs w:val="20"/>
          <w:lang w:bidi="ar"/>
        </w:rPr>
        <w:t>处理</w:t>
      </w:r>
      <w:bookmarkEnd w:id="856"/>
      <w:r>
        <w:rPr>
          <w:rFonts w:cs="Times New Roman" w:hint="eastAsia"/>
          <w:kern w:val="2"/>
          <w:szCs w:val="20"/>
          <w:lang w:bidi="ar"/>
        </w:rPr>
        <w:t>过程中天然气脱水、脱烃过程等会</w:t>
      </w:r>
      <w:r>
        <w:rPr>
          <w:rFonts w:cs="Times New Roman"/>
          <w:kern w:val="2"/>
          <w:szCs w:val="20"/>
          <w:lang w:bidi="ar"/>
        </w:rPr>
        <w:t>脱离出</w:t>
      </w:r>
      <w:r>
        <w:rPr>
          <w:rFonts w:cs="Times New Roman" w:hint="eastAsia"/>
          <w:kern w:val="2"/>
          <w:szCs w:val="20"/>
          <w:lang w:bidi="ar"/>
        </w:rPr>
        <w:t>少量</w:t>
      </w:r>
      <w:r>
        <w:rPr>
          <w:rFonts w:cs="Times New Roman" w:hint="eastAsia"/>
          <w:kern w:val="2"/>
          <w:szCs w:val="20"/>
          <w:lang w:bidi="ar"/>
        </w:rPr>
        <w:t>的</w:t>
      </w:r>
      <w:r>
        <w:rPr>
          <w:rFonts w:cs="Times New Roman" w:hint="eastAsia"/>
          <w:kern w:val="2"/>
          <w:szCs w:val="20"/>
          <w:lang w:bidi="ar"/>
        </w:rPr>
        <w:t>含油</w:t>
      </w:r>
      <w:r>
        <w:rPr>
          <w:rFonts w:cs="Times New Roman"/>
          <w:kern w:val="2"/>
          <w:szCs w:val="20"/>
          <w:lang w:bidi="ar"/>
        </w:rPr>
        <w:t>废水</w:t>
      </w:r>
      <w:r>
        <w:rPr>
          <w:rFonts w:cs="Times New Roman" w:hint="eastAsia"/>
          <w:kern w:val="2"/>
          <w:szCs w:val="20"/>
          <w:lang w:bidi="ar"/>
        </w:rPr>
        <w:t>。</w:t>
      </w:r>
      <w:r>
        <w:rPr>
          <w:rFonts w:cs="Times New Roman"/>
          <w:kern w:val="2"/>
          <w:szCs w:val="20"/>
          <w:lang w:bidi="ar"/>
        </w:rPr>
        <w:t>根据</w:t>
      </w:r>
      <w:r>
        <w:rPr>
          <w:rFonts w:cs="Times New Roman" w:hint="eastAsia"/>
          <w:kern w:val="2"/>
          <w:szCs w:val="20"/>
          <w:lang w:bidi="ar"/>
        </w:rPr>
        <w:t>可研</w:t>
      </w:r>
      <w:r>
        <w:rPr>
          <w:rFonts w:cs="Times New Roman"/>
          <w:kern w:val="2"/>
          <w:szCs w:val="20"/>
          <w:lang w:bidi="ar"/>
        </w:rPr>
        <w:t>资料和</w:t>
      </w:r>
      <w:bookmarkStart w:id="857" w:name="OLE_LINK326"/>
      <w:r>
        <w:rPr>
          <w:rFonts w:cs="Times New Roman"/>
          <w:kern w:val="2"/>
          <w:szCs w:val="20"/>
          <w:lang w:bidi="ar"/>
        </w:rPr>
        <w:t>类比分析</w:t>
      </w:r>
      <w:bookmarkEnd w:id="857"/>
      <w:r>
        <w:rPr>
          <w:rFonts w:cs="Times New Roman"/>
          <w:kern w:val="2"/>
          <w:szCs w:val="20"/>
          <w:lang w:bidi="ar"/>
        </w:rPr>
        <w:t>，</w:t>
      </w:r>
      <w:r>
        <w:rPr>
          <w:rFonts w:cs="Times New Roman" w:hint="eastAsia"/>
          <w:kern w:val="2"/>
          <w:szCs w:val="20"/>
          <w:lang w:bidi="ar"/>
        </w:rPr>
        <w:t>本工程天然气处理过程</w:t>
      </w:r>
      <w:r>
        <w:rPr>
          <w:rFonts w:cs="Times New Roman"/>
          <w:kern w:val="2"/>
          <w:szCs w:val="20"/>
          <w:lang w:bidi="ar"/>
        </w:rPr>
        <w:t>约产生</w:t>
      </w:r>
      <w:bookmarkStart w:id="858" w:name="OLE_LINK407"/>
      <w:r>
        <w:rPr>
          <w:rFonts w:cs="Times New Roman"/>
          <w:kern w:val="2"/>
          <w:szCs w:val="20"/>
          <w:lang w:bidi="ar"/>
        </w:rPr>
        <w:t>0.5</w:t>
      </w:r>
      <w:r>
        <w:rPr>
          <w:rFonts w:cs="Times New Roman" w:hint="eastAsia"/>
          <w:kern w:val="2"/>
          <w:szCs w:val="20"/>
          <w:lang w:bidi="ar"/>
        </w:rPr>
        <w:t>t/d</w:t>
      </w:r>
      <w:bookmarkEnd w:id="858"/>
      <w:r>
        <w:rPr>
          <w:rFonts w:cs="Times New Roman"/>
          <w:kern w:val="2"/>
          <w:szCs w:val="20"/>
          <w:lang w:bidi="ar"/>
        </w:rPr>
        <w:t>的</w:t>
      </w:r>
      <w:r>
        <w:rPr>
          <w:rFonts w:cs="Times New Roman" w:hint="eastAsia"/>
          <w:kern w:val="2"/>
          <w:szCs w:val="20"/>
          <w:lang w:bidi="ar"/>
        </w:rPr>
        <w:t>废</w:t>
      </w:r>
      <w:r>
        <w:rPr>
          <w:rFonts w:cs="Times New Roman"/>
          <w:kern w:val="2"/>
          <w:szCs w:val="20"/>
          <w:lang w:bidi="ar"/>
        </w:rPr>
        <w:t>水</w:t>
      </w:r>
      <w:r>
        <w:rPr>
          <w:rFonts w:cs="Times New Roman" w:hint="eastAsia"/>
          <w:kern w:val="2"/>
          <w:szCs w:val="20"/>
          <w:lang w:bidi="ar"/>
        </w:rPr>
        <w:t>，产生的废水</w:t>
      </w:r>
      <w:bookmarkStart w:id="859" w:name="OLE_LINK408"/>
      <w:bookmarkStart w:id="860" w:name="OLE_LINK312"/>
      <w:r>
        <w:rPr>
          <w:rFonts w:cs="Times New Roman" w:hint="eastAsia"/>
          <w:kern w:val="2"/>
          <w:szCs w:val="20"/>
          <w:lang w:bidi="ar"/>
        </w:rPr>
        <w:t>由罐车拉运至塔河油田绿色环保工作站处理</w:t>
      </w:r>
      <w:bookmarkEnd w:id="859"/>
      <w:r>
        <w:rPr>
          <w:rFonts w:cs="Times New Roman"/>
        </w:rPr>
        <w:t>。</w:t>
      </w:r>
      <w:bookmarkEnd w:id="860"/>
    </w:p>
    <w:p w:rsidR="00C645C9" w:rsidRDefault="00F955D9">
      <w:pPr>
        <w:pStyle w:val="af0"/>
        <w:widowControl w:val="0"/>
        <w:adjustRightInd w:val="0"/>
        <w:snapToGrid w:val="0"/>
        <w:spacing w:line="360" w:lineRule="auto"/>
        <w:ind w:firstLineChars="200" w:firstLine="480"/>
        <w:jc w:val="both"/>
        <w:rPr>
          <w:rFonts w:cs="Times New Roman"/>
          <w:kern w:val="2"/>
          <w:szCs w:val="20"/>
          <w:lang w:bidi="ar"/>
        </w:rPr>
      </w:pPr>
      <w:r>
        <w:rPr>
          <w:rFonts w:cs="Times New Roman"/>
        </w:rPr>
        <w:t>②</w:t>
      </w:r>
      <w:r>
        <w:rPr>
          <w:rFonts w:cs="Times New Roman"/>
          <w:kern w:val="2"/>
          <w:szCs w:val="20"/>
          <w:lang w:bidi="ar"/>
        </w:rPr>
        <w:t>井下作业废水</w:t>
      </w:r>
    </w:p>
    <w:p w:rsidR="00C645C9" w:rsidRDefault="00F955D9">
      <w:pPr>
        <w:pStyle w:val="af0"/>
        <w:widowControl w:val="0"/>
        <w:adjustRightInd w:val="0"/>
        <w:snapToGrid w:val="0"/>
        <w:spacing w:line="360" w:lineRule="auto"/>
        <w:ind w:firstLineChars="200" w:firstLine="480"/>
        <w:jc w:val="both"/>
        <w:rPr>
          <w:rFonts w:cs="Times New Roman"/>
          <w:kern w:val="2"/>
        </w:rPr>
      </w:pPr>
      <w:r>
        <w:rPr>
          <w:rFonts w:cs="Times New Roman"/>
          <w:kern w:val="2"/>
        </w:rPr>
        <w:t>井下作业废水的主要来源为修井过程产生的压井水和压井液、修井时的循环水及洗井时产生的洗井废水。根据</w:t>
      </w:r>
      <w:r>
        <w:rPr>
          <w:rFonts w:cs="Times New Roman"/>
          <w:kern w:val="2"/>
        </w:rPr>
        <w:t>《</w:t>
      </w:r>
      <w:bookmarkStart w:id="861" w:name="OLE_LINK298"/>
      <w:r>
        <w:rPr>
          <w:rFonts w:cs="Times New Roman"/>
          <w:lang w:val="en"/>
        </w:rPr>
        <w:fldChar w:fldCharType="begin"/>
      </w:r>
      <w:r>
        <w:rPr>
          <w:rFonts w:cs="Times New Roman"/>
          <w:lang w:val="en"/>
        </w:rPr>
        <w:instrText xml:space="preserve"> HYPERLINK "</w:instrText>
      </w:r>
      <w:r>
        <w:rPr>
          <w:rFonts w:cs="Times New Roman"/>
          <w:lang w:val="en"/>
        </w:rPr>
        <w:instrText xml:space="preserve">https://www.mee.gov.cn/xxgk2018/xxgk/xxgk01/202104/W020210430349811955644.pdf" </w:instrText>
      </w:r>
      <w:r>
        <w:rPr>
          <w:rFonts w:cs="Times New Roman"/>
          <w:lang w:val="en"/>
        </w:rPr>
        <w:fldChar w:fldCharType="separate"/>
      </w:r>
      <w:r>
        <w:rPr>
          <w:rStyle w:val="af5"/>
          <w:rFonts w:cs="Times New Roman"/>
          <w:color w:val="auto"/>
          <w:u w:val="none"/>
          <w:lang w:val="en"/>
        </w:rPr>
        <w:t>生态环境部已发布的排放源统计调查制度排（产）污系数清单</w:t>
      </w:r>
      <w:r>
        <w:rPr>
          <w:rFonts w:cs="Times New Roman"/>
          <w:lang w:val="en"/>
        </w:rPr>
        <w:fldChar w:fldCharType="end"/>
      </w:r>
      <w:bookmarkEnd w:id="861"/>
      <w:r>
        <w:rPr>
          <w:rFonts w:cs="Times New Roman"/>
          <w:kern w:val="2"/>
        </w:rPr>
        <w:t>》（</w:t>
      </w:r>
      <w:r>
        <w:rPr>
          <w:rFonts w:cs="Times New Roman"/>
          <w:kern w:val="2"/>
        </w:rPr>
        <w:t>公告</w:t>
      </w:r>
      <w:r>
        <w:rPr>
          <w:rFonts w:cs="Times New Roman"/>
          <w:kern w:val="2"/>
        </w:rPr>
        <w:t>2021</w:t>
      </w:r>
      <w:r>
        <w:rPr>
          <w:rFonts w:cs="Times New Roman"/>
          <w:kern w:val="2"/>
        </w:rPr>
        <w:t>年第</w:t>
      </w:r>
      <w:r>
        <w:rPr>
          <w:rFonts w:cs="Times New Roman"/>
          <w:kern w:val="2"/>
        </w:rPr>
        <w:t>16</w:t>
      </w:r>
      <w:r>
        <w:rPr>
          <w:rFonts w:cs="Times New Roman"/>
          <w:kern w:val="2"/>
        </w:rPr>
        <w:t>号</w:t>
      </w:r>
      <w:r>
        <w:rPr>
          <w:rFonts w:cs="Times New Roman"/>
          <w:kern w:val="2"/>
        </w:rPr>
        <w:t>）</w:t>
      </w:r>
      <w:r>
        <w:rPr>
          <w:rFonts w:cs="Times New Roman"/>
          <w:kern w:val="2"/>
        </w:rPr>
        <w:t>中</w:t>
      </w:r>
      <w:r>
        <w:rPr>
          <w:rFonts w:cs="Times New Roman" w:hint="eastAsia"/>
          <w:kern w:val="2"/>
        </w:rPr>
        <w:t>“</w:t>
      </w:r>
      <w:r>
        <w:rPr>
          <w:rFonts w:cs="Times New Roman"/>
          <w:kern w:val="2"/>
        </w:rPr>
        <w:t>与石油和天然气开采有关的服</w:t>
      </w:r>
      <w:r>
        <w:rPr>
          <w:rFonts w:cs="Times New Roman"/>
          <w:kern w:val="2"/>
        </w:rPr>
        <w:lastRenderedPageBreak/>
        <w:t>务活动</w:t>
      </w:r>
      <w:r>
        <w:rPr>
          <w:rFonts w:cs="Times New Roman" w:hint="eastAsia"/>
          <w:kern w:val="2"/>
        </w:rPr>
        <w:t>”</w:t>
      </w:r>
      <w:r>
        <w:rPr>
          <w:rFonts w:cs="Times New Roman"/>
          <w:kern w:val="2"/>
        </w:rPr>
        <w:t>产排污系数见表</w:t>
      </w:r>
      <w:r>
        <w:rPr>
          <w:rFonts w:cs="Times New Roman"/>
          <w:kern w:val="2"/>
        </w:rPr>
        <w:t>3.</w:t>
      </w:r>
      <w:r>
        <w:rPr>
          <w:rFonts w:cs="Times New Roman" w:hint="eastAsia"/>
          <w:kern w:val="2"/>
        </w:rPr>
        <w:t>3-6</w:t>
      </w:r>
      <w:r>
        <w:rPr>
          <w:rFonts w:cs="Times New Roman"/>
          <w:kern w:val="2"/>
        </w:rPr>
        <w:t>，计算井下作业废水的产生量。</w:t>
      </w:r>
    </w:p>
    <w:p w:rsidR="00C645C9" w:rsidRDefault="00F955D9">
      <w:pPr>
        <w:widowControl w:val="0"/>
        <w:jc w:val="center"/>
        <w:rPr>
          <w:rFonts w:eastAsia="黑体" w:cs="Times New Roman"/>
          <w:bCs/>
          <w:sz w:val="21"/>
          <w:szCs w:val="21"/>
        </w:rPr>
      </w:pPr>
      <w:r>
        <w:rPr>
          <w:rFonts w:eastAsia="黑体" w:cs="Times New Roman"/>
          <w:bCs/>
          <w:sz w:val="21"/>
          <w:szCs w:val="21"/>
        </w:rPr>
        <w:t>表</w:t>
      </w:r>
      <w:r>
        <w:rPr>
          <w:rFonts w:eastAsia="黑体" w:cs="Times New Roman"/>
          <w:bCs/>
          <w:sz w:val="21"/>
          <w:szCs w:val="21"/>
        </w:rPr>
        <w:t>3.</w:t>
      </w:r>
      <w:r>
        <w:rPr>
          <w:rFonts w:eastAsia="黑体" w:cs="Times New Roman" w:hint="eastAsia"/>
          <w:bCs/>
          <w:sz w:val="21"/>
          <w:szCs w:val="21"/>
        </w:rPr>
        <w:t>3-6</w:t>
      </w:r>
      <w:r>
        <w:rPr>
          <w:rFonts w:eastAsia="黑体" w:cs="Times New Roman"/>
          <w:bCs/>
          <w:sz w:val="21"/>
          <w:szCs w:val="21"/>
        </w:rPr>
        <w:t xml:space="preserve">   </w:t>
      </w:r>
      <w:r>
        <w:rPr>
          <w:rFonts w:eastAsia="黑体" w:cs="Times New Roman"/>
          <w:bCs/>
          <w:sz w:val="21"/>
          <w:szCs w:val="21"/>
        </w:rPr>
        <w:t>与石油和天然气开采有关的服务活动产排污系数一览表</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56"/>
        <w:gridCol w:w="913"/>
        <w:gridCol w:w="674"/>
        <w:gridCol w:w="1336"/>
        <w:gridCol w:w="1456"/>
        <w:gridCol w:w="1020"/>
        <w:gridCol w:w="1110"/>
        <w:gridCol w:w="674"/>
      </w:tblGrid>
      <w:tr w:rsidR="00C645C9">
        <w:trPr>
          <w:jc w:val="center"/>
        </w:trPr>
        <w:tc>
          <w:tcPr>
            <w:tcW w:w="395" w:type="pct"/>
            <w:vAlign w:val="center"/>
          </w:tcPr>
          <w:p w:rsidR="00C645C9" w:rsidRDefault="00F955D9">
            <w:pPr>
              <w:spacing w:line="240" w:lineRule="exact"/>
              <w:jc w:val="both"/>
              <w:rPr>
                <w:rFonts w:cs="Times New Roman"/>
                <w:sz w:val="21"/>
                <w:szCs w:val="21"/>
              </w:rPr>
            </w:pPr>
            <w:r>
              <w:rPr>
                <w:rFonts w:cs="Times New Roman"/>
                <w:sz w:val="21"/>
                <w:szCs w:val="21"/>
              </w:rPr>
              <w:t>产品</w:t>
            </w:r>
          </w:p>
          <w:p w:rsidR="00C645C9" w:rsidRDefault="00F955D9">
            <w:pPr>
              <w:spacing w:line="240" w:lineRule="exact"/>
              <w:jc w:val="both"/>
              <w:rPr>
                <w:rFonts w:cs="Times New Roman"/>
                <w:sz w:val="21"/>
                <w:szCs w:val="21"/>
              </w:rPr>
            </w:pPr>
            <w:r>
              <w:rPr>
                <w:rFonts w:cs="Times New Roman"/>
                <w:sz w:val="21"/>
                <w:szCs w:val="21"/>
              </w:rPr>
              <w:t>名称</w:t>
            </w:r>
          </w:p>
        </w:tc>
        <w:tc>
          <w:tcPr>
            <w:tcW w:w="490" w:type="pct"/>
            <w:vAlign w:val="center"/>
          </w:tcPr>
          <w:p w:rsidR="00C645C9" w:rsidRDefault="00F955D9">
            <w:pPr>
              <w:spacing w:line="240" w:lineRule="exact"/>
              <w:jc w:val="center"/>
              <w:rPr>
                <w:rFonts w:cs="Times New Roman"/>
                <w:sz w:val="21"/>
                <w:szCs w:val="21"/>
              </w:rPr>
            </w:pPr>
            <w:r>
              <w:rPr>
                <w:rFonts w:cs="Times New Roman"/>
                <w:sz w:val="21"/>
                <w:szCs w:val="21"/>
              </w:rPr>
              <w:t>原料</w:t>
            </w:r>
          </w:p>
          <w:p w:rsidR="00C645C9" w:rsidRDefault="00F955D9">
            <w:pPr>
              <w:spacing w:line="240" w:lineRule="exact"/>
              <w:jc w:val="center"/>
              <w:rPr>
                <w:rFonts w:cs="Times New Roman"/>
                <w:sz w:val="21"/>
                <w:szCs w:val="21"/>
              </w:rPr>
            </w:pPr>
            <w:r>
              <w:rPr>
                <w:rFonts w:cs="Times New Roman"/>
                <w:sz w:val="21"/>
                <w:szCs w:val="21"/>
              </w:rPr>
              <w:t>名称</w:t>
            </w:r>
          </w:p>
        </w:tc>
        <w:tc>
          <w:tcPr>
            <w:tcW w:w="523" w:type="pct"/>
            <w:vAlign w:val="center"/>
          </w:tcPr>
          <w:p w:rsidR="00C645C9" w:rsidRDefault="00F955D9">
            <w:pPr>
              <w:spacing w:line="240" w:lineRule="exact"/>
              <w:jc w:val="center"/>
              <w:rPr>
                <w:rFonts w:cs="Times New Roman"/>
                <w:sz w:val="21"/>
                <w:szCs w:val="21"/>
              </w:rPr>
            </w:pPr>
            <w:r>
              <w:rPr>
                <w:rFonts w:cs="Times New Roman"/>
                <w:sz w:val="21"/>
                <w:szCs w:val="21"/>
              </w:rPr>
              <w:t>工艺</w:t>
            </w:r>
          </w:p>
          <w:p w:rsidR="00C645C9" w:rsidRDefault="00F955D9">
            <w:pPr>
              <w:spacing w:line="240" w:lineRule="exact"/>
              <w:jc w:val="center"/>
              <w:rPr>
                <w:rFonts w:cs="Times New Roman"/>
                <w:sz w:val="21"/>
                <w:szCs w:val="21"/>
              </w:rPr>
            </w:pPr>
            <w:r>
              <w:rPr>
                <w:rFonts w:cs="Times New Roman"/>
                <w:sz w:val="21"/>
                <w:szCs w:val="21"/>
              </w:rPr>
              <w:t>名称</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规模</w:t>
            </w:r>
          </w:p>
          <w:p w:rsidR="00C645C9" w:rsidRDefault="00F955D9">
            <w:pPr>
              <w:spacing w:line="240" w:lineRule="exact"/>
              <w:jc w:val="center"/>
              <w:rPr>
                <w:rFonts w:cs="Times New Roman"/>
                <w:sz w:val="21"/>
                <w:szCs w:val="21"/>
              </w:rPr>
            </w:pPr>
            <w:r>
              <w:rPr>
                <w:rFonts w:cs="Times New Roman"/>
                <w:sz w:val="21"/>
                <w:szCs w:val="21"/>
              </w:rPr>
              <w:t>等级</w:t>
            </w: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污染物指标</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单位</w:t>
            </w:r>
          </w:p>
        </w:tc>
        <w:tc>
          <w:tcPr>
            <w:tcW w:w="584" w:type="pct"/>
            <w:vAlign w:val="center"/>
          </w:tcPr>
          <w:p w:rsidR="00C645C9" w:rsidRDefault="00F955D9">
            <w:pPr>
              <w:spacing w:line="240" w:lineRule="exact"/>
              <w:jc w:val="center"/>
              <w:rPr>
                <w:rFonts w:cs="Times New Roman"/>
                <w:sz w:val="21"/>
                <w:szCs w:val="21"/>
              </w:rPr>
            </w:pPr>
            <w:r>
              <w:rPr>
                <w:rFonts w:cs="Times New Roman"/>
                <w:sz w:val="21"/>
                <w:szCs w:val="21"/>
              </w:rPr>
              <w:t>产污</w:t>
            </w:r>
          </w:p>
          <w:p w:rsidR="00C645C9" w:rsidRDefault="00F955D9">
            <w:pPr>
              <w:spacing w:line="240" w:lineRule="exact"/>
              <w:jc w:val="center"/>
              <w:rPr>
                <w:rFonts w:cs="Times New Roman"/>
                <w:sz w:val="21"/>
                <w:szCs w:val="21"/>
              </w:rPr>
            </w:pPr>
            <w:r>
              <w:rPr>
                <w:rFonts w:cs="Times New Roman"/>
                <w:sz w:val="21"/>
                <w:szCs w:val="21"/>
              </w:rPr>
              <w:t>系数</w:t>
            </w:r>
          </w:p>
        </w:tc>
        <w:tc>
          <w:tcPr>
            <w:tcW w:w="635" w:type="pct"/>
            <w:vAlign w:val="center"/>
          </w:tcPr>
          <w:p w:rsidR="00C645C9" w:rsidRDefault="00F955D9">
            <w:pPr>
              <w:spacing w:line="240" w:lineRule="exact"/>
              <w:jc w:val="center"/>
              <w:rPr>
                <w:rFonts w:cs="Times New Roman"/>
                <w:sz w:val="21"/>
                <w:szCs w:val="21"/>
              </w:rPr>
            </w:pPr>
            <w:r>
              <w:rPr>
                <w:rFonts w:cs="Times New Roman"/>
                <w:sz w:val="21"/>
                <w:szCs w:val="21"/>
              </w:rPr>
              <w:t>末端治理技术名称</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排污</w:t>
            </w:r>
          </w:p>
          <w:p w:rsidR="00C645C9" w:rsidRDefault="00F955D9">
            <w:pPr>
              <w:spacing w:line="240" w:lineRule="exact"/>
              <w:jc w:val="center"/>
              <w:rPr>
                <w:rFonts w:cs="Times New Roman"/>
                <w:sz w:val="21"/>
                <w:szCs w:val="21"/>
              </w:rPr>
            </w:pPr>
            <w:r>
              <w:rPr>
                <w:rFonts w:cs="Times New Roman"/>
                <w:sz w:val="21"/>
                <w:szCs w:val="21"/>
              </w:rPr>
              <w:t>系数</w:t>
            </w:r>
          </w:p>
        </w:tc>
      </w:tr>
      <w:tr w:rsidR="00C645C9">
        <w:trPr>
          <w:jc w:val="center"/>
        </w:trPr>
        <w:tc>
          <w:tcPr>
            <w:tcW w:w="395"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井下作业</w:t>
            </w:r>
          </w:p>
        </w:tc>
        <w:tc>
          <w:tcPr>
            <w:tcW w:w="490"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洗井液</w:t>
            </w:r>
          </w:p>
          <w:p w:rsidR="00C645C9" w:rsidRDefault="00F955D9">
            <w:pPr>
              <w:spacing w:line="240" w:lineRule="exact"/>
              <w:jc w:val="center"/>
              <w:rPr>
                <w:rFonts w:cs="Times New Roman"/>
                <w:sz w:val="21"/>
                <w:szCs w:val="21"/>
              </w:rPr>
            </w:pPr>
            <w:r>
              <w:rPr>
                <w:rFonts w:cs="Times New Roman"/>
                <w:sz w:val="21"/>
                <w:szCs w:val="21"/>
              </w:rPr>
              <w:t>（</w:t>
            </w:r>
            <w:r>
              <w:rPr>
                <w:rFonts w:cs="Times New Roman"/>
                <w:sz w:val="21"/>
                <w:szCs w:val="21"/>
              </w:rPr>
              <w:t>水</w:t>
            </w:r>
            <w:r>
              <w:rPr>
                <w:rFonts w:cs="Times New Roman"/>
                <w:sz w:val="21"/>
                <w:szCs w:val="21"/>
              </w:rPr>
              <w:t>）</w:t>
            </w:r>
          </w:p>
        </w:tc>
        <w:tc>
          <w:tcPr>
            <w:tcW w:w="523"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非低渗透油井洗井作业</w:t>
            </w:r>
          </w:p>
        </w:tc>
        <w:tc>
          <w:tcPr>
            <w:tcW w:w="386"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所有规模</w:t>
            </w: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工业废水量</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吨</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r>
              <w:rPr>
                <w:rFonts w:cs="Times New Roman"/>
                <w:sz w:val="21"/>
                <w:szCs w:val="21"/>
              </w:rPr>
              <w:t>76.04</w:t>
            </w:r>
          </w:p>
        </w:tc>
        <w:tc>
          <w:tcPr>
            <w:tcW w:w="635" w:type="pct"/>
            <w:vAlign w:val="center"/>
          </w:tcPr>
          <w:p w:rsidR="00C645C9" w:rsidRDefault="00F955D9">
            <w:pPr>
              <w:spacing w:line="240" w:lineRule="exact"/>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r w:rsidR="00C645C9">
        <w:trPr>
          <w:jc w:val="center"/>
        </w:trPr>
        <w:tc>
          <w:tcPr>
            <w:tcW w:w="395" w:type="pct"/>
            <w:vMerge/>
            <w:vAlign w:val="center"/>
          </w:tcPr>
          <w:p w:rsidR="00C645C9" w:rsidRDefault="00C645C9">
            <w:pPr>
              <w:spacing w:line="240" w:lineRule="exact"/>
              <w:jc w:val="center"/>
              <w:rPr>
                <w:rFonts w:cs="Times New Roman"/>
                <w:sz w:val="21"/>
                <w:szCs w:val="21"/>
              </w:rPr>
            </w:pPr>
          </w:p>
        </w:tc>
        <w:tc>
          <w:tcPr>
            <w:tcW w:w="490" w:type="pct"/>
            <w:vMerge/>
            <w:vAlign w:val="center"/>
          </w:tcPr>
          <w:p w:rsidR="00C645C9" w:rsidRDefault="00C645C9">
            <w:pPr>
              <w:spacing w:line="240" w:lineRule="exact"/>
              <w:jc w:val="center"/>
              <w:rPr>
                <w:rFonts w:cs="Times New Roman"/>
                <w:sz w:val="21"/>
                <w:szCs w:val="21"/>
              </w:rPr>
            </w:pPr>
          </w:p>
        </w:tc>
        <w:tc>
          <w:tcPr>
            <w:tcW w:w="523" w:type="pct"/>
            <w:vMerge/>
            <w:vAlign w:val="center"/>
          </w:tcPr>
          <w:p w:rsidR="00C645C9" w:rsidRDefault="00C645C9">
            <w:pPr>
              <w:spacing w:line="240" w:lineRule="exact"/>
              <w:jc w:val="center"/>
              <w:rPr>
                <w:rFonts w:cs="Times New Roman"/>
                <w:sz w:val="21"/>
                <w:szCs w:val="21"/>
              </w:rPr>
            </w:pPr>
          </w:p>
        </w:tc>
        <w:tc>
          <w:tcPr>
            <w:tcW w:w="386" w:type="pct"/>
            <w:vMerge/>
            <w:vAlign w:val="center"/>
          </w:tcPr>
          <w:p w:rsidR="00C645C9" w:rsidRDefault="00C645C9">
            <w:pPr>
              <w:spacing w:line="240" w:lineRule="exact"/>
              <w:jc w:val="center"/>
              <w:rPr>
                <w:rFonts w:cs="Times New Roman"/>
                <w:sz w:val="21"/>
                <w:szCs w:val="21"/>
              </w:rPr>
            </w:pP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化学需氧量</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克</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r>
              <w:rPr>
                <w:rFonts w:cs="Times New Roman"/>
                <w:sz w:val="21"/>
                <w:szCs w:val="21"/>
              </w:rPr>
              <w:t>104525.3</w:t>
            </w:r>
          </w:p>
        </w:tc>
        <w:tc>
          <w:tcPr>
            <w:tcW w:w="635" w:type="pct"/>
            <w:vAlign w:val="center"/>
          </w:tcPr>
          <w:p w:rsidR="00C645C9" w:rsidRDefault="00F955D9">
            <w:pPr>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r w:rsidR="00C645C9">
        <w:trPr>
          <w:jc w:val="center"/>
        </w:trPr>
        <w:tc>
          <w:tcPr>
            <w:tcW w:w="395" w:type="pct"/>
            <w:vMerge/>
            <w:vAlign w:val="center"/>
          </w:tcPr>
          <w:p w:rsidR="00C645C9" w:rsidRDefault="00C645C9">
            <w:pPr>
              <w:spacing w:line="240" w:lineRule="exact"/>
              <w:jc w:val="center"/>
              <w:rPr>
                <w:rFonts w:cs="Times New Roman"/>
                <w:sz w:val="21"/>
                <w:szCs w:val="21"/>
              </w:rPr>
            </w:pPr>
          </w:p>
        </w:tc>
        <w:tc>
          <w:tcPr>
            <w:tcW w:w="490" w:type="pct"/>
            <w:vMerge/>
            <w:vAlign w:val="center"/>
          </w:tcPr>
          <w:p w:rsidR="00C645C9" w:rsidRDefault="00C645C9">
            <w:pPr>
              <w:spacing w:line="240" w:lineRule="exact"/>
              <w:jc w:val="center"/>
              <w:rPr>
                <w:rFonts w:cs="Times New Roman"/>
                <w:sz w:val="21"/>
                <w:szCs w:val="21"/>
              </w:rPr>
            </w:pPr>
          </w:p>
        </w:tc>
        <w:tc>
          <w:tcPr>
            <w:tcW w:w="523" w:type="pct"/>
            <w:vMerge/>
            <w:vAlign w:val="center"/>
          </w:tcPr>
          <w:p w:rsidR="00C645C9" w:rsidRDefault="00C645C9">
            <w:pPr>
              <w:spacing w:line="240" w:lineRule="exact"/>
              <w:jc w:val="center"/>
              <w:rPr>
                <w:rFonts w:cs="Times New Roman"/>
                <w:sz w:val="21"/>
                <w:szCs w:val="21"/>
              </w:rPr>
            </w:pPr>
          </w:p>
        </w:tc>
        <w:tc>
          <w:tcPr>
            <w:tcW w:w="386" w:type="pct"/>
            <w:vMerge/>
            <w:vAlign w:val="center"/>
          </w:tcPr>
          <w:p w:rsidR="00C645C9" w:rsidRDefault="00C645C9">
            <w:pPr>
              <w:spacing w:line="240" w:lineRule="exact"/>
              <w:jc w:val="center"/>
              <w:rPr>
                <w:rFonts w:cs="Times New Roman"/>
                <w:sz w:val="21"/>
                <w:szCs w:val="21"/>
              </w:rPr>
            </w:pP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石油类</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克</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r>
              <w:rPr>
                <w:rFonts w:cs="Times New Roman"/>
                <w:sz w:val="21"/>
                <w:szCs w:val="21"/>
              </w:rPr>
              <w:t>17645</w:t>
            </w:r>
          </w:p>
        </w:tc>
        <w:tc>
          <w:tcPr>
            <w:tcW w:w="635" w:type="pct"/>
            <w:vAlign w:val="center"/>
          </w:tcPr>
          <w:p w:rsidR="00C645C9" w:rsidRDefault="00F955D9">
            <w:pPr>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r w:rsidR="00C645C9">
        <w:trPr>
          <w:jc w:val="center"/>
        </w:trPr>
        <w:tc>
          <w:tcPr>
            <w:tcW w:w="395" w:type="pct"/>
            <w:vMerge/>
            <w:vAlign w:val="center"/>
          </w:tcPr>
          <w:p w:rsidR="00C645C9" w:rsidRDefault="00C645C9">
            <w:pPr>
              <w:spacing w:line="240" w:lineRule="exact"/>
              <w:jc w:val="center"/>
              <w:rPr>
                <w:rFonts w:cs="Times New Roman"/>
                <w:sz w:val="21"/>
                <w:szCs w:val="21"/>
              </w:rPr>
            </w:pPr>
          </w:p>
        </w:tc>
        <w:tc>
          <w:tcPr>
            <w:tcW w:w="490" w:type="pct"/>
            <w:vMerge/>
            <w:vAlign w:val="center"/>
          </w:tcPr>
          <w:p w:rsidR="00C645C9" w:rsidRDefault="00C645C9">
            <w:pPr>
              <w:spacing w:line="240" w:lineRule="exact"/>
              <w:jc w:val="center"/>
              <w:rPr>
                <w:rFonts w:cs="Times New Roman"/>
                <w:sz w:val="21"/>
                <w:szCs w:val="21"/>
              </w:rPr>
            </w:pPr>
          </w:p>
        </w:tc>
        <w:tc>
          <w:tcPr>
            <w:tcW w:w="523" w:type="pct"/>
            <w:vMerge w:val="restart"/>
            <w:vAlign w:val="center"/>
          </w:tcPr>
          <w:p w:rsidR="00C645C9" w:rsidRDefault="00F955D9">
            <w:pPr>
              <w:spacing w:line="240" w:lineRule="exact"/>
              <w:jc w:val="center"/>
              <w:rPr>
                <w:rFonts w:cs="Times New Roman"/>
                <w:sz w:val="21"/>
                <w:szCs w:val="21"/>
              </w:rPr>
            </w:pPr>
            <w:bookmarkStart w:id="862" w:name="OLE_LINK301"/>
            <w:bookmarkStart w:id="863" w:name="OLE_LINK300"/>
            <w:r>
              <w:rPr>
                <w:rFonts w:cs="Times New Roman"/>
                <w:sz w:val="21"/>
                <w:szCs w:val="21"/>
              </w:rPr>
              <w:t>低渗透</w:t>
            </w:r>
            <w:bookmarkEnd w:id="862"/>
            <w:r>
              <w:rPr>
                <w:rFonts w:cs="Times New Roman"/>
                <w:sz w:val="21"/>
                <w:szCs w:val="21"/>
              </w:rPr>
              <w:t>油井洗井作业</w:t>
            </w:r>
            <w:bookmarkEnd w:id="863"/>
          </w:p>
        </w:tc>
        <w:tc>
          <w:tcPr>
            <w:tcW w:w="386"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所有规模</w:t>
            </w: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工业废水量</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吨</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bookmarkStart w:id="864" w:name="OLE_LINK303"/>
            <w:r>
              <w:rPr>
                <w:rFonts w:cs="Times New Roman"/>
                <w:sz w:val="21"/>
                <w:szCs w:val="21"/>
              </w:rPr>
              <w:t>27.13</w:t>
            </w:r>
            <w:bookmarkEnd w:id="864"/>
          </w:p>
        </w:tc>
        <w:tc>
          <w:tcPr>
            <w:tcW w:w="635" w:type="pct"/>
            <w:vAlign w:val="center"/>
          </w:tcPr>
          <w:p w:rsidR="00C645C9" w:rsidRDefault="00F955D9">
            <w:pPr>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r w:rsidR="00C645C9">
        <w:trPr>
          <w:jc w:val="center"/>
        </w:trPr>
        <w:tc>
          <w:tcPr>
            <w:tcW w:w="395" w:type="pct"/>
            <w:vMerge/>
            <w:vAlign w:val="center"/>
          </w:tcPr>
          <w:p w:rsidR="00C645C9" w:rsidRDefault="00C645C9">
            <w:pPr>
              <w:spacing w:line="240" w:lineRule="exact"/>
              <w:jc w:val="center"/>
              <w:rPr>
                <w:rFonts w:cs="Times New Roman"/>
                <w:sz w:val="21"/>
                <w:szCs w:val="21"/>
              </w:rPr>
            </w:pPr>
          </w:p>
        </w:tc>
        <w:tc>
          <w:tcPr>
            <w:tcW w:w="490" w:type="pct"/>
            <w:vMerge/>
            <w:vAlign w:val="center"/>
          </w:tcPr>
          <w:p w:rsidR="00C645C9" w:rsidRDefault="00C645C9">
            <w:pPr>
              <w:spacing w:line="240" w:lineRule="exact"/>
              <w:jc w:val="center"/>
              <w:rPr>
                <w:rFonts w:cs="Times New Roman"/>
                <w:sz w:val="21"/>
                <w:szCs w:val="21"/>
              </w:rPr>
            </w:pPr>
          </w:p>
        </w:tc>
        <w:tc>
          <w:tcPr>
            <w:tcW w:w="523" w:type="pct"/>
            <w:vMerge/>
            <w:vAlign w:val="center"/>
          </w:tcPr>
          <w:p w:rsidR="00C645C9" w:rsidRDefault="00C645C9">
            <w:pPr>
              <w:spacing w:line="240" w:lineRule="exact"/>
              <w:jc w:val="center"/>
              <w:rPr>
                <w:rFonts w:cs="Times New Roman"/>
                <w:sz w:val="21"/>
                <w:szCs w:val="21"/>
              </w:rPr>
            </w:pPr>
          </w:p>
        </w:tc>
        <w:tc>
          <w:tcPr>
            <w:tcW w:w="386" w:type="pct"/>
            <w:vMerge/>
            <w:vAlign w:val="center"/>
          </w:tcPr>
          <w:p w:rsidR="00C645C9" w:rsidRDefault="00C645C9">
            <w:pPr>
              <w:spacing w:line="240" w:lineRule="exact"/>
              <w:jc w:val="center"/>
              <w:rPr>
                <w:rFonts w:cs="Times New Roman"/>
                <w:sz w:val="21"/>
                <w:szCs w:val="21"/>
              </w:rPr>
            </w:pP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化学需氧量</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克</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bookmarkStart w:id="865" w:name="OLE_LINK304"/>
            <w:r>
              <w:rPr>
                <w:rFonts w:cs="Times New Roman"/>
                <w:sz w:val="21"/>
                <w:szCs w:val="21"/>
              </w:rPr>
              <w:t>34679.3</w:t>
            </w:r>
            <w:bookmarkEnd w:id="865"/>
          </w:p>
        </w:tc>
        <w:tc>
          <w:tcPr>
            <w:tcW w:w="635" w:type="pct"/>
            <w:vAlign w:val="center"/>
          </w:tcPr>
          <w:p w:rsidR="00C645C9" w:rsidRDefault="00F955D9">
            <w:pPr>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r w:rsidR="00C645C9">
        <w:trPr>
          <w:jc w:val="center"/>
        </w:trPr>
        <w:tc>
          <w:tcPr>
            <w:tcW w:w="395" w:type="pct"/>
            <w:vMerge/>
            <w:vAlign w:val="center"/>
          </w:tcPr>
          <w:p w:rsidR="00C645C9" w:rsidRDefault="00C645C9">
            <w:pPr>
              <w:spacing w:line="240" w:lineRule="exact"/>
              <w:jc w:val="center"/>
              <w:rPr>
                <w:rFonts w:cs="Times New Roman"/>
                <w:sz w:val="21"/>
                <w:szCs w:val="21"/>
              </w:rPr>
            </w:pPr>
          </w:p>
        </w:tc>
        <w:tc>
          <w:tcPr>
            <w:tcW w:w="490" w:type="pct"/>
            <w:vMerge/>
            <w:vAlign w:val="center"/>
          </w:tcPr>
          <w:p w:rsidR="00C645C9" w:rsidRDefault="00C645C9">
            <w:pPr>
              <w:spacing w:line="240" w:lineRule="exact"/>
              <w:jc w:val="center"/>
              <w:rPr>
                <w:rFonts w:cs="Times New Roman"/>
                <w:sz w:val="21"/>
                <w:szCs w:val="21"/>
              </w:rPr>
            </w:pPr>
          </w:p>
        </w:tc>
        <w:tc>
          <w:tcPr>
            <w:tcW w:w="523" w:type="pct"/>
            <w:vMerge/>
            <w:vAlign w:val="center"/>
          </w:tcPr>
          <w:p w:rsidR="00C645C9" w:rsidRDefault="00C645C9">
            <w:pPr>
              <w:spacing w:line="240" w:lineRule="exact"/>
              <w:jc w:val="center"/>
              <w:rPr>
                <w:rFonts w:cs="Times New Roman"/>
                <w:sz w:val="21"/>
                <w:szCs w:val="21"/>
              </w:rPr>
            </w:pPr>
          </w:p>
        </w:tc>
        <w:tc>
          <w:tcPr>
            <w:tcW w:w="386" w:type="pct"/>
            <w:vMerge/>
            <w:vAlign w:val="center"/>
          </w:tcPr>
          <w:p w:rsidR="00C645C9" w:rsidRDefault="00C645C9">
            <w:pPr>
              <w:spacing w:line="240" w:lineRule="exact"/>
              <w:jc w:val="center"/>
              <w:rPr>
                <w:rFonts w:cs="Times New Roman"/>
                <w:sz w:val="21"/>
                <w:szCs w:val="21"/>
              </w:rPr>
            </w:pPr>
          </w:p>
        </w:tc>
        <w:tc>
          <w:tcPr>
            <w:tcW w:w="764" w:type="pct"/>
            <w:vAlign w:val="center"/>
          </w:tcPr>
          <w:p w:rsidR="00C645C9" w:rsidRDefault="00F955D9">
            <w:pPr>
              <w:spacing w:line="240" w:lineRule="exact"/>
              <w:jc w:val="center"/>
              <w:rPr>
                <w:rFonts w:cs="Times New Roman"/>
                <w:sz w:val="21"/>
                <w:szCs w:val="21"/>
              </w:rPr>
            </w:pPr>
            <w:r>
              <w:rPr>
                <w:rFonts w:cs="Times New Roman"/>
                <w:sz w:val="21"/>
                <w:szCs w:val="21"/>
              </w:rPr>
              <w:t>石油类</w:t>
            </w:r>
          </w:p>
        </w:tc>
        <w:tc>
          <w:tcPr>
            <w:tcW w:w="833" w:type="pct"/>
            <w:vAlign w:val="center"/>
          </w:tcPr>
          <w:p w:rsidR="00C645C9" w:rsidRDefault="00F955D9">
            <w:pPr>
              <w:spacing w:line="240" w:lineRule="exact"/>
              <w:jc w:val="center"/>
              <w:rPr>
                <w:rFonts w:cs="Times New Roman"/>
                <w:sz w:val="21"/>
                <w:szCs w:val="21"/>
              </w:rPr>
            </w:pPr>
            <w:r>
              <w:rPr>
                <w:rFonts w:cs="Times New Roman"/>
                <w:sz w:val="21"/>
                <w:szCs w:val="21"/>
              </w:rPr>
              <w:t>克</w:t>
            </w:r>
            <w:r>
              <w:rPr>
                <w:rFonts w:cs="Times New Roman"/>
                <w:sz w:val="21"/>
                <w:szCs w:val="21"/>
              </w:rPr>
              <w:t>/</w:t>
            </w:r>
            <w:r>
              <w:rPr>
                <w:rFonts w:cs="Times New Roman"/>
                <w:sz w:val="21"/>
                <w:szCs w:val="21"/>
              </w:rPr>
              <w:t>井次</w:t>
            </w:r>
            <w:r>
              <w:rPr>
                <w:rFonts w:cs="Times New Roman"/>
                <w:sz w:val="21"/>
                <w:szCs w:val="21"/>
              </w:rPr>
              <w:t>-</w:t>
            </w:r>
            <w:r>
              <w:rPr>
                <w:rFonts w:cs="Times New Roman"/>
                <w:sz w:val="21"/>
                <w:szCs w:val="21"/>
              </w:rPr>
              <w:t>产品</w:t>
            </w:r>
          </w:p>
        </w:tc>
        <w:tc>
          <w:tcPr>
            <w:tcW w:w="584" w:type="pct"/>
            <w:vAlign w:val="center"/>
          </w:tcPr>
          <w:p w:rsidR="00C645C9" w:rsidRDefault="00F955D9">
            <w:pPr>
              <w:spacing w:line="240" w:lineRule="exact"/>
              <w:jc w:val="center"/>
              <w:rPr>
                <w:rFonts w:cs="Times New Roman"/>
                <w:sz w:val="21"/>
                <w:szCs w:val="21"/>
              </w:rPr>
            </w:pPr>
            <w:bookmarkStart w:id="866" w:name="OLE_LINK305"/>
            <w:r>
              <w:rPr>
                <w:rFonts w:cs="Times New Roman"/>
                <w:sz w:val="21"/>
                <w:szCs w:val="21"/>
              </w:rPr>
              <w:t>6122.1</w:t>
            </w:r>
            <w:bookmarkEnd w:id="866"/>
          </w:p>
        </w:tc>
        <w:tc>
          <w:tcPr>
            <w:tcW w:w="635" w:type="pct"/>
            <w:vAlign w:val="center"/>
          </w:tcPr>
          <w:p w:rsidR="00C645C9" w:rsidRDefault="00F955D9">
            <w:pPr>
              <w:jc w:val="center"/>
              <w:rPr>
                <w:rFonts w:cs="Times New Roman"/>
                <w:sz w:val="21"/>
                <w:szCs w:val="21"/>
              </w:rPr>
            </w:pPr>
            <w:r>
              <w:rPr>
                <w:rFonts w:cs="Times New Roman"/>
                <w:sz w:val="21"/>
                <w:szCs w:val="21"/>
              </w:rPr>
              <w:t>回收回注</w:t>
            </w:r>
          </w:p>
        </w:tc>
        <w:tc>
          <w:tcPr>
            <w:tcW w:w="386" w:type="pct"/>
            <w:vAlign w:val="center"/>
          </w:tcPr>
          <w:p w:rsidR="00C645C9" w:rsidRDefault="00F955D9">
            <w:pPr>
              <w:spacing w:line="240" w:lineRule="exact"/>
              <w:jc w:val="center"/>
              <w:rPr>
                <w:rFonts w:cs="Times New Roman"/>
                <w:sz w:val="21"/>
                <w:szCs w:val="21"/>
              </w:rPr>
            </w:pPr>
            <w:r>
              <w:rPr>
                <w:rFonts w:cs="Times New Roman"/>
                <w:sz w:val="21"/>
                <w:szCs w:val="21"/>
              </w:rPr>
              <w:t>0</w:t>
            </w:r>
          </w:p>
        </w:tc>
      </w:tr>
    </w:tbl>
    <w:p w:rsidR="00C645C9" w:rsidRDefault="00F955D9" w:rsidP="005718BB">
      <w:pPr>
        <w:pStyle w:val="aff"/>
        <w:widowControl w:val="0"/>
        <w:adjustRightInd w:val="0"/>
        <w:snapToGrid w:val="0"/>
        <w:jc w:val="both"/>
        <w:rPr>
          <w:rFonts w:cs="Times New Roman"/>
          <w:color w:val="auto"/>
        </w:rPr>
      </w:pPr>
      <w:r>
        <w:rPr>
          <w:rFonts w:cs="Times New Roman"/>
          <w:bCs/>
          <w:color w:val="auto"/>
        </w:rPr>
        <w:t>本</w:t>
      </w:r>
      <w:r>
        <w:rPr>
          <w:rFonts w:cs="Times New Roman" w:hint="eastAsia"/>
          <w:bCs/>
          <w:color w:val="auto"/>
        </w:rPr>
        <w:t>工程</w:t>
      </w:r>
      <w:r>
        <w:rPr>
          <w:rFonts w:cs="Times New Roman"/>
          <w:bCs/>
          <w:color w:val="auto"/>
        </w:rPr>
        <w:t>油藏</w:t>
      </w:r>
      <w:r>
        <w:rPr>
          <w:rFonts w:cs="Times New Roman"/>
          <w:color w:val="auto"/>
        </w:rPr>
        <w:t>储层为</w:t>
      </w:r>
      <w:bookmarkStart w:id="867" w:name="OLE_LINK299"/>
      <w:r>
        <w:rPr>
          <w:rFonts w:cs="Times New Roman"/>
          <w:color w:val="auto"/>
          <w:szCs w:val="21"/>
        </w:rPr>
        <w:t>低渗透</w:t>
      </w:r>
      <w:bookmarkEnd w:id="867"/>
      <w:r>
        <w:rPr>
          <w:rFonts w:cs="Times New Roman"/>
          <w:color w:val="auto"/>
        </w:rPr>
        <w:t>储层，根据表</w:t>
      </w:r>
      <w:r>
        <w:rPr>
          <w:rFonts w:cs="Times New Roman"/>
          <w:color w:val="auto"/>
        </w:rPr>
        <w:t>3.</w:t>
      </w:r>
      <w:r>
        <w:rPr>
          <w:rFonts w:cs="Times New Roman" w:hint="eastAsia"/>
          <w:color w:val="auto"/>
        </w:rPr>
        <w:t>3-13</w:t>
      </w:r>
      <w:r>
        <w:rPr>
          <w:rFonts w:cs="Times New Roman"/>
          <w:color w:val="auto"/>
        </w:rPr>
        <w:t>计算井下作业工业废水产生量为</w:t>
      </w:r>
      <w:bookmarkStart w:id="868" w:name="OLE_LINK306"/>
      <w:r>
        <w:rPr>
          <w:rFonts w:cs="Times New Roman"/>
          <w:color w:val="auto"/>
        </w:rPr>
        <w:t>27.13</w:t>
      </w:r>
      <w:bookmarkEnd w:id="868"/>
      <w:r>
        <w:rPr>
          <w:rFonts w:cs="Times New Roman"/>
          <w:color w:val="auto"/>
        </w:rPr>
        <w:t>t/</w:t>
      </w:r>
      <w:r>
        <w:rPr>
          <w:rFonts w:cs="Times New Roman"/>
          <w:color w:val="auto"/>
        </w:rPr>
        <w:t>井次，化学需氧量产生量为</w:t>
      </w:r>
      <w:bookmarkStart w:id="869" w:name="OLE_LINK307"/>
      <w:r>
        <w:rPr>
          <w:rFonts w:cs="Times New Roman"/>
          <w:color w:val="auto"/>
        </w:rPr>
        <w:t>34679.3</w:t>
      </w:r>
      <w:bookmarkEnd w:id="869"/>
      <w:r>
        <w:rPr>
          <w:rFonts w:cs="Times New Roman"/>
          <w:color w:val="auto"/>
        </w:rPr>
        <w:t>g/</w:t>
      </w:r>
      <w:r>
        <w:rPr>
          <w:rFonts w:cs="Times New Roman"/>
          <w:color w:val="auto"/>
        </w:rPr>
        <w:t>井次，石油类产生量为</w:t>
      </w:r>
      <w:bookmarkStart w:id="870" w:name="OLE_LINK308"/>
      <w:r>
        <w:rPr>
          <w:rFonts w:cs="Times New Roman"/>
          <w:color w:val="auto"/>
        </w:rPr>
        <w:t>6122.1</w:t>
      </w:r>
      <w:bookmarkEnd w:id="870"/>
      <w:r>
        <w:rPr>
          <w:rFonts w:cs="Times New Roman"/>
          <w:color w:val="auto"/>
        </w:rPr>
        <w:t>g/</w:t>
      </w:r>
      <w:r>
        <w:rPr>
          <w:rFonts w:cs="Times New Roman"/>
          <w:color w:val="auto"/>
        </w:rPr>
        <w:t>井次。按井下作业每</w:t>
      </w:r>
      <w:r>
        <w:rPr>
          <w:rFonts w:cs="Times New Roman"/>
          <w:color w:val="auto"/>
        </w:rPr>
        <w:t>2</w:t>
      </w:r>
      <w:r>
        <w:rPr>
          <w:rFonts w:cs="Times New Roman"/>
          <w:color w:val="auto"/>
        </w:rPr>
        <w:t>年</w:t>
      </w:r>
      <w:r>
        <w:rPr>
          <w:rFonts w:cs="Times New Roman"/>
          <w:color w:val="auto"/>
        </w:rPr>
        <w:t>1</w:t>
      </w:r>
      <w:r>
        <w:rPr>
          <w:rFonts w:cs="Times New Roman"/>
          <w:color w:val="auto"/>
        </w:rPr>
        <w:t>次计算，则单井每年产生井下作业工业废水</w:t>
      </w:r>
      <w:bookmarkStart w:id="871" w:name="OLE_LINK309"/>
      <w:r>
        <w:rPr>
          <w:rFonts w:cs="Times New Roman" w:hint="eastAsia"/>
          <w:color w:val="auto"/>
        </w:rPr>
        <w:t>13.565</w:t>
      </w:r>
      <w:bookmarkEnd w:id="871"/>
      <w:r>
        <w:rPr>
          <w:rFonts w:cs="Times New Roman"/>
          <w:color w:val="auto"/>
        </w:rPr>
        <w:t>t</w:t>
      </w:r>
      <w:r>
        <w:rPr>
          <w:rFonts w:cs="Times New Roman"/>
          <w:color w:val="auto"/>
        </w:rPr>
        <w:t>、化学需氧量</w:t>
      </w:r>
      <w:bookmarkStart w:id="872" w:name="OLE_LINK310"/>
      <w:r>
        <w:rPr>
          <w:rFonts w:cs="Times New Roman" w:hint="eastAsia"/>
          <w:color w:val="auto"/>
        </w:rPr>
        <w:t>17339.65</w:t>
      </w:r>
      <w:bookmarkEnd w:id="872"/>
      <w:r>
        <w:rPr>
          <w:rFonts w:cs="Times New Roman"/>
          <w:color w:val="auto"/>
        </w:rPr>
        <w:t>g</w:t>
      </w:r>
      <w:r>
        <w:rPr>
          <w:rFonts w:cs="Times New Roman"/>
          <w:color w:val="auto"/>
        </w:rPr>
        <w:t>、石油类</w:t>
      </w:r>
      <w:bookmarkStart w:id="873" w:name="OLE_LINK311"/>
      <w:r>
        <w:rPr>
          <w:rFonts w:cs="Times New Roman" w:hint="eastAsia"/>
          <w:color w:val="auto"/>
        </w:rPr>
        <w:t>3061.05</w:t>
      </w:r>
      <w:bookmarkEnd w:id="873"/>
      <w:r>
        <w:rPr>
          <w:rFonts w:cs="Times New Roman"/>
          <w:color w:val="auto"/>
        </w:rPr>
        <w:t>g</w:t>
      </w:r>
      <w:r>
        <w:rPr>
          <w:rFonts w:cs="Times New Roman"/>
          <w:color w:val="auto"/>
          <w:szCs w:val="22"/>
        </w:rPr>
        <w:t>。</w:t>
      </w:r>
      <w:r>
        <w:rPr>
          <w:rFonts w:cs="Times New Roman"/>
          <w:color w:val="auto"/>
          <w:szCs w:val="21"/>
        </w:rPr>
        <w:t>本</w:t>
      </w:r>
      <w:r>
        <w:rPr>
          <w:rFonts w:cs="Times New Roman" w:hint="eastAsia"/>
          <w:color w:val="auto"/>
          <w:szCs w:val="21"/>
        </w:rPr>
        <w:t>工程</w:t>
      </w:r>
      <w:r>
        <w:rPr>
          <w:rFonts w:cs="Times New Roman"/>
          <w:color w:val="auto"/>
          <w:szCs w:val="21"/>
        </w:rPr>
        <w:t>井下作业工程产生的井下作业工业废水、化学需氧量、石油类分别为</w:t>
      </w:r>
      <w:r>
        <w:rPr>
          <w:rFonts w:cs="Times New Roman" w:hint="eastAsia"/>
          <w:color w:val="auto"/>
        </w:rPr>
        <w:t>13.565</w:t>
      </w:r>
      <w:r>
        <w:rPr>
          <w:rFonts w:cs="Times New Roman"/>
          <w:color w:val="auto"/>
          <w:szCs w:val="21"/>
        </w:rPr>
        <w:t>t/a</w:t>
      </w:r>
      <w:r>
        <w:rPr>
          <w:rFonts w:cs="Times New Roman"/>
          <w:color w:val="auto"/>
          <w:szCs w:val="21"/>
        </w:rPr>
        <w:t>、</w:t>
      </w:r>
      <w:r>
        <w:rPr>
          <w:rFonts w:cs="Times New Roman"/>
          <w:color w:val="auto"/>
          <w:szCs w:val="21"/>
        </w:rPr>
        <w:t>0.</w:t>
      </w:r>
      <w:r>
        <w:rPr>
          <w:rFonts w:cs="Times New Roman" w:hint="eastAsia"/>
          <w:color w:val="auto"/>
          <w:szCs w:val="21"/>
        </w:rPr>
        <w:t>0173</w:t>
      </w:r>
      <w:r>
        <w:rPr>
          <w:rFonts w:cs="Times New Roman"/>
          <w:color w:val="auto"/>
          <w:szCs w:val="21"/>
        </w:rPr>
        <w:t>t/a</w:t>
      </w:r>
      <w:r>
        <w:rPr>
          <w:rFonts w:cs="Times New Roman"/>
          <w:color w:val="auto"/>
          <w:szCs w:val="21"/>
        </w:rPr>
        <w:t>、</w:t>
      </w:r>
      <w:r>
        <w:rPr>
          <w:rFonts w:cs="Times New Roman"/>
          <w:color w:val="auto"/>
          <w:szCs w:val="21"/>
        </w:rPr>
        <w:t>0.</w:t>
      </w:r>
      <w:r>
        <w:rPr>
          <w:rFonts w:cs="Times New Roman"/>
          <w:color w:val="auto"/>
          <w:szCs w:val="21"/>
        </w:rPr>
        <w:t>0</w:t>
      </w:r>
      <w:r>
        <w:rPr>
          <w:rFonts w:cs="Times New Roman" w:hint="eastAsia"/>
          <w:color w:val="auto"/>
          <w:szCs w:val="21"/>
        </w:rPr>
        <w:t>03</w:t>
      </w:r>
      <w:r>
        <w:rPr>
          <w:rFonts w:cs="Times New Roman"/>
          <w:color w:val="auto"/>
          <w:szCs w:val="21"/>
        </w:rPr>
        <w:t>t/a</w:t>
      </w:r>
      <w:r>
        <w:rPr>
          <w:rFonts w:cs="Times New Roman"/>
          <w:color w:val="auto"/>
          <w:szCs w:val="21"/>
        </w:rPr>
        <w:t>。</w:t>
      </w:r>
      <w:r>
        <w:rPr>
          <w:rFonts w:cs="Times New Roman" w:hint="eastAsia"/>
          <w:color w:val="auto"/>
          <w:szCs w:val="21"/>
        </w:rPr>
        <w:t>本工程</w:t>
      </w:r>
      <w:bookmarkStart w:id="874" w:name="OLE_LINK409"/>
      <w:r>
        <w:rPr>
          <w:rFonts w:cs="Times New Roman"/>
          <w:color w:val="auto"/>
        </w:rPr>
        <w:t>井下作业废水自带回收罐回收</w:t>
      </w:r>
      <w:r>
        <w:rPr>
          <w:rFonts w:hint="eastAsia"/>
          <w:color w:val="auto"/>
        </w:rPr>
        <w:t>井下作业</w:t>
      </w:r>
      <w:r>
        <w:rPr>
          <w:rFonts w:cs="Times New Roman"/>
          <w:color w:val="auto"/>
        </w:rPr>
        <w:t>废水，</w:t>
      </w:r>
      <w:r>
        <w:rPr>
          <w:rFonts w:cs="Times New Roman" w:hint="eastAsia"/>
          <w:color w:val="auto"/>
        </w:rPr>
        <w:t>依托</w:t>
      </w:r>
      <w:r>
        <w:rPr>
          <w:rFonts w:cs="Times New Roman"/>
          <w:color w:val="auto"/>
        </w:rPr>
        <w:t>塔河油田绿色环保工作站处理</w:t>
      </w:r>
      <w:bookmarkEnd w:id="874"/>
      <w:r>
        <w:rPr>
          <w:rFonts w:cs="Times New Roman"/>
          <w:color w:val="auto"/>
        </w:rPr>
        <w:t>。</w:t>
      </w:r>
    </w:p>
    <w:p w:rsidR="00C645C9" w:rsidRDefault="00F955D9">
      <w:pPr>
        <w:pStyle w:val="00"/>
        <w:adjustRightInd w:val="0"/>
        <w:snapToGrid w:val="0"/>
        <w:jc w:val="both"/>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试油期采出水</w:t>
      </w:r>
    </w:p>
    <w:p w:rsidR="00C645C9" w:rsidRDefault="00F955D9">
      <w:pPr>
        <w:pStyle w:val="00"/>
        <w:adjustRightInd w:val="0"/>
        <w:snapToGrid w:val="0"/>
        <w:jc w:val="both"/>
        <w:rPr>
          <w:color w:val="auto"/>
        </w:rPr>
      </w:pPr>
      <w:r>
        <w:rPr>
          <w:color w:val="auto"/>
        </w:rPr>
        <w:t>根据油田设计资料，单井试油采出</w:t>
      </w:r>
      <w:r>
        <w:rPr>
          <w:rFonts w:hint="eastAsia"/>
          <w:color w:val="auto"/>
        </w:rPr>
        <w:t>水</w:t>
      </w:r>
      <w:r>
        <w:rPr>
          <w:color w:val="auto"/>
        </w:rPr>
        <w:t>产生量较少，采用</w:t>
      </w:r>
      <w:r>
        <w:rPr>
          <w:rFonts w:hint="eastAsia"/>
          <w:color w:val="auto"/>
        </w:rPr>
        <w:t>储液罐内收集</w:t>
      </w:r>
      <w:r>
        <w:rPr>
          <w:color w:val="auto"/>
        </w:rPr>
        <w:t>运至</w:t>
      </w:r>
      <w:r>
        <w:rPr>
          <w:rFonts w:hint="eastAsia"/>
          <w:color w:val="auto"/>
        </w:rPr>
        <w:t>塔河油田绿色环保工作站</w:t>
      </w:r>
      <w:r>
        <w:rPr>
          <w:color w:val="auto"/>
        </w:rPr>
        <w:t>处理后，达到《碎屑岩油藏注水水质指标及分析方法》</w:t>
      </w:r>
      <w:r>
        <w:rPr>
          <w:rFonts w:hint="eastAsia"/>
          <w:color w:val="auto"/>
        </w:rPr>
        <w:t>（</w:t>
      </w:r>
      <w:r>
        <w:rPr>
          <w:color w:val="auto"/>
        </w:rPr>
        <w:t>SY/T5329-2012</w:t>
      </w:r>
      <w:r>
        <w:rPr>
          <w:rFonts w:hint="eastAsia"/>
          <w:color w:val="auto"/>
        </w:rPr>
        <w:t>）</w:t>
      </w:r>
      <w:r>
        <w:rPr>
          <w:color w:val="auto"/>
        </w:rPr>
        <w:t>中推荐水质标准要求后回注</w:t>
      </w:r>
      <w:r>
        <w:rPr>
          <w:rFonts w:hint="eastAsia"/>
          <w:color w:val="auto"/>
        </w:rPr>
        <w:t>。</w:t>
      </w:r>
    </w:p>
    <w:p w:rsidR="00C645C9" w:rsidRDefault="00F955D9">
      <w:pPr>
        <w:pStyle w:val="af0"/>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t>④</w:t>
      </w:r>
      <w:r>
        <w:rPr>
          <w:rFonts w:cs="Times New Roman"/>
        </w:rPr>
        <w:fldChar w:fldCharType="end"/>
      </w:r>
      <w:r>
        <w:rPr>
          <w:rFonts w:cs="Times New Roman"/>
          <w:kern w:val="2"/>
          <w:szCs w:val="20"/>
          <w:lang w:bidi="ar"/>
        </w:rPr>
        <w:t>生活污水</w:t>
      </w:r>
    </w:p>
    <w:p w:rsidR="00C645C9" w:rsidRDefault="00F955D9">
      <w:pPr>
        <w:pStyle w:val="af0"/>
        <w:widowControl w:val="0"/>
        <w:adjustRightInd w:val="0"/>
        <w:snapToGrid w:val="0"/>
        <w:spacing w:line="360" w:lineRule="auto"/>
        <w:ind w:firstLineChars="200" w:firstLine="480"/>
        <w:jc w:val="both"/>
      </w:pPr>
      <w:r>
        <w:rPr>
          <w:rFonts w:cs="Times New Roman" w:hint="eastAsia"/>
          <w:kern w:val="2"/>
          <w:szCs w:val="20"/>
          <w:lang w:bidi="ar"/>
        </w:rPr>
        <w:t>本工程</w:t>
      </w:r>
      <w:r>
        <w:rPr>
          <w:rFonts w:cs="Times New Roman"/>
          <w:kern w:val="2"/>
          <w:szCs w:val="20"/>
          <w:lang w:bidi="ar"/>
        </w:rPr>
        <w:t>井场无人值守，通过远程监控、人员定期巡检进行管理。运营期工作人员由</w:t>
      </w:r>
      <w:bookmarkStart w:id="875" w:name="OLE_LINK337"/>
      <w:r>
        <w:rPr>
          <w:rFonts w:cs="Times New Roman"/>
          <w:kern w:val="2"/>
          <w:szCs w:val="20"/>
          <w:lang w:bidi="ar"/>
        </w:rPr>
        <w:t>雅克拉采气厂内部调剂解决</w:t>
      </w:r>
      <w:bookmarkEnd w:id="875"/>
      <w:r>
        <w:rPr>
          <w:rFonts w:cs="Times New Roman"/>
          <w:kern w:val="2"/>
          <w:szCs w:val="20"/>
          <w:lang w:bidi="ar"/>
        </w:rPr>
        <w:t>，故不新增生活污水。</w:t>
      </w:r>
    </w:p>
    <w:bookmarkStart w:id="876" w:name="OLE_LINK340"/>
    <w:p w:rsidR="00C645C9" w:rsidRDefault="00F955D9">
      <w:pPr>
        <w:pStyle w:val="4"/>
        <w:widowControl w:val="0"/>
        <w:adjustRightInd w:val="0"/>
        <w:snapToGrid w:val="0"/>
        <w:rPr>
          <w:rFonts w:ascii="Times New Roman" w:hAnsi="Times New Roman" w:cs="Times New Roman"/>
          <w:color w:val="auto"/>
          <w:szCs w:val="24"/>
          <w:lang w:eastAsia="zh-CN"/>
        </w:rPr>
      </w:pPr>
      <w:r>
        <w:rPr>
          <w:rFonts w:ascii="Times New Roman" w:hAnsi="Times New Roman" w:cs="Times New Roman"/>
          <w:color w:val="auto"/>
        </w:rPr>
        <w:fldChar w:fldCharType="begin"/>
      </w:r>
      <w:r>
        <w:rPr>
          <w:rFonts w:ascii="Times New Roman" w:hAnsi="Times New Roman" w:cs="Times New Roman"/>
          <w:color w:val="auto"/>
          <w:lang w:eastAsia="zh-CN"/>
        </w:rPr>
        <w:instrText xml:space="preserve"> HYPERLINK "3.2.4.3" </w:instrText>
      </w:r>
      <w:r>
        <w:rPr>
          <w:rFonts w:ascii="Times New Roman" w:hAnsi="Times New Roman" w:cs="Times New Roman"/>
          <w:color w:val="auto"/>
        </w:rPr>
        <w:fldChar w:fldCharType="separate"/>
      </w:r>
      <w:r>
        <w:rPr>
          <w:rFonts w:ascii="Times New Roman" w:hAnsi="Times New Roman" w:cs="Times New Roman"/>
          <w:color w:val="auto"/>
          <w:lang w:eastAsia="zh-CN"/>
        </w:rPr>
        <w:t>3.</w:t>
      </w:r>
      <w:r>
        <w:rPr>
          <w:rFonts w:ascii="Times New Roman" w:hAnsi="Times New Roman" w:cs="Times New Roman" w:hint="eastAsia"/>
          <w:color w:val="auto"/>
          <w:lang w:eastAsia="zh-CN"/>
        </w:rPr>
        <w:t>3</w:t>
      </w:r>
      <w:r>
        <w:rPr>
          <w:rFonts w:ascii="Times New Roman" w:hAnsi="Times New Roman" w:cs="Times New Roman"/>
          <w:color w:val="auto"/>
          <w:lang w:eastAsia="zh-CN"/>
        </w:rPr>
        <w:t>.</w:t>
      </w:r>
      <w:r>
        <w:rPr>
          <w:rFonts w:ascii="Times New Roman" w:hAnsi="Times New Roman" w:cs="Times New Roman"/>
          <w:color w:val="auto"/>
          <w:lang w:eastAsia="zh-CN"/>
        </w:rPr>
        <w:t>3</w:t>
      </w:r>
      <w:r>
        <w:rPr>
          <w:rFonts w:ascii="Times New Roman" w:hAnsi="Times New Roman" w:cs="Times New Roman"/>
          <w:color w:val="auto"/>
          <w:lang w:eastAsia="zh-CN"/>
        </w:rPr>
        <w:t>.3</w:t>
      </w:r>
      <w:r>
        <w:rPr>
          <w:rFonts w:ascii="Times New Roman" w:hAnsi="Times New Roman" w:cs="Times New Roman"/>
          <w:color w:val="auto"/>
        </w:rPr>
        <w:fldChar w:fldCharType="end"/>
      </w:r>
      <w:r>
        <w:rPr>
          <w:rFonts w:ascii="Times New Roman" w:hAnsi="Times New Roman" w:cs="Times New Roman"/>
          <w:color w:val="auto"/>
          <w:lang w:eastAsia="zh-CN"/>
        </w:rPr>
        <w:t>固体废物污染源</w:t>
      </w:r>
    </w:p>
    <w:p w:rsidR="00C645C9" w:rsidRDefault="00F955D9" w:rsidP="005718BB">
      <w:pPr>
        <w:pStyle w:val="aff"/>
        <w:widowControl w:val="0"/>
        <w:adjustRightInd w:val="0"/>
        <w:snapToGrid w:val="0"/>
        <w:rPr>
          <w:rFonts w:cs="Times New Roman"/>
          <w:color w:val="auto"/>
        </w:rPr>
      </w:pPr>
      <w:bookmarkStart w:id="877" w:name="OLE_LINK316"/>
      <w:r>
        <w:rPr>
          <w:rFonts w:cs="Times New Roman"/>
          <w:color w:val="auto"/>
        </w:rPr>
        <w:t>①</w:t>
      </w:r>
      <w:r>
        <w:rPr>
          <w:rFonts w:cs="Times New Roman"/>
          <w:color w:val="auto"/>
        </w:rPr>
        <w:t>落地油</w:t>
      </w:r>
      <w:bookmarkEnd w:id="877"/>
    </w:p>
    <w:p w:rsidR="00C645C9" w:rsidRDefault="00F955D9">
      <w:pPr>
        <w:spacing w:line="360" w:lineRule="auto"/>
        <w:ind w:firstLineChars="200" w:firstLine="480"/>
        <w:jc w:val="both"/>
        <w:rPr>
          <w:rFonts w:cs="Times New Roman"/>
        </w:rPr>
      </w:pPr>
      <w:r>
        <w:t>落地油</w:t>
      </w:r>
      <w:bookmarkStart w:id="878" w:name="OLE_LINK319"/>
      <w:r>
        <w:t>主要</w:t>
      </w:r>
      <w:r>
        <w:rPr>
          <w:rFonts w:cs="Times New Roman"/>
        </w:rPr>
        <w:t>来自</w:t>
      </w:r>
      <w:bookmarkEnd w:id="878"/>
      <w:r>
        <w:rPr>
          <w:rFonts w:cs="Times New Roman" w:hint="eastAsia"/>
        </w:rPr>
        <w:t>井下作业环节</w:t>
      </w:r>
      <w:r>
        <w:rPr>
          <w:rFonts w:cs="Times New Roman"/>
        </w:rPr>
        <w:t>和</w:t>
      </w:r>
      <w:r>
        <w:rPr>
          <w:rFonts w:cs="Times New Roman" w:hint="eastAsia"/>
        </w:rPr>
        <w:t>油气</w:t>
      </w:r>
      <w:r>
        <w:rPr>
          <w:rFonts w:cs="Times New Roman"/>
        </w:rPr>
        <w:t>处理环节等</w:t>
      </w:r>
      <w:r>
        <w:rPr>
          <w:rFonts w:cs="Times New Roman" w:hint="eastAsia"/>
        </w:rPr>
        <w:t>。</w:t>
      </w:r>
      <w:bookmarkStart w:id="879" w:name="OLE_LINK320"/>
      <w:bookmarkStart w:id="880" w:name="OLE_LINK325"/>
      <w:r>
        <w:rPr>
          <w:rFonts w:hint="eastAsia"/>
        </w:rPr>
        <w:t>根据《</w:t>
      </w:r>
      <w:bookmarkStart w:id="881" w:name="OLE_LINK313"/>
      <w:r>
        <w:rPr>
          <w:rFonts w:hint="eastAsia"/>
        </w:rPr>
        <w:t>国家危险废物名录</w:t>
      </w:r>
      <w:bookmarkEnd w:id="881"/>
      <w:r>
        <w:rPr>
          <w:rFonts w:hint="eastAsia"/>
        </w:rPr>
        <w:t>（</w:t>
      </w:r>
      <w:r>
        <w:rPr>
          <w:rFonts w:hint="eastAsia"/>
        </w:rPr>
        <w:t>2025</w:t>
      </w:r>
      <w:r>
        <w:rPr>
          <w:rFonts w:hint="eastAsia"/>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hint="eastAsia"/>
        </w:rPr>
        <w:t>，</w:t>
      </w:r>
      <w:bookmarkEnd w:id="879"/>
      <w:r>
        <w:rPr>
          <w:rFonts w:cs="Times New Roman"/>
        </w:rPr>
        <w:t>落地油</w:t>
      </w:r>
      <w:bookmarkStart w:id="882" w:name="OLE_LINK321"/>
      <w:r>
        <w:t>废物类别</w:t>
      </w:r>
      <w:r>
        <w:rPr>
          <w:rFonts w:hint="eastAsia"/>
        </w:rPr>
        <w:t>为</w:t>
      </w:r>
      <w:r>
        <w:t>HW08</w:t>
      </w:r>
      <w:r>
        <w:t>废矿物油与含矿物油废物</w:t>
      </w:r>
      <w:r>
        <w:t>（废物代码：</w:t>
      </w:r>
      <w:bookmarkStart w:id="883" w:name="OLE_LINK315"/>
      <w:r>
        <w:t>071-001-08</w:t>
      </w:r>
      <w:bookmarkEnd w:id="883"/>
      <w:r>
        <w:t>）</w:t>
      </w:r>
      <w:r>
        <w:rPr>
          <w:rFonts w:hint="eastAsia"/>
        </w:rPr>
        <w:t>。</w:t>
      </w:r>
    </w:p>
    <w:bookmarkEnd w:id="880"/>
    <w:bookmarkEnd w:id="882"/>
    <w:p w:rsidR="00C645C9" w:rsidRDefault="00F955D9">
      <w:pPr>
        <w:spacing w:line="360" w:lineRule="auto"/>
        <w:ind w:firstLineChars="200" w:firstLine="496"/>
        <w:jc w:val="both"/>
        <w:rPr>
          <w:rFonts w:cs="Times New Roman"/>
        </w:rPr>
      </w:pPr>
      <w:r>
        <w:rPr>
          <w:rFonts w:cs="Times New Roman"/>
          <w:snapToGrid w:val="0"/>
          <w:spacing w:val="4"/>
          <w:szCs w:val="22"/>
        </w:rPr>
        <w:t>本</w:t>
      </w:r>
      <w:r>
        <w:rPr>
          <w:rFonts w:cs="Times New Roman" w:hint="eastAsia"/>
          <w:snapToGrid w:val="0"/>
          <w:spacing w:val="4"/>
          <w:szCs w:val="22"/>
        </w:rPr>
        <w:t>工程</w:t>
      </w:r>
      <w:r>
        <w:rPr>
          <w:rFonts w:cs="Times New Roman"/>
          <w:snapToGrid w:val="0"/>
          <w:spacing w:val="4"/>
          <w:szCs w:val="22"/>
        </w:rPr>
        <w:t>井下作业时带罐作业，防止产生</w:t>
      </w:r>
      <w:bookmarkStart w:id="884" w:name="OLE_LINK314"/>
      <w:r>
        <w:rPr>
          <w:rFonts w:cs="Times New Roman"/>
          <w:snapToGrid w:val="0"/>
          <w:spacing w:val="4"/>
          <w:szCs w:val="22"/>
        </w:rPr>
        <w:t>落地</w:t>
      </w:r>
      <w:bookmarkEnd w:id="884"/>
      <w:r>
        <w:rPr>
          <w:rFonts w:cs="Times New Roman"/>
          <w:snapToGrid w:val="0"/>
          <w:spacing w:val="4"/>
          <w:szCs w:val="22"/>
        </w:rPr>
        <w:t>油，井口排出物全部进罐，做到</w:t>
      </w:r>
      <w:r>
        <w:rPr>
          <w:rFonts w:cs="Times New Roman" w:hint="eastAsia"/>
        </w:rPr>
        <w:t>凝析油</w:t>
      </w:r>
      <w:r>
        <w:rPr>
          <w:rFonts w:cs="Times New Roman"/>
          <w:snapToGrid w:val="0"/>
          <w:spacing w:val="4"/>
          <w:szCs w:val="22"/>
        </w:rPr>
        <w:t>100%</w:t>
      </w:r>
      <w:r>
        <w:rPr>
          <w:rFonts w:cs="Times New Roman"/>
          <w:snapToGrid w:val="0"/>
          <w:spacing w:val="4"/>
          <w:szCs w:val="22"/>
        </w:rPr>
        <w:t>回收</w:t>
      </w:r>
      <w:r>
        <w:rPr>
          <w:rFonts w:cs="Times New Roman" w:hint="eastAsia"/>
          <w:snapToGrid w:val="0"/>
          <w:spacing w:val="4"/>
          <w:szCs w:val="22"/>
        </w:rPr>
        <w:t>。</w:t>
      </w:r>
      <w:r>
        <w:t>按照单井落地</w:t>
      </w:r>
      <w:r>
        <w:rPr>
          <w:rFonts w:cs="Times New Roman" w:hint="eastAsia"/>
        </w:rPr>
        <w:t>凝析油</w:t>
      </w:r>
      <w:r>
        <w:t>产生量约</w:t>
      </w:r>
      <w:r>
        <w:t>0.1t/a</w:t>
      </w:r>
      <w:r>
        <w:t>计算，本工程运行后落地油总产生量约</w:t>
      </w:r>
      <w:r>
        <w:t>0</w:t>
      </w:r>
      <w:r>
        <w:rPr>
          <w:rFonts w:hint="eastAsia"/>
        </w:rPr>
        <w:t>.</w:t>
      </w:r>
      <w:r>
        <w:rPr>
          <w:rFonts w:hint="eastAsia"/>
        </w:rPr>
        <w:t>2</w:t>
      </w:r>
      <w:r>
        <w:t>t/a</w:t>
      </w:r>
      <w:r>
        <w:rPr>
          <w:rFonts w:cs="Times New Roman"/>
          <w:snapToGrid w:val="0"/>
          <w:spacing w:val="4"/>
          <w:szCs w:val="22"/>
        </w:rPr>
        <w:t>。</w:t>
      </w:r>
      <w:bookmarkStart w:id="885" w:name="OLE_LINK410"/>
      <w:r>
        <w:rPr>
          <w:rFonts w:cs="Times New Roman"/>
        </w:rPr>
        <w:t>落地油不在施工井场储存，</w:t>
      </w:r>
      <w:bookmarkStart w:id="886" w:name="OLE_LINK329"/>
      <w:r>
        <w:rPr>
          <w:rFonts w:cs="Times New Roman"/>
        </w:rPr>
        <w:t>直接在作业施工现场由施工人员回收至密闭的专用罐车内</w:t>
      </w:r>
      <w:bookmarkEnd w:id="886"/>
      <w:r>
        <w:rPr>
          <w:rFonts w:cs="Times New Roman"/>
        </w:rPr>
        <w:t>，</w:t>
      </w:r>
      <w:r>
        <w:rPr>
          <w:rFonts w:cs="Times New Roman"/>
          <w:snapToGrid w:val="0"/>
          <w:spacing w:val="4"/>
          <w:szCs w:val="22"/>
        </w:rPr>
        <w:t>统一由塔河油田绿色环保站进行无害化处理</w:t>
      </w:r>
      <w:bookmarkEnd w:id="885"/>
      <w:r>
        <w:rPr>
          <w:rFonts w:cs="Times New Roman"/>
          <w:snapToGrid w:val="0"/>
          <w:spacing w:val="4"/>
          <w:szCs w:val="22"/>
        </w:rPr>
        <w:t>。严格按照《危险废物贮存污染控制标准》</w:t>
      </w:r>
      <w:r>
        <w:rPr>
          <w:rFonts w:cs="Times New Roman"/>
          <w:snapToGrid w:val="0"/>
          <w:spacing w:val="4"/>
          <w:szCs w:val="22"/>
        </w:rPr>
        <w:t>（</w:t>
      </w:r>
      <w:r>
        <w:rPr>
          <w:rFonts w:cs="Times New Roman"/>
          <w:snapToGrid w:val="0"/>
          <w:spacing w:val="4"/>
          <w:szCs w:val="22"/>
        </w:rPr>
        <w:t>GB18597-2023</w:t>
      </w:r>
      <w:r>
        <w:rPr>
          <w:rFonts w:cs="Times New Roman"/>
          <w:snapToGrid w:val="0"/>
          <w:spacing w:val="4"/>
          <w:szCs w:val="22"/>
        </w:rPr>
        <w:t>）、</w:t>
      </w:r>
      <w:r>
        <w:rPr>
          <w:rFonts w:cs="Times New Roman"/>
          <w:snapToGrid w:val="0"/>
          <w:spacing w:val="4"/>
          <w:szCs w:val="22"/>
        </w:rPr>
        <w:t>《危险废物收集</w:t>
      </w:r>
      <w:r>
        <w:rPr>
          <w:rFonts w:cs="Times New Roman"/>
          <w:snapToGrid w:val="0"/>
          <w:spacing w:val="4"/>
          <w:szCs w:val="22"/>
        </w:rPr>
        <w:t xml:space="preserve"> </w:t>
      </w:r>
      <w:r>
        <w:rPr>
          <w:rFonts w:cs="Times New Roman"/>
          <w:snapToGrid w:val="0"/>
          <w:spacing w:val="4"/>
          <w:szCs w:val="22"/>
        </w:rPr>
        <w:lastRenderedPageBreak/>
        <w:t>贮存</w:t>
      </w:r>
      <w:r>
        <w:rPr>
          <w:rFonts w:cs="Times New Roman"/>
          <w:snapToGrid w:val="0"/>
          <w:spacing w:val="4"/>
          <w:szCs w:val="22"/>
        </w:rPr>
        <w:t xml:space="preserve"> </w:t>
      </w:r>
      <w:r>
        <w:rPr>
          <w:rFonts w:cs="Times New Roman"/>
          <w:snapToGrid w:val="0"/>
          <w:spacing w:val="4"/>
          <w:szCs w:val="22"/>
        </w:rPr>
        <w:t>运输技术规范》</w:t>
      </w:r>
      <w:r>
        <w:rPr>
          <w:rFonts w:cs="Times New Roman"/>
          <w:snapToGrid w:val="0"/>
          <w:spacing w:val="4"/>
          <w:szCs w:val="22"/>
        </w:rPr>
        <w:t>（</w:t>
      </w:r>
      <w:r>
        <w:rPr>
          <w:rFonts w:cs="Times New Roman"/>
          <w:snapToGrid w:val="0"/>
          <w:spacing w:val="4"/>
          <w:szCs w:val="22"/>
        </w:rPr>
        <w:t>HJ2025-2012</w:t>
      </w:r>
      <w:r>
        <w:rPr>
          <w:rFonts w:cs="Times New Roman"/>
          <w:snapToGrid w:val="0"/>
          <w:spacing w:val="4"/>
          <w:szCs w:val="22"/>
        </w:rPr>
        <w:t>）</w:t>
      </w:r>
      <w:r>
        <w:rPr>
          <w:rFonts w:cs="Times New Roman"/>
          <w:snapToGrid w:val="0"/>
          <w:spacing w:val="4"/>
          <w:szCs w:val="22"/>
        </w:rPr>
        <w:t>和《危险废物转移管理办法》</w:t>
      </w:r>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r>
        <w:rPr>
          <w:rFonts w:cs="Times New Roman"/>
          <w:snapToGrid w:val="0"/>
          <w:spacing w:val="4"/>
          <w:szCs w:val="22"/>
        </w:rPr>
        <w:t>中的相关要求收集、贮存、运输</w:t>
      </w:r>
      <w:r>
        <w:rPr>
          <w:rFonts w:cs="Times New Roman"/>
        </w:rPr>
        <w:t>。</w:t>
      </w:r>
    </w:p>
    <w:p w:rsidR="00C645C9" w:rsidRDefault="00F955D9" w:rsidP="005718BB">
      <w:pPr>
        <w:pStyle w:val="aff"/>
        <w:widowControl w:val="0"/>
        <w:adjustRightInd w:val="0"/>
        <w:snapToGrid w:val="0"/>
        <w:rPr>
          <w:rFonts w:cs="Times New Roman"/>
          <w:color w:val="auto"/>
        </w:rPr>
      </w:pPr>
      <w:bookmarkStart w:id="887" w:name="OLE_LINK318"/>
      <w:r>
        <w:rPr>
          <w:rFonts w:cs="Times New Roman"/>
          <w:color w:val="auto"/>
        </w:rPr>
        <w:t>②</w:t>
      </w:r>
      <w:r>
        <w:rPr>
          <w:rFonts w:cs="Times New Roman"/>
          <w:color w:val="auto"/>
        </w:rPr>
        <w:t>废防渗材料</w:t>
      </w:r>
      <w:bookmarkEnd w:id="887"/>
    </w:p>
    <w:p w:rsidR="00C645C9" w:rsidRDefault="00F955D9">
      <w:pPr>
        <w:spacing w:line="360" w:lineRule="auto"/>
        <w:ind w:firstLineChars="200" w:firstLine="496"/>
        <w:jc w:val="both"/>
        <w:rPr>
          <w:rFonts w:cs="Times New Roman"/>
        </w:rPr>
      </w:pPr>
      <w:bookmarkStart w:id="888" w:name="OLE_LINK322"/>
      <w:r>
        <w:rPr>
          <w:rFonts w:cs="Times New Roman"/>
          <w:snapToGrid w:val="0"/>
          <w:spacing w:val="4"/>
          <w:szCs w:val="22"/>
        </w:rPr>
        <w:t>废防渗材料</w:t>
      </w:r>
      <w:bookmarkStart w:id="889" w:name="OLE_LINK324"/>
      <w:bookmarkEnd w:id="888"/>
      <w:r>
        <w:rPr>
          <w:rFonts w:cs="Times New Roman"/>
          <w:snapToGrid w:val="0"/>
          <w:spacing w:val="4"/>
          <w:szCs w:val="22"/>
        </w:rPr>
        <w:t>主要来自</w:t>
      </w:r>
      <w:bookmarkEnd w:id="889"/>
      <w:r>
        <w:rPr>
          <w:rFonts w:cs="Times New Roman"/>
          <w:snapToGrid w:val="0"/>
          <w:spacing w:val="4"/>
          <w:szCs w:val="22"/>
        </w:rPr>
        <w:t>作业过程</w:t>
      </w:r>
      <w:r>
        <w:rPr>
          <w:rFonts w:cs="Times New Roman" w:hint="eastAsia"/>
          <w:snapToGrid w:val="0"/>
          <w:spacing w:val="4"/>
          <w:szCs w:val="22"/>
        </w:rPr>
        <w:t>。</w:t>
      </w:r>
      <w:r>
        <w:rPr>
          <w:rFonts w:cs="Times New Roman"/>
          <w:snapToGrid w:val="0"/>
          <w:spacing w:val="4"/>
          <w:szCs w:val="22"/>
        </w:rPr>
        <w:t>根据《国家危险废物名录（</w:t>
      </w:r>
      <w:r>
        <w:rPr>
          <w:rFonts w:cs="Times New Roman"/>
          <w:snapToGrid w:val="0"/>
          <w:spacing w:val="4"/>
          <w:szCs w:val="22"/>
        </w:rPr>
        <w:t>2025</w:t>
      </w:r>
      <w:r>
        <w:rPr>
          <w:rFonts w:cs="Times New Roman"/>
          <w:snapToGrid w:val="0"/>
          <w:spacing w:val="4"/>
          <w:szCs w:val="22"/>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snapToGrid w:val="0"/>
          <w:spacing w:val="4"/>
          <w:szCs w:val="22"/>
        </w:rPr>
        <w:t>，废防渗材料</w:t>
      </w:r>
      <w:r>
        <w:t>废物类别</w:t>
      </w:r>
      <w:r>
        <w:rPr>
          <w:rFonts w:hint="eastAsia"/>
        </w:rPr>
        <w:t>为</w:t>
      </w:r>
      <w:r>
        <w:t>HW08</w:t>
      </w:r>
      <w:r>
        <w:t>废矿物油与含矿物油废物</w:t>
      </w:r>
      <w:r>
        <w:t>（废物代码：</w:t>
      </w:r>
      <w:r>
        <w:t>900-249-08</w:t>
      </w:r>
      <w:r>
        <w:t>）</w:t>
      </w:r>
      <w:r>
        <w:rPr>
          <w:rFonts w:cs="Times New Roman" w:hint="eastAsia"/>
          <w:snapToGrid w:val="0"/>
          <w:spacing w:val="4"/>
          <w:szCs w:val="22"/>
        </w:rPr>
        <w:t>。</w:t>
      </w:r>
    </w:p>
    <w:p w:rsidR="00C645C9" w:rsidRDefault="00F955D9">
      <w:pPr>
        <w:pStyle w:val="a5"/>
        <w:widowControl w:val="0"/>
        <w:snapToGrid w:val="0"/>
        <w:ind w:firstLineChars="200" w:firstLine="480"/>
        <w:jc w:val="both"/>
        <w:rPr>
          <w:rFonts w:ascii="Times New Roman" w:hAnsi="Times New Roman" w:cs="Times New Roman"/>
        </w:rPr>
      </w:pPr>
      <w:r>
        <w:rPr>
          <w:rFonts w:cs="Times New Roman" w:hint="eastAsia"/>
        </w:rPr>
        <w:t>本工程</w:t>
      </w:r>
      <w:r>
        <w:rPr>
          <w:rFonts w:ascii="Times New Roman" w:hAnsi="Times New Roman" w:cs="Times New Roman"/>
        </w:rPr>
        <w:t>运营期作业时，作业场地下方铺设</w:t>
      </w:r>
      <w:bookmarkStart w:id="890" w:name="OLE_LINK317"/>
      <w:r>
        <w:rPr>
          <w:rFonts w:ascii="Times New Roman" w:hAnsi="Times New Roman" w:cs="Times New Roman"/>
        </w:rPr>
        <w:t>防渗</w:t>
      </w:r>
      <w:r>
        <w:rPr>
          <w:rFonts w:hint="eastAsia"/>
        </w:rPr>
        <w:t>材料</w:t>
      </w:r>
      <w:bookmarkEnd w:id="890"/>
      <w:r>
        <w:rPr>
          <w:rFonts w:ascii="Times New Roman" w:hAnsi="Times New Roman" w:cs="Times New Roman"/>
        </w:rPr>
        <w:t>，产生的落地油直接落在防渗</w:t>
      </w:r>
      <w:r>
        <w:rPr>
          <w:rFonts w:hint="eastAsia"/>
        </w:rPr>
        <w:t>材料</w:t>
      </w:r>
      <w:r>
        <w:rPr>
          <w:rFonts w:ascii="Times New Roman" w:hAnsi="Times New Roman" w:cs="Times New Roman"/>
        </w:rPr>
        <w:t>上，目前油田使用的防渗</w:t>
      </w:r>
      <w:r>
        <w:rPr>
          <w:rFonts w:hint="eastAsia"/>
        </w:rPr>
        <w:t>材料</w:t>
      </w:r>
      <w:r>
        <w:rPr>
          <w:rFonts w:ascii="Times New Roman" w:hAnsi="Times New Roman" w:cs="Times New Roman"/>
        </w:rPr>
        <w:t>均可重复利用，平均重复利用</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年。单块防渗</w:t>
      </w:r>
      <w:r>
        <w:rPr>
          <w:rFonts w:hint="eastAsia"/>
        </w:rPr>
        <w:t>材料</w:t>
      </w:r>
      <w:r>
        <w:rPr>
          <w:rFonts w:ascii="Times New Roman" w:hAnsi="Times New Roman" w:cs="Times New Roman"/>
        </w:rPr>
        <w:t>重约</w:t>
      </w:r>
      <w:r>
        <w:rPr>
          <w:rFonts w:ascii="Times New Roman" w:hAnsi="Times New Roman" w:cs="Times New Roman"/>
        </w:rPr>
        <w:t>250kg</w:t>
      </w:r>
      <w:r>
        <w:rPr>
          <w:rFonts w:ascii="Times New Roman" w:hAnsi="Times New Roman" w:cs="Times New Roman"/>
        </w:rPr>
        <w:t>（</w:t>
      </w:r>
      <w:r>
        <w:rPr>
          <w:rFonts w:ascii="Times New Roman" w:hAnsi="Times New Roman" w:cs="Times New Roman"/>
        </w:rPr>
        <w:t>12m×12m</w:t>
      </w:r>
      <w:r>
        <w:rPr>
          <w:rFonts w:ascii="Times New Roman" w:hAnsi="Times New Roman" w:cs="Times New Roman"/>
        </w:rPr>
        <w:t>），口井作业用</w:t>
      </w:r>
      <w:r>
        <w:rPr>
          <w:rFonts w:ascii="Times New Roman" w:hAnsi="Times New Roman" w:cs="Times New Roman"/>
        </w:rPr>
        <w:t>2</w:t>
      </w:r>
      <w:r>
        <w:rPr>
          <w:rFonts w:ascii="Times New Roman" w:hAnsi="Times New Roman" w:cs="Times New Roman"/>
        </w:rPr>
        <w:t>块，约合</w:t>
      </w:r>
      <w:r>
        <w:rPr>
          <w:rFonts w:ascii="Times New Roman" w:hAnsi="Times New Roman" w:cs="Times New Roman"/>
        </w:rPr>
        <w:t>0.25t/a·</w:t>
      </w:r>
      <w:r>
        <w:rPr>
          <w:rFonts w:ascii="Times New Roman" w:hAnsi="Times New Roman" w:cs="Times New Roman"/>
        </w:rPr>
        <w:t>井</w:t>
      </w:r>
      <w:r>
        <w:rPr>
          <w:rFonts w:ascii="Times New Roman" w:hAnsi="Times New Roman" w:cs="Times New Roman"/>
        </w:rPr>
        <w:t>。本</w:t>
      </w:r>
      <w:r>
        <w:rPr>
          <w:rFonts w:ascii="Times New Roman" w:hAnsi="Times New Roman" w:cs="Times New Roman"/>
        </w:rPr>
        <w:t>工程</w:t>
      </w:r>
      <w:r>
        <w:rPr>
          <w:rFonts w:ascii="Times New Roman" w:hAnsi="Times New Roman" w:cs="Times New Roman"/>
        </w:rPr>
        <w:t>产生废弃防渗材料量约</w:t>
      </w:r>
      <w:bookmarkStart w:id="891" w:name="OLE_LINK411"/>
      <w:r>
        <w:rPr>
          <w:rFonts w:ascii="Times New Roman" w:hAnsi="Times New Roman" w:cs="Times New Roman"/>
        </w:rPr>
        <w:t>0.</w:t>
      </w:r>
      <w:r>
        <w:rPr>
          <w:rFonts w:ascii="Times New Roman" w:hAnsi="Times New Roman" w:cs="Times New Roman" w:hint="eastAsia"/>
        </w:rPr>
        <w:t>5</w:t>
      </w:r>
      <w:r>
        <w:rPr>
          <w:rFonts w:ascii="Times New Roman" w:hAnsi="Times New Roman" w:cs="Times New Roman"/>
        </w:rPr>
        <w:t>t/a</w:t>
      </w:r>
      <w:bookmarkEnd w:id="891"/>
      <w:r>
        <w:rPr>
          <w:rFonts w:ascii="Times New Roman" w:hAnsi="Times New Roman" w:cs="Times New Roman"/>
        </w:rPr>
        <w:t>。作业施工结束后，</w:t>
      </w:r>
      <w:bookmarkStart w:id="892" w:name="OLE_LINK328"/>
      <w:r>
        <w:rPr>
          <w:rFonts w:ascii="Times New Roman" w:hAnsi="Times New Roman" w:cs="Times New Roman"/>
        </w:rPr>
        <w:t>由</w:t>
      </w:r>
      <w:bookmarkStart w:id="893" w:name="OLE_LINK412"/>
      <w:r>
        <w:rPr>
          <w:rFonts w:ascii="Times New Roman" w:hAnsi="Times New Roman" w:cs="Times New Roman"/>
        </w:rPr>
        <w:t>施工单位将废弃的</w:t>
      </w:r>
      <w:r>
        <w:rPr>
          <w:rFonts w:ascii="Times New Roman" w:hAnsi="Times New Roman" w:cs="Times New Roman"/>
          <w:snapToGrid w:val="0"/>
          <w:spacing w:val="4"/>
          <w:szCs w:val="22"/>
        </w:rPr>
        <w:t>废防渗材料</w:t>
      </w:r>
      <w:r>
        <w:rPr>
          <w:rFonts w:ascii="Times New Roman" w:hAnsi="Times New Roman" w:cs="Times New Roman"/>
        </w:rPr>
        <w:t>集中收集，不在井场贮存，</w:t>
      </w:r>
      <w:bookmarkStart w:id="894" w:name="OLE_LINK327"/>
      <w:r>
        <w:rPr>
          <w:rFonts w:ascii="Times New Roman" w:hAnsi="Times New Roman" w:cs="Times New Roman"/>
        </w:rPr>
        <w:t>委托</w:t>
      </w:r>
      <w:bookmarkStart w:id="895" w:name="OLE_LINK323"/>
      <w:r>
        <w:rPr>
          <w:rFonts w:ascii="Times New Roman" w:hAnsi="Times New Roman" w:cs="Times New Roman"/>
        </w:rPr>
        <w:t>持有危险废物经营许可证的</w:t>
      </w:r>
      <w:bookmarkEnd w:id="892"/>
      <w:bookmarkEnd w:id="894"/>
      <w:bookmarkEnd w:id="895"/>
      <w:r>
        <w:rPr>
          <w:rFonts w:ascii="Times New Roman" w:hAnsi="Times New Roman" w:cs="Times New Roman" w:hint="eastAsia"/>
        </w:rPr>
        <w:t>单位利用处置</w:t>
      </w:r>
      <w:bookmarkEnd w:id="893"/>
      <w:r>
        <w:rPr>
          <w:rFonts w:ascii="Times New Roman" w:hAnsi="Times New Roman" w:cs="Times New Roman"/>
        </w:rPr>
        <w:t>，拉运过程中持有危险废物经营许可证的单位应使用专车、按照指定的拉运路线。</w:t>
      </w:r>
    </w:p>
    <w:bookmarkStart w:id="896" w:name="OLE_LINK833"/>
    <w:bookmarkStart w:id="897" w:name="OLE_LINK330"/>
    <w:p w:rsidR="00C645C9" w:rsidRDefault="00F955D9">
      <w:pPr>
        <w:spacing w:line="360" w:lineRule="auto"/>
        <w:ind w:firstLineChars="200" w:firstLine="480"/>
        <w:jc w:val="both"/>
        <w:rPr>
          <w:rFonts w:cs="Times New Roman"/>
        </w:rPr>
      </w:pPr>
      <w:r>
        <w:fldChar w:fldCharType="begin"/>
      </w:r>
      <w:r>
        <w:instrText xml:space="preserve"> = 3 \* GB3 \* MERGEFORMAT </w:instrText>
      </w:r>
      <w:r>
        <w:fldChar w:fldCharType="separate"/>
      </w:r>
      <w:r>
        <w:t>③</w:t>
      </w:r>
      <w:r>
        <w:fldChar w:fldCharType="end"/>
      </w:r>
      <w:bookmarkEnd w:id="896"/>
      <w:r>
        <w:rPr>
          <w:rFonts w:cs="Times New Roman" w:hint="eastAsia"/>
        </w:rPr>
        <w:t>清罐底泥</w:t>
      </w:r>
      <w:bookmarkEnd w:id="897"/>
    </w:p>
    <w:p w:rsidR="00C645C9" w:rsidRDefault="00F955D9">
      <w:pPr>
        <w:spacing w:line="360" w:lineRule="auto"/>
        <w:ind w:firstLineChars="200" w:firstLine="480"/>
        <w:jc w:val="both"/>
        <w:rPr>
          <w:rFonts w:cs="Times New Roman"/>
        </w:rPr>
      </w:pPr>
      <w:r>
        <w:rPr>
          <w:rFonts w:cs="Times New Roman" w:hint="eastAsia"/>
        </w:rPr>
        <w:t>清罐底泥主要来自井场储罐和天然气</w:t>
      </w:r>
      <w:r>
        <w:rPr>
          <w:rFonts w:cs="Times New Roman" w:hint="eastAsia"/>
        </w:rPr>
        <w:t>处理装置</w:t>
      </w:r>
      <w:r>
        <w:rPr>
          <w:rFonts w:cs="Times New Roman" w:hint="eastAsia"/>
        </w:rPr>
        <w:t>排污罐</w:t>
      </w:r>
      <w:bookmarkStart w:id="898" w:name="OLE_LINK333"/>
      <w:r>
        <w:rPr>
          <w:rFonts w:cs="Times New Roman" w:hint="eastAsia"/>
        </w:rPr>
        <w:t>。</w:t>
      </w:r>
      <w:r>
        <w:rPr>
          <w:rFonts w:hint="eastAsia"/>
        </w:rPr>
        <w:t>根据</w:t>
      </w:r>
      <w:bookmarkStart w:id="899" w:name="OLE_LINK339"/>
      <w:bookmarkEnd w:id="898"/>
      <w:r>
        <w:rPr>
          <w:rFonts w:hint="eastAsia"/>
        </w:rPr>
        <w:t>《国家危险废物名录（</w:t>
      </w:r>
      <w:r>
        <w:rPr>
          <w:rFonts w:hint="eastAsia"/>
        </w:rPr>
        <w:t>2025</w:t>
      </w:r>
      <w:r>
        <w:rPr>
          <w:rFonts w:hint="eastAsia"/>
        </w:rPr>
        <w:t>年版）》</w:t>
      </w:r>
      <w:bookmarkEnd w:id="899"/>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hint="eastAsia"/>
        </w:rPr>
        <w:t>，</w:t>
      </w:r>
      <w:r>
        <w:rPr>
          <w:rFonts w:cs="Times New Roman"/>
        </w:rPr>
        <w:t>落地油</w:t>
      </w:r>
      <w:r>
        <w:t>废物类别</w:t>
      </w:r>
      <w:r>
        <w:rPr>
          <w:rFonts w:hint="eastAsia"/>
        </w:rPr>
        <w:t>为</w:t>
      </w:r>
      <w:r>
        <w:t>HW08</w:t>
      </w:r>
      <w:bookmarkStart w:id="900" w:name="OLE_LINK335"/>
      <w:r>
        <w:t>废矿物油与含矿物油废物</w:t>
      </w:r>
      <w:bookmarkEnd w:id="900"/>
      <w:r>
        <w:t>（废物代码：</w:t>
      </w:r>
      <w:r>
        <w:t>071-001-08</w:t>
      </w:r>
      <w:r>
        <w:t>）</w:t>
      </w:r>
      <w:r>
        <w:rPr>
          <w:rFonts w:hint="eastAsia"/>
        </w:rPr>
        <w:t>。</w:t>
      </w:r>
      <w:r>
        <w:rPr>
          <w:rFonts w:hint="eastAsia"/>
        </w:rPr>
        <w:t>根据油田资料</w:t>
      </w:r>
      <w:r>
        <w:rPr>
          <w:rFonts w:hint="eastAsia"/>
        </w:rPr>
        <w:t>类比分析，预计回收油泥</w:t>
      </w:r>
      <w:bookmarkStart w:id="901" w:name="OLE_LINK413"/>
      <w:r>
        <w:rPr>
          <w:rFonts w:hint="eastAsia"/>
        </w:rPr>
        <w:t>0.1t</w:t>
      </w:r>
      <w:r>
        <w:rPr>
          <w:rFonts w:hint="eastAsia"/>
        </w:rPr>
        <w:t>/a</w:t>
      </w:r>
      <w:bookmarkEnd w:id="901"/>
      <w:r>
        <w:rPr>
          <w:rFonts w:hint="eastAsia"/>
        </w:rPr>
        <w:t>。清罐底泥直接在作业施工现场由</w:t>
      </w:r>
      <w:bookmarkStart w:id="902" w:name="OLE_LINK414"/>
      <w:r>
        <w:rPr>
          <w:rFonts w:hint="eastAsia"/>
        </w:rPr>
        <w:t>施工人员回收至密闭的专用罐车内，</w:t>
      </w:r>
      <w:r>
        <w:rPr>
          <w:rFonts w:cs="Times New Roman"/>
        </w:rPr>
        <w:t>委托持有危险废物经营许可证的</w:t>
      </w:r>
      <w:r>
        <w:rPr>
          <w:rFonts w:cs="Times New Roman" w:hint="eastAsia"/>
        </w:rPr>
        <w:t>单位利用处置</w:t>
      </w:r>
      <w:bookmarkEnd w:id="902"/>
      <w:r>
        <w:rPr>
          <w:rFonts w:cs="Times New Roman" w:hint="eastAsia"/>
        </w:rPr>
        <w:t>。</w:t>
      </w:r>
    </w:p>
    <w:bookmarkStart w:id="903" w:name="OLE_LINK415"/>
    <w:p w:rsidR="00C645C9" w:rsidRDefault="00F955D9">
      <w:pPr>
        <w:spacing w:line="360" w:lineRule="auto"/>
        <w:ind w:firstLineChars="200" w:firstLine="480"/>
        <w:jc w:val="both"/>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t>④</w:t>
      </w:r>
      <w:r>
        <w:rPr>
          <w:rFonts w:cs="Times New Roman"/>
        </w:rPr>
        <w:fldChar w:fldCharType="end"/>
      </w:r>
      <w:r>
        <w:rPr>
          <w:rFonts w:cs="Times New Roman" w:hint="eastAsia"/>
        </w:rPr>
        <w:t>废润滑油</w:t>
      </w:r>
      <w:bookmarkEnd w:id="903"/>
    </w:p>
    <w:p w:rsidR="00C645C9" w:rsidRDefault="00F955D9">
      <w:pPr>
        <w:spacing w:line="360" w:lineRule="auto"/>
        <w:ind w:firstLineChars="200" w:firstLine="480"/>
        <w:jc w:val="both"/>
        <w:rPr>
          <w:rFonts w:cs="Times New Roman"/>
        </w:rPr>
      </w:pPr>
      <w:bookmarkStart w:id="904" w:name="OLE_LINK334"/>
      <w:r>
        <w:rPr>
          <w:rFonts w:cs="Times New Roman"/>
        </w:rPr>
        <w:t>废润滑油</w:t>
      </w:r>
      <w:bookmarkEnd w:id="904"/>
      <w:r>
        <w:rPr>
          <w:rFonts w:cs="Times New Roman"/>
        </w:rPr>
        <w:t>主要来自设备维修</w:t>
      </w:r>
      <w:r>
        <w:rPr>
          <w:rFonts w:cs="Times New Roman"/>
        </w:rPr>
        <w:t>过程</w:t>
      </w:r>
      <w:r>
        <w:rPr>
          <w:rFonts w:cs="Times New Roman" w:hint="eastAsia"/>
        </w:rPr>
        <w:t>。</w:t>
      </w:r>
      <w:r>
        <w:rPr>
          <w:rFonts w:hint="eastAsia"/>
        </w:rPr>
        <w:t>根据</w:t>
      </w:r>
      <w:r>
        <w:rPr>
          <w:rFonts w:cs="Times New Roman"/>
        </w:rPr>
        <w:t>《国家危险废物名录（</w:t>
      </w:r>
      <w:r>
        <w:rPr>
          <w:rFonts w:cs="Times New Roman"/>
        </w:rPr>
        <w:t>2025</w:t>
      </w:r>
      <w:r>
        <w:rPr>
          <w:rFonts w:cs="Times New Roman"/>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rPr>
        <w:t>，废润滑油</w:t>
      </w:r>
      <w:r>
        <w:rPr>
          <w:rFonts w:cs="Times New Roman" w:hint="eastAsia"/>
        </w:rPr>
        <w:t>属于</w:t>
      </w:r>
      <w:r>
        <w:rPr>
          <w:rFonts w:cs="Times New Roman"/>
        </w:rPr>
        <w:t>HW08</w:t>
      </w:r>
      <w:r>
        <w:t>废矿物油与含矿物油废物</w:t>
      </w:r>
      <w:r>
        <w:rPr>
          <w:rFonts w:cs="Times New Roman"/>
        </w:rPr>
        <w:t>（废物代码：</w:t>
      </w:r>
      <w:bookmarkStart w:id="905" w:name="OLE_LINK336"/>
      <w:r>
        <w:rPr>
          <w:rFonts w:cs="Times New Roman"/>
        </w:rPr>
        <w:t>900-214-08</w:t>
      </w:r>
      <w:bookmarkEnd w:id="905"/>
      <w:r>
        <w:rPr>
          <w:rFonts w:cs="Times New Roman"/>
        </w:rPr>
        <w:t>）。废润滑油间歇产生，废润滑油</w:t>
      </w:r>
      <w:r>
        <w:rPr>
          <w:rFonts w:cs="Times New Roman"/>
        </w:rPr>
        <w:t>产生</w:t>
      </w:r>
      <w:r>
        <w:rPr>
          <w:rFonts w:cs="Times New Roman"/>
        </w:rPr>
        <w:t>量约</w:t>
      </w:r>
      <w:bookmarkStart w:id="906" w:name="OLE_LINK416"/>
      <w:r>
        <w:rPr>
          <w:rFonts w:cs="Times New Roman"/>
        </w:rPr>
        <w:t>0.5</w:t>
      </w:r>
      <w:r>
        <w:rPr>
          <w:rFonts w:cs="Times New Roman"/>
        </w:rPr>
        <w:t>t/a</w:t>
      </w:r>
      <w:bookmarkEnd w:id="906"/>
      <w:r>
        <w:rPr>
          <w:rFonts w:cs="Times New Roman"/>
        </w:rPr>
        <w:t>，</w:t>
      </w:r>
      <w:r>
        <w:rPr>
          <w:rFonts w:cs="Times New Roman"/>
        </w:rPr>
        <w:t>收集后委托持有危险废物经营许可证的</w:t>
      </w:r>
      <w:r>
        <w:rPr>
          <w:rFonts w:cs="Times New Roman" w:hint="eastAsia"/>
        </w:rPr>
        <w:t>单位利用处置</w:t>
      </w:r>
      <w:r>
        <w:rPr>
          <w:rFonts w:cs="Times New Roman"/>
        </w:rPr>
        <w:t>。</w:t>
      </w:r>
    </w:p>
    <w:p w:rsidR="00C645C9" w:rsidRDefault="00F955D9" w:rsidP="005718BB">
      <w:pPr>
        <w:pStyle w:val="aff"/>
        <w:widowControl w:val="0"/>
        <w:adjustRightInd w:val="0"/>
        <w:snapToGrid w:val="0"/>
        <w:jc w:val="both"/>
        <w:rPr>
          <w:rFonts w:cs="Times New Roman"/>
          <w:color w:val="auto"/>
        </w:rPr>
      </w:pPr>
      <w:r>
        <w:rPr>
          <w:rFonts w:cs="Times New Roman"/>
          <w:color w:val="auto"/>
        </w:rPr>
        <w:fldChar w:fldCharType="begin"/>
      </w:r>
      <w:r>
        <w:rPr>
          <w:rFonts w:cs="Times New Roman"/>
          <w:color w:val="auto"/>
        </w:rPr>
        <w:instrText xml:space="preserve"> = 5 \* GB3 \* MERGEFORMAT </w:instrText>
      </w:r>
      <w:r>
        <w:rPr>
          <w:rFonts w:cs="Times New Roman"/>
          <w:color w:val="auto"/>
        </w:rPr>
        <w:fldChar w:fldCharType="separate"/>
      </w:r>
      <w:r>
        <w:rPr>
          <w:color w:val="auto"/>
        </w:rPr>
        <w:t>⑤</w:t>
      </w:r>
      <w:r>
        <w:rPr>
          <w:rFonts w:cs="Times New Roman"/>
          <w:color w:val="auto"/>
        </w:rPr>
        <w:fldChar w:fldCharType="end"/>
      </w:r>
      <w:r>
        <w:rPr>
          <w:rFonts w:cs="Times New Roman"/>
          <w:color w:val="auto"/>
        </w:rPr>
        <w:t>生活</w:t>
      </w:r>
      <w:r>
        <w:rPr>
          <w:rFonts w:cs="Times New Roman"/>
          <w:color w:val="auto"/>
        </w:rPr>
        <w:t>垃圾</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运营期工作人员由</w:t>
      </w:r>
      <w:r>
        <w:rPr>
          <w:rFonts w:ascii="Times New Roman" w:hAnsi="Times New Roman" w:cs="Times New Roman"/>
          <w:kern w:val="2"/>
          <w:szCs w:val="20"/>
          <w:lang w:bidi="ar"/>
        </w:rPr>
        <w:t>雅克拉采气厂内部调剂解决</w:t>
      </w:r>
      <w:r>
        <w:rPr>
          <w:rFonts w:ascii="Times New Roman" w:hAnsi="Times New Roman" w:cs="Times New Roman"/>
        </w:rPr>
        <w:t>，故不新增生活垃圾。</w:t>
      </w:r>
    </w:p>
    <w:p w:rsidR="00C645C9" w:rsidRDefault="00F955D9">
      <w:pPr>
        <w:pStyle w:val="aff"/>
        <w:widowControl w:val="0"/>
        <w:adjustRightInd w:val="0"/>
        <w:snapToGrid w:val="0"/>
        <w:ind w:firstLineChars="200" w:firstLine="480"/>
        <w:rPr>
          <w:rFonts w:cs="Times New Roman"/>
          <w:bCs/>
          <w:color w:val="auto"/>
        </w:rPr>
      </w:pPr>
      <w:r>
        <w:rPr>
          <w:rFonts w:cs="Times New Roman"/>
          <w:bCs/>
          <w:color w:val="auto"/>
        </w:rPr>
        <w:t>根据</w:t>
      </w:r>
      <w:r>
        <w:rPr>
          <w:rFonts w:cs="Times New Roman"/>
          <w:bCs/>
          <w:color w:val="auto"/>
        </w:rPr>
        <w:t>《</w:t>
      </w:r>
      <w:bookmarkStart w:id="907" w:name="OLE_LINK338"/>
      <w:r>
        <w:rPr>
          <w:rFonts w:cs="Times New Roman"/>
          <w:bCs/>
          <w:color w:val="auto"/>
        </w:rPr>
        <w:t>危险废物环境管理指南</w:t>
      </w:r>
      <w:r>
        <w:rPr>
          <w:rFonts w:cs="Times New Roman"/>
          <w:bCs/>
          <w:color w:val="auto"/>
        </w:rPr>
        <w:t xml:space="preserve"> </w:t>
      </w:r>
      <w:r>
        <w:rPr>
          <w:rFonts w:cs="Times New Roman"/>
          <w:bCs/>
          <w:color w:val="auto"/>
        </w:rPr>
        <w:t>陆上石油天然气开采</w:t>
      </w:r>
      <w:bookmarkEnd w:id="907"/>
      <w:r>
        <w:rPr>
          <w:rFonts w:cs="Times New Roman"/>
          <w:bCs/>
          <w:color w:val="auto"/>
        </w:rPr>
        <w:t>》</w:t>
      </w:r>
      <w:r>
        <w:rPr>
          <w:rFonts w:cs="Times New Roman" w:hint="eastAsia"/>
          <w:bCs/>
          <w:color w:val="auto"/>
        </w:rPr>
        <w:t>（</w:t>
      </w:r>
      <w:r>
        <w:rPr>
          <w:rFonts w:cs="Times New Roman" w:hint="eastAsia"/>
          <w:bCs/>
          <w:color w:val="auto"/>
        </w:rPr>
        <w:t>生态环境部公告</w:t>
      </w:r>
      <w:r>
        <w:rPr>
          <w:rFonts w:cs="Times New Roman" w:hint="eastAsia"/>
          <w:bCs/>
          <w:color w:val="auto"/>
        </w:rPr>
        <w:t>2021</w:t>
      </w:r>
      <w:r>
        <w:rPr>
          <w:rFonts w:cs="Times New Roman" w:hint="eastAsia"/>
          <w:bCs/>
          <w:color w:val="auto"/>
        </w:rPr>
        <w:t>年第</w:t>
      </w:r>
      <w:r>
        <w:rPr>
          <w:rFonts w:cs="Times New Roman" w:hint="eastAsia"/>
          <w:bCs/>
          <w:color w:val="auto"/>
        </w:rPr>
        <w:t>74</w:t>
      </w:r>
      <w:r>
        <w:rPr>
          <w:rFonts w:cs="Times New Roman" w:hint="eastAsia"/>
          <w:bCs/>
          <w:color w:val="auto"/>
        </w:rPr>
        <w:t>号</w:t>
      </w:r>
      <w:r>
        <w:rPr>
          <w:rFonts w:cs="Times New Roman" w:hint="eastAsia"/>
          <w:bCs/>
          <w:color w:val="auto"/>
        </w:rPr>
        <w:t>）</w:t>
      </w:r>
      <w:r>
        <w:rPr>
          <w:rFonts w:cs="Times New Roman" w:hint="eastAsia"/>
          <w:bCs/>
          <w:color w:val="auto"/>
        </w:rPr>
        <w:t>和《国家危险废物名录（</w:t>
      </w:r>
      <w:r>
        <w:rPr>
          <w:rFonts w:cs="Times New Roman" w:hint="eastAsia"/>
          <w:bCs/>
          <w:color w:val="auto"/>
        </w:rPr>
        <w:t>2025</w:t>
      </w:r>
      <w:r>
        <w:rPr>
          <w:rFonts w:cs="Times New Roman" w:hint="eastAsia"/>
          <w:bCs/>
          <w:color w:val="auto"/>
        </w:rPr>
        <w:t>年版）》</w:t>
      </w:r>
      <w:r>
        <w:rPr>
          <w:rFonts w:cs="Times New Roman"/>
          <w:color w:val="auto"/>
        </w:rPr>
        <w:t>（</w:t>
      </w:r>
      <w:r>
        <w:rPr>
          <w:rFonts w:cs="Times New Roman"/>
          <w:color w:val="auto"/>
        </w:rPr>
        <w:t>生态环境部令第</w:t>
      </w:r>
      <w:r>
        <w:rPr>
          <w:rFonts w:cs="Times New Roman"/>
          <w:color w:val="auto"/>
        </w:rPr>
        <w:t>36</w:t>
      </w:r>
      <w:r>
        <w:rPr>
          <w:rFonts w:cs="Times New Roman"/>
          <w:color w:val="auto"/>
        </w:rPr>
        <w:t>号</w:t>
      </w:r>
      <w:r>
        <w:rPr>
          <w:rFonts w:cs="Times New Roman"/>
          <w:color w:val="auto"/>
        </w:rPr>
        <w:t>）</w:t>
      </w:r>
      <w:r>
        <w:rPr>
          <w:rFonts w:cs="Times New Roman"/>
          <w:bCs/>
          <w:color w:val="auto"/>
        </w:rPr>
        <w:t>，</w:t>
      </w:r>
      <w:r>
        <w:rPr>
          <w:rFonts w:cs="Times New Roman"/>
          <w:bCs/>
          <w:color w:val="auto"/>
        </w:rPr>
        <w:t>本</w:t>
      </w:r>
      <w:r>
        <w:rPr>
          <w:rFonts w:cs="Times New Roman" w:hint="eastAsia"/>
          <w:bCs/>
          <w:color w:val="auto"/>
        </w:rPr>
        <w:t>工程</w:t>
      </w:r>
      <w:r>
        <w:rPr>
          <w:rFonts w:cs="Times New Roman"/>
          <w:bCs/>
          <w:color w:val="auto"/>
        </w:rPr>
        <w:t>运营期危险废物产排污统计表详见表</w:t>
      </w:r>
      <w:r>
        <w:rPr>
          <w:rFonts w:cs="Times New Roman"/>
          <w:bCs/>
          <w:color w:val="auto"/>
        </w:rPr>
        <w:t>3.</w:t>
      </w:r>
      <w:r>
        <w:rPr>
          <w:rFonts w:cs="Times New Roman" w:hint="eastAsia"/>
          <w:bCs/>
          <w:color w:val="auto"/>
        </w:rPr>
        <w:t>3</w:t>
      </w:r>
      <w:r>
        <w:rPr>
          <w:rFonts w:cs="Times New Roman"/>
          <w:bCs/>
          <w:color w:val="auto"/>
        </w:rPr>
        <w:t>-</w:t>
      </w:r>
      <w:r>
        <w:rPr>
          <w:rFonts w:cs="Times New Roman" w:hint="eastAsia"/>
          <w:bCs/>
          <w:color w:val="auto"/>
        </w:rPr>
        <w:t>7</w:t>
      </w:r>
      <w:r>
        <w:rPr>
          <w:rFonts w:cs="Times New Roman"/>
          <w:bCs/>
          <w:color w:val="auto"/>
        </w:rPr>
        <w:t>。</w:t>
      </w:r>
    </w:p>
    <w:bookmarkEnd w:id="876"/>
    <w:p w:rsidR="00C645C9" w:rsidRDefault="00F955D9">
      <w:pPr>
        <w:pStyle w:val="aff"/>
        <w:widowControl w:val="0"/>
        <w:adjustRightInd w:val="0"/>
        <w:snapToGrid w:val="0"/>
        <w:spacing w:line="240" w:lineRule="auto"/>
        <w:ind w:firstLineChars="0" w:firstLine="0"/>
        <w:jc w:val="center"/>
        <w:rPr>
          <w:rFonts w:eastAsia="黑体" w:cs="Times New Roman"/>
          <w:bCs/>
          <w:color w:val="auto"/>
          <w:sz w:val="21"/>
          <w:szCs w:val="21"/>
        </w:rPr>
      </w:pPr>
      <w:r>
        <w:rPr>
          <w:rFonts w:eastAsia="黑体" w:cs="Times New Roman"/>
          <w:bCs/>
          <w:color w:val="auto"/>
          <w:sz w:val="21"/>
          <w:szCs w:val="21"/>
        </w:rPr>
        <w:t>表</w:t>
      </w:r>
      <w:r>
        <w:rPr>
          <w:rFonts w:eastAsia="黑体" w:cs="Times New Roman"/>
          <w:bCs/>
          <w:color w:val="auto"/>
          <w:sz w:val="21"/>
          <w:szCs w:val="21"/>
        </w:rPr>
        <w:t>3.</w:t>
      </w:r>
      <w:r>
        <w:rPr>
          <w:rFonts w:eastAsia="黑体" w:cs="Times New Roman" w:hint="eastAsia"/>
          <w:bCs/>
          <w:color w:val="auto"/>
          <w:sz w:val="21"/>
          <w:szCs w:val="21"/>
        </w:rPr>
        <w:t>3</w:t>
      </w:r>
      <w:r>
        <w:rPr>
          <w:rFonts w:eastAsia="黑体" w:cs="Times New Roman"/>
          <w:bCs/>
          <w:color w:val="auto"/>
          <w:sz w:val="21"/>
          <w:szCs w:val="21"/>
        </w:rPr>
        <w:t>-</w:t>
      </w:r>
      <w:r>
        <w:rPr>
          <w:rFonts w:eastAsia="黑体" w:cs="Times New Roman" w:hint="eastAsia"/>
          <w:bCs/>
          <w:color w:val="auto"/>
          <w:sz w:val="21"/>
          <w:szCs w:val="21"/>
        </w:rPr>
        <w:t>7</w:t>
      </w:r>
      <w:r>
        <w:rPr>
          <w:rFonts w:eastAsia="黑体" w:cs="Times New Roman"/>
          <w:bCs/>
          <w:color w:val="auto"/>
          <w:sz w:val="21"/>
          <w:szCs w:val="21"/>
        </w:rPr>
        <w:t xml:space="preserve">   </w:t>
      </w:r>
      <w:r>
        <w:rPr>
          <w:rFonts w:eastAsia="黑体" w:cs="Times New Roman"/>
          <w:bCs/>
          <w:color w:val="auto"/>
          <w:sz w:val="21"/>
          <w:szCs w:val="21"/>
        </w:rPr>
        <w:t>运营期危险废物产生、处置及防治措施情况一览表</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
        <w:gridCol w:w="927"/>
        <w:gridCol w:w="685"/>
        <w:gridCol w:w="758"/>
        <w:gridCol w:w="870"/>
        <w:gridCol w:w="941"/>
        <w:gridCol w:w="679"/>
        <w:gridCol w:w="711"/>
        <w:gridCol w:w="549"/>
        <w:gridCol w:w="539"/>
        <w:gridCol w:w="1424"/>
      </w:tblGrid>
      <w:tr w:rsidR="00C645C9">
        <w:trPr>
          <w:trHeight w:val="862"/>
          <w:tblHeader/>
          <w:jc w:val="center"/>
        </w:trPr>
        <w:tc>
          <w:tcPr>
            <w:tcW w:w="170" w:type="pct"/>
            <w:vAlign w:val="center"/>
          </w:tcPr>
          <w:p w:rsidR="00C645C9" w:rsidRDefault="00F955D9">
            <w:pPr>
              <w:pStyle w:val="afa"/>
              <w:shd w:val="clear" w:color="auto" w:fill="auto"/>
              <w:rPr>
                <w:szCs w:val="21"/>
              </w:rPr>
            </w:pPr>
            <w:r>
              <w:rPr>
                <w:szCs w:val="21"/>
              </w:rPr>
              <w:lastRenderedPageBreak/>
              <w:t>序号</w:t>
            </w:r>
          </w:p>
        </w:tc>
        <w:tc>
          <w:tcPr>
            <w:tcW w:w="553" w:type="pct"/>
            <w:vAlign w:val="center"/>
          </w:tcPr>
          <w:p w:rsidR="00C645C9" w:rsidRDefault="00F955D9">
            <w:pPr>
              <w:pStyle w:val="afa"/>
              <w:shd w:val="clear" w:color="auto" w:fill="auto"/>
              <w:rPr>
                <w:szCs w:val="21"/>
              </w:rPr>
            </w:pPr>
            <w:r>
              <w:rPr>
                <w:szCs w:val="21"/>
              </w:rPr>
              <w:t>危险废物名称</w:t>
            </w:r>
          </w:p>
        </w:tc>
        <w:tc>
          <w:tcPr>
            <w:tcW w:w="409" w:type="pct"/>
            <w:vAlign w:val="center"/>
          </w:tcPr>
          <w:p w:rsidR="00C645C9" w:rsidRDefault="00F955D9">
            <w:pPr>
              <w:pStyle w:val="afa"/>
              <w:shd w:val="clear" w:color="auto" w:fill="auto"/>
              <w:rPr>
                <w:szCs w:val="21"/>
              </w:rPr>
            </w:pPr>
            <w:r>
              <w:rPr>
                <w:szCs w:val="21"/>
              </w:rPr>
              <w:t>废物</w:t>
            </w:r>
          </w:p>
          <w:p w:rsidR="00C645C9" w:rsidRDefault="00F955D9">
            <w:pPr>
              <w:pStyle w:val="afa"/>
              <w:shd w:val="clear" w:color="auto" w:fill="auto"/>
              <w:rPr>
                <w:szCs w:val="21"/>
              </w:rPr>
            </w:pPr>
            <w:r>
              <w:rPr>
                <w:szCs w:val="21"/>
              </w:rPr>
              <w:t>类别</w:t>
            </w:r>
          </w:p>
        </w:tc>
        <w:tc>
          <w:tcPr>
            <w:tcW w:w="452" w:type="pct"/>
            <w:vAlign w:val="center"/>
          </w:tcPr>
          <w:p w:rsidR="00C645C9" w:rsidRDefault="00F955D9">
            <w:pPr>
              <w:pStyle w:val="afa"/>
              <w:shd w:val="clear" w:color="auto" w:fill="auto"/>
              <w:rPr>
                <w:szCs w:val="21"/>
              </w:rPr>
            </w:pPr>
            <w:r>
              <w:rPr>
                <w:szCs w:val="21"/>
              </w:rPr>
              <w:t>废物</w:t>
            </w:r>
          </w:p>
          <w:p w:rsidR="00C645C9" w:rsidRDefault="00F955D9">
            <w:pPr>
              <w:pStyle w:val="afa"/>
              <w:shd w:val="clear" w:color="auto" w:fill="auto"/>
              <w:rPr>
                <w:szCs w:val="21"/>
              </w:rPr>
            </w:pPr>
            <w:r>
              <w:rPr>
                <w:szCs w:val="21"/>
              </w:rPr>
              <w:t>代码</w:t>
            </w:r>
          </w:p>
        </w:tc>
        <w:tc>
          <w:tcPr>
            <w:tcW w:w="519" w:type="pct"/>
            <w:vAlign w:val="center"/>
          </w:tcPr>
          <w:p w:rsidR="00C645C9" w:rsidRDefault="00F955D9">
            <w:pPr>
              <w:pStyle w:val="afa"/>
              <w:shd w:val="clear" w:color="auto" w:fill="auto"/>
              <w:rPr>
                <w:szCs w:val="21"/>
              </w:rPr>
            </w:pPr>
            <w:r>
              <w:rPr>
                <w:szCs w:val="21"/>
              </w:rPr>
              <w:t>产生量</w:t>
            </w:r>
          </w:p>
          <w:p w:rsidR="00C645C9" w:rsidRDefault="00F955D9">
            <w:pPr>
              <w:pStyle w:val="afa"/>
              <w:shd w:val="clear" w:color="auto" w:fill="auto"/>
              <w:rPr>
                <w:szCs w:val="21"/>
              </w:rPr>
            </w:pPr>
            <w:r>
              <w:rPr>
                <w:rFonts w:hint="eastAsia"/>
                <w:szCs w:val="21"/>
              </w:rPr>
              <w:t>（</w:t>
            </w:r>
            <w:r>
              <w:rPr>
                <w:szCs w:val="21"/>
              </w:rPr>
              <w:t>t/a</w:t>
            </w:r>
            <w:r>
              <w:rPr>
                <w:rFonts w:hint="eastAsia"/>
                <w:szCs w:val="21"/>
              </w:rPr>
              <w:t>）</w:t>
            </w:r>
          </w:p>
        </w:tc>
        <w:tc>
          <w:tcPr>
            <w:tcW w:w="561" w:type="pct"/>
            <w:vAlign w:val="center"/>
          </w:tcPr>
          <w:p w:rsidR="00C645C9" w:rsidRDefault="00F955D9">
            <w:pPr>
              <w:pStyle w:val="afa"/>
              <w:shd w:val="clear" w:color="auto" w:fill="auto"/>
              <w:rPr>
                <w:szCs w:val="21"/>
              </w:rPr>
            </w:pPr>
            <w:r>
              <w:rPr>
                <w:szCs w:val="21"/>
              </w:rPr>
              <w:t>产生</w:t>
            </w:r>
          </w:p>
          <w:p w:rsidR="00C645C9" w:rsidRDefault="00F955D9">
            <w:pPr>
              <w:pStyle w:val="afa"/>
              <w:shd w:val="clear" w:color="auto" w:fill="auto"/>
              <w:rPr>
                <w:szCs w:val="21"/>
              </w:rPr>
            </w:pPr>
            <w:r>
              <w:rPr>
                <w:rFonts w:hint="eastAsia"/>
                <w:szCs w:val="21"/>
              </w:rPr>
              <w:t>环节</w:t>
            </w:r>
          </w:p>
        </w:tc>
        <w:tc>
          <w:tcPr>
            <w:tcW w:w="406" w:type="pct"/>
            <w:vAlign w:val="center"/>
          </w:tcPr>
          <w:p w:rsidR="00C645C9" w:rsidRDefault="00F955D9">
            <w:pPr>
              <w:pStyle w:val="afa"/>
              <w:shd w:val="clear" w:color="auto" w:fill="auto"/>
              <w:rPr>
                <w:szCs w:val="21"/>
              </w:rPr>
            </w:pPr>
            <w:r>
              <w:rPr>
                <w:rFonts w:hint="eastAsia"/>
                <w:szCs w:val="21"/>
              </w:rPr>
              <w:t>外观性状</w:t>
            </w:r>
          </w:p>
        </w:tc>
        <w:tc>
          <w:tcPr>
            <w:tcW w:w="424" w:type="pct"/>
            <w:vAlign w:val="center"/>
          </w:tcPr>
          <w:p w:rsidR="00C645C9" w:rsidRDefault="00F955D9">
            <w:pPr>
              <w:pStyle w:val="afa"/>
              <w:shd w:val="clear" w:color="auto" w:fill="auto"/>
              <w:rPr>
                <w:szCs w:val="21"/>
              </w:rPr>
            </w:pPr>
            <w:r>
              <w:rPr>
                <w:rFonts w:hint="eastAsia"/>
                <w:szCs w:val="21"/>
              </w:rPr>
              <w:t>特征污染物</w:t>
            </w:r>
          </w:p>
        </w:tc>
        <w:tc>
          <w:tcPr>
            <w:tcW w:w="328" w:type="pct"/>
            <w:vAlign w:val="center"/>
          </w:tcPr>
          <w:p w:rsidR="00C645C9" w:rsidRDefault="00F955D9">
            <w:pPr>
              <w:pStyle w:val="afa"/>
              <w:shd w:val="clear" w:color="auto" w:fill="auto"/>
              <w:rPr>
                <w:szCs w:val="21"/>
              </w:rPr>
            </w:pPr>
            <w:r>
              <w:rPr>
                <w:rFonts w:hint="eastAsia"/>
                <w:szCs w:val="21"/>
              </w:rPr>
              <w:t>产生规律</w:t>
            </w:r>
          </w:p>
        </w:tc>
        <w:tc>
          <w:tcPr>
            <w:tcW w:w="322" w:type="pct"/>
            <w:vAlign w:val="center"/>
          </w:tcPr>
          <w:p w:rsidR="00C645C9" w:rsidRDefault="00F955D9">
            <w:pPr>
              <w:pStyle w:val="afa"/>
              <w:shd w:val="clear" w:color="auto" w:fill="auto"/>
              <w:rPr>
                <w:szCs w:val="21"/>
              </w:rPr>
            </w:pPr>
            <w:r>
              <w:rPr>
                <w:szCs w:val="21"/>
              </w:rPr>
              <w:t>危废</w:t>
            </w:r>
          </w:p>
          <w:p w:rsidR="00C645C9" w:rsidRDefault="00F955D9">
            <w:pPr>
              <w:pStyle w:val="afa"/>
              <w:shd w:val="clear" w:color="auto" w:fill="auto"/>
              <w:rPr>
                <w:szCs w:val="21"/>
              </w:rPr>
            </w:pPr>
            <w:r>
              <w:rPr>
                <w:szCs w:val="21"/>
              </w:rPr>
              <w:t>特性</w:t>
            </w:r>
          </w:p>
        </w:tc>
        <w:tc>
          <w:tcPr>
            <w:tcW w:w="850" w:type="pct"/>
            <w:vAlign w:val="center"/>
          </w:tcPr>
          <w:p w:rsidR="00C645C9" w:rsidRDefault="00F955D9">
            <w:pPr>
              <w:pStyle w:val="afa"/>
              <w:shd w:val="clear" w:color="auto" w:fill="auto"/>
              <w:rPr>
                <w:szCs w:val="21"/>
              </w:rPr>
            </w:pPr>
            <w:r>
              <w:rPr>
                <w:szCs w:val="21"/>
              </w:rPr>
              <w:t>污染防治措施</w:t>
            </w:r>
          </w:p>
        </w:tc>
      </w:tr>
      <w:tr w:rsidR="00C645C9">
        <w:trPr>
          <w:trHeight w:val="1410"/>
          <w:jc w:val="center"/>
        </w:trPr>
        <w:tc>
          <w:tcPr>
            <w:tcW w:w="170" w:type="pct"/>
            <w:vAlign w:val="center"/>
          </w:tcPr>
          <w:p w:rsidR="00C645C9" w:rsidRDefault="00F955D9">
            <w:pPr>
              <w:pStyle w:val="afa"/>
              <w:shd w:val="clear" w:color="auto" w:fill="auto"/>
              <w:rPr>
                <w:szCs w:val="21"/>
              </w:rPr>
            </w:pPr>
            <w:r>
              <w:rPr>
                <w:szCs w:val="21"/>
              </w:rPr>
              <w:t>1</w:t>
            </w:r>
          </w:p>
        </w:tc>
        <w:tc>
          <w:tcPr>
            <w:tcW w:w="553" w:type="pct"/>
            <w:vAlign w:val="center"/>
          </w:tcPr>
          <w:p w:rsidR="00C645C9" w:rsidRDefault="00F955D9">
            <w:pPr>
              <w:pStyle w:val="afa"/>
              <w:shd w:val="clear" w:color="auto" w:fill="auto"/>
              <w:rPr>
                <w:szCs w:val="21"/>
              </w:rPr>
            </w:pPr>
            <w:r>
              <w:rPr>
                <w:szCs w:val="21"/>
              </w:rPr>
              <w:t>落地油</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bookmarkStart w:id="908" w:name="OLE_LINK341"/>
            <w:r>
              <w:rPr>
                <w:szCs w:val="21"/>
              </w:rPr>
              <w:t>071-001-08</w:t>
            </w:r>
            <w:bookmarkEnd w:id="908"/>
          </w:p>
        </w:tc>
        <w:tc>
          <w:tcPr>
            <w:tcW w:w="519" w:type="pct"/>
            <w:vAlign w:val="center"/>
          </w:tcPr>
          <w:p w:rsidR="00C645C9" w:rsidRDefault="00F955D9">
            <w:pPr>
              <w:pStyle w:val="afa"/>
              <w:shd w:val="clear" w:color="auto" w:fill="auto"/>
              <w:rPr>
                <w:szCs w:val="21"/>
              </w:rPr>
            </w:pPr>
            <w:r>
              <w:rPr>
                <w:szCs w:val="21"/>
              </w:rPr>
              <w:t>0.</w:t>
            </w:r>
            <w:r>
              <w:rPr>
                <w:rFonts w:hint="eastAsia"/>
                <w:szCs w:val="21"/>
              </w:rPr>
              <w:t>2</w:t>
            </w:r>
          </w:p>
        </w:tc>
        <w:tc>
          <w:tcPr>
            <w:tcW w:w="561" w:type="pct"/>
            <w:vAlign w:val="center"/>
          </w:tcPr>
          <w:p w:rsidR="00C645C9" w:rsidRDefault="00F955D9">
            <w:pPr>
              <w:pStyle w:val="afa"/>
              <w:shd w:val="clear" w:color="auto" w:fill="auto"/>
              <w:rPr>
                <w:szCs w:val="21"/>
              </w:rPr>
            </w:pPr>
            <w:r>
              <w:rPr>
                <w:szCs w:val="21"/>
              </w:rPr>
              <w:t>井下作业</w:t>
            </w:r>
            <w:r>
              <w:rPr>
                <w:rFonts w:hint="eastAsia"/>
                <w:szCs w:val="21"/>
              </w:rPr>
              <w:t>、</w:t>
            </w:r>
            <w:r>
              <w:rPr>
                <w:rFonts w:hint="eastAsia"/>
                <w:szCs w:val="21"/>
              </w:rPr>
              <w:t>油气</w:t>
            </w:r>
            <w:r>
              <w:rPr>
                <w:szCs w:val="21"/>
              </w:rPr>
              <w:t>处理</w:t>
            </w:r>
          </w:p>
        </w:tc>
        <w:tc>
          <w:tcPr>
            <w:tcW w:w="406" w:type="pct"/>
            <w:vAlign w:val="center"/>
          </w:tcPr>
          <w:p w:rsidR="00C645C9" w:rsidRDefault="00F955D9">
            <w:pPr>
              <w:pStyle w:val="afa"/>
              <w:shd w:val="clear" w:color="auto" w:fill="auto"/>
              <w:rPr>
                <w:szCs w:val="21"/>
              </w:rPr>
            </w:pPr>
            <w:r>
              <w:rPr>
                <w:rFonts w:hint="eastAsia"/>
                <w:szCs w:val="21"/>
              </w:rPr>
              <w:t>半固体、固体</w:t>
            </w:r>
          </w:p>
        </w:tc>
        <w:tc>
          <w:tcPr>
            <w:tcW w:w="424" w:type="pct"/>
            <w:vAlign w:val="center"/>
          </w:tcPr>
          <w:p w:rsidR="00C645C9" w:rsidRDefault="00F955D9">
            <w:pPr>
              <w:pStyle w:val="afa"/>
              <w:shd w:val="clear" w:color="auto" w:fill="auto"/>
              <w:rPr>
                <w:szCs w:val="21"/>
              </w:rPr>
            </w:pPr>
            <w:bookmarkStart w:id="909" w:name="OLE_LINK345"/>
            <w:r>
              <w:rPr>
                <w:rFonts w:hint="eastAsia"/>
                <w:szCs w:val="21"/>
              </w:rPr>
              <w:t>废矿</w:t>
            </w:r>
          </w:p>
          <w:p w:rsidR="00C645C9" w:rsidRDefault="00F955D9">
            <w:pPr>
              <w:pStyle w:val="afa"/>
              <w:shd w:val="clear" w:color="auto" w:fill="auto"/>
              <w:rPr>
                <w:szCs w:val="21"/>
              </w:rPr>
            </w:pPr>
            <w:r>
              <w:rPr>
                <w:rFonts w:hint="eastAsia"/>
                <w:szCs w:val="21"/>
              </w:rPr>
              <w:t>物油</w:t>
            </w:r>
            <w:bookmarkEnd w:id="909"/>
          </w:p>
        </w:tc>
        <w:tc>
          <w:tcPr>
            <w:tcW w:w="328" w:type="pct"/>
            <w:vAlign w:val="center"/>
          </w:tcPr>
          <w:p w:rsidR="00C645C9" w:rsidRDefault="00F955D9">
            <w:pPr>
              <w:pStyle w:val="afa"/>
              <w:shd w:val="clear" w:color="auto" w:fill="auto"/>
              <w:rPr>
                <w:szCs w:val="21"/>
              </w:rPr>
            </w:pPr>
            <w:bookmarkStart w:id="910" w:name="OLE_LINK347"/>
            <w:r>
              <w:rPr>
                <w:szCs w:val="21"/>
              </w:rPr>
              <w:t>间歇</w:t>
            </w:r>
            <w:r>
              <w:rPr>
                <w:rFonts w:hint="eastAsia"/>
                <w:szCs w:val="21"/>
              </w:rPr>
              <w:t>产生</w:t>
            </w:r>
            <w:bookmarkEnd w:id="910"/>
          </w:p>
        </w:tc>
        <w:tc>
          <w:tcPr>
            <w:tcW w:w="322" w:type="pct"/>
            <w:vAlign w:val="center"/>
          </w:tcPr>
          <w:p w:rsidR="00C645C9" w:rsidRDefault="00F955D9">
            <w:pPr>
              <w:pStyle w:val="afa"/>
              <w:shd w:val="clear" w:color="auto" w:fill="auto"/>
              <w:rPr>
                <w:szCs w:val="21"/>
              </w:rPr>
            </w:pPr>
            <w:r>
              <w:rPr>
                <w:szCs w:val="21"/>
              </w:rPr>
              <w:t>T</w:t>
            </w:r>
            <w:r>
              <w:rPr>
                <w:rFonts w:hint="eastAsia"/>
                <w:szCs w:val="21"/>
              </w:rPr>
              <w:t>，</w:t>
            </w:r>
            <w:r>
              <w:rPr>
                <w:szCs w:val="21"/>
              </w:rPr>
              <w:t>I</w:t>
            </w:r>
          </w:p>
        </w:tc>
        <w:tc>
          <w:tcPr>
            <w:tcW w:w="850" w:type="pct"/>
            <w:vAlign w:val="center"/>
          </w:tcPr>
          <w:p w:rsidR="00C645C9" w:rsidRDefault="00F955D9">
            <w:pPr>
              <w:pStyle w:val="afa"/>
              <w:shd w:val="clear" w:color="auto" w:fill="auto"/>
              <w:jc w:val="both"/>
              <w:rPr>
                <w:szCs w:val="21"/>
              </w:rPr>
            </w:pPr>
            <w:r>
              <w:rPr>
                <w:szCs w:val="21"/>
              </w:rPr>
              <w:t>由塔河油田绿色环保站处理</w:t>
            </w:r>
            <w:r>
              <w:rPr>
                <w:szCs w:val="21"/>
              </w:rPr>
              <w:t>。</w:t>
            </w:r>
          </w:p>
        </w:tc>
      </w:tr>
      <w:tr w:rsidR="00C645C9">
        <w:trPr>
          <w:trHeight w:val="571"/>
          <w:jc w:val="center"/>
        </w:trPr>
        <w:tc>
          <w:tcPr>
            <w:tcW w:w="170" w:type="pct"/>
            <w:vAlign w:val="center"/>
          </w:tcPr>
          <w:p w:rsidR="00C645C9" w:rsidRDefault="00F955D9">
            <w:pPr>
              <w:pStyle w:val="afa"/>
              <w:shd w:val="clear" w:color="auto" w:fill="auto"/>
              <w:rPr>
                <w:szCs w:val="21"/>
              </w:rPr>
            </w:pPr>
            <w:r>
              <w:rPr>
                <w:szCs w:val="21"/>
              </w:rPr>
              <w:t>2</w:t>
            </w:r>
          </w:p>
        </w:tc>
        <w:tc>
          <w:tcPr>
            <w:tcW w:w="553" w:type="pct"/>
            <w:vAlign w:val="center"/>
          </w:tcPr>
          <w:p w:rsidR="00C645C9" w:rsidRDefault="00F955D9">
            <w:pPr>
              <w:pStyle w:val="afa"/>
              <w:shd w:val="clear" w:color="auto" w:fill="auto"/>
              <w:rPr>
                <w:szCs w:val="21"/>
              </w:rPr>
            </w:pPr>
            <w:r>
              <w:rPr>
                <w:szCs w:val="21"/>
              </w:rPr>
              <w:t>清罐底泥</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r>
              <w:rPr>
                <w:szCs w:val="21"/>
              </w:rPr>
              <w:t>071-001-08</w:t>
            </w:r>
          </w:p>
        </w:tc>
        <w:tc>
          <w:tcPr>
            <w:tcW w:w="519" w:type="pct"/>
            <w:vAlign w:val="center"/>
          </w:tcPr>
          <w:p w:rsidR="00C645C9" w:rsidRDefault="00F955D9">
            <w:pPr>
              <w:pStyle w:val="afa"/>
              <w:shd w:val="clear" w:color="auto" w:fill="auto"/>
              <w:rPr>
                <w:szCs w:val="21"/>
              </w:rPr>
            </w:pPr>
            <w:r>
              <w:t>0.</w:t>
            </w:r>
            <w:r>
              <w:rPr>
                <w:rFonts w:hint="eastAsia"/>
              </w:rPr>
              <w:t>1</w:t>
            </w:r>
          </w:p>
        </w:tc>
        <w:tc>
          <w:tcPr>
            <w:tcW w:w="561" w:type="pct"/>
            <w:vAlign w:val="center"/>
          </w:tcPr>
          <w:p w:rsidR="00C645C9" w:rsidRDefault="00F955D9">
            <w:pPr>
              <w:pStyle w:val="afa"/>
              <w:shd w:val="clear" w:color="auto" w:fill="auto"/>
              <w:rPr>
                <w:szCs w:val="21"/>
              </w:rPr>
            </w:pPr>
            <w:r>
              <w:rPr>
                <w:szCs w:val="21"/>
              </w:rPr>
              <w:t>井场储罐</w:t>
            </w:r>
          </w:p>
        </w:tc>
        <w:tc>
          <w:tcPr>
            <w:tcW w:w="406" w:type="pct"/>
            <w:vAlign w:val="center"/>
          </w:tcPr>
          <w:p w:rsidR="00C645C9" w:rsidRDefault="00F955D9">
            <w:pPr>
              <w:pStyle w:val="afa"/>
              <w:shd w:val="clear" w:color="auto" w:fill="auto"/>
              <w:rPr>
                <w:szCs w:val="21"/>
              </w:rPr>
            </w:pPr>
            <w:r>
              <w:rPr>
                <w:rFonts w:hint="eastAsia"/>
                <w:szCs w:val="21"/>
              </w:rPr>
              <w:t>半固体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pStyle w:val="afa"/>
              <w:shd w:val="clear" w:color="auto" w:fill="auto"/>
              <w:rPr>
                <w:szCs w:val="21"/>
              </w:rPr>
            </w:pPr>
            <w:bookmarkStart w:id="911" w:name="OLE_LINK346"/>
            <w:r>
              <w:rPr>
                <w:szCs w:val="21"/>
              </w:rPr>
              <w:t>T</w:t>
            </w:r>
            <w:r>
              <w:rPr>
                <w:rFonts w:hint="eastAsia"/>
                <w:szCs w:val="21"/>
              </w:rPr>
              <w:t>，</w:t>
            </w:r>
            <w:r>
              <w:rPr>
                <w:szCs w:val="21"/>
              </w:rPr>
              <w:t>I</w:t>
            </w:r>
            <w:bookmarkEnd w:id="911"/>
          </w:p>
        </w:tc>
        <w:tc>
          <w:tcPr>
            <w:tcW w:w="850" w:type="pct"/>
            <w:vAlign w:val="center"/>
          </w:tcPr>
          <w:p w:rsidR="00C645C9" w:rsidRDefault="00F955D9">
            <w:pPr>
              <w:pStyle w:val="afa"/>
              <w:shd w:val="clear" w:color="auto" w:fill="auto"/>
              <w:jc w:val="both"/>
              <w:rPr>
                <w:szCs w:val="21"/>
              </w:rPr>
            </w:pPr>
            <w:r>
              <w:t>委托持有危险废物经营许可证的</w:t>
            </w:r>
            <w:r>
              <w:rPr>
                <w:rFonts w:hint="eastAsia"/>
              </w:rPr>
              <w:t>单位利用处置。</w:t>
            </w:r>
          </w:p>
        </w:tc>
      </w:tr>
      <w:tr w:rsidR="00C645C9">
        <w:trPr>
          <w:trHeight w:val="1433"/>
          <w:jc w:val="center"/>
        </w:trPr>
        <w:tc>
          <w:tcPr>
            <w:tcW w:w="170" w:type="pct"/>
            <w:vAlign w:val="center"/>
          </w:tcPr>
          <w:p w:rsidR="00C645C9" w:rsidRDefault="00F955D9">
            <w:pPr>
              <w:pStyle w:val="afa"/>
              <w:shd w:val="clear" w:color="auto" w:fill="auto"/>
              <w:rPr>
                <w:szCs w:val="21"/>
              </w:rPr>
            </w:pPr>
            <w:bookmarkStart w:id="912" w:name="OLE_LINK344" w:colFirst="5" w:colLast="11"/>
            <w:bookmarkStart w:id="913" w:name="OLE_LINK343" w:colFirst="2" w:colLast="3"/>
            <w:r>
              <w:rPr>
                <w:szCs w:val="21"/>
              </w:rPr>
              <w:t>3</w:t>
            </w:r>
          </w:p>
        </w:tc>
        <w:tc>
          <w:tcPr>
            <w:tcW w:w="553" w:type="pct"/>
            <w:vAlign w:val="center"/>
          </w:tcPr>
          <w:p w:rsidR="00C645C9" w:rsidRDefault="00F955D9">
            <w:pPr>
              <w:pStyle w:val="afa"/>
              <w:shd w:val="clear" w:color="auto" w:fill="auto"/>
              <w:rPr>
                <w:kern w:val="0"/>
                <w:szCs w:val="21"/>
              </w:rPr>
            </w:pPr>
            <w:r>
              <w:rPr>
                <w:kern w:val="0"/>
                <w:szCs w:val="21"/>
              </w:rPr>
              <w:t>废防渗</w:t>
            </w:r>
          </w:p>
          <w:p w:rsidR="00C645C9" w:rsidRDefault="00F955D9">
            <w:pPr>
              <w:pStyle w:val="afa"/>
              <w:shd w:val="clear" w:color="auto" w:fill="auto"/>
              <w:rPr>
                <w:kern w:val="0"/>
                <w:szCs w:val="21"/>
              </w:rPr>
            </w:pPr>
            <w:r>
              <w:rPr>
                <w:kern w:val="0"/>
                <w:szCs w:val="21"/>
              </w:rPr>
              <w:t>材料</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napToGrid w:val="0"/>
                <w:kern w:val="0"/>
                <w:szCs w:val="21"/>
              </w:rPr>
            </w:pPr>
            <w:r>
              <w:rPr>
                <w:szCs w:val="21"/>
              </w:rPr>
              <w:t>900-249-08</w:t>
            </w:r>
          </w:p>
        </w:tc>
        <w:tc>
          <w:tcPr>
            <w:tcW w:w="519" w:type="pct"/>
            <w:vAlign w:val="center"/>
          </w:tcPr>
          <w:p w:rsidR="00C645C9" w:rsidRDefault="00F955D9">
            <w:pPr>
              <w:pStyle w:val="afa"/>
              <w:shd w:val="clear" w:color="auto" w:fill="auto"/>
              <w:rPr>
                <w:szCs w:val="21"/>
              </w:rPr>
            </w:pPr>
            <w:r>
              <w:t>0.</w:t>
            </w:r>
            <w:r>
              <w:rPr>
                <w:rFonts w:hint="eastAsia"/>
              </w:rPr>
              <w:t>5</w:t>
            </w:r>
          </w:p>
        </w:tc>
        <w:tc>
          <w:tcPr>
            <w:tcW w:w="561" w:type="pct"/>
            <w:vAlign w:val="center"/>
          </w:tcPr>
          <w:p w:rsidR="00C645C9" w:rsidRDefault="00F955D9">
            <w:pPr>
              <w:pStyle w:val="afa"/>
              <w:shd w:val="clear" w:color="auto" w:fill="auto"/>
              <w:rPr>
                <w:szCs w:val="21"/>
              </w:rPr>
            </w:pPr>
            <w:r>
              <w:rPr>
                <w:rFonts w:hint="eastAsia"/>
                <w:szCs w:val="21"/>
              </w:rPr>
              <w:t>场地清理环节</w:t>
            </w:r>
          </w:p>
        </w:tc>
        <w:tc>
          <w:tcPr>
            <w:tcW w:w="406" w:type="pct"/>
            <w:vAlign w:val="center"/>
          </w:tcPr>
          <w:p w:rsidR="00C645C9" w:rsidRDefault="00F955D9">
            <w:pPr>
              <w:pStyle w:val="afa"/>
              <w:shd w:val="clear" w:color="auto" w:fill="auto"/>
              <w:rPr>
                <w:snapToGrid w:val="0"/>
                <w:kern w:val="0"/>
                <w:szCs w:val="21"/>
              </w:rPr>
            </w:pPr>
            <w:r>
              <w:rPr>
                <w:szCs w:val="21"/>
              </w:rPr>
              <w:t>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napToGrid w:val="0"/>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napToGrid w:val="0"/>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adjustRightInd w:val="0"/>
              <w:snapToGrid w:val="0"/>
              <w:rPr>
                <w:rFonts w:cs="Times New Roman"/>
                <w:snapToGrid w:val="0"/>
                <w:sz w:val="21"/>
                <w:szCs w:val="21"/>
              </w:rPr>
            </w:pPr>
            <w:r>
              <w:rPr>
                <w:rFonts w:cs="Times New Roman"/>
                <w:sz w:val="21"/>
                <w:szCs w:val="21"/>
              </w:rPr>
              <w:t>T</w:t>
            </w:r>
            <w:r>
              <w:rPr>
                <w:rFonts w:cs="Times New Roman" w:hint="eastAsia"/>
                <w:sz w:val="21"/>
                <w:szCs w:val="21"/>
              </w:rPr>
              <w:t>，</w:t>
            </w:r>
            <w:r>
              <w:rPr>
                <w:rFonts w:cs="Times New Roman"/>
                <w:sz w:val="21"/>
                <w:szCs w:val="21"/>
              </w:rPr>
              <w:t>I</w:t>
            </w:r>
          </w:p>
        </w:tc>
        <w:tc>
          <w:tcPr>
            <w:tcW w:w="850" w:type="pct"/>
            <w:vAlign w:val="center"/>
          </w:tcPr>
          <w:p w:rsidR="00C645C9" w:rsidRDefault="00F955D9">
            <w:pPr>
              <w:pStyle w:val="afa"/>
              <w:shd w:val="clear" w:color="auto" w:fill="auto"/>
              <w:jc w:val="both"/>
              <w:rPr>
                <w:szCs w:val="21"/>
              </w:rPr>
            </w:pPr>
            <w:bookmarkStart w:id="914" w:name="OLE_LINK342"/>
            <w:r>
              <w:t>委托持有危险废物经营许可证的</w:t>
            </w:r>
            <w:bookmarkEnd w:id="914"/>
            <w:r>
              <w:rPr>
                <w:rFonts w:hint="eastAsia"/>
              </w:rPr>
              <w:t>单位利用处置</w:t>
            </w:r>
            <w:r>
              <w:rPr>
                <w:szCs w:val="21"/>
              </w:rPr>
              <w:t>。</w:t>
            </w:r>
          </w:p>
        </w:tc>
      </w:tr>
      <w:bookmarkEnd w:id="912"/>
      <w:bookmarkEnd w:id="913"/>
      <w:tr w:rsidR="00C645C9">
        <w:trPr>
          <w:trHeight w:val="1433"/>
          <w:jc w:val="center"/>
        </w:trPr>
        <w:tc>
          <w:tcPr>
            <w:tcW w:w="170" w:type="pct"/>
            <w:vAlign w:val="center"/>
          </w:tcPr>
          <w:p w:rsidR="00C645C9" w:rsidRDefault="00F955D9">
            <w:pPr>
              <w:pStyle w:val="afa"/>
              <w:shd w:val="clear" w:color="auto" w:fill="auto"/>
              <w:rPr>
                <w:szCs w:val="21"/>
              </w:rPr>
            </w:pPr>
            <w:r>
              <w:rPr>
                <w:rFonts w:hint="eastAsia"/>
                <w:szCs w:val="21"/>
              </w:rPr>
              <w:t>4</w:t>
            </w:r>
          </w:p>
        </w:tc>
        <w:tc>
          <w:tcPr>
            <w:tcW w:w="553" w:type="pct"/>
            <w:vAlign w:val="center"/>
          </w:tcPr>
          <w:p w:rsidR="00C645C9" w:rsidRDefault="00F955D9">
            <w:pPr>
              <w:pStyle w:val="afa"/>
              <w:shd w:val="clear" w:color="auto" w:fill="auto"/>
              <w:rPr>
                <w:kern w:val="0"/>
                <w:szCs w:val="21"/>
              </w:rPr>
            </w:pPr>
            <w:r>
              <w:rPr>
                <w:kern w:val="0"/>
                <w:szCs w:val="21"/>
              </w:rPr>
              <w:t>废润滑油</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r>
              <w:rPr>
                <w:szCs w:val="21"/>
              </w:rPr>
              <w:t>900-214-08</w:t>
            </w:r>
          </w:p>
        </w:tc>
        <w:tc>
          <w:tcPr>
            <w:tcW w:w="519" w:type="pct"/>
            <w:vAlign w:val="center"/>
          </w:tcPr>
          <w:p w:rsidR="00C645C9" w:rsidRDefault="00F955D9">
            <w:pPr>
              <w:pStyle w:val="afa"/>
              <w:shd w:val="clear" w:color="auto" w:fill="auto"/>
            </w:pPr>
            <w:r>
              <w:rPr>
                <w:rFonts w:hint="eastAsia"/>
              </w:rPr>
              <w:t>0.5</w:t>
            </w:r>
          </w:p>
        </w:tc>
        <w:tc>
          <w:tcPr>
            <w:tcW w:w="561" w:type="pct"/>
            <w:vAlign w:val="center"/>
          </w:tcPr>
          <w:p w:rsidR="00C645C9" w:rsidRDefault="00F955D9">
            <w:pPr>
              <w:pStyle w:val="afa"/>
              <w:shd w:val="clear" w:color="auto" w:fill="auto"/>
              <w:rPr>
                <w:szCs w:val="21"/>
              </w:rPr>
            </w:pPr>
            <w:r>
              <w:rPr>
                <w:szCs w:val="21"/>
              </w:rPr>
              <w:t>井场</w:t>
            </w:r>
          </w:p>
        </w:tc>
        <w:tc>
          <w:tcPr>
            <w:tcW w:w="406" w:type="pct"/>
            <w:vAlign w:val="center"/>
          </w:tcPr>
          <w:p w:rsidR="00C645C9" w:rsidRDefault="00F955D9">
            <w:pPr>
              <w:pStyle w:val="afa"/>
              <w:shd w:val="clear" w:color="auto" w:fill="auto"/>
              <w:rPr>
                <w:szCs w:val="21"/>
              </w:rPr>
            </w:pPr>
            <w:r>
              <w:rPr>
                <w:szCs w:val="21"/>
              </w:rPr>
              <w:t>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napToGrid w:val="0"/>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adjustRightInd w:val="0"/>
              <w:snapToGrid w:val="0"/>
              <w:rPr>
                <w:rFonts w:cs="Times New Roman"/>
                <w:snapToGrid w:val="0"/>
                <w:sz w:val="21"/>
                <w:szCs w:val="21"/>
              </w:rPr>
            </w:pPr>
            <w:r>
              <w:rPr>
                <w:rFonts w:cs="Times New Roman"/>
                <w:sz w:val="21"/>
                <w:szCs w:val="21"/>
              </w:rPr>
              <w:t>T</w:t>
            </w:r>
            <w:r>
              <w:rPr>
                <w:rFonts w:cs="Times New Roman" w:hint="eastAsia"/>
                <w:sz w:val="21"/>
                <w:szCs w:val="21"/>
              </w:rPr>
              <w:t>，</w:t>
            </w:r>
            <w:r>
              <w:rPr>
                <w:rFonts w:cs="Times New Roman"/>
                <w:sz w:val="21"/>
                <w:szCs w:val="21"/>
              </w:rPr>
              <w:t>I</w:t>
            </w:r>
          </w:p>
        </w:tc>
        <w:tc>
          <w:tcPr>
            <w:tcW w:w="850" w:type="pct"/>
            <w:vAlign w:val="center"/>
          </w:tcPr>
          <w:p w:rsidR="00C645C9" w:rsidRDefault="00F955D9">
            <w:pPr>
              <w:pStyle w:val="afa"/>
              <w:shd w:val="clear" w:color="auto" w:fill="auto"/>
              <w:jc w:val="both"/>
            </w:pPr>
            <w:r>
              <w:t>委托持有危险废物经营许可证的</w:t>
            </w:r>
            <w:r>
              <w:rPr>
                <w:rFonts w:hint="eastAsia"/>
              </w:rPr>
              <w:t>单位利用处置</w:t>
            </w:r>
            <w:r>
              <w:rPr>
                <w:szCs w:val="21"/>
              </w:rPr>
              <w:t>。</w:t>
            </w:r>
          </w:p>
        </w:tc>
      </w:tr>
    </w:tbl>
    <w:p w:rsidR="00C645C9" w:rsidRDefault="00F955D9">
      <w:pPr>
        <w:keepLines/>
        <w:widowControl w:val="0"/>
        <w:adjustRightInd w:val="0"/>
        <w:snapToGrid w:val="0"/>
        <w:spacing w:line="360" w:lineRule="auto"/>
        <w:outlineLvl w:val="3"/>
        <w:rPr>
          <w:rFonts w:cs="Times New Roman"/>
          <w:b/>
          <w:szCs w:val="22"/>
        </w:rPr>
      </w:pPr>
      <w:hyperlink r:id="rId24" w:history="1">
        <w:r>
          <w:rPr>
            <w:rFonts w:cs="Times New Roman"/>
            <w:b/>
            <w:szCs w:val="22"/>
          </w:rPr>
          <w:t>3.</w:t>
        </w:r>
        <w:r>
          <w:rPr>
            <w:rFonts w:cs="Times New Roman" w:hint="eastAsia"/>
            <w:b/>
            <w:szCs w:val="22"/>
          </w:rPr>
          <w:t>3</w:t>
        </w:r>
        <w:r>
          <w:rPr>
            <w:rFonts w:cs="Times New Roman"/>
            <w:b/>
            <w:szCs w:val="22"/>
          </w:rPr>
          <w:t>.</w:t>
        </w:r>
        <w:r>
          <w:rPr>
            <w:rFonts w:cs="Times New Roman"/>
            <w:b/>
            <w:szCs w:val="22"/>
          </w:rPr>
          <w:t>3</w:t>
        </w:r>
        <w:r>
          <w:rPr>
            <w:rFonts w:cs="Times New Roman"/>
            <w:b/>
            <w:szCs w:val="22"/>
          </w:rPr>
          <w:t>.</w:t>
        </w:r>
        <w:r>
          <w:rPr>
            <w:rFonts w:cs="Times New Roman" w:hint="eastAsia"/>
            <w:b/>
            <w:szCs w:val="22"/>
          </w:rPr>
          <w:t>1</w:t>
        </w:r>
      </w:hyperlink>
      <w:r>
        <w:rPr>
          <w:rFonts w:cs="Times New Roman"/>
          <w:b/>
          <w:szCs w:val="22"/>
        </w:rPr>
        <w:t>废气污染源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hint="eastAsia"/>
        </w:rPr>
        <w:t>运营期的废气排放源主要为</w:t>
      </w:r>
      <w:r>
        <w:t>加热炉产生的有组织废气</w:t>
      </w:r>
      <w:r>
        <w:rPr>
          <w:rFonts w:hint="eastAsia"/>
        </w:rPr>
        <w:t>和温室气体排放</w:t>
      </w:r>
      <w:r>
        <w:rPr>
          <w:rFonts w:hint="eastAsia"/>
        </w:rPr>
        <w:t>，</w:t>
      </w:r>
      <w:r>
        <w:rPr>
          <w:rFonts w:hint="eastAsia"/>
        </w:rPr>
        <w:t>井场</w:t>
      </w:r>
      <w:r>
        <w:rPr>
          <w:rFonts w:hint="eastAsia"/>
        </w:rPr>
        <w:t>、</w:t>
      </w:r>
      <w:r>
        <w:rPr>
          <w:rFonts w:hint="eastAsia"/>
        </w:rPr>
        <w:t>拉运</w:t>
      </w:r>
      <w:r>
        <w:rPr>
          <w:rFonts w:hint="eastAsia"/>
        </w:rPr>
        <w:t>过程中</w:t>
      </w:r>
      <w:r>
        <w:rPr>
          <w:rFonts w:hint="eastAsia"/>
        </w:rPr>
        <w:t>产生的</w:t>
      </w:r>
      <w:r>
        <w:rPr>
          <w:rFonts w:hint="eastAsia"/>
        </w:rPr>
        <w:t>无组织废气排放。无组织排放的污染物主要为井口、阀门以及油罐等处产生的无组织挥发烃类</w:t>
      </w:r>
      <w:r>
        <w:rPr>
          <w:rFonts w:ascii="Times New Roman" w:hAnsi="Times New Roman" w:cs="Times New Roman"/>
        </w:rPr>
        <w:t>。</w:t>
      </w:r>
    </w:p>
    <w:p w:rsidR="00C645C9" w:rsidRDefault="00F955D9">
      <w:pPr>
        <w:pStyle w:val="a5"/>
        <w:widowControl w:val="0"/>
        <w:snapToGrid w:val="0"/>
        <w:ind w:firstLineChars="200" w:firstLine="480"/>
        <w:rPr>
          <w:rFonts w:ascii="Times New Roman" w:hAnsi="Times New Roman" w:cs="Times New Roman"/>
        </w:rPr>
      </w:pPr>
      <w:bookmarkStart w:id="915" w:name="OLE_LINK374"/>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加热炉燃烧废气</w:t>
      </w:r>
    </w:p>
    <w:p w:rsidR="00C645C9" w:rsidRDefault="00F955D9">
      <w:pPr>
        <w:snapToGrid w:val="0"/>
        <w:spacing w:line="360" w:lineRule="auto"/>
        <w:ind w:firstLineChars="200" w:firstLine="480"/>
        <w:jc w:val="both"/>
        <w:rPr>
          <w:rFonts w:cs="Times New Roman"/>
          <w:spacing w:val="5"/>
          <w:sz w:val="25"/>
          <w:szCs w:val="25"/>
        </w:rPr>
      </w:pPr>
      <w:bookmarkStart w:id="916" w:name="_Hlk71908519"/>
      <w:r>
        <w:rPr>
          <w:rFonts w:cs="Times New Roman"/>
        </w:rPr>
        <w:t>本工程在井场设置</w:t>
      </w:r>
      <w:r>
        <w:rPr>
          <w:rFonts w:cs="Times New Roman"/>
        </w:rPr>
        <w:t>200</w:t>
      </w:r>
      <w:r>
        <w:rPr>
          <w:rFonts w:cs="Times New Roman" w:hint="eastAsia"/>
        </w:rPr>
        <w:t>kW</w:t>
      </w:r>
      <w:bookmarkStart w:id="917" w:name="OLE_LINK349"/>
      <w:r>
        <w:rPr>
          <w:rFonts w:cs="Times New Roman" w:hint="eastAsia"/>
        </w:rPr>
        <w:t>水套</w:t>
      </w:r>
      <w:bookmarkEnd w:id="917"/>
      <w:r>
        <w:rPr>
          <w:rFonts w:cs="Times New Roman"/>
        </w:rPr>
        <w:t>加热炉</w:t>
      </w:r>
      <w:r>
        <w:rPr>
          <w:rFonts w:cs="Times New Roman" w:hint="eastAsia"/>
        </w:rPr>
        <w:t>2</w:t>
      </w:r>
      <w:r>
        <w:rPr>
          <w:rFonts w:cs="Times New Roman"/>
        </w:rPr>
        <w:t>台，其燃料气采用经天然气处理后的返输天然气，烟囱高度为</w:t>
      </w:r>
      <w:r>
        <w:rPr>
          <w:rFonts w:cs="Times New Roman"/>
        </w:rPr>
        <w:t>8m</w:t>
      </w:r>
      <w:r>
        <w:rPr>
          <w:rFonts w:cs="Times New Roman"/>
        </w:rPr>
        <w:t>。</w:t>
      </w:r>
      <w:r>
        <w:rPr>
          <w:rFonts w:cs="Times New Roman" w:hint="eastAsia"/>
        </w:rPr>
        <w:t>水套</w:t>
      </w:r>
      <w:r>
        <w:rPr>
          <w:rFonts w:cs="Times New Roman"/>
        </w:rPr>
        <w:t>加热炉耗气量计算公式如下：</w:t>
      </w:r>
    </w:p>
    <w:p w:rsidR="00C645C9" w:rsidRDefault="00F955D9">
      <w:pPr>
        <w:spacing w:line="250" w:lineRule="auto"/>
        <w:jc w:val="center"/>
        <w:rPr>
          <w:rFonts w:cs="Times New Roman"/>
          <w:i/>
          <w:spacing w:val="5"/>
          <w:sz w:val="25"/>
          <w:szCs w:val="25"/>
        </w:rPr>
      </w:pPr>
      <w:r>
        <w:rPr>
          <w:rFonts w:cs="Times New Roman"/>
          <w:i/>
          <w:spacing w:val="5"/>
          <w:position w:val="-32"/>
          <w:sz w:val="25"/>
          <w:szCs w:val="25"/>
        </w:rPr>
        <w:object w:dxaOrig="1440" w:dyaOrig="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85pt" o:ole="">
            <v:imagedata r:id="rId25" o:title="" cropright="41390f"/>
          </v:shape>
          <o:OLEObject Type="Embed" ProgID="Equation.3" ShapeID="_x0000_i1025" DrawAspect="Content" ObjectID="_1809794798" r:id="rId26"/>
        </w:object>
      </w:r>
    </w:p>
    <w:p w:rsidR="00C645C9" w:rsidRDefault="00F955D9">
      <w:pPr>
        <w:spacing w:line="360" w:lineRule="auto"/>
        <w:ind w:firstLineChars="200" w:firstLine="480"/>
        <w:jc w:val="both"/>
        <w:rPr>
          <w:rFonts w:cs="Times New Roman"/>
        </w:rPr>
      </w:pPr>
      <w:r>
        <w:rPr>
          <w:rFonts w:cs="Times New Roman"/>
        </w:rPr>
        <w:t>式中：</w:t>
      </w:r>
      <w:r>
        <w:rPr>
          <w:rFonts w:cs="Times New Roman"/>
        </w:rPr>
        <w:t>A</w:t>
      </w:r>
      <w:r>
        <w:rPr>
          <w:rFonts w:cs="Times New Roman"/>
          <w:szCs w:val="20"/>
        </w:rPr>
        <w:t>——</w:t>
      </w:r>
      <w:r>
        <w:rPr>
          <w:rFonts w:cs="Times New Roman"/>
        </w:rPr>
        <w:t>燃气量，</w:t>
      </w:r>
      <w:r>
        <w:rPr>
          <w:rFonts w:cs="Times New Roman"/>
        </w:rPr>
        <w:t>m³</w:t>
      </w:r>
      <w:r>
        <w:rPr>
          <w:rFonts w:cs="Times New Roman"/>
        </w:rPr>
        <w:t>；</w:t>
      </w:r>
    </w:p>
    <w:p w:rsidR="00C645C9" w:rsidRDefault="00F955D9">
      <w:pPr>
        <w:spacing w:line="360" w:lineRule="auto"/>
        <w:ind w:firstLineChars="513" w:firstLine="1231"/>
        <w:jc w:val="both"/>
        <w:rPr>
          <w:rFonts w:cs="Times New Roman"/>
        </w:rPr>
      </w:pPr>
      <w:r>
        <w:rPr>
          <w:rFonts w:cs="Times New Roman"/>
        </w:rPr>
        <w:t>P</w:t>
      </w:r>
      <w:r>
        <w:rPr>
          <w:rFonts w:cs="Times New Roman"/>
          <w:szCs w:val="20"/>
        </w:rPr>
        <w:t>——</w:t>
      </w:r>
      <w:r>
        <w:rPr>
          <w:rFonts w:cs="Times New Roman"/>
        </w:rPr>
        <w:t>真空加热炉功率，</w:t>
      </w:r>
      <w:r>
        <w:rPr>
          <w:rFonts w:cs="Times New Roman"/>
        </w:rPr>
        <w:t>0.2</w:t>
      </w:r>
      <w:r>
        <w:rPr>
          <w:rFonts w:cs="Times New Roman"/>
        </w:rPr>
        <w:t>MW</w:t>
      </w:r>
      <w:r>
        <w:rPr>
          <w:rFonts w:cs="Times New Roman"/>
        </w:rPr>
        <w:t>；</w:t>
      </w:r>
    </w:p>
    <w:p w:rsidR="00C645C9" w:rsidRDefault="00F955D9">
      <w:pPr>
        <w:spacing w:line="360" w:lineRule="auto"/>
        <w:ind w:firstLineChars="500" w:firstLine="1200"/>
        <w:jc w:val="both"/>
        <w:rPr>
          <w:rFonts w:cs="Times New Roman"/>
        </w:rPr>
      </w:pPr>
      <w:r>
        <w:rPr>
          <w:rFonts w:cs="Times New Roman"/>
          <w:bCs/>
        </w:rPr>
        <w:t>ε</w:t>
      </w:r>
      <w:r>
        <w:rPr>
          <w:rFonts w:cs="Times New Roman"/>
          <w:szCs w:val="20"/>
        </w:rPr>
        <w:t>——</w:t>
      </w:r>
      <w:r>
        <w:rPr>
          <w:rFonts w:cs="Times New Roman"/>
        </w:rPr>
        <w:t>真空加热炉热转化效率，真空加热炉取</w:t>
      </w:r>
      <w:r>
        <w:rPr>
          <w:rFonts w:cs="Times New Roman"/>
        </w:rPr>
        <w:t>0.9</w:t>
      </w:r>
      <w:r>
        <w:rPr>
          <w:rFonts w:cs="Times New Roman"/>
        </w:rPr>
        <w:t>；</w:t>
      </w:r>
    </w:p>
    <w:p w:rsidR="00C645C9" w:rsidRDefault="00F955D9" w:rsidP="005718BB">
      <w:pPr>
        <w:spacing w:line="360" w:lineRule="auto"/>
        <w:ind w:firstLineChars="500" w:firstLine="1172"/>
        <w:jc w:val="both"/>
        <w:rPr>
          <w:rFonts w:cs="Times New Roman"/>
        </w:rPr>
      </w:pPr>
      <w:r>
        <w:rPr>
          <w:rFonts w:cs="Times New Roman"/>
          <w:w w:val="98"/>
        </w:rPr>
        <w:t>Q</w:t>
      </w:r>
      <w:r>
        <w:rPr>
          <w:rFonts w:cs="Times New Roman"/>
          <w:w w:val="98"/>
          <w:vertAlign w:val="subscript"/>
        </w:rPr>
        <w:t>L</w:t>
      </w:r>
      <w:r>
        <w:rPr>
          <w:rFonts w:cs="Times New Roman"/>
          <w:szCs w:val="20"/>
        </w:rPr>
        <w:t>——</w:t>
      </w:r>
      <w:r>
        <w:rPr>
          <w:rFonts w:cs="Times New Roman"/>
          <w:w w:val="98"/>
        </w:rPr>
        <w:t>燃气的低位热值，</w:t>
      </w:r>
      <w:r>
        <w:rPr>
          <w:rFonts w:cs="Times New Roman"/>
          <w:w w:val="98"/>
        </w:rPr>
        <w:t>MJ/m³</w:t>
      </w:r>
      <w:r>
        <w:rPr>
          <w:rFonts w:cs="Times New Roman"/>
          <w:w w:val="98"/>
        </w:rPr>
        <w:t>，根据燃气分析结果，取</w:t>
      </w:r>
      <w:r>
        <w:rPr>
          <w:rFonts w:cs="Times New Roman"/>
          <w:w w:val="98"/>
        </w:rPr>
        <w:t>33.812MJ/m³</w:t>
      </w:r>
      <w:r>
        <w:rPr>
          <w:rFonts w:cs="Times New Roman"/>
          <w:spacing w:val="15"/>
          <w:w w:val="98"/>
        </w:rPr>
        <w:t>；</w:t>
      </w:r>
    </w:p>
    <w:p w:rsidR="00C645C9" w:rsidRDefault="00F955D9">
      <w:pPr>
        <w:spacing w:line="360" w:lineRule="auto"/>
        <w:ind w:firstLineChars="500" w:firstLine="1200"/>
        <w:jc w:val="both"/>
        <w:rPr>
          <w:rFonts w:cs="Times New Roman"/>
        </w:rPr>
      </w:pPr>
      <w:r>
        <w:rPr>
          <w:rFonts w:cs="Times New Roman"/>
        </w:rPr>
        <w:t>t</w:t>
      </w:r>
      <w:r>
        <w:rPr>
          <w:rFonts w:cs="Times New Roman"/>
          <w:szCs w:val="20"/>
        </w:rPr>
        <w:t>——</w:t>
      </w:r>
      <w:r>
        <w:rPr>
          <w:rFonts w:cs="Times New Roman"/>
        </w:rPr>
        <w:t>真空加热炉运行时间</w:t>
      </w:r>
      <w:r>
        <w:rPr>
          <w:rFonts w:cs="Times New Roman"/>
        </w:rPr>
        <w:t>；</w:t>
      </w:r>
    </w:p>
    <w:p w:rsidR="00C645C9" w:rsidRDefault="00F955D9">
      <w:pPr>
        <w:spacing w:line="360" w:lineRule="auto"/>
        <w:ind w:firstLineChars="500" w:firstLine="1200"/>
        <w:jc w:val="both"/>
        <w:rPr>
          <w:rFonts w:cs="Times New Roman"/>
        </w:rPr>
      </w:pPr>
      <w:r>
        <w:rPr>
          <w:rFonts w:cs="Times New Roman"/>
        </w:rPr>
        <w:t>h</w:t>
      </w:r>
      <w:bookmarkStart w:id="918" w:name="OLE_LINK1165"/>
      <w:r>
        <w:rPr>
          <w:rFonts w:cs="Times New Roman"/>
          <w:szCs w:val="20"/>
        </w:rPr>
        <w:t>——</w:t>
      </w:r>
      <w:bookmarkEnd w:id="918"/>
      <w:r>
        <w:rPr>
          <w:rFonts w:cs="Times New Roman"/>
        </w:rPr>
        <w:t>满负荷运行</w:t>
      </w:r>
      <w:r>
        <w:rPr>
          <w:rFonts w:cs="Times New Roman"/>
        </w:rPr>
        <w:t>330d</w:t>
      </w:r>
      <w:r>
        <w:rPr>
          <w:rFonts w:cs="Times New Roman"/>
        </w:rPr>
        <w:t>（</w:t>
      </w:r>
      <w:r>
        <w:rPr>
          <w:rFonts w:cs="Times New Roman"/>
        </w:rPr>
        <w:t>7920h</w:t>
      </w:r>
      <w:r>
        <w:rPr>
          <w:rFonts w:cs="Times New Roman"/>
        </w:rPr>
        <w:t>）</w:t>
      </w:r>
      <w:r>
        <w:rPr>
          <w:rFonts w:cs="Times New Roman" w:hint="eastAsia"/>
        </w:rPr>
        <w:t>。</w:t>
      </w:r>
    </w:p>
    <w:p w:rsidR="00C645C9" w:rsidRDefault="00F955D9">
      <w:pPr>
        <w:adjustRightInd w:val="0"/>
        <w:snapToGrid w:val="0"/>
        <w:spacing w:line="360" w:lineRule="auto"/>
        <w:ind w:firstLineChars="200" w:firstLine="480"/>
        <w:jc w:val="both"/>
        <w:rPr>
          <w:rFonts w:cs="Times New Roman"/>
        </w:rPr>
      </w:pPr>
      <w:r>
        <w:rPr>
          <w:rFonts w:cs="Times New Roman"/>
        </w:rPr>
        <w:t>本次评价考虑最不利情况，按满负荷计算。则本工程加热炉燃气量情况见表</w:t>
      </w:r>
      <w:r>
        <w:rPr>
          <w:rFonts w:cs="Times New Roman"/>
        </w:rPr>
        <w:t>3.</w:t>
      </w:r>
      <w:r>
        <w:rPr>
          <w:rFonts w:cs="Times New Roman" w:hint="eastAsia"/>
        </w:rPr>
        <w:t>3-8</w:t>
      </w:r>
      <w:r>
        <w:rPr>
          <w:rFonts w:cs="Times New Roman"/>
        </w:rPr>
        <w:t>。</w:t>
      </w:r>
    </w:p>
    <w:p w:rsidR="00C645C9" w:rsidRDefault="00F955D9">
      <w:pPr>
        <w:pStyle w:val="af7"/>
        <w:ind w:firstLineChars="1100" w:firstLine="2310"/>
        <w:jc w:val="both"/>
        <w:outlineLvl w:val="9"/>
        <w:rPr>
          <w:bCs/>
          <w:sz w:val="22"/>
          <w:szCs w:val="22"/>
        </w:rPr>
      </w:pPr>
      <w:r>
        <w:rPr>
          <w:bCs/>
          <w:szCs w:val="21"/>
        </w:rPr>
        <w:lastRenderedPageBreak/>
        <w:t>表</w:t>
      </w:r>
      <w:r>
        <w:rPr>
          <w:bCs/>
          <w:szCs w:val="21"/>
        </w:rPr>
        <w:t>3.</w:t>
      </w:r>
      <w:r>
        <w:rPr>
          <w:rFonts w:hint="eastAsia"/>
          <w:bCs/>
          <w:szCs w:val="21"/>
        </w:rPr>
        <w:t>3-8</w:t>
      </w:r>
      <w:r>
        <w:rPr>
          <w:bCs/>
          <w:szCs w:val="21"/>
        </w:rPr>
        <w:t xml:space="preserve">   </w:t>
      </w:r>
      <w:r>
        <w:rPr>
          <w:bCs/>
          <w:szCs w:val="21"/>
        </w:rPr>
        <w:t>加热炉耗气量及设置台数一览表</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574"/>
        <w:gridCol w:w="1393"/>
        <w:gridCol w:w="1652"/>
        <w:gridCol w:w="3063"/>
      </w:tblGrid>
      <w:tr w:rsidR="00C645C9">
        <w:trPr>
          <w:trHeight w:val="511"/>
          <w:jc w:val="center"/>
        </w:trPr>
        <w:tc>
          <w:tcPr>
            <w:tcW w:w="410" w:type="pct"/>
            <w:noWrap/>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序号</w:t>
            </w:r>
          </w:p>
        </w:tc>
        <w:tc>
          <w:tcPr>
            <w:tcW w:w="940" w:type="pct"/>
            <w:noWrap/>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项目</w:t>
            </w:r>
          </w:p>
        </w:tc>
        <w:tc>
          <w:tcPr>
            <w:tcW w:w="832" w:type="pct"/>
            <w:noWrap/>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加热炉台数</w:t>
            </w:r>
          </w:p>
        </w:tc>
        <w:tc>
          <w:tcPr>
            <w:tcW w:w="985" w:type="pct"/>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年工作小时（</w:t>
            </w:r>
            <w:r>
              <w:rPr>
                <w:rFonts w:cs="Times New Roman"/>
                <w:sz w:val="21"/>
                <w:szCs w:val="18"/>
              </w:rPr>
              <w:t>h</w:t>
            </w:r>
            <w:r>
              <w:rPr>
                <w:rFonts w:cs="Times New Roman"/>
                <w:sz w:val="21"/>
                <w:szCs w:val="18"/>
              </w:rPr>
              <w:t>）</w:t>
            </w:r>
          </w:p>
        </w:tc>
        <w:tc>
          <w:tcPr>
            <w:tcW w:w="1830" w:type="pct"/>
            <w:noWrap/>
            <w:vAlign w:val="center"/>
          </w:tcPr>
          <w:p w:rsidR="00C645C9" w:rsidRDefault="00F955D9">
            <w:pPr>
              <w:adjustRightInd w:val="0"/>
              <w:snapToGrid w:val="0"/>
              <w:jc w:val="center"/>
              <w:textAlignment w:val="baseline"/>
              <w:rPr>
                <w:rFonts w:cs="Times New Roman"/>
                <w:sz w:val="21"/>
                <w:szCs w:val="18"/>
              </w:rPr>
            </w:pPr>
            <w:bookmarkStart w:id="919" w:name="OLE_LINK794"/>
            <w:r>
              <w:rPr>
                <w:rFonts w:cs="Times New Roman"/>
                <w:sz w:val="21"/>
                <w:szCs w:val="18"/>
              </w:rPr>
              <w:t>锅炉燃气量</w:t>
            </w:r>
            <w:bookmarkEnd w:id="919"/>
            <w:r>
              <w:rPr>
                <w:rFonts w:cs="Times New Roman"/>
                <w:sz w:val="21"/>
                <w:szCs w:val="18"/>
              </w:rPr>
              <w:t>（万</w:t>
            </w:r>
            <w:r>
              <w:rPr>
                <w:rFonts w:cs="Times New Roman" w:hint="eastAsia"/>
                <w:bCs/>
                <w:snapToGrid w:val="0"/>
                <w:sz w:val="21"/>
                <w:szCs w:val="21"/>
              </w:rPr>
              <w:t>N</w:t>
            </w:r>
            <w:r>
              <w:rPr>
                <w:rFonts w:cs="Times New Roman"/>
                <w:bCs/>
                <w:snapToGrid w:val="0"/>
                <w:sz w:val="21"/>
                <w:szCs w:val="21"/>
              </w:rPr>
              <w:t>m</w:t>
            </w:r>
            <w:r>
              <w:rPr>
                <w:rFonts w:cs="Times New Roman"/>
                <w:bCs/>
                <w:snapToGrid w:val="0"/>
                <w:sz w:val="21"/>
                <w:szCs w:val="21"/>
                <w:vertAlign w:val="superscript"/>
              </w:rPr>
              <w:t>3</w:t>
            </w:r>
            <w:r>
              <w:rPr>
                <w:rFonts w:cs="Times New Roman"/>
                <w:sz w:val="21"/>
                <w:szCs w:val="21"/>
              </w:rPr>
              <w:t>）</w:t>
            </w:r>
          </w:p>
        </w:tc>
      </w:tr>
      <w:tr w:rsidR="00C645C9">
        <w:trPr>
          <w:trHeight w:val="20"/>
          <w:jc w:val="center"/>
        </w:trPr>
        <w:tc>
          <w:tcPr>
            <w:tcW w:w="410" w:type="pct"/>
            <w:noWrap/>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1</w:t>
            </w:r>
          </w:p>
        </w:tc>
        <w:tc>
          <w:tcPr>
            <w:tcW w:w="940" w:type="pct"/>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2</w:t>
            </w:r>
            <w:r>
              <w:rPr>
                <w:rFonts w:cs="Times New Roman"/>
                <w:sz w:val="21"/>
                <w:szCs w:val="18"/>
              </w:rPr>
              <w:t>00</w:t>
            </w:r>
            <w:r>
              <w:rPr>
                <w:rFonts w:cs="Times New Roman" w:hint="eastAsia"/>
                <w:sz w:val="21"/>
                <w:szCs w:val="18"/>
              </w:rPr>
              <w:t>kW</w:t>
            </w:r>
            <w:r>
              <w:rPr>
                <w:rFonts w:cs="Times New Roman"/>
                <w:sz w:val="21"/>
                <w:szCs w:val="18"/>
              </w:rPr>
              <w:t>加热炉</w:t>
            </w:r>
          </w:p>
        </w:tc>
        <w:tc>
          <w:tcPr>
            <w:tcW w:w="832" w:type="pct"/>
            <w:vAlign w:val="center"/>
          </w:tcPr>
          <w:p w:rsidR="00C645C9" w:rsidRDefault="00F955D9">
            <w:pPr>
              <w:adjustRightInd w:val="0"/>
              <w:snapToGrid w:val="0"/>
              <w:jc w:val="center"/>
              <w:textAlignment w:val="baseline"/>
              <w:rPr>
                <w:rFonts w:cs="Times New Roman"/>
                <w:sz w:val="21"/>
                <w:szCs w:val="18"/>
              </w:rPr>
            </w:pPr>
            <w:r>
              <w:rPr>
                <w:rFonts w:cs="Times New Roman" w:hint="eastAsia"/>
                <w:sz w:val="21"/>
                <w:szCs w:val="18"/>
              </w:rPr>
              <w:t>2</w:t>
            </w:r>
          </w:p>
        </w:tc>
        <w:tc>
          <w:tcPr>
            <w:tcW w:w="985" w:type="pct"/>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7920</w:t>
            </w:r>
          </w:p>
        </w:tc>
        <w:tc>
          <w:tcPr>
            <w:tcW w:w="1830" w:type="pct"/>
            <w:vAlign w:val="center"/>
          </w:tcPr>
          <w:p w:rsidR="00C645C9" w:rsidRDefault="00F955D9">
            <w:pPr>
              <w:adjustRightInd w:val="0"/>
              <w:snapToGrid w:val="0"/>
              <w:jc w:val="center"/>
              <w:textAlignment w:val="baseline"/>
              <w:rPr>
                <w:rFonts w:cs="Times New Roman"/>
                <w:sz w:val="21"/>
                <w:szCs w:val="18"/>
              </w:rPr>
            </w:pPr>
            <w:bookmarkStart w:id="920" w:name="OLE_LINK350"/>
            <w:r>
              <w:rPr>
                <w:rFonts w:cs="Times New Roman"/>
                <w:sz w:val="21"/>
                <w:szCs w:val="18"/>
              </w:rPr>
              <w:t>37.48</w:t>
            </w:r>
            <w:bookmarkEnd w:id="920"/>
          </w:p>
        </w:tc>
      </w:tr>
      <w:tr w:rsidR="00C645C9">
        <w:trPr>
          <w:trHeight w:val="20"/>
          <w:jc w:val="center"/>
        </w:trPr>
        <w:tc>
          <w:tcPr>
            <w:tcW w:w="3169" w:type="pct"/>
            <w:gridSpan w:val="4"/>
            <w:noWrap/>
            <w:vAlign w:val="center"/>
          </w:tcPr>
          <w:p w:rsidR="00C645C9" w:rsidRDefault="00F955D9">
            <w:pPr>
              <w:adjustRightInd w:val="0"/>
              <w:snapToGrid w:val="0"/>
              <w:jc w:val="center"/>
              <w:textAlignment w:val="baseline"/>
              <w:rPr>
                <w:rFonts w:cs="Times New Roman"/>
                <w:sz w:val="21"/>
                <w:szCs w:val="18"/>
              </w:rPr>
            </w:pPr>
            <w:r>
              <w:rPr>
                <w:rFonts w:cs="Times New Roman" w:hint="eastAsia"/>
                <w:sz w:val="21"/>
                <w:szCs w:val="18"/>
              </w:rPr>
              <w:t>合计</w:t>
            </w:r>
          </w:p>
        </w:tc>
        <w:tc>
          <w:tcPr>
            <w:tcW w:w="1830" w:type="pct"/>
            <w:vAlign w:val="center"/>
          </w:tcPr>
          <w:p w:rsidR="00C645C9" w:rsidRDefault="00F955D9">
            <w:pPr>
              <w:adjustRightInd w:val="0"/>
              <w:snapToGrid w:val="0"/>
              <w:jc w:val="center"/>
              <w:textAlignment w:val="baseline"/>
              <w:rPr>
                <w:rFonts w:cs="Times New Roman"/>
                <w:sz w:val="21"/>
                <w:szCs w:val="18"/>
              </w:rPr>
            </w:pPr>
            <w:r>
              <w:rPr>
                <w:rFonts w:cs="Times New Roman"/>
                <w:sz w:val="21"/>
                <w:szCs w:val="18"/>
              </w:rPr>
              <w:t>37.48</w:t>
            </w:r>
          </w:p>
        </w:tc>
      </w:tr>
    </w:tbl>
    <w:p w:rsidR="00C645C9" w:rsidRDefault="00F955D9">
      <w:pPr>
        <w:snapToGrid w:val="0"/>
        <w:spacing w:line="480" w:lineRule="exact"/>
        <w:ind w:firstLineChars="200" w:firstLine="480"/>
        <w:jc w:val="both"/>
        <w:rPr>
          <w:rFonts w:eastAsia="黑体" w:cs="Times New Roman"/>
          <w:bCs/>
          <w:kern w:val="2"/>
          <w:sz w:val="21"/>
          <w:szCs w:val="21"/>
          <w:lang w:val="zh-CN" w:bidi="ar"/>
        </w:rPr>
      </w:pPr>
      <w:r>
        <w:rPr>
          <w:rFonts w:cs="Times New Roman"/>
        </w:rPr>
        <w:t>根据《</w:t>
      </w:r>
      <w:bookmarkStart w:id="921" w:name="OLE_LINK351"/>
      <w:r>
        <w:rPr>
          <w:rFonts w:cs="Times New Roman"/>
        </w:rPr>
        <w:t>排污许可证申请与核发技术规范</w:t>
      </w:r>
      <w:r>
        <w:rPr>
          <w:rFonts w:cs="Times New Roman"/>
        </w:rPr>
        <w:t xml:space="preserve"> </w:t>
      </w:r>
      <w:r>
        <w:rPr>
          <w:rFonts w:cs="Times New Roman"/>
        </w:rPr>
        <w:t>锅炉</w:t>
      </w:r>
      <w:bookmarkEnd w:id="921"/>
      <w:r>
        <w:rPr>
          <w:rFonts w:cs="Times New Roman"/>
        </w:rPr>
        <w:t>》</w:t>
      </w:r>
      <w:r>
        <w:rPr>
          <w:rFonts w:cs="Times New Roman"/>
        </w:rPr>
        <w:t>（</w:t>
      </w:r>
      <w:r>
        <w:rPr>
          <w:rFonts w:cs="Times New Roman"/>
        </w:rPr>
        <w:t>HJ953-201</w:t>
      </w:r>
      <w:r>
        <w:rPr>
          <w:rFonts w:cs="Times New Roman" w:hint="eastAsia"/>
        </w:rPr>
        <w:t>8</w:t>
      </w:r>
      <w:r>
        <w:rPr>
          <w:rFonts w:cs="Times New Roman"/>
        </w:rPr>
        <w:t>）</w:t>
      </w:r>
      <w:r>
        <w:rPr>
          <w:rFonts w:cs="Times New Roman"/>
        </w:rPr>
        <w:t xml:space="preserve"> </w:t>
      </w:r>
      <w:r>
        <w:rPr>
          <w:rFonts w:cs="Times New Roman"/>
        </w:rPr>
        <w:t>附录</w:t>
      </w:r>
      <w:r>
        <w:rPr>
          <w:rFonts w:cs="Times New Roman"/>
        </w:rPr>
        <w:t>F</w:t>
      </w:r>
      <w:r>
        <w:rPr>
          <w:rFonts w:cs="Times New Roman"/>
        </w:rPr>
        <w:t>中</w:t>
      </w:r>
      <w:r>
        <w:rPr>
          <w:rFonts w:cs="Times New Roman" w:hint="eastAsia"/>
        </w:rPr>
        <w:t>锅炉</w:t>
      </w:r>
      <w:r>
        <w:rPr>
          <w:rFonts w:cs="Times New Roman"/>
        </w:rPr>
        <w:t>产排污系数表（燃气工业锅炉）计算污染物产生量</w:t>
      </w:r>
      <w:r>
        <w:rPr>
          <w:rFonts w:cs="Times New Roman" w:hint="eastAsia"/>
        </w:rPr>
        <w:t>。</w:t>
      </w:r>
      <w:r>
        <w:rPr>
          <w:rFonts w:cs="Times New Roman"/>
        </w:rPr>
        <w:t>燃料为处理后的返输干气，含硫量根据《</w:t>
      </w:r>
      <w:bookmarkStart w:id="922" w:name="OLE_LINK356"/>
      <w:r>
        <w:rPr>
          <w:rFonts w:cs="Times New Roman"/>
        </w:rPr>
        <w:t>天然气</w:t>
      </w:r>
      <w:bookmarkEnd w:id="922"/>
      <w:r>
        <w:rPr>
          <w:rFonts w:cs="Times New Roman"/>
        </w:rPr>
        <w:t>》</w:t>
      </w:r>
      <w:r>
        <w:rPr>
          <w:rFonts w:cs="Times New Roman"/>
        </w:rPr>
        <w:t>（</w:t>
      </w:r>
      <w:bookmarkStart w:id="923" w:name="OLE_LINK355"/>
      <w:r>
        <w:rPr>
          <w:rFonts w:cs="Times New Roman"/>
        </w:rPr>
        <w:t>GB17820-2018</w:t>
      </w:r>
      <w:bookmarkEnd w:id="923"/>
      <w:r>
        <w:rPr>
          <w:rFonts w:cs="Times New Roman"/>
        </w:rPr>
        <w:t>）</w:t>
      </w:r>
      <w:r>
        <w:rPr>
          <w:rFonts w:cs="Times New Roman"/>
        </w:rPr>
        <w:t>中的表</w:t>
      </w:r>
      <w:r>
        <w:rPr>
          <w:rFonts w:cs="Times New Roman"/>
        </w:rPr>
        <w:t>1</w:t>
      </w:r>
      <w:r>
        <w:rPr>
          <w:rFonts w:cs="Times New Roman"/>
        </w:rPr>
        <w:t>天然气质量要求，</w:t>
      </w:r>
      <w:r>
        <w:rPr>
          <w:rFonts w:cs="Times New Roman"/>
        </w:rPr>
        <w:t>S</w:t>
      </w:r>
      <w:r>
        <w:rPr>
          <w:rFonts w:cs="Times New Roman"/>
        </w:rPr>
        <w:t>取二类气最大值</w:t>
      </w:r>
      <w:r>
        <w:rPr>
          <w:rFonts w:cs="Times New Roman"/>
        </w:rPr>
        <w:t>1</w:t>
      </w:r>
      <w:r>
        <w:rPr>
          <w:rFonts w:cs="Times New Roman"/>
        </w:rPr>
        <w:t>00</w:t>
      </w:r>
      <w:r>
        <w:rPr>
          <w:rFonts w:cs="Times New Roman" w:hint="eastAsia"/>
        </w:rPr>
        <w:t>。</w:t>
      </w:r>
      <w:r>
        <w:rPr>
          <w:rFonts w:cs="Times New Roman"/>
        </w:rPr>
        <w:t>氮氧化物</w:t>
      </w:r>
      <w:r>
        <w:rPr>
          <w:rFonts w:cs="Times New Roman" w:hint="eastAsia"/>
        </w:rPr>
        <w:t>根据</w:t>
      </w:r>
      <w:r>
        <w:rPr>
          <w:rFonts w:cs="Times New Roman"/>
        </w:rPr>
        <w:t>《</w:t>
      </w:r>
      <w:bookmarkStart w:id="924" w:name="OLE_LINK358"/>
      <w:r>
        <w:rPr>
          <w:rFonts w:cs="Times New Roman"/>
        </w:rPr>
        <w:t>燃气锅炉烟气再循环降氮技术规范</w:t>
      </w:r>
      <w:bookmarkEnd w:id="924"/>
      <w:r>
        <w:rPr>
          <w:rFonts w:cs="Times New Roman"/>
        </w:rPr>
        <w:t>》（</w:t>
      </w:r>
      <w:r>
        <w:rPr>
          <w:rFonts w:cs="Times New Roman"/>
        </w:rPr>
        <w:t>DB65/T 4243-2019</w:t>
      </w:r>
      <w:r>
        <w:rPr>
          <w:rFonts w:cs="Times New Roman"/>
        </w:rPr>
        <w:t>）仅适用额定功率大于</w:t>
      </w:r>
      <w:r>
        <w:rPr>
          <w:rFonts w:cs="Times New Roman"/>
        </w:rPr>
        <w:t>0.7MW</w:t>
      </w:r>
      <w:r>
        <w:rPr>
          <w:rFonts w:cs="Times New Roman"/>
        </w:rPr>
        <w:t>的燃气锅炉，未对燃气锅炉额定功率小于</w:t>
      </w:r>
      <w:r>
        <w:rPr>
          <w:rFonts w:cs="Times New Roman"/>
        </w:rPr>
        <w:t>0.7MW</w:t>
      </w:r>
      <w:r>
        <w:rPr>
          <w:rFonts w:cs="Times New Roman"/>
        </w:rPr>
        <w:t>提出要求，因此本工程燃气锅炉</w:t>
      </w:r>
      <w:bookmarkStart w:id="925" w:name="OLE_LINK357"/>
      <w:r>
        <w:rPr>
          <w:rFonts w:cs="Times New Roman"/>
        </w:rPr>
        <w:t>氮氧化物</w:t>
      </w:r>
      <w:bookmarkEnd w:id="925"/>
      <w:r>
        <w:rPr>
          <w:rFonts w:cs="Times New Roman"/>
        </w:rPr>
        <w:t>按无低氮措施核算，要求加热炉排放烟气满足《</w:t>
      </w:r>
      <w:bookmarkStart w:id="926" w:name="OLE_LINK359"/>
      <w:r>
        <w:rPr>
          <w:rFonts w:cs="Times New Roman"/>
        </w:rPr>
        <w:t>锅炉大气污染物排放标准</w:t>
      </w:r>
      <w:bookmarkEnd w:id="926"/>
      <w:r>
        <w:rPr>
          <w:rFonts w:cs="Times New Roman"/>
        </w:rPr>
        <w:t>》（</w:t>
      </w:r>
      <w:r>
        <w:rPr>
          <w:rFonts w:cs="Times New Roman"/>
        </w:rPr>
        <w:t>GB13271-2014</w:t>
      </w:r>
      <w:r>
        <w:rPr>
          <w:rFonts w:cs="Times New Roman"/>
        </w:rPr>
        <w:t>）</w:t>
      </w:r>
      <w:bookmarkStart w:id="927" w:name="OLE_LINK360"/>
      <w:r>
        <w:rPr>
          <w:rFonts w:cs="Times New Roman"/>
        </w:rPr>
        <w:t>表</w:t>
      </w:r>
      <w:r>
        <w:rPr>
          <w:rFonts w:cs="Times New Roman"/>
        </w:rPr>
        <w:t>3</w:t>
      </w:r>
      <w:r>
        <w:rPr>
          <w:rFonts w:cs="Times New Roman"/>
        </w:rPr>
        <w:t>燃气锅炉大气污染物特别排放浓度限值</w:t>
      </w:r>
      <w:bookmarkEnd w:id="927"/>
      <w:r>
        <w:rPr>
          <w:rFonts w:cs="Times New Roman"/>
        </w:rPr>
        <w:t>即可，后续企业在运行过程中可根据最新环保要求和最新降氮措施采取低氮控制技术</w:t>
      </w:r>
      <w:r>
        <w:rPr>
          <w:rFonts w:cs="Times New Roman" w:hint="eastAsia"/>
        </w:rPr>
        <w:t>。</w:t>
      </w:r>
      <w:r>
        <w:rPr>
          <w:rFonts w:hint="eastAsia"/>
          <w:bCs/>
        </w:rPr>
        <w:t>天然气锅炉</w:t>
      </w:r>
      <w:r>
        <w:t>实际运行中烟尘产生量较少，颗粒物排放以《锅炉大气污染物</w:t>
      </w:r>
      <w:r>
        <w:t>排放标准》（</w:t>
      </w:r>
      <w:r>
        <w:t>GB13271</w:t>
      </w:r>
      <w:r>
        <w:rPr>
          <w:rFonts w:hint="eastAsia"/>
        </w:rPr>
        <w:t>-</w:t>
      </w:r>
      <w:r>
        <w:t>2014</w:t>
      </w:r>
      <w:r>
        <w:t>）</w:t>
      </w:r>
      <w:r>
        <w:rPr>
          <w:rFonts w:hint="eastAsia"/>
        </w:rPr>
        <w:t>表</w:t>
      </w:r>
      <w:r>
        <w:rPr>
          <w:rFonts w:hint="eastAsia"/>
        </w:rPr>
        <w:t>1</w:t>
      </w:r>
      <w:r>
        <w:t>新建燃气锅炉标准中颗粒物的标准浓度限值进行核算</w:t>
      </w:r>
      <w:r>
        <w:rPr>
          <w:rFonts w:cs="Times New Roman"/>
        </w:rPr>
        <w:t>。</w:t>
      </w:r>
    </w:p>
    <w:p w:rsidR="00C645C9" w:rsidRDefault="00F955D9" w:rsidP="005718BB">
      <w:pPr>
        <w:widowControl w:val="0"/>
        <w:adjustRightInd w:val="0"/>
        <w:snapToGrid w:val="0"/>
        <w:spacing w:beforeLines="25" w:before="60" w:afterLines="25" w:after="60"/>
        <w:jc w:val="center"/>
        <w:rPr>
          <w:rFonts w:eastAsia="黑体" w:cs="Times New Roman"/>
          <w:bCs/>
          <w:kern w:val="2"/>
          <w:sz w:val="21"/>
          <w:szCs w:val="21"/>
          <w:lang w:bidi="ar"/>
        </w:rPr>
      </w:pPr>
      <w:r>
        <w:rPr>
          <w:rFonts w:eastAsia="黑体" w:cs="Times New Roman"/>
          <w:bCs/>
          <w:kern w:val="2"/>
          <w:sz w:val="21"/>
          <w:szCs w:val="21"/>
          <w:lang w:val="zh-CN" w:bidi="ar"/>
        </w:rPr>
        <w:t>表</w:t>
      </w:r>
      <w:r>
        <w:rPr>
          <w:rFonts w:eastAsia="黑体" w:cs="Times New Roman"/>
          <w:bCs/>
          <w:kern w:val="2"/>
          <w:sz w:val="21"/>
          <w:szCs w:val="21"/>
          <w:lang w:bidi="ar"/>
        </w:rPr>
        <w:t>3.</w:t>
      </w:r>
      <w:r>
        <w:rPr>
          <w:rFonts w:eastAsia="黑体" w:cs="Times New Roman" w:hint="eastAsia"/>
          <w:bCs/>
          <w:kern w:val="2"/>
          <w:sz w:val="21"/>
          <w:szCs w:val="21"/>
          <w:lang w:bidi="ar"/>
        </w:rPr>
        <w:t>3-9</w:t>
      </w:r>
      <w:r>
        <w:rPr>
          <w:rFonts w:eastAsia="黑体" w:cs="Times New Roman"/>
          <w:bCs/>
          <w:kern w:val="2"/>
          <w:sz w:val="21"/>
          <w:szCs w:val="21"/>
          <w:lang w:bidi="ar"/>
        </w:rPr>
        <w:t xml:space="preserve">   </w:t>
      </w:r>
      <w:r>
        <w:rPr>
          <w:rFonts w:eastAsia="黑体" w:cs="Times New Roman"/>
          <w:bCs/>
          <w:kern w:val="2"/>
          <w:sz w:val="21"/>
          <w:szCs w:val="21"/>
          <w:lang w:val="zh-CN" w:bidi="ar"/>
        </w:rPr>
        <w:t>燃气工业锅炉</w:t>
      </w:r>
      <w:r>
        <w:rPr>
          <w:rFonts w:eastAsia="黑体" w:cs="Times New Roman" w:hint="eastAsia"/>
          <w:bCs/>
          <w:kern w:val="2"/>
          <w:sz w:val="21"/>
          <w:szCs w:val="21"/>
          <w:lang w:bidi="ar"/>
        </w:rPr>
        <w:t>的废气产排污系数</w:t>
      </w:r>
    </w:p>
    <w:tbl>
      <w:tblPr>
        <w:tblW w:w="49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678"/>
        <w:gridCol w:w="676"/>
        <w:gridCol w:w="717"/>
        <w:gridCol w:w="1084"/>
        <w:gridCol w:w="1142"/>
        <w:gridCol w:w="1610"/>
        <w:gridCol w:w="1096"/>
        <w:gridCol w:w="809"/>
      </w:tblGrid>
      <w:tr w:rsidR="00C645C9">
        <w:trPr>
          <w:cantSplit/>
          <w:trHeight w:val="611"/>
        </w:trPr>
        <w:tc>
          <w:tcPr>
            <w:tcW w:w="410" w:type="pct"/>
            <w:vAlign w:val="center"/>
          </w:tcPr>
          <w:p w:rsidR="00C645C9" w:rsidRDefault="00F955D9">
            <w:pPr>
              <w:pStyle w:val="afff4"/>
              <w:rPr>
                <w:rFonts w:cs="Times New Roman"/>
                <w:sz w:val="21"/>
                <w:szCs w:val="21"/>
              </w:rPr>
            </w:pPr>
            <w:r>
              <w:rPr>
                <w:rFonts w:cs="Times New Roman"/>
                <w:sz w:val="21"/>
                <w:szCs w:val="21"/>
              </w:rPr>
              <w:t>产品</w:t>
            </w:r>
          </w:p>
          <w:p w:rsidR="00C645C9" w:rsidRDefault="00F955D9">
            <w:pPr>
              <w:pStyle w:val="afff4"/>
              <w:rPr>
                <w:rFonts w:cs="Times New Roman"/>
                <w:sz w:val="21"/>
                <w:szCs w:val="21"/>
              </w:rPr>
            </w:pPr>
            <w:r>
              <w:rPr>
                <w:rFonts w:cs="Times New Roman"/>
                <w:sz w:val="21"/>
                <w:szCs w:val="21"/>
              </w:rPr>
              <w:t>名称</w:t>
            </w:r>
          </w:p>
        </w:tc>
        <w:tc>
          <w:tcPr>
            <w:tcW w:w="398" w:type="pct"/>
            <w:vAlign w:val="center"/>
          </w:tcPr>
          <w:p w:rsidR="00C645C9" w:rsidRDefault="00F955D9">
            <w:pPr>
              <w:pStyle w:val="afff4"/>
              <w:rPr>
                <w:rFonts w:cs="Times New Roman"/>
                <w:sz w:val="21"/>
                <w:szCs w:val="21"/>
              </w:rPr>
            </w:pPr>
            <w:r>
              <w:rPr>
                <w:rFonts w:cs="Times New Roman"/>
                <w:sz w:val="21"/>
                <w:szCs w:val="21"/>
              </w:rPr>
              <w:t>原料名称</w:t>
            </w:r>
          </w:p>
        </w:tc>
        <w:tc>
          <w:tcPr>
            <w:tcW w:w="397" w:type="pct"/>
            <w:vAlign w:val="center"/>
          </w:tcPr>
          <w:p w:rsidR="00C645C9" w:rsidRDefault="00F955D9">
            <w:pPr>
              <w:pStyle w:val="afff4"/>
              <w:rPr>
                <w:rFonts w:cs="Times New Roman"/>
                <w:sz w:val="21"/>
                <w:szCs w:val="21"/>
              </w:rPr>
            </w:pPr>
            <w:r>
              <w:rPr>
                <w:rFonts w:cs="Times New Roman"/>
                <w:sz w:val="21"/>
                <w:szCs w:val="21"/>
              </w:rPr>
              <w:t>工艺</w:t>
            </w:r>
          </w:p>
          <w:p w:rsidR="00C645C9" w:rsidRDefault="00F955D9">
            <w:pPr>
              <w:pStyle w:val="afff4"/>
              <w:rPr>
                <w:rFonts w:cs="Times New Roman"/>
                <w:sz w:val="21"/>
                <w:szCs w:val="21"/>
              </w:rPr>
            </w:pPr>
            <w:r>
              <w:rPr>
                <w:rFonts w:cs="Times New Roman"/>
                <w:sz w:val="21"/>
                <w:szCs w:val="21"/>
              </w:rPr>
              <w:t>名称</w:t>
            </w:r>
          </w:p>
        </w:tc>
        <w:tc>
          <w:tcPr>
            <w:tcW w:w="421" w:type="pct"/>
            <w:vAlign w:val="center"/>
          </w:tcPr>
          <w:p w:rsidR="00C645C9" w:rsidRDefault="00F955D9">
            <w:pPr>
              <w:pStyle w:val="afff4"/>
              <w:rPr>
                <w:rFonts w:cs="Times New Roman"/>
                <w:sz w:val="21"/>
                <w:szCs w:val="21"/>
              </w:rPr>
            </w:pPr>
            <w:r>
              <w:rPr>
                <w:rFonts w:cs="Times New Roman"/>
                <w:sz w:val="21"/>
                <w:szCs w:val="21"/>
              </w:rPr>
              <w:t>规模等级</w:t>
            </w:r>
          </w:p>
        </w:tc>
        <w:tc>
          <w:tcPr>
            <w:tcW w:w="636" w:type="pct"/>
            <w:vAlign w:val="center"/>
          </w:tcPr>
          <w:p w:rsidR="00C645C9" w:rsidRDefault="00F955D9">
            <w:pPr>
              <w:pStyle w:val="afff4"/>
              <w:rPr>
                <w:rFonts w:cs="Times New Roman"/>
                <w:sz w:val="21"/>
                <w:szCs w:val="21"/>
              </w:rPr>
            </w:pPr>
            <w:r>
              <w:rPr>
                <w:rFonts w:cs="Times New Roman"/>
                <w:sz w:val="21"/>
                <w:szCs w:val="21"/>
              </w:rPr>
              <w:t>污染物</w:t>
            </w:r>
          </w:p>
          <w:p w:rsidR="00C645C9" w:rsidRDefault="00F955D9">
            <w:pPr>
              <w:pStyle w:val="afff4"/>
              <w:rPr>
                <w:rFonts w:cs="Times New Roman"/>
                <w:sz w:val="21"/>
                <w:szCs w:val="21"/>
              </w:rPr>
            </w:pPr>
            <w:r>
              <w:rPr>
                <w:rFonts w:cs="Times New Roman"/>
                <w:sz w:val="21"/>
                <w:szCs w:val="21"/>
              </w:rPr>
              <w:t>指标</w:t>
            </w:r>
          </w:p>
        </w:tc>
        <w:tc>
          <w:tcPr>
            <w:tcW w:w="670" w:type="pct"/>
            <w:vAlign w:val="center"/>
          </w:tcPr>
          <w:p w:rsidR="00C645C9" w:rsidRDefault="00F955D9">
            <w:pPr>
              <w:pStyle w:val="afff4"/>
              <w:rPr>
                <w:rFonts w:cs="Times New Roman"/>
                <w:sz w:val="21"/>
                <w:szCs w:val="21"/>
              </w:rPr>
            </w:pPr>
            <w:r>
              <w:rPr>
                <w:rFonts w:cs="Times New Roman"/>
                <w:sz w:val="21"/>
                <w:szCs w:val="21"/>
              </w:rPr>
              <w:t>单位</w:t>
            </w:r>
          </w:p>
        </w:tc>
        <w:tc>
          <w:tcPr>
            <w:tcW w:w="945" w:type="pct"/>
            <w:vAlign w:val="center"/>
          </w:tcPr>
          <w:p w:rsidR="00C645C9" w:rsidRDefault="00F955D9">
            <w:pPr>
              <w:pStyle w:val="afff4"/>
              <w:rPr>
                <w:rFonts w:cs="Times New Roman"/>
                <w:sz w:val="21"/>
                <w:szCs w:val="21"/>
              </w:rPr>
            </w:pPr>
            <w:r>
              <w:rPr>
                <w:rFonts w:cs="Times New Roman"/>
                <w:sz w:val="21"/>
                <w:szCs w:val="21"/>
              </w:rPr>
              <w:t>产污系数</w:t>
            </w:r>
          </w:p>
        </w:tc>
        <w:tc>
          <w:tcPr>
            <w:tcW w:w="643" w:type="pct"/>
            <w:vAlign w:val="center"/>
          </w:tcPr>
          <w:p w:rsidR="00C645C9" w:rsidRDefault="00F955D9">
            <w:pPr>
              <w:pStyle w:val="afff4"/>
              <w:rPr>
                <w:rFonts w:cs="Times New Roman"/>
                <w:sz w:val="21"/>
                <w:szCs w:val="21"/>
              </w:rPr>
            </w:pPr>
            <w:r>
              <w:rPr>
                <w:rFonts w:cs="Times New Roman"/>
                <w:sz w:val="21"/>
                <w:szCs w:val="21"/>
              </w:rPr>
              <w:t>末端治理技术名称</w:t>
            </w:r>
          </w:p>
        </w:tc>
        <w:tc>
          <w:tcPr>
            <w:tcW w:w="475" w:type="pct"/>
            <w:vAlign w:val="center"/>
          </w:tcPr>
          <w:p w:rsidR="00C645C9" w:rsidRDefault="00F955D9">
            <w:pPr>
              <w:pStyle w:val="afff4"/>
              <w:rPr>
                <w:rFonts w:cs="Times New Roman"/>
                <w:sz w:val="21"/>
                <w:szCs w:val="21"/>
              </w:rPr>
            </w:pPr>
            <w:r>
              <w:rPr>
                <w:rFonts w:cs="Times New Roman"/>
                <w:sz w:val="21"/>
                <w:szCs w:val="21"/>
              </w:rPr>
              <w:t>排污系数</w:t>
            </w:r>
          </w:p>
        </w:tc>
      </w:tr>
      <w:tr w:rsidR="00C645C9">
        <w:trPr>
          <w:cantSplit/>
          <w:trHeight w:val="626"/>
        </w:trPr>
        <w:tc>
          <w:tcPr>
            <w:tcW w:w="410" w:type="pct"/>
            <w:vMerge w:val="restart"/>
            <w:vAlign w:val="center"/>
          </w:tcPr>
          <w:p w:rsidR="00C645C9" w:rsidRDefault="00F955D9">
            <w:pPr>
              <w:pStyle w:val="afff4"/>
              <w:rPr>
                <w:rFonts w:cs="Times New Roman"/>
                <w:sz w:val="21"/>
                <w:szCs w:val="21"/>
              </w:rPr>
            </w:pPr>
            <w:r>
              <w:rPr>
                <w:rFonts w:cs="Times New Roman"/>
                <w:sz w:val="21"/>
                <w:szCs w:val="21"/>
              </w:rPr>
              <w:t>蒸汽</w:t>
            </w:r>
            <w:r>
              <w:rPr>
                <w:rFonts w:cs="Times New Roman"/>
                <w:sz w:val="21"/>
                <w:szCs w:val="21"/>
              </w:rPr>
              <w:t>/</w:t>
            </w:r>
            <w:r>
              <w:rPr>
                <w:rFonts w:cs="Times New Roman"/>
                <w:sz w:val="21"/>
                <w:szCs w:val="21"/>
              </w:rPr>
              <w:t>热水</w:t>
            </w:r>
            <w:r>
              <w:rPr>
                <w:rFonts w:cs="Times New Roman"/>
                <w:sz w:val="21"/>
                <w:szCs w:val="21"/>
              </w:rPr>
              <w:t>/</w:t>
            </w:r>
            <w:r>
              <w:rPr>
                <w:rFonts w:cs="Times New Roman" w:hint="eastAsia"/>
                <w:sz w:val="21"/>
                <w:szCs w:val="21"/>
              </w:rPr>
              <w:t>其他</w:t>
            </w:r>
          </w:p>
        </w:tc>
        <w:tc>
          <w:tcPr>
            <w:tcW w:w="398" w:type="pct"/>
            <w:vMerge w:val="restart"/>
            <w:vAlign w:val="center"/>
          </w:tcPr>
          <w:p w:rsidR="00C645C9" w:rsidRDefault="00F955D9">
            <w:pPr>
              <w:pStyle w:val="afff4"/>
              <w:rPr>
                <w:rFonts w:cs="Times New Roman"/>
                <w:sz w:val="21"/>
                <w:szCs w:val="21"/>
              </w:rPr>
            </w:pPr>
            <w:r>
              <w:rPr>
                <w:rFonts w:cs="Times New Roman"/>
                <w:sz w:val="21"/>
                <w:szCs w:val="21"/>
              </w:rPr>
              <w:t>天然气</w:t>
            </w:r>
          </w:p>
        </w:tc>
        <w:tc>
          <w:tcPr>
            <w:tcW w:w="397" w:type="pct"/>
            <w:vMerge w:val="restart"/>
            <w:vAlign w:val="center"/>
          </w:tcPr>
          <w:p w:rsidR="00C645C9" w:rsidRDefault="00F955D9">
            <w:pPr>
              <w:pStyle w:val="afff4"/>
              <w:rPr>
                <w:rFonts w:cs="Times New Roman"/>
                <w:sz w:val="21"/>
                <w:szCs w:val="21"/>
              </w:rPr>
            </w:pPr>
            <w:r>
              <w:rPr>
                <w:rFonts w:cs="Times New Roman"/>
                <w:sz w:val="21"/>
                <w:szCs w:val="21"/>
              </w:rPr>
              <w:t>室燃炉</w:t>
            </w:r>
          </w:p>
        </w:tc>
        <w:tc>
          <w:tcPr>
            <w:tcW w:w="421" w:type="pct"/>
            <w:vMerge w:val="restart"/>
            <w:vAlign w:val="center"/>
          </w:tcPr>
          <w:p w:rsidR="00C645C9" w:rsidRDefault="00F955D9">
            <w:pPr>
              <w:pStyle w:val="afff4"/>
              <w:rPr>
                <w:rFonts w:cs="Times New Roman"/>
                <w:sz w:val="21"/>
                <w:szCs w:val="21"/>
              </w:rPr>
            </w:pPr>
            <w:r>
              <w:rPr>
                <w:rFonts w:cs="Times New Roman"/>
                <w:sz w:val="21"/>
                <w:szCs w:val="21"/>
              </w:rPr>
              <w:t>所有规模</w:t>
            </w:r>
          </w:p>
        </w:tc>
        <w:tc>
          <w:tcPr>
            <w:tcW w:w="636" w:type="pct"/>
            <w:vAlign w:val="center"/>
          </w:tcPr>
          <w:p w:rsidR="00C645C9" w:rsidRDefault="00F955D9">
            <w:pPr>
              <w:pStyle w:val="afff4"/>
              <w:rPr>
                <w:rFonts w:cs="Times New Roman"/>
                <w:sz w:val="21"/>
                <w:szCs w:val="21"/>
              </w:rPr>
            </w:pPr>
            <w:r>
              <w:rPr>
                <w:rFonts w:cs="Times New Roman"/>
                <w:sz w:val="21"/>
                <w:szCs w:val="21"/>
              </w:rPr>
              <w:t>二氧化硫</w:t>
            </w:r>
          </w:p>
        </w:tc>
        <w:tc>
          <w:tcPr>
            <w:tcW w:w="670" w:type="pct"/>
            <w:vAlign w:val="center"/>
          </w:tcPr>
          <w:p w:rsidR="00C645C9" w:rsidRDefault="00F955D9">
            <w:pPr>
              <w:pStyle w:val="afff4"/>
              <w:rPr>
                <w:rFonts w:cs="Times New Roman"/>
                <w:sz w:val="21"/>
                <w:szCs w:val="21"/>
              </w:rPr>
            </w:pPr>
            <w:bookmarkStart w:id="928" w:name="OLE_LINK352"/>
            <w:r>
              <w:rPr>
                <w:rFonts w:cs="Times New Roman"/>
                <w:sz w:val="21"/>
                <w:szCs w:val="21"/>
              </w:rPr>
              <w:t>千克</w:t>
            </w:r>
            <w:r>
              <w:rPr>
                <w:rFonts w:cs="Times New Roman"/>
                <w:sz w:val="21"/>
                <w:szCs w:val="21"/>
              </w:rPr>
              <w:t>/</w:t>
            </w:r>
            <w:r>
              <w:rPr>
                <w:rFonts w:cs="Times New Roman"/>
                <w:sz w:val="21"/>
                <w:szCs w:val="21"/>
              </w:rPr>
              <w:t>万立方米</w:t>
            </w:r>
            <w:bookmarkStart w:id="929" w:name="OLE_LINK353"/>
            <w:r>
              <w:rPr>
                <w:rFonts w:cs="Times New Roman" w:hint="eastAsia"/>
                <w:sz w:val="21"/>
                <w:szCs w:val="21"/>
              </w:rPr>
              <w:t>-</w:t>
            </w:r>
            <w:r>
              <w:rPr>
                <w:rFonts w:cs="Times New Roman" w:hint="eastAsia"/>
                <w:sz w:val="21"/>
                <w:szCs w:val="21"/>
              </w:rPr>
              <w:t>燃</w:t>
            </w:r>
            <w:r>
              <w:rPr>
                <w:rFonts w:cs="Times New Roman"/>
                <w:sz w:val="21"/>
                <w:szCs w:val="21"/>
              </w:rPr>
              <w:t>料</w:t>
            </w:r>
            <w:bookmarkEnd w:id="928"/>
            <w:bookmarkEnd w:id="929"/>
          </w:p>
        </w:tc>
        <w:tc>
          <w:tcPr>
            <w:tcW w:w="945" w:type="pct"/>
            <w:vAlign w:val="center"/>
          </w:tcPr>
          <w:p w:rsidR="00C645C9" w:rsidRDefault="00F955D9">
            <w:pPr>
              <w:pStyle w:val="afff4"/>
              <w:rPr>
                <w:rFonts w:cs="Times New Roman"/>
                <w:sz w:val="21"/>
                <w:szCs w:val="21"/>
              </w:rPr>
            </w:pPr>
            <w:r>
              <w:rPr>
                <w:rFonts w:cs="Times New Roman"/>
                <w:sz w:val="21"/>
                <w:szCs w:val="21"/>
              </w:rPr>
              <w:t>0.02S</w:t>
            </w:r>
            <w:r>
              <w:rPr>
                <w:rFonts w:cs="Times New Roman"/>
                <w:sz w:val="21"/>
                <w:szCs w:val="21"/>
                <w:vertAlign w:val="superscript"/>
              </w:rPr>
              <w:fldChar w:fldCharType="begin"/>
            </w:r>
            <w:r>
              <w:rPr>
                <w:rFonts w:cs="Times New Roman"/>
                <w:sz w:val="21"/>
                <w:szCs w:val="21"/>
                <w:vertAlign w:val="superscript"/>
              </w:rPr>
              <w:instrText xml:space="preserve"> = 1 \* GB3 </w:instrText>
            </w:r>
            <w:r>
              <w:rPr>
                <w:rFonts w:cs="Times New Roman"/>
                <w:sz w:val="21"/>
                <w:szCs w:val="21"/>
                <w:vertAlign w:val="superscript"/>
              </w:rPr>
              <w:fldChar w:fldCharType="separate"/>
            </w:r>
            <w:r>
              <w:rPr>
                <w:rFonts w:cs="Times New Roman"/>
                <w:sz w:val="21"/>
                <w:szCs w:val="21"/>
                <w:vertAlign w:val="superscript"/>
              </w:rPr>
              <w:t>①</w:t>
            </w:r>
            <w:r>
              <w:rPr>
                <w:rFonts w:cs="Times New Roman"/>
                <w:sz w:val="21"/>
                <w:szCs w:val="21"/>
                <w:vertAlign w:val="superscript"/>
              </w:rPr>
              <w:fldChar w:fldCharType="end"/>
            </w:r>
          </w:p>
        </w:tc>
        <w:tc>
          <w:tcPr>
            <w:tcW w:w="643" w:type="pct"/>
            <w:vAlign w:val="center"/>
          </w:tcPr>
          <w:p w:rsidR="00C645C9" w:rsidRDefault="00F955D9">
            <w:pPr>
              <w:pStyle w:val="afff4"/>
              <w:rPr>
                <w:rFonts w:cs="Times New Roman"/>
                <w:sz w:val="21"/>
                <w:szCs w:val="21"/>
              </w:rPr>
            </w:pPr>
            <w:bookmarkStart w:id="930" w:name="OLE_LINK354"/>
            <w:r>
              <w:rPr>
                <w:rFonts w:cs="Times New Roman"/>
                <w:sz w:val="21"/>
                <w:szCs w:val="21"/>
              </w:rPr>
              <w:t>直排</w:t>
            </w:r>
            <w:bookmarkEnd w:id="930"/>
          </w:p>
        </w:tc>
        <w:tc>
          <w:tcPr>
            <w:tcW w:w="475" w:type="pct"/>
            <w:vAlign w:val="center"/>
          </w:tcPr>
          <w:p w:rsidR="00C645C9" w:rsidRDefault="00F955D9">
            <w:pPr>
              <w:pStyle w:val="afff4"/>
              <w:rPr>
                <w:rFonts w:cs="Times New Roman"/>
                <w:sz w:val="21"/>
                <w:szCs w:val="21"/>
              </w:rPr>
            </w:pPr>
            <w:r>
              <w:rPr>
                <w:rFonts w:cs="Times New Roman"/>
                <w:sz w:val="21"/>
                <w:szCs w:val="21"/>
              </w:rPr>
              <w:t>0.02S</w:t>
            </w:r>
          </w:p>
        </w:tc>
      </w:tr>
      <w:tr w:rsidR="00C645C9">
        <w:trPr>
          <w:cantSplit/>
          <w:trHeight w:val="143"/>
        </w:trPr>
        <w:tc>
          <w:tcPr>
            <w:tcW w:w="410" w:type="pct"/>
            <w:vMerge/>
            <w:vAlign w:val="center"/>
          </w:tcPr>
          <w:p w:rsidR="00C645C9" w:rsidRDefault="00C645C9">
            <w:pPr>
              <w:pStyle w:val="afff4"/>
              <w:rPr>
                <w:rFonts w:cs="Times New Roman"/>
                <w:sz w:val="21"/>
                <w:szCs w:val="21"/>
              </w:rPr>
            </w:pPr>
          </w:p>
        </w:tc>
        <w:tc>
          <w:tcPr>
            <w:tcW w:w="398" w:type="pct"/>
            <w:vMerge/>
            <w:vAlign w:val="center"/>
          </w:tcPr>
          <w:p w:rsidR="00C645C9" w:rsidRDefault="00C645C9">
            <w:pPr>
              <w:pStyle w:val="afff4"/>
              <w:rPr>
                <w:rFonts w:cs="Times New Roman"/>
                <w:sz w:val="21"/>
                <w:szCs w:val="21"/>
              </w:rPr>
            </w:pPr>
          </w:p>
        </w:tc>
        <w:tc>
          <w:tcPr>
            <w:tcW w:w="397" w:type="pct"/>
            <w:vMerge/>
            <w:vAlign w:val="center"/>
          </w:tcPr>
          <w:p w:rsidR="00C645C9" w:rsidRDefault="00C645C9">
            <w:pPr>
              <w:pStyle w:val="afff4"/>
              <w:rPr>
                <w:rFonts w:cs="Times New Roman"/>
                <w:sz w:val="21"/>
                <w:szCs w:val="21"/>
              </w:rPr>
            </w:pPr>
          </w:p>
        </w:tc>
        <w:tc>
          <w:tcPr>
            <w:tcW w:w="421" w:type="pct"/>
            <w:vMerge/>
            <w:vAlign w:val="center"/>
          </w:tcPr>
          <w:p w:rsidR="00C645C9" w:rsidRDefault="00C645C9">
            <w:pPr>
              <w:pStyle w:val="afff4"/>
              <w:rPr>
                <w:rFonts w:cs="Times New Roman"/>
                <w:sz w:val="21"/>
                <w:szCs w:val="21"/>
              </w:rPr>
            </w:pPr>
          </w:p>
        </w:tc>
        <w:tc>
          <w:tcPr>
            <w:tcW w:w="636" w:type="pct"/>
            <w:vAlign w:val="center"/>
          </w:tcPr>
          <w:p w:rsidR="00C645C9" w:rsidRDefault="00F955D9">
            <w:pPr>
              <w:pStyle w:val="afff4"/>
              <w:rPr>
                <w:rFonts w:cs="Times New Roman"/>
                <w:sz w:val="21"/>
                <w:szCs w:val="21"/>
              </w:rPr>
            </w:pPr>
            <w:r>
              <w:rPr>
                <w:rFonts w:cs="Times New Roman" w:hint="eastAsia"/>
                <w:sz w:val="21"/>
                <w:szCs w:val="21"/>
              </w:rPr>
              <w:t>颗粒物</w:t>
            </w:r>
          </w:p>
        </w:tc>
        <w:tc>
          <w:tcPr>
            <w:tcW w:w="670" w:type="pct"/>
            <w:vAlign w:val="center"/>
          </w:tcPr>
          <w:p w:rsidR="00C645C9" w:rsidRDefault="00F955D9">
            <w:pPr>
              <w:pStyle w:val="afff4"/>
              <w:rPr>
                <w:rFonts w:cs="Times New Roman"/>
                <w:sz w:val="21"/>
                <w:szCs w:val="21"/>
              </w:rPr>
            </w:pPr>
            <w:r>
              <w:rPr>
                <w:rFonts w:cs="Times New Roman"/>
                <w:sz w:val="21"/>
                <w:szCs w:val="21"/>
              </w:rPr>
              <w:t>千克</w:t>
            </w:r>
            <w:r>
              <w:rPr>
                <w:rFonts w:cs="Times New Roman"/>
                <w:sz w:val="21"/>
                <w:szCs w:val="21"/>
              </w:rPr>
              <w:t>/</w:t>
            </w:r>
            <w:r>
              <w:rPr>
                <w:rFonts w:cs="Times New Roman"/>
                <w:sz w:val="21"/>
                <w:szCs w:val="21"/>
              </w:rPr>
              <w:t>万立方米</w:t>
            </w:r>
            <w:r>
              <w:rPr>
                <w:rFonts w:cs="Times New Roman" w:hint="eastAsia"/>
                <w:sz w:val="21"/>
                <w:szCs w:val="21"/>
              </w:rPr>
              <w:t>-</w:t>
            </w:r>
            <w:r>
              <w:rPr>
                <w:rFonts w:cs="Times New Roman" w:hint="eastAsia"/>
                <w:sz w:val="21"/>
                <w:szCs w:val="21"/>
              </w:rPr>
              <w:t>燃</w:t>
            </w:r>
            <w:r>
              <w:rPr>
                <w:rFonts w:cs="Times New Roman"/>
                <w:sz w:val="21"/>
                <w:szCs w:val="21"/>
              </w:rPr>
              <w:t>料</w:t>
            </w:r>
          </w:p>
        </w:tc>
        <w:tc>
          <w:tcPr>
            <w:tcW w:w="945" w:type="pct"/>
            <w:vAlign w:val="center"/>
          </w:tcPr>
          <w:p w:rsidR="00C645C9" w:rsidRDefault="00F955D9">
            <w:pPr>
              <w:pStyle w:val="afff4"/>
              <w:rPr>
                <w:rFonts w:cs="Times New Roman"/>
                <w:sz w:val="21"/>
                <w:szCs w:val="21"/>
              </w:rPr>
            </w:pPr>
            <w:r>
              <w:rPr>
                <w:rFonts w:cs="Times New Roman" w:hint="eastAsia"/>
                <w:sz w:val="21"/>
                <w:szCs w:val="21"/>
              </w:rPr>
              <w:t>2.86</w:t>
            </w:r>
          </w:p>
        </w:tc>
        <w:tc>
          <w:tcPr>
            <w:tcW w:w="643" w:type="pct"/>
            <w:vAlign w:val="center"/>
          </w:tcPr>
          <w:p w:rsidR="00C645C9" w:rsidRDefault="00F955D9">
            <w:pPr>
              <w:pStyle w:val="afff4"/>
              <w:rPr>
                <w:rFonts w:cs="Times New Roman"/>
                <w:sz w:val="21"/>
                <w:szCs w:val="21"/>
              </w:rPr>
            </w:pPr>
            <w:r>
              <w:rPr>
                <w:rFonts w:cs="Times New Roman"/>
                <w:sz w:val="21"/>
                <w:szCs w:val="21"/>
              </w:rPr>
              <w:t>直排</w:t>
            </w:r>
          </w:p>
        </w:tc>
        <w:tc>
          <w:tcPr>
            <w:tcW w:w="475" w:type="pct"/>
            <w:vAlign w:val="center"/>
          </w:tcPr>
          <w:p w:rsidR="00C645C9" w:rsidRDefault="00F955D9">
            <w:pPr>
              <w:pStyle w:val="afff4"/>
              <w:rPr>
                <w:rFonts w:cs="Times New Roman"/>
                <w:sz w:val="21"/>
                <w:szCs w:val="21"/>
              </w:rPr>
            </w:pPr>
            <w:r>
              <w:rPr>
                <w:rFonts w:cs="Times New Roman" w:hint="eastAsia"/>
                <w:sz w:val="21"/>
                <w:szCs w:val="21"/>
              </w:rPr>
              <w:t>2.86</w:t>
            </w:r>
          </w:p>
        </w:tc>
      </w:tr>
      <w:tr w:rsidR="00C645C9">
        <w:trPr>
          <w:cantSplit/>
          <w:trHeight w:val="143"/>
        </w:trPr>
        <w:tc>
          <w:tcPr>
            <w:tcW w:w="410" w:type="pct"/>
            <w:vMerge/>
            <w:vAlign w:val="center"/>
          </w:tcPr>
          <w:p w:rsidR="00C645C9" w:rsidRDefault="00C645C9">
            <w:pPr>
              <w:pStyle w:val="afff4"/>
              <w:rPr>
                <w:rFonts w:cs="Times New Roman"/>
                <w:sz w:val="21"/>
                <w:szCs w:val="21"/>
              </w:rPr>
            </w:pPr>
          </w:p>
        </w:tc>
        <w:tc>
          <w:tcPr>
            <w:tcW w:w="398" w:type="pct"/>
            <w:vMerge/>
            <w:vAlign w:val="center"/>
          </w:tcPr>
          <w:p w:rsidR="00C645C9" w:rsidRDefault="00C645C9">
            <w:pPr>
              <w:pStyle w:val="afff4"/>
              <w:rPr>
                <w:rFonts w:cs="Times New Roman"/>
                <w:sz w:val="21"/>
                <w:szCs w:val="21"/>
              </w:rPr>
            </w:pPr>
          </w:p>
        </w:tc>
        <w:tc>
          <w:tcPr>
            <w:tcW w:w="397" w:type="pct"/>
            <w:vMerge/>
            <w:vAlign w:val="center"/>
          </w:tcPr>
          <w:p w:rsidR="00C645C9" w:rsidRDefault="00C645C9">
            <w:pPr>
              <w:pStyle w:val="afff4"/>
              <w:rPr>
                <w:rFonts w:cs="Times New Roman"/>
                <w:sz w:val="21"/>
                <w:szCs w:val="21"/>
              </w:rPr>
            </w:pPr>
          </w:p>
        </w:tc>
        <w:tc>
          <w:tcPr>
            <w:tcW w:w="421" w:type="pct"/>
            <w:vMerge/>
            <w:vAlign w:val="center"/>
          </w:tcPr>
          <w:p w:rsidR="00C645C9" w:rsidRDefault="00C645C9">
            <w:pPr>
              <w:pStyle w:val="afff4"/>
              <w:rPr>
                <w:rFonts w:cs="Times New Roman"/>
                <w:sz w:val="21"/>
                <w:szCs w:val="21"/>
              </w:rPr>
            </w:pPr>
          </w:p>
        </w:tc>
        <w:tc>
          <w:tcPr>
            <w:tcW w:w="636" w:type="pct"/>
            <w:vMerge w:val="restart"/>
            <w:vAlign w:val="center"/>
          </w:tcPr>
          <w:p w:rsidR="00C645C9" w:rsidRDefault="00F955D9">
            <w:pPr>
              <w:pStyle w:val="afff4"/>
              <w:rPr>
                <w:rFonts w:cs="Times New Roman"/>
                <w:sz w:val="21"/>
                <w:szCs w:val="21"/>
              </w:rPr>
            </w:pPr>
            <w:r>
              <w:rPr>
                <w:rFonts w:cs="Times New Roman"/>
                <w:sz w:val="21"/>
                <w:szCs w:val="21"/>
              </w:rPr>
              <w:t>氮氧化物</w:t>
            </w:r>
          </w:p>
        </w:tc>
        <w:tc>
          <w:tcPr>
            <w:tcW w:w="670" w:type="pct"/>
            <w:vMerge w:val="restart"/>
            <w:vAlign w:val="center"/>
          </w:tcPr>
          <w:p w:rsidR="00C645C9" w:rsidRDefault="00F955D9">
            <w:pPr>
              <w:pStyle w:val="afff4"/>
              <w:rPr>
                <w:rFonts w:cs="Times New Roman"/>
                <w:sz w:val="21"/>
                <w:szCs w:val="21"/>
              </w:rPr>
            </w:pPr>
            <w:r>
              <w:rPr>
                <w:rFonts w:cs="Times New Roman"/>
                <w:sz w:val="21"/>
                <w:szCs w:val="21"/>
              </w:rPr>
              <w:t>千克</w:t>
            </w:r>
            <w:r>
              <w:rPr>
                <w:rFonts w:cs="Times New Roman"/>
                <w:sz w:val="21"/>
                <w:szCs w:val="21"/>
              </w:rPr>
              <w:t>/</w:t>
            </w:r>
            <w:r>
              <w:rPr>
                <w:rFonts w:cs="Times New Roman"/>
                <w:sz w:val="21"/>
                <w:szCs w:val="21"/>
              </w:rPr>
              <w:t>万立方米</w:t>
            </w:r>
            <w:r>
              <w:rPr>
                <w:rFonts w:cs="Times New Roman" w:hint="eastAsia"/>
                <w:sz w:val="21"/>
                <w:szCs w:val="21"/>
              </w:rPr>
              <w:t>-</w:t>
            </w:r>
            <w:r>
              <w:rPr>
                <w:rFonts w:cs="Times New Roman" w:hint="eastAsia"/>
                <w:sz w:val="21"/>
                <w:szCs w:val="21"/>
              </w:rPr>
              <w:t>燃</w:t>
            </w:r>
            <w:r>
              <w:rPr>
                <w:rFonts w:cs="Times New Roman"/>
                <w:sz w:val="21"/>
                <w:szCs w:val="21"/>
              </w:rPr>
              <w:t>料</w:t>
            </w:r>
          </w:p>
        </w:tc>
        <w:tc>
          <w:tcPr>
            <w:tcW w:w="945" w:type="pct"/>
            <w:vAlign w:val="center"/>
          </w:tcPr>
          <w:p w:rsidR="00C645C9" w:rsidRDefault="00F955D9">
            <w:pPr>
              <w:pStyle w:val="afff4"/>
              <w:rPr>
                <w:rFonts w:cs="Times New Roman"/>
                <w:sz w:val="21"/>
                <w:szCs w:val="21"/>
              </w:rPr>
            </w:pPr>
            <w:r>
              <w:rPr>
                <w:rFonts w:cs="Times New Roman"/>
                <w:sz w:val="21"/>
                <w:szCs w:val="21"/>
              </w:rPr>
              <w:t>18.71</w:t>
            </w:r>
          </w:p>
          <w:p w:rsidR="00C645C9" w:rsidRDefault="00F955D9">
            <w:pPr>
              <w:pStyle w:val="afff4"/>
              <w:rPr>
                <w:rFonts w:cs="Times New Roman"/>
                <w:sz w:val="21"/>
                <w:szCs w:val="21"/>
              </w:rPr>
            </w:pPr>
            <w:r>
              <w:rPr>
                <w:rFonts w:cs="Times New Roman"/>
                <w:sz w:val="21"/>
                <w:szCs w:val="21"/>
              </w:rPr>
              <w:t>（无低氮燃烧）</w:t>
            </w:r>
          </w:p>
        </w:tc>
        <w:tc>
          <w:tcPr>
            <w:tcW w:w="643" w:type="pct"/>
            <w:vAlign w:val="center"/>
          </w:tcPr>
          <w:p w:rsidR="00C645C9" w:rsidRDefault="00F955D9">
            <w:pPr>
              <w:pStyle w:val="afff4"/>
              <w:rPr>
                <w:rFonts w:cs="Times New Roman"/>
                <w:sz w:val="21"/>
                <w:szCs w:val="21"/>
              </w:rPr>
            </w:pPr>
            <w:r>
              <w:rPr>
                <w:rFonts w:cs="Times New Roman"/>
                <w:sz w:val="21"/>
                <w:szCs w:val="21"/>
              </w:rPr>
              <w:t>直排</w:t>
            </w:r>
          </w:p>
        </w:tc>
        <w:tc>
          <w:tcPr>
            <w:tcW w:w="475" w:type="pct"/>
            <w:vAlign w:val="center"/>
          </w:tcPr>
          <w:p w:rsidR="00C645C9" w:rsidRDefault="00F955D9">
            <w:pPr>
              <w:pStyle w:val="afff4"/>
              <w:rPr>
                <w:rFonts w:cs="Times New Roman"/>
                <w:sz w:val="21"/>
                <w:szCs w:val="21"/>
              </w:rPr>
            </w:pPr>
            <w:r>
              <w:rPr>
                <w:rFonts w:cs="Times New Roman"/>
                <w:sz w:val="21"/>
                <w:szCs w:val="21"/>
              </w:rPr>
              <w:t>18.71</w:t>
            </w:r>
          </w:p>
        </w:tc>
      </w:tr>
      <w:tr w:rsidR="00C645C9">
        <w:trPr>
          <w:cantSplit/>
          <w:trHeight w:val="53"/>
        </w:trPr>
        <w:tc>
          <w:tcPr>
            <w:tcW w:w="410" w:type="pct"/>
            <w:vMerge/>
            <w:vAlign w:val="center"/>
          </w:tcPr>
          <w:p w:rsidR="00C645C9" w:rsidRDefault="00C645C9">
            <w:pPr>
              <w:pStyle w:val="afff4"/>
              <w:rPr>
                <w:rFonts w:cs="Times New Roman"/>
                <w:sz w:val="21"/>
                <w:szCs w:val="21"/>
              </w:rPr>
            </w:pPr>
          </w:p>
        </w:tc>
        <w:tc>
          <w:tcPr>
            <w:tcW w:w="398" w:type="pct"/>
            <w:vMerge/>
            <w:vAlign w:val="center"/>
          </w:tcPr>
          <w:p w:rsidR="00C645C9" w:rsidRDefault="00C645C9">
            <w:pPr>
              <w:pStyle w:val="afff4"/>
              <w:rPr>
                <w:rFonts w:cs="Times New Roman"/>
                <w:sz w:val="21"/>
                <w:szCs w:val="21"/>
              </w:rPr>
            </w:pPr>
          </w:p>
        </w:tc>
        <w:tc>
          <w:tcPr>
            <w:tcW w:w="397" w:type="pct"/>
            <w:vMerge/>
            <w:vAlign w:val="center"/>
          </w:tcPr>
          <w:p w:rsidR="00C645C9" w:rsidRDefault="00C645C9">
            <w:pPr>
              <w:pStyle w:val="afff4"/>
              <w:rPr>
                <w:rFonts w:cs="Times New Roman"/>
                <w:sz w:val="21"/>
                <w:szCs w:val="21"/>
              </w:rPr>
            </w:pPr>
          </w:p>
        </w:tc>
        <w:tc>
          <w:tcPr>
            <w:tcW w:w="421" w:type="pct"/>
            <w:vMerge/>
            <w:vAlign w:val="center"/>
          </w:tcPr>
          <w:p w:rsidR="00C645C9" w:rsidRDefault="00C645C9">
            <w:pPr>
              <w:pStyle w:val="afff4"/>
              <w:rPr>
                <w:rFonts w:cs="Times New Roman"/>
                <w:sz w:val="21"/>
                <w:szCs w:val="21"/>
              </w:rPr>
            </w:pPr>
          </w:p>
        </w:tc>
        <w:tc>
          <w:tcPr>
            <w:tcW w:w="636" w:type="pct"/>
            <w:vMerge/>
            <w:vAlign w:val="center"/>
          </w:tcPr>
          <w:p w:rsidR="00C645C9" w:rsidRDefault="00C645C9">
            <w:pPr>
              <w:pStyle w:val="afff4"/>
              <w:rPr>
                <w:rFonts w:cs="Times New Roman"/>
                <w:sz w:val="21"/>
                <w:szCs w:val="21"/>
              </w:rPr>
            </w:pPr>
          </w:p>
        </w:tc>
        <w:tc>
          <w:tcPr>
            <w:tcW w:w="670" w:type="pct"/>
            <w:vMerge/>
            <w:vAlign w:val="center"/>
          </w:tcPr>
          <w:p w:rsidR="00C645C9" w:rsidRDefault="00C645C9">
            <w:pPr>
              <w:pStyle w:val="afff4"/>
              <w:rPr>
                <w:rFonts w:cs="Times New Roman"/>
                <w:sz w:val="21"/>
                <w:szCs w:val="21"/>
              </w:rPr>
            </w:pPr>
          </w:p>
        </w:tc>
        <w:tc>
          <w:tcPr>
            <w:tcW w:w="945" w:type="pct"/>
            <w:vAlign w:val="center"/>
          </w:tcPr>
          <w:p w:rsidR="00C645C9" w:rsidRDefault="00F955D9">
            <w:pPr>
              <w:pStyle w:val="afff4"/>
              <w:rPr>
                <w:rFonts w:cs="Times New Roman"/>
                <w:sz w:val="21"/>
                <w:szCs w:val="21"/>
              </w:rPr>
            </w:pPr>
            <w:r>
              <w:rPr>
                <w:rFonts w:cs="Times New Roman"/>
                <w:sz w:val="21"/>
                <w:szCs w:val="21"/>
              </w:rPr>
              <w:t>9.36</w:t>
            </w:r>
          </w:p>
          <w:p w:rsidR="00C645C9" w:rsidRDefault="00F955D9">
            <w:pPr>
              <w:pStyle w:val="afff4"/>
              <w:rPr>
                <w:rFonts w:cs="Times New Roman"/>
                <w:sz w:val="21"/>
                <w:szCs w:val="21"/>
              </w:rPr>
            </w:pPr>
            <w:r>
              <w:rPr>
                <w:rFonts w:cs="Times New Roman"/>
                <w:sz w:val="21"/>
                <w:szCs w:val="21"/>
              </w:rPr>
              <w:t>（低氮燃烧）</w:t>
            </w:r>
          </w:p>
        </w:tc>
        <w:tc>
          <w:tcPr>
            <w:tcW w:w="643" w:type="pct"/>
            <w:vAlign w:val="center"/>
          </w:tcPr>
          <w:p w:rsidR="00C645C9" w:rsidRDefault="00F955D9">
            <w:pPr>
              <w:pStyle w:val="afff4"/>
              <w:rPr>
                <w:rFonts w:cs="Times New Roman"/>
                <w:sz w:val="21"/>
                <w:szCs w:val="21"/>
              </w:rPr>
            </w:pPr>
            <w:r>
              <w:rPr>
                <w:rFonts w:cs="Times New Roman"/>
                <w:sz w:val="21"/>
                <w:szCs w:val="21"/>
              </w:rPr>
              <w:t>直排</w:t>
            </w:r>
          </w:p>
        </w:tc>
        <w:tc>
          <w:tcPr>
            <w:tcW w:w="475" w:type="pct"/>
            <w:vAlign w:val="center"/>
          </w:tcPr>
          <w:p w:rsidR="00C645C9" w:rsidRDefault="00F955D9">
            <w:pPr>
              <w:pStyle w:val="afff4"/>
              <w:rPr>
                <w:rFonts w:cs="Times New Roman"/>
                <w:sz w:val="21"/>
                <w:szCs w:val="21"/>
              </w:rPr>
            </w:pPr>
            <w:r>
              <w:rPr>
                <w:rFonts w:cs="Times New Roman"/>
                <w:sz w:val="21"/>
                <w:szCs w:val="21"/>
              </w:rPr>
              <w:t>9.36</w:t>
            </w:r>
          </w:p>
        </w:tc>
      </w:tr>
    </w:tbl>
    <w:p w:rsidR="00C645C9" w:rsidRDefault="00F955D9">
      <w:pPr>
        <w:spacing w:line="320" w:lineRule="exact"/>
        <w:ind w:left="531" w:hangingChars="294" w:hanging="531"/>
        <w:rPr>
          <w:rFonts w:cs="Times New Roman"/>
          <w:sz w:val="18"/>
          <w:szCs w:val="18"/>
        </w:rPr>
      </w:pPr>
      <w:r>
        <w:rPr>
          <w:rFonts w:cs="Times New Roman"/>
          <w:b/>
          <w:sz w:val="18"/>
          <w:szCs w:val="18"/>
        </w:rPr>
        <w:t>注：</w:t>
      </w:r>
      <w:r>
        <w:rPr>
          <w:rFonts w:cs="Times New Roman"/>
          <w:sz w:val="18"/>
          <w:szCs w:val="18"/>
        </w:rPr>
        <w:fldChar w:fldCharType="begin"/>
      </w:r>
      <w:r>
        <w:rPr>
          <w:rFonts w:cs="Times New Roman"/>
          <w:sz w:val="18"/>
          <w:szCs w:val="18"/>
        </w:rPr>
        <w:instrText xml:space="preserve"> = 1 \* GB3 </w:instrText>
      </w:r>
      <w:r>
        <w:rPr>
          <w:rFonts w:cs="Times New Roman"/>
          <w:sz w:val="18"/>
          <w:szCs w:val="18"/>
        </w:rPr>
        <w:fldChar w:fldCharType="separate"/>
      </w:r>
      <w:r>
        <w:rPr>
          <w:rFonts w:cs="Times New Roman"/>
          <w:sz w:val="18"/>
          <w:szCs w:val="18"/>
        </w:rPr>
        <w:t>①</w:t>
      </w:r>
      <w:r>
        <w:rPr>
          <w:rFonts w:cs="Times New Roman"/>
          <w:sz w:val="18"/>
          <w:szCs w:val="18"/>
        </w:rPr>
        <w:fldChar w:fldCharType="end"/>
      </w:r>
      <w:r>
        <w:rPr>
          <w:rFonts w:cs="Times New Roman"/>
          <w:sz w:val="18"/>
          <w:szCs w:val="18"/>
        </w:rPr>
        <w:t>产排污系数表中二氧化硫的产排污系数是以含硫量（</w:t>
      </w:r>
      <w:r>
        <w:rPr>
          <w:rFonts w:cs="Times New Roman"/>
          <w:sz w:val="18"/>
          <w:szCs w:val="18"/>
        </w:rPr>
        <w:t>S</w:t>
      </w:r>
      <w:r>
        <w:rPr>
          <w:rFonts w:cs="Times New Roman"/>
          <w:sz w:val="18"/>
          <w:szCs w:val="18"/>
        </w:rPr>
        <w:t>）的形式表示的，其中含硫量（</w:t>
      </w:r>
      <w:r>
        <w:rPr>
          <w:rFonts w:cs="Times New Roman"/>
          <w:sz w:val="18"/>
          <w:szCs w:val="18"/>
        </w:rPr>
        <w:t>S</w:t>
      </w:r>
      <w:r>
        <w:rPr>
          <w:rFonts w:cs="Times New Roman"/>
          <w:sz w:val="18"/>
          <w:szCs w:val="18"/>
        </w:rPr>
        <w:t>）是指燃气硫分含量，单位为毫克</w:t>
      </w:r>
      <w:r>
        <w:rPr>
          <w:rFonts w:cs="Times New Roman"/>
          <w:sz w:val="18"/>
          <w:szCs w:val="18"/>
        </w:rPr>
        <w:t>/</w:t>
      </w:r>
      <w:r>
        <w:rPr>
          <w:rFonts w:cs="Times New Roman"/>
          <w:sz w:val="18"/>
          <w:szCs w:val="18"/>
        </w:rPr>
        <w:t>立方米。</w:t>
      </w:r>
      <w:bookmarkStart w:id="931" w:name="_Hlk69228584"/>
      <w:r>
        <w:rPr>
          <w:rFonts w:cs="Times New Roman"/>
          <w:sz w:val="18"/>
          <w:szCs w:val="18"/>
        </w:rPr>
        <w:t>S</w:t>
      </w:r>
      <w:r>
        <w:rPr>
          <w:rFonts w:cs="Times New Roman"/>
          <w:sz w:val="18"/>
          <w:szCs w:val="18"/>
        </w:rPr>
        <w:t>取</w:t>
      </w:r>
      <w:r>
        <w:rPr>
          <w:rFonts w:cs="Times New Roman"/>
          <w:sz w:val="18"/>
          <w:szCs w:val="18"/>
        </w:rPr>
        <w:t>1</w:t>
      </w:r>
      <w:r>
        <w:rPr>
          <w:rFonts w:cs="Times New Roman"/>
          <w:sz w:val="18"/>
          <w:szCs w:val="18"/>
        </w:rPr>
        <w:t>00</w:t>
      </w:r>
      <w:r>
        <w:rPr>
          <w:rFonts w:cs="Times New Roman"/>
          <w:sz w:val="18"/>
          <w:szCs w:val="18"/>
        </w:rPr>
        <w:t>。</w:t>
      </w:r>
    </w:p>
    <w:bookmarkEnd w:id="931"/>
    <w:p w:rsidR="00C645C9" w:rsidRDefault="00F955D9">
      <w:pPr>
        <w:widowControl w:val="0"/>
        <w:spacing w:line="360" w:lineRule="auto"/>
        <w:ind w:firstLineChars="200" w:firstLine="480"/>
        <w:jc w:val="both"/>
        <w:rPr>
          <w:rFonts w:cs="Times New Roman"/>
          <w:sz w:val="18"/>
          <w:szCs w:val="18"/>
        </w:rPr>
      </w:pPr>
      <w:r>
        <w:rPr>
          <w:rFonts w:cs="Times New Roman"/>
        </w:rPr>
        <w:t>本工程</w:t>
      </w:r>
      <w:r>
        <w:rPr>
          <w:rFonts w:cs="Times New Roman"/>
        </w:rPr>
        <w:t>200</w:t>
      </w:r>
      <w:r>
        <w:rPr>
          <w:rFonts w:cs="Times New Roman" w:hint="eastAsia"/>
        </w:rPr>
        <w:t>kW</w:t>
      </w:r>
      <w:r>
        <w:rPr>
          <w:rFonts w:cs="Times New Roman"/>
        </w:rPr>
        <w:t>加热炉污染物产生排放情况见</w:t>
      </w:r>
      <w:r>
        <w:rPr>
          <w:rFonts w:cs="Times New Roman" w:hint="eastAsia"/>
        </w:rPr>
        <w:t>表</w:t>
      </w:r>
      <w:r>
        <w:rPr>
          <w:rFonts w:cs="Times New Roman"/>
        </w:rPr>
        <w:t>3.</w:t>
      </w:r>
      <w:r>
        <w:rPr>
          <w:rFonts w:cs="Times New Roman" w:hint="eastAsia"/>
        </w:rPr>
        <w:t>3-10</w:t>
      </w:r>
      <w:r>
        <w:rPr>
          <w:rFonts w:cs="Times New Roman"/>
        </w:rPr>
        <w:t>。</w:t>
      </w:r>
    </w:p>
    <w:p w:rsidR="00C645C9" w:rsidRDefault="00F955D9">
      <w:pPr>
        <w:widowControl w:val="0"/>
        <w:jc w:val="center"/>
        <w:rPr>
          <w:rFonts w:eastAsia="黑体" w:cs="Times New Roman"/>
          <w:bCs/>
          <w:kern w:val="2"/>
          <w:sz w:val="21"/>
          <w:szCs w:val="21"/>
          <w:lang w:bidi="ar"/>
        </w:rPr>
      </w:pPr>
      <w:r>
        <w:rPr>
          <w:rFonts w:eastAsia="黑体" w:cs="Times New Roman"/>
          <w:bCs/>
          <w:kern w:val="2"/>
          <w:sz w:val="21"/>
          <w:szCs w:val="21"/>
          <w:lang w:bidi="ar"/>
        </w:rPr>
        <w:t>表</w:t>
      </w:r>
      <w:r>
        <w:rPr>
          <w:rFonts w:eastAsia="黑体" w:cs="Times New Roman"/>
          <w:bCs/>
          <w:kern w:val="2"/>
          <w:sz w:val="21"/>
          <w:szCs w:val="21"/>
          <w:lang w:bidi="ar"/>
        </w:rPr>
        <w:t>3.</w:t>
      </w:r>
      <w:r>
        <w:rPr>
          <w:rFonts w:eastAsia="黑体" w:cs="Times New Roman" w:hint="eastAsia"/>
          <w:bCs/>
          <w:kern w:val="2"/>
          <w:sz w:val="21"/>
          <w:szCs w:val="21"/>
          <w:lang w:bidi="ar"/>
        </w:rPr>
        <w:t>3-10</w:t>
      </w:r>
      <w:r>
        <w:rPr>
          <w:rFonts w:eastAsia="黑体" w:cs="Times New Roman"/>
          <w:bCs/>
          <w:kern w:val="2"/>
          <w:sz w:val="21"/>
          <w:szCs w:val="21"/>
          <w:lang w:bidi="ar"/>
        </w:rPr>
        <w:t xml:space="preserve">   </w:t>
      </w:r>
      <w:bookmarkStart w:id="932" w:name="OLE_LINK800"/>
      <w:r>
        <w:rPr>
          <w:rFonts w:eastAsia="黑体" w:cs="Times New Roman"/>
          <w:bCs/>
          <w:kern w:val="2"/>
          <w:sz w:val="21"/>
          <w:szCs w:val="21"/>
          <w:lang w:bidi="ar"/>
        </w:rPr>
        <w:t>本工程井场加热炉污染物排放情况</w:t>
      </w:r>
      <w:bookmarkEnd w:id="932"/>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834"/>
        <w:gridCol w:w="866"/>
        <w:gridCol w:w="660"/>
        <w:gridCol w:w="574"/>
        <w:gridCol w:w="746"/>
        <w:gridCol w:w="660"/>
        <w:gridCol w:w="594"/>
        <w:gridCol w:w="726"/>
        <w:gridCol w:w="660"/>
        <w:gridCol w:w="597"/>
        <w:gridCol w:w="730"/>
      </w:tblGrid>
      <w:tr w:rsidR="00C645C9">
        <w:trPr>
          <w:trHeight w:val="180"/>
        </w:trPr>
        <w:tc>
          <w:tcPr>
            <w:tcW w:w="978" w:type="dxa"/>
            <w:vMerge w:val="restart"/>
            <w:vAlign w:val="center"/>
          </w:tcPr>
          <w:p w:rsidR="00C645C9" w:rsidRDefault="00F955D9">
            <w:pPr>
              <w:wordWrap w:val="0"/>
              <w:ind w:leftChars="-10" w:left="-24" w:rightChars="-10" w:right="-24"/>
              <w:jc w:val="center"/>
              <w:rPr>
                <w:bCs/>
                <w:kern w:val="2"/>
                <w:sz w:val="21"/>
                <w:szCs w:val="21"/>
              </w:rPr>
            </w:pPr>
            <w:r>
              <w:rPr>
                <w:bCs/>
                <w:kern w:val="2"/>
                <w:sz w:val="21"/>
                <w:szCs w:val="21"/>
              </w:rPr>
              <w:t>污染源</w:t>
            </w:r>
          </w:p>
        </w:tc>
        <w:tc>
          <w:tcPr>
            <w:tcW w:w="834" w:type="dxa"/>
            <w:vAlign w:val="center"/>
          </w:tcPr>
          <w:p w:rsidR="00C645C9" w:rsidRDefault="00F955D9">
            <w:pPr>
              <w:wordWrap w:val="0"/>
              <w:ind w:leftChars="-10" w:left="-24" w:rightChars="-10" w:right="-24"/>
              <w:jc w:val="center"/>
              <w:rPr>
                <w:bCs/>
                <w:kern w:val="2"/>
                <w:sz w:val="21"/>
                <w:szCs w:val="21"/>
              </w:rPr>
            </w:pPr>
            <w:r>
              <w:rPr>
                <w:bCs/>
                <w:kern w:val="2"/>
                <w:sz w:val="21"/>
                <w:szCs w:val="21"/>
              </w:rPr>
              <w:t>耗气量</w:t>
            </w:r>
          </w:p>
        </w:tc>
        <w:tc>
          <w:tcPr>
            <w:tcW w:w="866" w:type="dxa"/>
            <w:vAlign w:val="center"/>
          </w:tcPr>
          <w:p w:rsidR="00C645C9" w:rsidRDefault="00F955D9">
            <w:pPr>
              <w:wordWrap w:val="0"/>
              <w:ind w:leftChars="-10" w:left="-24" w:rightChars="-10" w:right="-24"/>
              <w:jc w:val="center"/>
              <w:rPr>
                <w:bCs/>
                <w:kern w:val="2"/>
                <w:sz w:val="21"/>
                <w:szCs w:val="21"/>
              </w:rPr>
            </w:pPr>
            <w:r>
              <w:rPr>
                <w:bCs/>
                <w:kern w:val="2"/>
                <w:sz w:val="21"/>
                <w:szCs w:val="21"/>
              </w:rPr>
              <w:t>烟气量</w:t>
            </w:r>
          </w:p>
        </w:tc>
        <w:tc>
          <w:tcPr>
            <w:tcW w:w="5947" w:type="dxa"/>
            <w:gridSpan w:val="9"/>
            <w:vAlign w:val="center"/>
          </w:tcPr>
          <w:p w:rsidR="00C645C9" w:rsidRDefault="00F955D9">
            <w:pPr>
              <w:wordWrap w:val="0"/>
              <w:ind w:leftChars="-10" w:left="-24" w:rightChars="-10" w:right="-24"/>
              <w:jc w:val="center"/>
              <w:rPr>
                <w:bCs/>
                <w:kern w:val="2"/>
                <w:sz w:val="21"/>
                <w:szCs w:val="21"/>
              </w:rPr>
            </w:pPr>
            <w:r>
              <w:rPr>
                <w:bCs/>
                <w:kern w:val="2"/>
                <w:sz w:val="21"/>
                <w:szCs w:val="21"/>
              </w:rPr>
              <w:t>污染物排放情况</w:t>
            </w:r>
          </w:p>
        </w:tc>
      </w:tr>
      <w:tr w:rsidR="00C645C9">
        <w:trPr>
          <w:trHeight w:val="195"/>
        </w:trPr>
        <w:tc>
          <w:tcPr>
            <w:tcW w:w="978" w:type="dxa"/>
            <w:vMerge/>
            <w:vAlign w:val="center"/>
          </w:tcPr>
          <w:p w:rsidR="00C645C9" w:rsidRDefault="00C645C9">
            <w:pPr>
              <w:wordWrap w:val="0"/>
              <w:ind w:leftChars="-10" w:left="-24" w:rightChars="-10" w:right="-24"/>
              <w:jc w:val="center"/>
              <w:rPr>
                <w:bCs/>
                <w:kern w:val="2"/>
                <w:sz w:val="21"/>
                <w:szCs w:val="21"/>
              </w:rPr>
            </w:pPr>
          </w:p>
        </w:tc>
        <w:tc>
          <w:tcPr>
            <w:tcW w:w="834" w:type="dxa"/>
            <w:vMerge w:val="restart"/>
            <w:vAlign w:val="center"/>
          </w:tcPr>
          <w:p w:rsidR="00C645C9" w:rsidRDefault="00F955D9">
            <w:pPr>
              <w:wordWrap w:val="0"/>
              <w:ind w:leftChars="-10" w:left="-24" w:rightChars="-10" w:right="-24"/>
              <w:jc w:val="center"/>
              <w:rPr>
                <w:bCs/>
                <w:kern w:val="2"/>
                <w:sz w:val="21"/>
                <w:szCs w:val="21"/>
              </w:rPr>
            </w:pPr>
            <w:r>
              <w:rPr>
                <w:bCs/>
                <w:kern w:val="2"/>
                <w:sz w:val="21"/>
                <w:szCs w:val="21"/>
              </w:rPr>
              <w:t>10</w:t>
            </w:r>
            <w:r>
              <w:rPr>
                <w:bCs/>
                <w:kern w:val="2"/>
                <w:sz w:val="21"/>
                <w:szCs w:val="21"/>
                <w:vertAlign w:val="superscript"/>
              </w:rPr>
              <w:t>4</w:t>
            </w:r>
            <w:r>
              <w:rPr>
                <w:bCs/>
                <w:kern w:val="2"/>
                <w:sz w:val="21"/>
                <w:szCs w:val="21"/>
              </w:rPr>
              <w:t>m</w:t>
            </w:r>
            <w:r>
              <w:rPr>
                <w:rFonts w:hint="eastAsia"/>
                <w:bCs/>
                <w:kern w:val="2"/>
                <w:sz w:val="21"/>
                <w:szCs w:val="21"/>
                <w:vertAlign w:val="superscript"/>
              </w:rPr>
              <w:t>4</w:t>
            </w:r>
            <w:r>
              <w:rPr>
                <w:bCs/>
                <w:kern w:val="2"/>
                <w:sz w:val="21"/>
                <w:szCs w:val="21"/>
              </w:rPr>
              <w:t>/a</w:t>
            </w:r>
          </w:p>
        </w:tc>
        <w:tc>
          <w:tcPr>
            <w:tcW w:w="866" w:type="dxa"/>
            <w:vMerge w:val="restart"/>
            <w:vAlign w:val="center"/>
          </w:tcPr>
          <w:p w:rsidR="00C645C9" w:rsidRDefault="00F955D9">
            <w:pPr>
              <w:wordWrap w:val="0"/>
              <w:ind w:leftChars="-10" w:left="-24" w:rightChars="-10" w:right="-24"/>
              <w:jc w:val="center"/>
              <w:rPr>
                <w:bCs/>
                <w:kern w:val="2"/>
                <w:sz w:val="21"/>
                <w:szCs w:val="21"/>
              </w:rPr>
            </w:pPr>
            <w:r>
              <w:rPr>
                <w:bCs/>
                <w:kern w:val="2"/>
                <w:sz w:val="21"/>
                <w:szCs w:val="21"/>
              </w:rPr>
              <w:t>10</w:t>
            </w:r>
            <w:r>
              <w:rPr>
                <w:bCs/>
                <w:kern w:val="2"/>
                <w:sz w:val="21"/>
                <w:szCs w:val="21"/>
                <w:vertAlign w:val="superscript"/>
              </w:rPr>
              <w:t>4</w:t>
            </w:r>
            <w:r>
              <w:rPr>
                <w:bCs/>
                <w:kern w:val="2"/>
                <w:sz w:val="21"/>
                <w:szCs w:val="21"/>
              </w:rPr>
              <w:t>m</w:t>
            </w:r>
            <w:r>
              <w:rPr>
                <w:rFonts w:hint="eastAsia"/>
                <w:bCs/>
                <w:kern w:val="2"/>
                <w:sz w:val="21"/>
                <w:szCs w:val="21"/>
                <w:vertAlign w:val="superscript"/>
              </w:rPr>
              <w:t>3</w:t>
            </w:r>
            <w:r>
              <w:rPr>
                <w:bCs/>
                <w:kern w:val="2"/>
                <w:sz w:val="21"/>
                <w:szCs w:val="21"/>
              </w:rPr>
              <w:t>/a</w:t>
            </w:r>
          </w:p>
        </w:tc>
        <w:tc>
          <w:tcPr>
            <w:tcW w:w="1980" w:type="dxa"/>
            <w:gridSpan w:val="3"/>
            <w:vAlign w:val="center"/>
          </w:tcPr>
          <w:p w:rsidR="00C645C9" w:rsidRDefault="00F955D9">
            <w:pPr>
              <w:wordWrap w:val="0"/>
              <w:ind w:leftChars="-10" w:left="-24" w:rightChars="-10" w:right="-24"/>
              <w:jc w:val="center"/>
              <w:rPr>
                <w:bCs/>
                <w:kern w:val="2"/>
                <w:sz w:val="21"/>
                <w:szCs w:val="21"/>
              </w:rPr>
            </w:pPr>
            <w:r>
              <w:rPr>
                <w:bCs/>
                <w:kern w:val="2"/>
                <w:sz w:val="21"/>
                <w:szCs w:val="21"/>
              </w:rPr>
              <w:t>SO</w:t>
            </w:r>
            <w:r>
              <w:rPr>
                <w:bCs/>
                <w:kern w:val="2"/>
                <w:sz w:val="21"/>
                <w:szCs w:val="21"/>
                <w:vertAlign w:val="subscript"/>
              </w:rPr>
              <w:t>2</w:t>
            </w:r>
          </w:p>
        </w:tc>
        <w:tc>
          <w:tcPr>
            <w:tcW w:w="1980" w:type="dxa"/>
            <w:gridSpan w:val="3"/>
            <w:vAlign w:val="center"/>
          </w:tcPr>
          <w:p w:rsidR="00C645C9" w:rsidRDefault="00F955D9">
            <w:pPr>
              <w:wordWrap w:val="0"/>
              <w:ind w:leftChars="-10" w:left="-24" w:rightChars="-10" w:right="-24"/>
              <w:jc w:val="center"/>
              <w:rPr>
                <w:bCs/>
                <w:kern w:val="2"/>
                <w:sz w:val="21"/>
                <w:szCs w:val="21"/>
              </w:rPr>
            </w:pPr>
            <w:r>
              <w:rPr>
                <w:bCs/>
                <w:kern w:val="2"/>
                <w:sz w:val="21"/>
                <w:szCs w:val="21"/>
              </w:rPr>
              <w:t>NOx</w:t>
            </w:r>
          </w:p>
        </w:tc>
        <w:tc>
          <w:tcPr>
            <w:tcW w:w="1987" w:type="dxa"/>
            <w:gridSpan w:val="3"/>
            <w:vAlign w:val="center"/>
          </w:tcPr>
          <w:p w:rsidR="00C645C9" w:rsidRDefault="00F955D9">
            <w:pPr>
              <w:wordWrap w:val="0"/>
              <w:ind w:leftChars="-10" w:left="-24" w:rightChars="-10" w:right="-24"/>
              <w:jc w:val="center"/>
              <w:rPr>
                <w:bCs/>
                <w:kern w:val="2"/>
                <w:sz w:val="21"/>
                <w:szCs w:val="21"/>
              </w:rPr>
            </w:pPr>
            <w:r>
              <w:rPr>
                <w:bCs/>
                <w:kern w:val="2"/>
                <w:sz w:val="21"/>
                <w:szCs w:val="21"/>
              </w:rPr>
              <w:t>颗粒物</w:t>
            </w:r>
          </w:p>
        </w:tc>
      </w:tr>
      <w:tr w:rsidR="00C645C9">
        <w:trPr>
          <w:trHeight w:val="177"/>
        </w:trPr>
        <w:tc>
          <w:tcPr>
            <w:tcW w:w="978" w:type="dxa"/>
            <w:vMerge/>
            <w:vAlign w:val="center"/>
          </w:tcPr>
          <w:p w:rsidR="00C645C9" w:rsidRDefault="00C645C9">
            <w:pPr>
              <w:wordWrap w:val="0"/>
              <w:ind w:leftChars="-10" w:left="-24" w:rightChars="-10" w:right="-24"/>
              <w:jc w:val="center"/>
              <w:rPr>
                <w:bCs/>
                <w:kern w:val="2"/>
                <w:sz w:val="21"/>
                <w:szCs w:val="21"/>
              </w:rPr>
            </w:pPr>
          </w:p>
        </w:tc>
        <w:tc>
          <w:tcPr>
            <w:tcW w:w="834" w:type="dxa"/>
            <w:vMerge/>
            <w:vAlign w:val="center"/>
          </w:tcPr>
          <w:p w:rsidR="00C645C9" w:rsidRDefault="00C645C9">
            <w:pPr>
              <w:wordWrap w:val="0"/>
              <w:ind w:leftChars="-10" w:left="-24" w:rightChars="-10" w:right="-24"/>
              <w:jc w:val="center"/>
              <w:rPr>
                <w:bCs/>
                <w:kern w:val="2"/>
                <w:sz w:val="21"/>
                <w:szCs w:val="21"/>
              </w:rPr>
            </w:pPr>
          </w:p>
        </w:tc>
        <w:tc>
          <w:tcPr>
            <w:tcW w:w="866" w:type="dxa"/>
            <w:vMerge/>
            <w:vAlign w:val="center"/>
          </w:tcPr>
          <w:p w:rsidR="00C645C9" w:rsidRDefault="00C645C9">
            <w:pPr>
              <w:wordWrap w:val="0"/>
              <w:ind w:leftChars="-10" w:left="-24" w:rightChars="-10" w:right="-24"/>
              <w:jc w:val="center"/>
              <w:rPr>
                <w:bCs/>
                <w:kern w:val="2"/>
                <w:sz w:val="21"/>
                <w:szCs w:val="21"/>
              </w:rPr>
            </w:pPr>
          </w:p>
        </w:tc>
        <w:tc>
          <w:tcPr>
            <w:tcW w:w="660" w:type="dxa"/>
            <w:vAlign w:val="center"/>
          </w:tcPr>
          <w:p w:rsidR="00C645C9" w:rsidRDefault="00F955D9">
            <w:pPr>
              <w:wordWrap w:val="0"/>
              <w:ind w:leftChars="-20" w:left="-48" w:rightChars="-20" w:right="-48"/>
              <w:jc w:val="center"/>
              <w:rPr>
                <w:bCs/>
                <w:kern w:val="2"/>
                <w:sz w:val="21"/>
                <w:szCs w:val="21"/>
              </w:rPr>
            </w:pPr>
            <w:r>
              <w:rPr>
                <w:bCs/>
                <w:kern w:val="2"/>
                <w:sz w:val="21"/>
                <w:szCs w:val="21"/>
              </w:rPr>
              <w:t>t/a</w:t>
            </w:r>
          </w:p>
        </w:tc>
        <w:tc>
          <w:tcPr>
            <w:tcW w:w="574" w:type="dxa"/>
            <w:vAlign w:val="center"/>
          </w:tcPr>
          <w:p w:rsidR="00C645C9" w:rsidRDefault="00F955D9">
            <w:pPr>
              <w:wordWrap w:val="0"/>
              <w:ind w:leftChars="-20" w:left="-48" w:rightChars="-20" w:right="-48"/>
              <w:jc w:val="center"/>
              <w:rPr>
                <w:bCs/>
                <w:kern w:val="2"/>
                <w:sz w:val="21"/>
                <w:szCs w:val="21"/>
              </w:rPr>
            </w:pPr>
            <w:r>
              <w:rPr>
                <w:rFonts w:hint="eastAsia"/>
                <w:sz w:val="20"/>
                <w:szCs w:val="22"/>
              </w:rPr>
              <w:t>kg</w:t>
            </w:r>
            <w:r>
              <w:rPr>
                <w:sz w:val="20"/>
                <w:szCs w:val="22"/>
              </w:rPr>
              <w:t>/h</w:t>
            </w:r>
          </w:p>
        </w:tc>
        <w:tc>
          <w:tcPr>
            <w:tcW w:w="746" w:type="dxa"/>
            <w:vAlign w:val="center"/>
          </w:tcPr>
          <w:p w:rsidR="00C645C9" w:rsidRDefault="00F955D9">
            <w:pPr>
              <w:wordWrap w:val="0"/>
              <w:ind w:leftChars="-20" w:left="-48" w:rightChars="-20" w:right="-48"/>
              <w:jc w:val="center"/>
              <w:rPr>
                <w:rFonts w:cs="Times New Roman"/>
                <w:bCs/>
                <w:kern w:val="2"/>
                <w:sz w:val="21"/>
                <w:szCs w:val="21"/>
              </w:rPr>
            </w:pPr>
            <w:r>
              <w:rPr>
                <w:bCs/>
                <w:kern w:val="2"/>
                <w:sz w:val="21"/>
                <w:szCs w:val="21"/>
              </w:rPr>
              <w:t>mg/m</w:t>
            </w:r>
            <w:r>
              <w:rPr>
                <w:rFonts w:hint="eastAsia"/>
                <w:bCs/>
                <w:kern w:val="2"/>
                <w:sz w:val="21"/>
                <w:szCs w:val="21"/>
                <w:vertAlign w:val="superscript"/>
              </w:rPr>
              <w:t>3</w:t>
            </w:r>
          </w:p>
        </w:tc>
        <w:tc>
          <w:tcPr>
            <w:tcW w:w="660" w:type="dxa"/>
            <w:vAlign w:val="center"/>
          </w:tcPr>
          <w:p w:rsidR="00C645C9" w:rsidRDefault="00F955D9">
            <w:pPr>
              <w:wordWrap w:val="0"/>
              <w:ind w:leftChars="-20" w:left="-48" w:rightChars="-20" w:right="-48"/>
              <w:jc w:val="center"/>
              <w:rPr>
                <w:bCs/>
                <w:kern w:val="2"/>
                <w:sz w:val="21"/>
                <w:szCs w:val="21"/>
              </w:rPr>
            </w:pPr>
            <w:r>
              <w:rPr>
                <w:bCs/>
                <w:kern w:val="2"/>
                <w:sz w:val="21"/>
                <w:szCs w:val="21"/>
              </w:rPr>
              <w:t>t/a</w:t>
            </w:r>
          </w:p>
        </w:tc>
        <w:tc>
          <w:tcPr>
            <w:tcW w:w="594" w:type="dxa"/>
            <w:vAlign w:val="center"/>
          </w:tcPr>
          <w:p w:rsidR="00C645C9" w:rsidRDefault="00F955D9">
            <w:pPr>
              <w:wordWrap w:val="0"/>
              <w:ind w:leftChars="-20" w:left="-48" w:rightChars="-20" w:right="-48"/>
              <w:jc w:val="center"/>
              <w:rPr>
                <w:bCs/>
                <w:kern w:val="2"/>
                <w:sz w:val="21"/>
                <w:szCs w:val="21"/>
              </w:rPr>
            </w:pPr>
            <w:r>
              <w:rPr>
                <w:rFonts w:hint="eastAsia"/>
                <w:sz w:val="20"/>
                <w:szCs w:val="22"/>
              </w:rPr>
              <w:t>kg</w:t>
            </w:r>
            <w:r>
              <w:rPr>
                <w:sz w:val="20"/>
                <w:szCs w:val="22"/>
              </w:rPr>
              <w:t>/h</w:t>
            </w:r>
          </w:p>
        </w:tc>
        <w:tc>
          <w:tcPr>
            <w:tcW w:w="726" w:type="dxa"/>
            <w:vAlign w:val="center"/>
          </w:tcPr>
          <w:p w:rsidR="00C645C9" w:rsidRDefault="00F955D9">
            <w:pPr>
              <w:wordWrap w:val="0"/>
              <w:ind w:leftChars="-20" w:left="-48" w:rightChars="-20" w:right="-48"/>
              <w:jc w:val="center"/>
              <w:rPr>
                <w:rFonts w:cs="Times New Roman"/>
                <w:bCs/>
                <w:kern w:val="2"/>
                <w:sz w:val="21"/>
                <w:szCs w:val="21"/>
              </w:rPr>
            </w:pPr>
            <w:r>
              <w:rPr>
                <w:bCs/>
                <w:kern w:val="2"/>
                <w:sz w:val="21"/>
                <w:szCs w:val="21"/>
              </w:rPr>
              <w:t>mg/m</w:t>
            </w:r>
            <w:r>
              <w:rPr>
                <w:rFonts w:hint="eastAsia"/>
                <w:bCs/>
                <w:kern w:val="2"/>
                <w:sz w:val="21"/>
                <w:szCs w:val="21"/>
                <w:vertAlign w:val="superscript"/>
              </w:rPr>
              <w:t>3</w:t>
            </w:r>
          </w:p>
        </w:tc>
        <w:tc>
          <w:tcPr>
            <w:tcW w:w="660" w:type="dxa"/>
            <w:vAlign w:val="center"/>
          </w:tcPr>
          <w:p w:rsidR="00C645C9" w:rsidRDefault="00F955D9">
            <w:pPr>
              <w:wordWrap w:val="0"/>
              <w:ind w:leftChars="-20" w:left="-48" w:rightChars="-20" w:right="-48"/>
              <w:jc w:val="center"/>
              <w:rPr>
                <w:bCs/>
                <w:kern w:val="2"/>
                <w:sz w:val="21"/>
                <w:szCs w:val="21"/>
              </w:rPr>
            </w:pPr>
            <w:r>
              <w:rPr>
                <w:bCs/>
                <w:kern w:val="2"/>
                <w:sz w:val="21"/>
                <w:szCs w:val="21"/>
              </w:rPr>
              <w:t>t/a</w:t>
            </w:r>
          </w:p>
        </w:tc>
        <w:tc>
          <w:tcPr>
            <w:tcW w:w="597" w:type="dxa"/>
            <w:vAlign w:val="center"/>
          </w:tcPr>
          <w:p w:rsidR="00C645C9" w:rsidRDefault="00F955D9">
            <w:pPr>
              <w:wordWrap w:val="0"/>
              <w:ind w:leftChars="-20" w:left="-48" w:rightChars="-20" w:right="-48"/>
              <w:jc w:val="center"/>
              <w:rPr>
                <w:bCs/>
                <w:kern w:val="2"/>
                <w:sz w:val="21"/>
                <w:szCs w:val="21"/>
              </w:rPr>
            </w:pPr>
            <w:r>
              <w:rPr>
                <w:rFonts w:hint="eastAsia"/>
                <w:sz w:val="20"/>
                <w:szCs w:val="22"/>
              </w:rPr>
              <w:t>kg</w:t>
            </w:r>
            <w:r>
              <w:rPr>
                <w:sz w:val="20"/>
                <w:szCs w:val="22"/>
              </w:rPr>
              <w:t>/h</w:t>
            </w:r>
          </w:p>
        </w:tc>
        <w:tc>
          <w:tcPr>
            <w:tcW w:w="730" w:type="dxa"/>
            <w:vAlign w:val="center"/>
          </w:tcPr>
          <w:p w:rsidR="00C645C9" w:rsidRDefault="00F955D9">
            <w:pPr>
              <w:wordWrap w:val="0"/>
              <w:ind w:leftChars="-20" w:left="-48" w:rightChars="-20" w:right="-48"/>
              <w:jc w:val="center"/>
              <w:rPr>
                <w:rFonts w:cs="Times New Roman"/>
                <w:bCs/>
                <w:kern w:val="2"/>
                <w:sz w:val="21"/>
                <w:szCs w:val="21"/>
              </w:rPr>
            </w:pPr>
            <w:r>
              <w:rPr>
                <w:bCs/>
                <w:kern w:val="2"/>
                <w:sz w:val="21"/>
                <w:szCs w:val="21"/>
              </w:rPr>
              <w:t>mg/m</w:t>
            </w:r>
            <w:r>
              <w:rPr>
                <w:rFonts w:hint="eastAsia"/>
                <w:bCs/>
                <w:kern w:val="2"/>
                <w:sz w:val="21"/>
                <w:szCs w:val="21"/>
                <w:vertAlign w:val="superscript"/>
              </w:rPr>
              <w:t>3</w:t>
            </w:r>
          </w:p>
        </w:tc>
      </w:tr>
      <w:tr w:rsidR="00C645C9">
        <w:trPr>
          <w:trHeight w:val="742"/>
        </w:trPr>
        <w:tc>
          <w:tcPr>
            <w:tcW w:w="978" w:type="dxa"/>
            <w:vAlign w:val="center"/>
          </w:tcPr>
          <w:p w:rsidR="00C645C9" w:rsidRDefault="00F955D9">
            <w:pPr>
              <w:wordWrap w:val="0"/>
              <w:ind w:leftChars="-10" w:left="-24" w:rightChars="-10" w:right="-24"/>
              <w:jc w:val="center"/>
              <w:rPr>
                <w:bCs/>
                <w:kern w:val="2"/>
                <w:sz w:val="21"/>
                <w:szCs w:val="21"/>
              </w:rPr>
            </w:pPr>
            <w:bookmarkStart w:id="933" w:name="OLE_LINK1146" w:colFirst="1" w:colLast="3"/>
            <w:r>
              <w:rPr>
                <w:bCs/>
                <w:sz w:val="21"/>
                <w:szCs w:val="21"/>
              </w:rPr>
              <w:t>单</w:t>
            </w:r>
            <w:r>
              <w:rPr>
                <w:rFonts w:hint="eastAsia"/>
                <w:bCs/>
                <w:sz w:val="21"/>
                <w:szCs w:val="21"/>
              </w:rPr>
              <w:t>台</w:t>
            </w:r>
            <w:r>
              <w:rPr>
                <w:rFonts w:hint="eastAsia"/>
                <w:bCs/>
                <w:sz w:val="21"/>
                <w:szCs w:val="21"/>
              </w:rPr>
              <w:t>2</w:t>
            </w:r>
            <w:r>
              <w:rPr>
                <w:bCs/>
                <w:sz w:val="21"/>
                <w:szCs w:val="21"/>
              </w:rPr>
              <w:t>00k</w:t>
            </w:r>
            <w:r>
              <w:rPr>
                <w:rFonts w:hint="eastAsia"/>
                <w:bCs/>
                <w:sz w:val="21"/>
                <w:szCs w:val="21"/>
              </w:rPr>
              <w:t>W</w:t>
            </w:r>
            <w:r>
              <w:rPr>
                <w:bCs/>
                <w:sz w:val="21"/>
                <w:szCs w:val="21"/>
              </w:rPr>
              <w:t>井场加热炉</w:t>
            </w:r>
          </w:p>
        </w:tc>
        <w:tc>
          <w:tcPr>
            <w:tcW w:w="834" w:type="dxa"/>
            <w:vAlign w:val="center"/>
          </w:tcPr>
          <w:p w:rsidR="00C645C9" w:rsidRDefault="00F955D9">
            <w:pPr>
              <w:wordWrap w:val="0"/>
              <w:ind w:leftChars="-10" w:left="-24" w:rightChars="-10" w:right="-24"/>
              <w:jc w:val="center"/>
              <w:rPr>
                <w:bCs/>
                <w:sz w:val="21"/>
                <w:szCs w:val="21"/>
              </w:rPr>
            </w:pPr>
            <w:r>
              <w:rPr>
                <w:rFonts w:hint="eastAsia"/>
                <w:bCs/>
                <w:sz w:val="21"/>
                <w:szCs w:val="21"/>
              </w:rPr>
              <w:t>18.74</w:t>
            </w:r>
          </w:p>
        </w:tc>
        <w:tc>
          <w:tcPr>
            <w:tcW w:w="866" w:type="dxa"/>
            <w:vAlign w:val="center"/>
          </w:tcPr>
          <w:p w:rsidR="00C645C9" w:rsidRDefault="00F955D9">
            <w:pPr>
              <w:wordWrap w:val="0"/>
              <w:ind w:leftChars="-10" w:left="-24" w:rightChars="-10" w:right="-24"/>
              <w:jc w:val="center"/>
              <w:rPr>
                <w:bCs/>
                <w:kern w:val="2"/>
                <w:sz w:val="21"/>
                <w:szCs w:val="21"/>
              </w:rPr>
            </w:pPr>
            <w:r>
              <w:rPr>
                <w:rFonts w:hint="eastAsia"/>
                <w:bCs/>
                <w:kern w:val="2"/>
                <w:sz w:val="21"/>
                <w:szCs w:val="21"/>
              </w:rPr>
              <w:t>201.93</w:t>
            </w:r>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0.037</w:t>
            </w:r>
          </w:p>
        </w:tc>
        <w:tc>
          <w:tcPr>
            <w:tcW w:w="574"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0.005</w:t>
            </w:r>
          </w:p>
        </w:tc>
        <w:tc>
          <w:tcPr>
            <w:tcW w:w="746" w:type="dxa"/>
            <w:vAlign w:val="center"/>
          </w:tcPr>
          <w:p w:rsidR="00C645C9" w:rsidRDefault="00F955D9">
            <w:pPr>
              <w:wordWrap w:val="0"/>
              <w:ind w:leftChars="-30" w:left="-72" w:rightChars="-30" w:right="-72"/>
              <w:jc w:val="center"/>
              <w:rPr>
                <w:rFonts w:cs="Times New Roman"/>
                <w:bCs/>
                <w:kern w:val="2"/>
                <w:sz w:val="21"/>
                <w:szCs w:val="21"/>
              </w:rPr>
            </w:pPr>
            <w:r>
              <w:rPr>
                <w:rFonts w:hint="eastAsia"/>
                <w:bCs/>
                <w:kern w:val="2"/>
                <w:sz w:val="21"/>
                <w:szCs w:val="21"/>
              </w:rPr>
              <w:t>18.561</w:t>
            </w:r>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0.351</w:t>
            </w:r>
          </w:p>
        </w:tc>
        <w:tc>
          <w:tcPr>
            <w:tcW w:w="594"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0.044</w:t>
            </w:r>
          </w:p>
        </w:tc>
        <w:tc>
          <w:tcPr>
            <w:tcW w:w="726" w:type="dxa"/>
            <w:vAlign w:val="center"/>
          </w:tcPr>
          <w:p w:rsidR="00C645C9" w:rsidRDefault="00F955D9">
            <w:pPr>
              <w:wordWrap w:val="0"/>
              <w:ind w:leftChars="-30" w:left="-72" w:rightChars="-30" w:right="-72"/>
              <w:jc w:val="center"/>
              <w:rPr>
                <w:rFonts w:cs="Times New Roman"/>
                <w:bCs/>
                <w:kern w:val="2"/>
                <w:sz w:val="21"/>
                <w:szCs w:val="21"/>
              </w:rPr>
            </w:pPr>
            <w:r>
              <w:rPr>
                <w:rFonts w:hint="eastAsia"/>
                <w:bCs/>
                <w:kern w:val="2"/>
                <w:sz w:val="21"/>
                <w:szCs w:val="21"/>
              </w:rPr>
              <w:t>86.865</w:t>
            </w:r>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0.040</w:t>
            </w:r>
          </w:p>
        </w:tc>
        <w:tc>
          <w:tcPr>
            <w:tcW w:w="597" w:type="dxa"/>
            <w:vAlign w:val="center"/>
          </w:tcPr>
          <w:p w:rsidR="00C645C9" w:rsidRDefault="00F955D9">
            <w:pPr>
              <w:wordWrap w:val="0"/>
              <w:ind w:leftChars="-30" w:left="-72" w:rightChars="-30" w:right="-72"/>
              <w:jc w:val="center"/>
              <w:rPr>
                <w:sz w:val="21"/>
                <w:szCs w:val="21"/>
              </w:rPr>
            </w:pPr>
            <w:r>
              <w:rPr>
                <w:rFonts w:hint="eastAsia"/>
                <w:sz w:val="21"/>
                <w:szCs w:val="21"/>
              </w:rPr>
              <w:t>0.005</w:t>
            </w:r>
          </w:p>
        </w:tc>
        <w:tc>
          <w:tcPr>
            <w:tcW w:w="730" w:type="dxa"/>
            <w:vAlign w:val="center"/>
          </w:tcPr>
          <w:p w:rsidR="00C645C9" w:rsidRDefault="00F955D9">
            <w:pPr>
              <w:wordWrap w:val="0"/>
              <w:ind w:leftChars="-30" w:left="-72" w:rightChars="-30" w:right="-72"/>
              <w:jc w:val="center"/>
              <w:rPr>
                <w:rFonts w:cs="Times New Roman"/>
                <w:kern w:val="2"/>
                <w:sz w:val="21"/>
                <w:szCs w:val="21"/>
              </w:rPr>
            </w:pPr>
            <w:r>
              <w:rPr>
                <w:rFonts w:hint="eastAsia"/>
                <w:bCs/>
                <w:kern w:val="2"/>
                <w:sz w:val="21"/>
                <w:szCs w:val="21"/>
              </w:rPr>
              <w:t>20.0</w:t>
            </w:r>
          </w:p>
        </w:tc>
      </w:tr>
      <w:bookmarkEnd w:id="933"/>
      <w:tr w:rsidR="00C645C9">
        <w:trPr>
          <w:trHeight w:val="742"/>
        </w:trPr>
        <w:tc>
          <w:tcPr>
            <w:tcW w:w="978" w:type="dxa"/>
            <w:vAlign w:val="center"/>
          </w:tcPr>
          <w:p w:rsidR="00C645C9" w:rsidRDefault="00F955D9">
            <w:pPr>
              <w:wordWrap w:val="0"/>
              <w:ind w:leftChars="-10" w:left="-24" w:rightChars="-10" w:right="-24"/>
              <w:jc w:val="center"/>
              <w:rPr>
                <w:bCs/>
                <w:sz w:val="21"/>
                <w:szCs w:val="21"/>
              </w:rPr>
            </w:pPr>
            <w:r>
              <w:rPr>
                <w:rFonts w:hint="eastAsia"/>
                <w:bCs/>
                <w:sz w:val="21"/>
                <w:szCs w:val="21"/>
              </w:rPr>
              <w:t>本工程</w:t>
            </w:r>
          </w:p>
        </w:tc>
        <w:tc>
          <w:tcPr>
            <w:tcW w:w="834" w:type="dxa"/>
            <w:vAlign w:val="center"/>
          </w:tcPr>
          <w:p w:rsidR="00C645C9" w:rsidRDefault="00F955D9">
            <w:pPr>
              <w:pStyle w:val="afb"/>
              <w:wordWrap w:val="0"/>
              <w:ind w:leftChars="-10" w:left="-24" w:rightChars="-10" w:right="-24"/>
              <w:rPr>
                <w:bCs/>
                <w:szCs w:val="21"/>
              </w:rPr>
            </w:pPr>
            <w:r>
              <w:rPr>
                <w:szCs w:val="21"/>
              </w:rPr>
              <w:t>37.48</w:t>
            </w:r>
          </w:p>
        </w:tc>
        <w:tc>
          <w:tcPr>
            <w:tcW w:w="866" w:type="dxa"/>
            <w:vAlign w:val="center"/>
          </w:tcPr>
          <w:p w:rsidR="00C645C9" w:rsidRDefault="00F955D9">
            <w:pPr>
              <w:pStyle w:val="afb"/>
              <w:wordWrap w:val="0"/>
              <w:ind w:leftChars="-10" w:left="-24" w:rightChars="-10" w:right="-24"/>
              <w:rPr>
                <w:bCs/>
                <w:kern w:val="2"/>
                <w:szCs w:val="21"/>
              </w:rPr>
            </w:pPr>
            <w:bookmarkStart w:id="934" w:name="OLE_LINK1147"/>
            <w:bookmarkStart w:id="935" w:name="OLE_LINK1148"/>
            <w:r>
              <w:rPr>
                <w:rFonts w:hint="eastAsia"/>
                <w:szCs w:val="21"/>
              </w:rPr>
              <w:t>403.8</w:t>
            </w:r>
            <w:bookmarkEnd w:id="934"/>
            <w:r>
              <w:rPr>
                <w:rFonts w:hint="eastAsia"/>
                <w:szCs w:val="21"/>
              </w:rPr>
              <w:t>6</w:t>
            </w:r>
            <w:bookmarkEnd w:id="935"/>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w:t>
            </w:r>
            <w:r>
              <w:rPr>
                <w:bCs/>
                <w:kern w:val="2"/>
                <w:sz w:val="21"/>
                <w:szCs w:val="21"/>
              </w:rPr>
              <w:t>.</w:t>
            </w:r>
            <w:r>
              <w:rPr>
                <w:rFonts w:hint="eastAsia"/>
                <w:bCs/>
                <w:kern w:val="2"/>
                <w:sz w:val="21"/>
                <w:szCs w:val="21"/>
              </w:rPr>
              <w:t>074</w:t>
            </w:r>
          </w:p>
        </w:tc>
        <w:tc>
          <w:tcPr>
            <w:tcW w:w="574" w:type="dxa"/>
            <w:vAlign w:val="center"/>
          </w:tcPr>
          <w:p w:rsidR="00C645C9" w:rsidRDefault="00F955D9">
            <w:pPr>
              <w:wordWrap w:val="0"/>
              <w:ind w:leftChars="-30" w:left="-72" w:rightChars="-30" w:right="-72"/>
              <w:jc w:val="center"/>
              <w:rPr>
                <w:bCs/>
                <w:kern w:val="2"/>
                <w:sz w:val="21"/>
                <w:szCs w:val="21"/>
              </w:rPr>
            </w:pPr>
            <w:bookmarkStart w:id="936" w:name="OLE_LINK1510"/>
            <w:r>
              <w:rPr>
                <w:rFonts w:hint="eastAsia"/>
                <w:bCs/>
                <w:kern w:val="2"/>
                <w:sz w:val="21"/>
                <w:szCs w:val="21"/>
              </w:rPr>
              <w:t>0.010</w:t>
            </w:r>
            <w:bookmarkEnd w:id="936"/>
          </w:p>
        </w:tc>
        <w:tc>
          <w:tcPr>
            <w:tcW w:w="746" w:type="dxa"/>
            <w:vAlign w:val="center"/>
          </w:tcPr>
          <w:p w:rsidR="00C645C9" w:rsidRDefault="00F955D9">
            <w:pPr>
              <w:wordWrap w:val="0"/>
              <w:ind w:leftChars="-30" w:left="-72" w:rightChars="-30" w:right="-72"/>
              <w:jc w:val="center"/>
              <w:rPr>
                <w:rFonts w:cs="Times New Roman"/>
                <w:bCs/>
                <w:kern w:val="2"/>
                <w:sz w:val="21"/>
                <w:szCs w:val="21"/>
              </w:rPr>
            </w:pPr>
            <w:r>
              <w:rPr>
                <w:rFonts w:hint="eastAsia"/>
                <w:bCs/>
                <w:kern w:val="2"/>
                <w:sz w:val="21"/>
                <w:szCs w:val="21"/>
              </w:rPr>
              <w:t>-</w:t>
            </w:r>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0.701</w:t>
            </w:r>
          </w:p>
        </w:tc>
        <w:tc>
          <w:tcPr>
            <w:tcW w:w="594" w:type="dxa"/>
            <w:vAlign w:val="center"/>
          </w:tcPr>
          <w:p w:rsidR="00C645C9" w:rsidRDefault="00F955D9">
            <w:pPr>
              <w:wordWrap w:val="0"/>
              <w:ind w:leftChars="-30" w:left="-72" w:rightChars="-30" w:right="-72"/>
              <w:jc w:val="center"/>
              <w:rPr>
                <w:bCs/>
                <w:kern w:val="2"/>
                <w:sz w:val="21"/>
                <w:szCs w:val="21"/>
              </w:rPr>
            </w:pPr>
            <w:bookmarkStart w:id="937" w:name="OLE_LINK1511"/>
            <w:r>
              <w:rPr>
                <w:rFonts w:hint="eastAsia"/>
                <w:bCs/>
                <w:kern w:val="2"/>
                <w:sz w:val="21"/>
                <w:szCs w:val="21"/>
              </w:rPr>
              <w:t>0.088</w:t>
            </w:r>
            <w:bookmarkEnd w:id="937"/>
          </w:p>
        </w:tc>
        <w:tc>
          <w:tcPr>
            <w:tcW w:w="726" w:type="dxa"/>
            <w:vAlign w:val="center"/>
          </w:tcPr>
          <w:p w:rsidR="00C645C9" w:rsidRDefault="00F955D9">
            <w:pPr>
              <w:wordWrap w:val="0"/>
              <w:ind w:leftChars="-30" w:left="-72" w:rightChars="-30" w:right="-72"/>
              <w:jc w:val="center"/>
              <w:rPr>
                <w:rFonts w:cs="Times New Roman"/>
                <w:bCs/>
                <w:kern w:val="2"/>
                <w:sz w:val="21"/>
                <w:szCs w:val="21"/>
              </w:rPr>
            </w:pPr>
            <w:r>
              <w:rPr>
                <w:rFonts w:hint="eastAsia"/>
                <w:bCs/>
                <w:kern w:val="2"/>
                <w:sz w:val="21"/>
                <w:szCs w:val="21"/>
              </w:rPr>
              <w:t>-</w:t>
            </w:r>
          </w:p>
        </w:tc>
        <w:tc>
          <w:tcPr>
            <w:tcW w:w="660"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0.080</w:t>
            </w:r>
          </w:p>
        </w:tc>
        <w:tc>
          <w:tcPr>
            <w:tcW w:w="597" w:type="dxa"/>
            <w:vAlign w:val="center"/>
          </w:tcPr>
          <w:p w:rsidR="00C645C9" w:rsidRDefault="00F955D9">
            <w:pPr>
              <w:wordWrap w:val="0"/>
              <w:ind w:leftChars="-30" w:left="-72" w:rightChars="-30" w:right="-72"/>
              <w:jc w:val="center"/>
              <w:rPr>
                <w:bCs/>
                <w:kern w:val="2"/>
                <w:sz w:val="21"/>
                <w:szCs w:val="21"/>
              </w:rPr>
            </w:pPr>
            <w:r>
              <w:rPr>
                <w:rFonts w:hint="eastAsia"/>
                <w:bCs/>
                <w:kern w:val="2"/>
                <w:sz w:val="21"/>
                <w:szCs w:val="21"/>
              </w:rPr>
              <w:t>0.010</w:t>
            </w:r>
          </w:p>
        </w:tc>
        <w:tc>
          <w:tcPr>
            <w:tcW w:w="730" w:type="dxa"/>
            <w:vAlign w:val="center"/>
          </w:tcPr>
          <w:p w:rsidR="00C645C9" w:rsidRDefault="00F955D9">
            <w:pPr>
              <w:wordWrap w:val="0"/>
              <w:ind w:leftChars="-30" w:left="-72" w:rightChars="-30" w:right="-72"/>
              <w:jc w:val="center"/>
              <w:rPr>
                <w:rFonts w:cs="Times New Roman"/>
                <w:bCs/>
                <w:kern w:val="2"/>
                <w:sz w:val="21"/>
                <w:szCs w:val="21"/>
              </w:rPr>
            </w:pPr>
            <w:r>
              <w:rPr>
                <w:rFonts w:hint="eastAsia"/>
                <w:bCs/>
                <w:kern w:val="2"/>
                <w:sz w:val="21"/>
                <w:szCs w:val="21"/>
              </w:rPr>
              <w:t>-</w:t>
            </w:r>
          </w:p>
        </w:tc>
      </w:tr>
    </w:tbl>
    <w:bookmarkEnd w:id="916"/>
    <w:p w:rsidR="00C645C9" w:rsidRDefault="00F955D9">
      <w:pPr>
        <w:snapToGrid w:val="0"/>
        <w:spacing w:line="360" w:lineRule="auto"/>
        <w:ind w:firstLineChars="200" w:firstLine="480"/>
        <w:jc w:val="both"/>
        <w:rPr>
          <w:rFonts w:cs="Times New Roman"/>
        </w:rPr>
      </w:pPr>
      <w:r>
        <w:rPr>
          <w:rFonts w:cs="Times New Roman"/>
          <w:bCs/>
          <w:snapToGrid w:val="0"/>
        </w:rPr>
        <w:lastRenderedPageBreak/>
        <w:t>根据</w:t>
      </w:r>
      <w:r>
        <w:rPr>
          <w:rFonts w:cs="Times New Roman" w:hint="eastAsia"/>
          <w:bCs/>
          <w:snapToGrid w:val="0"/>
        </w:rPr>
        <w:t>本工程</w:t>
      </w:r>
      <w:r>
        <w:rPr>
          <w:rFonts w:cs="Times New Roman"/>
          <w:bCs/>
          <w:snapToGrid w:val="0"/>
        </w:rPr>
        <w:t>所在地阿克苏</w:t>
      </w:r>
      <w:r>
        <w:rPr>
          <w:rFonts w:cs="Times New Roman" w:hint="eastAsia"/>
          <w:bCs/>
          <w:snapToGrid w:val="0"/>
        </w:rPr>
        <w:t>地区</w:t>
      </w:r>
      <w:r>
        <w:rPr>
          <w:rFonts w:cs="Times New Roman"/>
          <w:bCs/>
          <w:snapToGrid w:val="0"/>
        </w:rPr>
        <w:t>生态环境局要求，燃气加热炉须根据《工业源挥发性有机物通用源项核算系数手册》中</w:t>
      </w:r>
      <w:r>
        <w:rPr>
          <w:rFonts w:cs="Times New Roman" w:hint="eastAsia"/>
          <w:bCs/>
          <w:snapToGrid w:val="0"/>
        </w:rPr>
        <w:t>“</w:t>
      </w:r>
      <w:r>
        <w:rPr>
          <w:rFonts w:cs="Times New Roman"/>
          <w:bCs/>
          <w:snapToGrid w:val="0"/>
        </w:rPr>
        <w:t>附表</w:t>
      </w:r>
      <w:r>
        <w:rPr>
          <w:rFonts w:cs="Times New Roman"/>
          <w:bCs/>
          <w:snapToGrid w:val="0"/>
        </w:rPr>
        <w:t>1</w:t>
      </w:r>
      <w:r>
        <w:rPr>
          <w:rFonts w:cs="Times New Roman"/>
          <w:bCs/>
          <w:snapToGrid w:val="0"/>
        </w:rPr>
        <w:t>燃烧烟气锅炉挥发性有机物产污系数表</w:t>
      </w:r>
      <w:r>
        <w:rPr>
          <w:rFonts w:cs="Times New Roman" w:hint="eastAsia"/>
          <w:bCs/>
          <w:snapToGrid w:val="0"/>
        </w:rPr>
        <w:t>”</w:t>
      </w:r>
      <w:r>
        <w:rPr>
          <w:rFonts w:cs="Times New Roman"/>
          <w:bCs/>
          <w:snapToGrid w:val="0"/>
        </w:rPr>
        <w:t>核算挥发性有机物，该手册中天然气加热炉挥发性有机物产污系数为</w:t>
      </w:r>
      <w:r>
        <w:rPr>
          <w:rFonts w:cs="Times New Roman"/>
          <w:bCs/>
          <w:snapToGrid w:val="0"/>
        </w:rPr>
        <w:t>1.68</w:t>
      </w:r>
      <w:r>
        <w:rPr>
          <w:rFonts w:cs="Times New Roman"/>
          <w:bCs/>
          <w:snapToGrid w:val="0"/>
        </w:rPr>
        <w:t>千克</w:t>
      </w:r>
      <w:r>
        <w:rPr>
          <w:rFonts w:cs="Times New Roman"/>
          <w:bCs/>
          <w:snapToGrid w:val="0"/>
        </w:rPr>
        <w:t>/</w:t>
      </w:r>
      <w:r>
        <w:rPr>
          <w:rFonts w:cs="Times New Roman"/>
          <w:bCs/>
          <w:snapToGrid w:val="0"/>
        </w:rPr>
        <w:t>万立方米</w:t>
      </w:r>
      <w:r>
        <w:rPr>
          <w:rFonts w:cs="Times New Roman" w:hint="eastAsia"/>
          <w:bCs/>
          <w:snapToGrid w:val="0"/>
        </w:rPr>
        <w:t>-</w:t>
      </w:r>
      <w:r>
        <w:rPr>
          <w:rFonts w:cs="Times New Roman"/>
          <w:bCs/>
          <w:snapToGrid w:val="0"/>
        </w:rPr>
        <w:t>燃料，本</w:t>
      </w:r>
      <w:r>
        <w:rPr>
          <w:rFonts w:cs="Times New Roman" w:hint="eastAsia"/>
          <w:bCs/>
          <w:snapToGrid w:val="0"/>
        </w:rPr>
        <w:t>工程</w:t>
      </w:r>
      <w:r>
        <w:rPr>
          <w:rFonts w:cs="Times New Roman"/>
          <w:bCs/>
          <w:snapToGrid w:val="0"/>
        </w:rPr>
        <w:t>运营期耗气量约</w:t>
      </w:r>
      <w:bookmarkStart w:id="938" w:name="OLE_LINK801"/>
      <w:r>
        <w:rPr>
          <w:rFonts w:cs="Times New Roman" w:hint="eastAsia"/>
          <w:bCs/>
          <w:snapToGrid w:val="0"/>
        </w:rPr>
        <w:t>37.48</w:t>
      </w:r>
      <w:bookmarkEnd w:id="938"/>
      <w:r>
        <w:rPr>
          <w:rFonts w:cs="Times New Roman"/>
          <w:bCs/>
          <w:snapToGrid w:val="0"/>
        </w:rPr>
        <w:t>×10</w:t>
      </w:r>
      <w:r>
        <w:rPr>
          <w:rFonts w:cs="Times New Roman"/>
          <w:bCs/>
          <w:snapToGrid w:val="0"/>
          <w:vertAlign w:val="superscript"/>
        </w:rPr>
        <w:t>4</w:t>
      </w:r>
      <w:r>
        <w:rPr>
          <w:rFonts w:cs="Times New Roman" w:hint="eastAsia"/>
          <w:bCs/>
          <w:snapToGrid w:val="0"/>
        </w:rPr>
        <w:t>N</w:t>
      </w:r>
      <w:r>
        <w:rPr>
          <w:rFonts w:cs="Times New Roman"/>
          <w:bCs/>
          <w:snapToGrid w:val="0"/>
        </w:rPr>
        <w:t>m</w:t>
      </w:r>
      <w:r>
        <w:rPr>
          <w:rFonts w:cs="Times New Roman"/>
          <w:bCs/>
          <w:snapToGrid w:val="0"/>
          <w:vertAlign w:val="superscript"/>
        </w:rPr>
        <w:t>3</w:t>
      </w:r>
      <w:r>
        <w:rPr>
          <w:rFonts w:cs="Times New Roman"/>
          <w:bCs/>
          <w:snapToGrid w:val="0"/>
        </w:rPr>
        <w:t>/a</w:t>
      </w:r>
      <w:r>
        <w:rPr>
          <w:rFonts w:cs="Times New Roman"/>
          <w:bCs/>
          <w:snapToGrid w:val="0"/>
        </w:rPr>
        <w:t>，</w:t>
      </w:r>
      <w:bookmarkStart w:id="939" w:name="OLE_LINK795"/>
      <w:r>
        <w:rPr>
          <w:rFonts w:cs="Times New Roman"/>
          <w:bCs/>
          <w:snapToGrid w:val="0"/>
        </w:rPr>
        <w:t>燃气加热炉产生的挥发性有机物</w:t>
      </w:r>
      <w:bookmarkEnd w:id="939"/>
      <w:r>
        <w:rPr>
          <w:rFonts w:cs="Times New Roman"/>
          <w:bCs/>
          <w:snapToGrid w:val="0"/>
        </w:rPr>
        <w:t>约</w:t>
      </w:r>
      <w:bookmarkStart w:id="940" w:name="OLE_LINK803"/>
      <w:bookmarkStart w:id="941" w:name="OLE_LINK405"/>
      <w:bookmarkStart w:id="942" w:name="OLE_LINK387"/>
      <w:r>
        <w:rPr>
          <w:rFonts w:cs="Times New Roman" w:hint="eastAsia"/>
          <w:bCs/>
          <w:snapToGrid w:val="0"/>
        </w:rPr>
        <w:t>0.</w:t>
      </w:r>
      <w:bookmarkEnd w:id="940"/>
      <w:bookmarkEnd w:id="941"/>
      <w:r>
        <w:rPr>
          <w:rFonts w:cs="Times New Roman" w:hint="eastAsia"/>
          <w:bCs/>
          <w:snapToGrid w:val="0"/>
        </w:rPr>
        <w:t>126</w:t>
      </w:r>
      <w:bookmarkEnd w:id="942"/>
      <w:r>
        <w:rPr>
          <w:rFonts w:cs="Times New Roman"/>
          <w:bCs/>
          <w:snapToGrid w:val="0"/>
        </w:rPr>
        <w:t>t/a</w:t>
      </w:r>
      <w:r>
        <w:rPr>
          <w:rFonts w:cs="Times New Roman"/>
          <w:bCs/>
          <w:snapToGrid w:val="0"/>
        </w:rPr>
        <w:t>，据此根据</w:t>
      </w:r>
      <w:bookmarkStart w:id="943" w:name="OLE_LINK796"/>
      <w:r>
        <w:rPr>
          <w:rFonts w:cs="Times New Roman"/>
          <w:bCs/>
          <w:snapToGrid w:val="0"/>
        </w:rPr>
        <w:t>烟气量</w:t>
      </w:r>
      <w:bookmarkEnd w:id="943"/>
      <w:r>
        <w:rPr>
          <w:rFonts w:cs="Times New Roman" w:hint="eastAsia"/>
          <w:bCs/>
          <w:snapToGrid w:val="0"/>
        </w:rPr>
        <w:t>403.86</w:t>
      </w:r>
      <w:r>
        <w:rPr>
          <w:rFonts w:cs="Times New Roman"/>
          <w:bCs/>
          <w:snapToGrid w:val="0"/>
        </w:rPr>
        <w:t>×10</w:t>
      </w:r>
      <w:r>
        <w:rPr>
          <w:rFonts w:cs="Times New Roman"/>
          <w:bCs/>
          <w:snapToGrid w:val="0"/>
          <w:vertAlign w:val="superscript"/>
        </w:rPr>
        <w:t>4</w:t>
      </w:r>
      <w:r>
        <w:rPr>
          <w:rFonts w:cs="Times New Roman"/>
          <w:bCs/>
          <w:snapToGrid w:val="0"/>
        </w:rPr>
        <w:t>m</w:t>
      </w:r>
      <w:r>
        <w:rPr>
          <w:rFonts w:cs="Times New Roman"/>
          <w:bCs/>
          <w:snapToGrid w:val="0"/>
          <w:vertAlign w:val="superscript"/>
        </w:rPr>
        <w:t>3</w:t>
      </w:r>
      <w:r>
        <w:rPr>
          <w:rFonts w:cs="Times New Roman"/>
          <w:bCs/>
          <w:snapToGrid w:val="0"/>
        </w:rPr>
        <w:t xml:space="preserve">/a </w:t>
      </w:r>
      <w:r>
        <w:rPr>
          <w:rFonts w:cs="Times New Roman"/>
          <w:bCs/>
          <w:snapToGrid w:val="0"/>
        </w:rPr>
        <w:t>核算后的燃气加热炉挥发性有机物浓度约为</w:t>
      </w:r>
      <w:r>
        <w:rPr>
          <w:rFonts w:cs="Times New Roman" w:hint="eastAsia"/>
          <w:bCs/>
          <w:snapToGrid w:val="0"/>
        </w:rPr>
        <w:t>28.15</w:t>
      </w:r>
      <w:r>
        <w:rPr>
          <w:rFonts w:cs="Times New Roman"/>
          <w:bCs/>
          <w:snapToGrid w:val="0"/>
        </w:rPr>
        <w:t>mg/m</w:t>
      </w:r>
      <w:r>
        <w:rPr>
          <w:rFonts w:cs="Times New Roman"/>
          <w:bCs/>
          <w:snapToGrid w:val="0"/>
          <w:vertAlign w:val="superscript"/>
        </w:rPr>
        <w:t>3</w:t>
      </w:r>
      <w:r>
        <w:rPr>
          <w:rFonts w:cs="Times New Roman"/>
          <w:bCs/>
          <w:snapToGrid w:val="0"/>
        </w:rPr>
        <w:t>。</w:t>
      </w:r>
    </w:p>
    <w:p w:rsidR="00C645C9" w:rsidRDefault="00F955D9">
      <w:pPr>
        <w:snapToGrid w:val="0"/>
        <w:spacing w:line="360" w:lineRule="auto"/>
        <w:ind w:firstLineChars="200" w:firstLine="480"/>
        <w:jc w:val="both"/>
        <w:rPr>
          <w:rFonts w:cs="Times New Roman"/>
        </w:rPr>
      </w:pPr>
      <w:r>
        <w:rPr>
          <w:rFonts w:cs="Times New Roman"/>
        </w:rPr>
        <w:t>（</w:t>
      </w:r>
      <w:r>
        <w:rPr>
          <w:rFonts w:cs="Times New Roman"/>
        </w:rPr>
        <w:t>2</w:t>
      </w:r>
      <w:r>
        <w:rPr>
          <w:rFonts w:cs="Times New Roman"/>
        </w:rPr>
        <w:t>）无组织废气</w:t>
      </w:r>
    </w:p>
    <w:p w:rsidR="00C645C9" w:rsidRDefault="00F955D9">
      <w:pPr>
        <w:autoSpaceDE w:val="0"/>
        <w:autoSpaceDN w:val="0"/>
        <w:spacing w:line="360" w:lineRule="auto"/>
        <w:ind w:firstLineChars="200" w:firstLine="480"/>
        <w:jc w:val="both"/>
        <w:rPr>
          <w:rFonts w:cs="Times New Roman"/>
          <w:szCs w:val="28"/>
        </w:rPr>
      </w:pPr>
      <w:r>
        <w:rPr>
          <w:rFonts w:hint="eastAsia"/>
        </w:rPr>
        <w:t>本工程运营期无组织排放的废气污染物主要为非甲烷总烃。非甲烷总烃排放源包括两个，一个为储罐大小呼吸过程以及装卸过程的无组织排放，一个为阀门、法兰、泵、压缩机等位置的无组织排放。</w:t>
      </w:r>
    </w:p>
    <w:p w:rsidR="00C645C9" w:rsidRDefault="00F955D9">
      <w:pPr>
        <w:autoSpaceDE w:val="0"/>
        <w:autoSpaceDN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cs="Times New Roman"/>
        </w:rPr>
        <w:t>①</w:t>
      </w:r>
      <w:r>
        <w:rPr>
          <w:rFonts w:cs="Times New Roman"/>
        </w:rPr>
        <w:fldChar w:fldCharType="end"/>
      </w:r>
      <w:r>
        <w:rPr>
          <w:rFonts w:cs="Times New Roman"/>
        </w:rPr>
        <w:t>储罐无组织挥发非甲烷总烃</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本工程</w:t>
      </w:r>
      <w:r>
        <w:rPr>
          <w:rFonts w:cs="Times New Roman" w:hint="eastAsia"/>
          <w:sz w:val="24"/>
        </w:rPr>
        <w:t>单座</w:t>
      </w:r>
      <w:r>
        <w:rPr>
          <w:rFonts w:cs="Times New Roman"/>
          <w:sz w:val="24"/>
        </w:rPr>
        <w:t>井场内设置</w:t>
      </w:r>
      <w:r>
        <w:rPr>
          <w:rFonts w:cs="Times New Roman" w:hint="eastAsia"/>
          <w:sz w:val="24"/>
        </w:rPr>
        <w:t>2</w:t>
      </w:r>
      <w:r>
        <w:rPr>
          <w:rFonts w:cs="Times New Roman"/>
          <w:sz w:val="24"/>
        </w:rPr>
        <w:t>座</w:t>
      </w:r>
      <w:bookmarkStart w:id="944" w:name="OLE_LINK829"/>
      <w:r>
        <w:rPr>
          <w:rFonts w:cs="Times New Roman" w:hint="eastAsia"/>
          <w:kern w:val="24"/>
          <w:sz w:val="24"/>
        </w:rPr>
        <w:t>8</w:t>
      </w:r>
      <w:r>
        <w:rPr>
          <w:rFonts w:cs="Times New Roman"/>
          <w:kern w:val="24"/>
          <w:sz w:val="24"/>
        </w:rPr>
        <w:t>0m</w:t>
      </w:r>
      <w:r>
        <w:rPr>
          <w:rFonts w:cs="Times New Roman" w:hint="eastAsia"/>
          <w:kern w:val="24"/>
          <w:sz w:val="24"/>
          <w:vertAlign w:val="superscript"/>
        </w:rPr>
        <w:t>3</w:t>
      </w:r>
      <w:bookmarkStart w:id="945" w:name="OLE_LINK365"/>
      <w:bookmarkEnd w:id="944"/>
      <w:r>
        <w:rPr>
          <w:rFonts w:cs="Times New Roman"/>
          <w:sz w:val="24"/>
        </w:rPr>
        <w:t>多功能</w:t>
      </w:r>
      <w:bookmarkStart w:id="946" w:name="OLE_LINK361"/>
      <w:r>
        <w:rPr>
          <w:rFonts w:cs="Times New Roman"/>
          <w:sz w:val="24"/>
        </w:rPr>
        <w:t>储集器</w:t>
      </w:r>
      <w:bookmarkEnd w:id="945"/>
      <w:bookmarkEnd w:id="946"/>
      <w:r>
        <w:rPr>
          <w:rFonts w:cs="Times New Roman"/>
          <w:sz w:val="24"/>
        </w:rPr>
        <w:t>，</w:t>
      </w:r>
      <w:r>
        <w:rPr>
          <w:rFonts w:cs="Times New Roman" w:hint="eastAsia"/>
          <w:sz w:val="24"/>
        </w:rPr>
        <w:t>1</w:t>
      </w:r>
      <w:r>
        <w:rPr>
          <w:rFonts w:cs="Times New Roman" w:hint="eastAsia"/>
          <w:sz w:val="24"/>
        </w:rPr>
        <w:t>座混烃储罐。</w:t>
      </w:r>
      <w:r>
        <w:rPr>
          <w:rFonts w:cs="Times New Roman"/>
          <w:sz w:val="24"/>
        </w:rPr>
        <w:t>储集器均采用固定顶罐，罐体因</w:t>
      </w:r>
      <w:bookmarkStart w:id="947" w:name="OLE_LINK362"/>
      <w:r>
        <w:rPr>
          <w:rFonts w:cs="Times New Roman"/>
          <w:sz w:val="24"/>
        </w:rPr>
        <w:t>大小呼吸作用</w:t>
      </w:r>
      <w:bookmarkEnd w:id="947"/>
      <w:r>
        <w:rPr>
          <w:rFonts w:cs="Times New Roman"/>
          <w:sz w:val="24"/>
        </w:rPr>
        <w:t>排放无组织非甲烷总烃</w:t>
      </w:r>
      <w:r>
        <w:rPr>
          <w:rFonts w:cs="Times New Roman" w:hint="eastAsia"/>
          <w:sz w:val="24"/>
        </w:rPr>
        <w:t>。</w:t>
      </w:r>
      <w:r>
        <w:rPr>
          <w:rFonts w:cs="Times New Roman"/>
          <w:sz w:val="24"/>
        </w:rPr>
        <w:t>小呼吸排放是由于温度和大气压力的变化引起蒸气的膨胀和收缩而产生的蒸气排出，它出现在罐内液面无任何变化的情况，是非人为干扰的自然排放方式</w:t>
      </w:r>
      <w:r>
        <w:rPr>
          <w:rFonts w:cs="Times New Roman" w:hint="eastAsia"/>
          <w:sz w:val="24"/>
        </w:rPr>
        <w:t>。</w:t>
      </w:r>
      <w:r>
        <w:rPr>
          <w:rFonts w:cs="Times New Roman"/>
          <w:sz w:val="24"/>
        </w:rPr>
        <w:t>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本工程多功能储集器均采用固定顶罐，固定顶罐的呼吸损耗采用公式法进行核算。</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总损耗计算公式为：</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noProof/>
          <w:sz w:val="24"/>
        </w:rPr>
        <w:drawing>
          <wp:inline distT="0" distB="0" distL="114300" distR="114300">
            <wp:extent cx="1000125" cy="232410"/>
            <wp:effectExtent l="0" t="0" r="9525" b="15240"/>
            <wp:docPr id="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7"/>
                    <pic:cNvPicPr>
                      <a:picLocks noChangeAspect="1"/>
                    </pic:cNvPicPr>
                  </pic:nvPicPr>
                  <pic:blipFill>
                    <a:blip r:embed="rId27"/>
                    <a:stretch>
                      <a:fillRect/>
                    </a:stretch>
                  </pic:blipFill>
                  <pic:spPr>
                    <a:xfrm>
                      <a:off x="0" y="0"/>
                      <a:ext cx="1000125" cy="232410"/>
                    </a:xfrm>
                    <a:prstGeom prst="rect">
                      <a:avLst/>
                    </a:prstGeom>
                    <a:noFill/>
                    <a:ln>
                      <a:noFill/>
                    </a:ln>
                  </pic:spPr>
                </pic:pic>
              </a:graphicData>
            </a:graphic>
          </wp:inline>
        </w:drawing>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式中：</w:t>
      </w:r>
      <w:r>
        <w:rPr>
          <w:rFonts w:cs="Times New Roman"/>
          <w:sz w:val="24"/>
        </w:rPr>
        <w:t>L</w:t>
      </w:r>
      <w:r>
        <w:rPr>
          <w:rFonts w:cs="Times New Roman"/>
          <w:sz w:val="24"/>
          <w:vertAlign w:val="subscript"/>
        </w:rPr>
        <w:t>T</w:t>
      </w:r>
      <w:r>
        <w:rPr>
          <w:rFonts w:cs="Times New Roman"/>
          <w:sz w:val="24"/>
        </w:rPr>
        <w:t>——</w:t>
      </w:r>
      <w:r>
        <w:rPr>
          <w:rFonts w:cs="Times New Roman"/>
          <w:sz w:val="24"/>
        </w:rPr>
        <w:t>总损耗，</w:t>
      </w:r>
      <w:r>
        <w:rPr>
          <w:rFonts w:cs="Times New Roman"/>
          <w:sz w:val="24"/>
        </w:rPr>
        <w:t>lb/a</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 xml:space="preserve">      L</w:t>
      </w:r>
      <w:r>
        <w:rPr>
          <w:rFonts w:cs="Times New Roman"/>
          <w:sz w:val="24"/>
          <w:vertAlign w:val="subscript"/>
        </w:rPr>
        <w:t>S</w:t>
      </w:r>
      <w:r>
        <w:rPr>
          <w:rFonts w:cs="Times New Roman"/>
          <w:sz w:val="24"/>
        </w:rPr>
        <w:t>——</w:t>
      </w:r>
      <w:r>
        <w:rPr>
          <w:rFonts w:cs="Times New Roman"/>
          <w:sz w:val="24"/>
        </w:rPr>
        <w:t>静置储藏损耗，</w:t>
      </w:r>
      <w:r>
        <w:rPr>
          <w:rFonts w:cs="Times New Roman"/>
          <w:sz w:val="24"/>
        </w:rPr>
        <w:t>lb/a</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 xml:space="preserve">      L</w:t>
      </w:r>
      <w:r>
        <w:rPr>
          <w:rFonts w:cs="Times New Roman"/>
          <w:sz w:val="24"/>
          <w:vertAlign w:val="subscript"/>
        </w:rPr>
        <w:t>W</w:t>
      </w:r>
      <w:r>
        <w:rPr>
          <w:rFonts w:cs="Times New Roman"/>
          <w:sz w:val="24"/>
        </w:rPr>
        <w:t>——</w:t>
      </w:r>
      <w:r>
        <w:rPr>
          <w:rFonts w:cs="Times New Roman"/>
          <w:sz w:val="24"/>
        </w:rPr>
        <w:t>工作损耗，</w:t>
      </w:r>
      <w:r>
        <w:rPr>
          <w:rFonts w:cs="Times New Roman"/>
          <w:sz w:val="24"/>
        </w:rPr>
        <w:t>lb/a</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小呼吸蒸发损耗量（</w:t>
      </w:r>
      <w:r>
        <w:rPr>
          <w:rFonts w:cs="Times New Roman"/>
          <w:sz w:val="24"/>
        </w:rPr>
        <w:t>L</w:t>
      </w:r>
      <w:r>
        <w:rPr>
          <w:rFonts w:cs="Times New Roman"/>
          <w:sz w:val="24"/>
          <w:vertAlign w:val="subscript"/>
        </w:rPr>
        <w:t>S</w:t>
      </w:r>
      <w:r>
        <w:rPr>
          <w:rFonts w:cs="Times New Roman"/>
          <w:sz w:val="24"/>
        </w:rPr>
        <w:t>），是指由于罐体气相空间呼吸导致的储存气相损耗。计算公式为：</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sz w:val="24"/>
        </w:rPr>
        <w:t>L</w:t>
      </w:r>
      <w:r>
        <w:rPr>
          <w:rFonts w:cs="Times New Roman"/>
          <w:sz w:val="24"/>
          <w:vertAlign w:val="subscript"/>
        </w:rPr>
        <w:t>S</w:t>
      </w:r>
      <w:r>
        <w:rPr>
          <w:rFonts w:cs="Times New Roman"/>
          <w:sz w:val="24"/>
        </w:rPr>
        <w:t>=365K</w:t>
      </w:r>
      <w:r>
        <w:rPr>
          <w:rFonts w:cs="Times New Roman"/>
          <w:sz w:val="24"/>
          <w:vertAlign w:val="subscript"/>
        </w:rPr>
        <w:t>E</w:t>
      </w:r>
      <w:r>
        <w:rPr>
          <w:rFonts w:cs="Times New Roman"/>
          <w:sz w:val="24"/>
        </w:rPr>
        <w:t>V</w:t>
      </w:r>
      <w:r>
        <w:rPr>
          <w:rFonts w:cs="Times New Roman"/>
          <w:sz w:val="24"/>
          <w:vertAlign w:val="subscript"/>
        </w:rPr>
        <w:t>V</w:t>
      </w:r>
      <w:r>
        <w:rPr>
          <w:rFonts w:cs="Times New Roman"/>
          <w:sz w:val="24"/>
        </w:rPr>
        <w:t>K</w:t>
      </w:r>
      <w:r>
        <w:rPr>
          <w:rFonts w:cs="Times New Roman"/>
          <w:sz w:val="24"/>
          <w:vertAlign w:val="subscript"/>
        </w:rPr>
        <w:t>S</w:t>
      </w:r>
      <w:r>
        <w:rPr>
          <w:rFonts w:cs="Times New Roman"/>
          <w:sz w:val="24"/>
        </w:rPr>
        <w:t>W</w:t>
      </w:r>
      <w:r>
        <w:rPr>
          <w:rFonts w:cs="Times New Roman"/>
          <w:sz w:val="24"/>
          <w:vertAlign w:val="subscript"/>
        </w:rPr>
        <w:t>V</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式中：</w:t>
      </w:r>
      <w:r>
        <w:rPr>
          <w:rFonts w:cs="Times New Roman"/>
          <w:sz w:val="24"/>
        </w:rPr>
        <w:t>W</w:t>
      </w:r>
      <w:r>
        <w:rPr>
          <w:rFonts w:cs="Times New Roman"/>
          <w:sz w:val="24"/>
          <w:vertAlign w:val="subscript"/>
        </w:rPr>
        <w:t>V</w:t>
      </w:r>
      <w:r>
        <w:rPr>
          <w:rFonts w:cs="Times New Roman"/>
          <w:sz w:val="24"/>
        </w:rPr>
        <w:t>——</w:t>
      </w:r>
      <w:r>
        <w:rPr>
          <w:rFonts w:cs="Times New Roman"/>
          <w:sz w:val="24"/>
        </w:rPr>
        <w:t>储藏气相密度，</w:t>
      </w:r>
      <w:r>
        <w:rPr>
          <w:rFonts w:cs="Times New Roman"/>
          <w:sz w:val="24"/>
        </w:rPr>
        <w:t>lb/ft</w:t>
      </w:r>
      <w:r>
        <w:rPr>
          <w:rFonts w:cs="Times New Roman"/>
          <w:sz w:val="24"/>
          <w:vertAlign w:val="superscript"/>
        </w:rPr>
        <w:t>3</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 xml:space="preserve">      K</w:t>
      </w:r>
      <w:r>
        <w:rPr>
          <w:rFonts w:cs="Times New Roman"/>
          <w:sz w:val="24"/>
          <w:vertAlign w:val="subscript"/>
        </w:rPr>
        <w:t>E</w:t>
      </w:r>
      <w:r>
        <w:rPr>
          <w:rFonts w:cs="Times New Roman"/>
          <w:sz w:val="24"/>
        </w:rPr>
        <w:t>——</w:t>
      </w:r>
      <w:r>
        <w:rPr>
          <w:rFonts w:cs="Times New Roman"/>
          <w:sz w:val="24"/>
        </w:rPr>
        <w:t>日均液体表面温度下的气相密度，</w:t>
      </w:r>
      <w:r>
        <w:rPr>
          <w:rFonts w:cs="Times New Roman"/>
          <w:sz w:val="24"/>
        </w:rPr>
        <w:t>kg/m</w:t>
      </w:r>
      <w:r>
        <w:rPr>
          <w:rFonts w:cs="Times New Roman"/>
          <w:sz w:val="24"/>
          <w:vertAlign w:val="superscript"/>
        </w:rPr>
        <w:t>3</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lastRenderedPageBreak/>
        <w:t xml:space="preserve">      K</w:t>
      </w:r>
      <w:r>
        <w:rPr>
          <w:rFonts w:cs="Times New Roman"/>
          <w:sz w:val="24"/>
          <w:vertAlign w:val="subscript"/>
        </w:rPr>
        <w:t>S</w:t>
      </w:r>
      <w:r>
        <w:rPr>
          <w:rFonts w:cs="Times New Roman"/>
          <w:sz w:val="24"/>
        </w:rPr>
        <w:t>——</w:t>
      </w:r>
      <w:r>
        <w:rPr>
          <w:rFonts w:cs="Times New Roman"/>
          <w:sz w:val="24"/>
        </w:rPr>
        <w:t>排放蒸汽饱和因子，无量纲量；</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 xml:space="preserve">      V</w:t>
      </w:r>
      <w:r>
        <w:rPr>
          <w:rFonts w:cs="Times New Roman"/>
          <w:sz w:val="24"/>
          <w:vertAlign w:val="subscript"/>
        </w:rPr>
        <w:t>V</w:t>
      </w:r>
      <w:r>
        <w:rPr>
          <w:rFonts w:cs="Times New Roman"/>
          <w:sz w:val="24"/>
        </w:rPr>
        <w:t>——</w:t>
      </w:r>
      <w:r>
        <w:rPr>
          <w:rFonts w:cs="Times New Roman"/>
          <w:sz w:val="24"/>
        </w:rPr>
        <w:t>油罐气相空间体积，</w:t>
      </w:r>
      <w:r>
        <w:rPr>
          <w:rFonts w:cs="Times New Roman"/>
          <w:sz w:val="24"/>
        </w:rPr>
        <w:t>m</w:t>
      </w:r>
      <w:r>
        <w:rPr>
          <w:rFonts w:cs="Times New Roman"/>
          <w:sz w:val="24"/>
          <w:vertAlign w:val="superscript"/>
        </w:rPr>
        <w:t>3</w:t>
      </w:r>
      <w:r>
        <w:rPr>
          <w:rFonts w:cs="Times New Roman"/>
          <w:sz w:val="24"/>
        </w:rPr>
        <w:t>。</w:t>
      </w:r>
      <w:r>
        <w:rPr>
          <w:rFonts w:cs="Times New Roman"/>
          <w:sz w:val="24"/>
        </w:rPr>
        <w:t xml:space="preserve"> </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大呼吸蒸发损耗量（</w:t>
      </w:r>
      <w:r>
        <w:rPr>
          <w:rFonts w:cs="Times New Roman"/>
          <w:sz w:val="24"/>
        </w:rPr>
        <w:t>L</w:t>
      </w:r>
      <w:r>
        <w:rPr>
          <w:rFonts w:cs="Times New Roman"/>
          <w:sz w:val="24"/>
          <w:vertAlign w:val="subscript"/>
        </w:rPr>
        <w:t>W</w:t>
      </w:r>
      <w:r>
        <w:rPr>
          <w:rFonts w:cs="Times New Roman"/>
          <w:sz w:val="24"/>
        </w:rPr>
        <w:t>）计算公式为：</w:t>
      </w:r>
    </w:p>
    <w:p w:rsidR="00C645C9" w:rsidRDefault="00F955D9">
      <w:pPr>
        <w:pStyle w:val="afff3"/>
        <w:adjustRightInd w:val="0"/>
        <w:snapToGrid w:val="0"/>
        <w:spacing w:beforeLines="0" w:before="0" w:afterLines="0" w:after="0" w:line="360" w:lineRule="auto"/>
        <w:ind w:firstLineChars="1400" w:firstLine="3360"/>
        <w:rPr>
          <w:rFonts w:cs="Times New Roman"/>
          <w:sz w:val="24"/>
        </w:rPr>
      </w:pPr>
      <w:r>
        <w:rPr>
          <w:rFonts w:cs="Times New Roman"/>
          <w:sz w:val="24"/>
        </w:rPr>
        <w:t>LW=NV</w:t>
      </w:r>
      <w:r>
        <w:rPr>
          <w:rFonts w:cs="Times New Roman"/>
          <w:sz w:val="24"/>
          <w:vertAlign w:val="subscript"/>
        </w:rPr>
        <w:t>L</w:t>
      </w:r>
      <w:r>
        <w:rPr>
          <w:rFonts w:cs="Times New Roman"/>
          <w:sz w:val="24"/>
        </w:rPr>
        <w:t>K</w:t>
      </w:r>
      <w:r>
        <w:rPr>
          <w:rFonts w:cs="Times New Roman"/>
          <w:sz w:val="24"/>
          <w:vertAlign w:val="subscript"/>
        </w:rPr>
        <w:t>N</w:t>
      </w:r>
      <w:r>
        <w:rPr>
          <w:rFonts w:cs="Times New Roman"/>
          <w:sz w:val="24"/>
        </w:rPr>
        <w:t>K</w:t>
      </w:r>
      <w:r>
        <w:rPr>
          <w:rFonts w:cs="Times New Roman"/>
          <w:sz w:val="24"/>
          <w:vertAlign w:val="subscript"/>
        </w:rPr>
        <w:t>P</w:t>
      </w:r>
      <w:r>
        <w:rPr>
          <w:rFonts w:cs="Times New Roman"/>
          <w:sz w:val="24"/>
        </w:rPr>
        <w:t>K</w:t>
      </w:r>
      <w:r>
        <w:rPr>
          <w:rFonts w:cs="Times New Roman"/>
          <w:sz w:val="24"/>
          <w:vertAlign w:val="subscript"/>
        </w:rPr>
        <w:t>B</w:t>
      </w:r>
      <w:r>
        <w:rPr>
          <w:rFonts w:cs="Times New Roman"/>
          <w:sz w:val="24"/>
        </w:rPr>
        <w:t>W</w:t>
      </w:r>
      <w:r>
        <w:rPr>
          <w:rFonts w:cs="Times New Roman"/>
          <w:sz w:val="24"/>
          <w:vertAlign w:val="subscript"/>
        </w:rPr>
        <w:t>V</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式中：</w:t>
      </w:r>
      <w:r>
        <w:rPr>
          <w:rFonts w:cs="Times New Roman"/>
          <w:sz w:val="24"/>
        </w:rPr>
        <w:t>N——</w:t>
      </w:r>
      <w:r>
        <w:rPr>
          <w:rFonts w:cs="Times New Roman"/>
          <w:sz w:val="24"/>
        </w:rPr>
        <w:t>年油品周转次数，次</w:t>
      </w:r>
      <w:r>
        <w:rPr>
          <w:rFonts w:cs="Times New Roman"/>
          <w:sz w:val="24"/>
        </w:rPr>
        <w:t>/a</w:t>
      </w:r>
      <w:r>
        <w:rPr>
          <w:rFonts w:cs="Times New Roman"/>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V</w:t>
      </w:r>
      <w:r>
        <w:rPr>
          <w:rFonts w:cs="Times New Roman"/>
          <w:sz w:val="24"/>
          <w:vertAlign w:val="subscript"/>
        </w:rPr>
        <w:t>L</w:t>
      </w:r>
      <w:r>
        <w:rPr>
          <w:rFonts w:cs="Times New Roman"/>
          <w:sz w:val="24"/>
        </w:rPr>
        <w:t>——</w:t>
      </w:r>
      <w:r>
        <w:rPr>
          <w:rFonts w:cs="Times New Roman"/>
          <w:sz w:val="24"/>
        </w:rPr>
        <w:t>罐内液体最大体积量，</w:t>
      </w:r>
      <w:r>
        <w:rPr>
          <w:rFonts w:cs="Times New Roman"/>
          <w:sz w:val="24"/>
        </w:rPr>
        <w:t>m</w:t>
      </w:r>
      <w:r>
        <w:rPr>
          <w:rFonts w:cs="Times New Roman"/>
          <w:sz w:val="24"/>
          <w:vertAlign w:val="superscript"/>
        </w:rPr>
        <w:t>3</w:t>
      </w:r>
      <w:r>
        <w:rPr>
          <w:rFonts w:cs="Times New Roman"/>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K</w:t>
      </w:r>
      <w:r>
        <w:rPr>
          <w:rFonts w:cs="Times New Roman"/>
          <w:sz w:val="24"/>
          <w:vertAlign w:val="subscript"/>
        </w:rPr>
        <w:t>N</w:t>
      </w:r>
      <w:r>
        <w:rPr>
          <w:rFonts w:cs="Times New Roman"/>
          <w:sz w:val="24"/>
        </w:rPr>
        <w:t>——</w:t>
      </w:r>
      <w:r>
        <w:rPr>
          <w:rFonts w:cs="Times New Roman"/>
          <w:sz w:val="24"/>
        </w:rPr>
        <w:t>周转系数；</w:t>
      </w:r>
      <w:r>
        <w:rPr>
          <w:rFonts w:cs="Times New Roman"/>
          <w:sz w:val="24"/>
        </w:rPr>
        <w:t xml:space="preserve">  </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K</w:t>
      </w:r>
      <w:r>
        <w:rPr>
          <w:rFonts w:cs="Times New Roman"/>
          <w:sz w:val="24"/>
          <w:vertAlign w:val="subscript"/>
        </w:rPr>
        <w:t>P</w:t>
      </w:r>
      <w:r>
        <w:rPr>
          <w:rFonts w:cs="Times New Roman"/>
          <w:sz w:val="24"/>
        </w:rPr>
        <w:t>——</w:t>
      </w:r>
      <w:r>
        <w:rPr>
          <w:rFonts w:cs="Times New Roman"/>
          <w:sz w:val="24"/>
        </w:rPr>
        <w:t>油品损耗系数，</w:t>
      </w:r>
      <w:r>
        <w:rPr>
          <w:rFonts w:cs="Times New Roman"/>
          <w:sz w:val="24"/>
        </w:rPr>
        <w:t>K</w:t>
      </w:r>
      <w:r>
        <w:rPr>
          <w:rFonts w:cs="Times New Roman"/>
          <w:sz w:val="24"/>
          <w:vertAlign w:val="subscript"/>
        </w:rPr>
        <w:t>P</w:t>
      </w:r>
      <w:r>
        <w:rPr>
          <w:rFonts w:cs="Times New Roman"/>
          <w:sz w:val="24"/>
        </w:rPr>
        <w:t>=1</w:t>
      </w:r>
      <w:r>
        <w:rPr>
          <w:rFonts w:cs="Times New Roman"/>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K</w:t>
      </w:r>
      <w:r>
        <w:rPr>
          <w:rFonts w:cs="Times New Roman"/>
          <w:sz w:val="24"/>
          <w:vertAlign w:val="subscript"/>
        </w:rPr>
        <w:t>B</w:t>
      </w:r>
      <w:r>
        <w:rPr>
          <w:rFonts w:cs="Times New Roman"/>
          <w:sz w:val="24"/>
        </w:rPr>
        <w:t>——</w:t>
      </w:r>
      <w:r>
        <w:rPr>
          <w:rFonts w:cs="Times New Roman"/>
          <w:sz w:val="24"/>
        </w:rPr>
        <w:t>排放压力设定值校正系数，本次取</w:t>
      </w:r>
      <w:r>
        <w:rPr>
          <w:rFonts w:cs="Times New Roman"/>
          <w:sz w:val="24"/>
        </w:rPr>
        <w:t>KB=1</w:t>
      </w:r>
      <w:r>
        <w:rPr>
          <w:rFonts w:cs="Times New Roman" w:hint="eastAsia"/>
          <w:sz w:val="24"/>
        </w:rPr>
        <w:t>。</w:t>
      </w:r>
    </w:p>
    <w:p w:rsidR="00C645C9" w:rsidRDefault="00F955D9" w:rsidP="005718BB">
      <w:pPr>
        <w:pStyle w:val="afff3"/>
        <w:adjustRightInd w:val="0"/>
        <w:snapToGrid w:val="0"/>
        <w:spacing w:beforeLines="0" w:before="0" w:afterLines="0" w:after="0" w:line="360" w:lineRule="auto"/>
        <w:ind w:firstLine="480"/>
        <w:jc w:val="both"/>
        <w:rPr>
          <w:rFonts w:cs="Times New Roman"/>
          <w:sz w:val="24"/>
        </w:rPr>
      </w:pPr>
      <w:r>
        <w:rPr>
          <w:rFonts w:cs="Times New Roman"/>
          <w:sz w:val="24"/>
        </w:rPr>
        <w:t>本工程多功能储集器最大储油为</w:t>
      </w:r>
      <w:r>
        <w:rPr>
          <w:rFonts w:cs="Times New Roman" w:hint="eastAsia"/>
          <w:sz w:val="24"/>
        </w:rPr>
        <w:t>62.584t</w:t>
      </w:r>
      <w:r>
        <w:rPr>
          <w:rFonts w:cs="Times New Roman"/>
          <w:sz w:val="24"/>
        </w:rPr>
        <w:t>，多功能储集器周转天数</w:t>
      </w:r>
      <w:r>
        <w:rPr>
          <w:rFonts w:cs="Times New Roman"/>
          <w:sz w:val="24"/>
        </w:rPr>
        <w:t>5d</w:t>
      </w:r>
      <w:r>
        <w:rPr>
          <w:rFonts w:cs="Times New Roman" w:hint="eastAsia"/>
          <w:sz w:val="24"/>
        </w:rPr>
        <w:t>。</w:t>
      </w:r>
      <w:r>
        <w:rPr>
          <w:rFonts w:cs="Times New Roman"/>
          <w:sz w:val="24"/>
        </w:rPr>
        <w:t>根据《</w:t>
      </w:r>
      <w:bookmarkStart w:id="948" w:name="OLE_LINK363"/>
      <w:r>
        <w:rPr>
          <w:rFonts w:cs="Times New Roman"/>
          <w:sz w:val="24"/>
        </w:rPr>
        <w:t>石化行业</w:t>
      </w:r>
      <w:r>
        <w:rPr>
          <w:rFonts w:cs="Times New Roman"/>
          <w:sz w:val="24"/>
        </w:rPr>
        <w:t>VOCs</w:t>
      </w:r>
      <w:r>
        <w:rPr>
          <w:rFonts w:cs="Times New Roman"/>
          <w:sz w:val="24"/>
        </w:rPr>
        <w:t>污染源排查工作指南</w:t>
      </w:r>
      <w:bookmarkEnd w:id="948"/>
      <w:r>
        <w:rPr>
          <w:rFonts w:cs="Times New Roman"/>
          <w:sz w:val="24"/>
        </w:rPr>
        <w:t>》中</w:t>
      </w:r>
      <w:r>
        <w:rPr>
          <w:rFonts w:cs="Times New Roman" w:hint="eastAsia"/>
          <w:sz w:val="24"/>
        </w:rPr>
        <w:t>“</w:t>
      </w:r>
      <w:r>
        <w:rPr>
          <w:rFonts w:cs="Times New Roman"/>
          <w:sz w:val="24"/>
        </w:rPr>
        <w:t>石化行业</w:t>
      </w:r>
      <w:r>
        <w:rPr>
          <w:rFonts w:cs="Times New Roman"/>
          <w:sz w:val="24"/>
        </w:rPr>
        <w:t>VOCs</w:t>
      </w:r>
      <w:r>
        <w:rPr>
          <w:rFonts w:cs="Times New Roman"/>
          <w:sz w:val="24"/>
        </w:rPr>
        <w:t>污染源排查参考计算表格</w:t>
      </w:r>
      <w:r>
        <w:rPr>
          <w:rFonts w:cs="Times New Roman" w:hint="eastAsia"/>
          <w:sz w:val="24"/>
        </w:rPr>
        <w:t>”，</w:t>
      </w:r>
      <w:r>
        <w:rPr>
          <w:rFonts w:cs="Times New Roman"/>
          <w:sz w:val="24"/>
        </w:rPr>
        <w:t>有机液体储存和</w:t>
      </w:r>
      <w:r>
        <w:rPr>
          <w:rFonts w:cs="Times New Roman"/>
          <w:sz w:val="24"/>
        </w:rPr>
        <w:t>VOCs</w:t>
      </w:r>
      <w:r>
        <w:rPr>
          <w:rFonts w:cs="Times New Roman"/>
          <w:sz w:val="24"/>
        </w:rPr>
        <w:t>排放量参考计算表计算后，可知本工程</w:t>
      </w:r>
      <w:bookmarkStart w:id="949" w:name="OLE_LINK1086"/>
      <w:r>
        <w:rPr>
          <w:rFonts w:cs="Times New Roman"/>
          <w:sz w:val="24"/>
        </w:rPr>
        <w:t>井场</w:t>
      </w:r>
      <w:r>
        <w:rPr>
          <w:rFonts w:cs="Times New Roman" w:hint="eastAsia"/>
          <w:sz w:val="24"/>
        </w:rPr>
        <w:t>单座</w:t>
      </w:r>
      <w:r>
        <w:rPr>
          <w:rFonts w:cs="Times New Roman"/>
          <w:sz w:val="24"/>
        </w:rPr>
        <w:t>多功能储集器静置损失</w:t>
      </w:r>
      <w:bookmarkStart w:id="950" w:name="OLE_LINK1085"/>
      <w:bookmarkStart w:id="951" w:name="OLE_LINK1087"/>
      <w:bookmarkEnd w:id="949"/>
      <w:r>
        <w:rPr>
          <w:rFonts w:cs="Times New Roman"/>
          <w:sz w:val="24"/>
        </w:rPr>
        <w:t>0.</w:t>
      </w:r>
      <w:r>
        <w:rPr>
          <w:rFonts w:cs="Times New Roman" w:hint="eastAsia"/>
          <w:sz w:val="24"/>
        </w:rPr>
        <w:t>624</w:t>
      </w:r>
      <w:bookmarkEnd w:id="950"/>
      <w:r>
        <w:rPr>
          <w:rFonts w:cs="Times New Roman"/>
          <w:sz w:val="24"/>
        </w:rPr>
        <w:t>t/a</w:t>
      </w:r>
      <w:bookmarkEnd w:id="951"/>
      <w:r>
        <w:rPr>
          <w:rFonts w:cs="Times New Roman"/>
          <w:sz w:val="24"/>
        </w:rPr>
        <w:t>，</w:t>
      </w:r>
      <w:bookmarkStart w:id="952" w:name="OLE_LINK1088"/>
      <w:r>
        <w:rPr>
          <w:rFonts w:cs="Times New Roman"/>
          <w:sz w:val="24"/>
        </w:rPr>
        <w:t>工作损失</w:t>
      </w:r>
      <w:bookmarkStart w:id="953" w:name="OLE_LINK1091"/>
      <w:bookmarkStart w:id="954" w:name="OLE_LINK1089"/>
      <w:r>
        <w:rPr>
          <w:rFonts w:cs="Times New Roman"/>
          <w:sz w:val="24"/>
        </w:rPr>
        <w:t>0.</w:t>
      </w:r>
      <w:r>
        <w:rPr>
          <w:rFonts w:cs="Times New Roman" w:hint="eastAsia"/>
          <w:sz w:val="24"/>
        </w:rPr>
        <w:t>396</w:t>
      </w:r>
      <w:bookmarkEnd w:id="953"/>
      <w:r>
        <w:rPr>
          <w:rFonts w:cs="Times New Roman"/>
          <w:sz w:val="24"/>
        </w:rPr>
        <w:t>t/a</w:t>
      </w:r>
      <w:bookmarkEnd w:id="952"/>
      <w:bookmarkEnd w:id="954"/>
      <w:r>
        <w:rPr>
          <w:rFonts w:cs="Times New Roman"/>
          <w:sz w:val="24"/>
        </w:rPr>
        <w:t>，</w:t>
      </w:r>
      <w:bookmarkStart w:id="955" w:name="OLE_LINK1096"/>
      <w:bookmarkStart w:id="956" w:name="OLE_LINK1090"/>
      <w:r>
        <w:rPr>
          <w:rFonts w:cs="Times New Roman"/>
          <w:sz w:val="24"/>
        </w:rPr>
        <w:t>单</w:t>
      </w:r>
      <w:bookmarkEnd w:id="955"/>
      <w:r>
        <w:rPr>
          <w:rFonts w:cs="Times New Roman" w:hint="eastAsia"/>
          <w:sz w:val="24"/>
        </w:rPr>
        <w:t>座</w:t>
      </w:r>
      <w:r>
        <w:rPr>
          <w:rFonts w:cs="Times New Roman"/>
          <w:sz w:val="24"/>
        </w:rPr>
        <w:t>多功能储集器损失</w:t>
      </w:r>
      <w:bookmarkEnd w:id="956"/>
      <w:r>
        <w:rPr>
          <w:rFonts w:cs="Times New Roman" w:hint="eastAsia"/>
          <w:sz w:val="24"/>
        </w:rPr>
        <w:t>1.02</w:t>
      </w:r>
      <w:r>
        <w:rPr>
          <w:rFonts w:cs="Times New Roman"/>
          <w:sz w:val="24"/>
        </w:rPr>
        <w:t>t/a</w:t>
      </w:r>
      <w:r>
        <w:rPr>
          <w:rFonts w:cs="Times New Roman"/>
          <w:sz w:val="24"/>
        </w:rPr>
        <w:t>。</w:t>
      </w:r>
      <w:bookmarkStart w:id="957" w:name="OLE_LINK1095"/>
      <w:bookmarkStart w:id="958" w:name="OLE_LINK1098"/>
      <w:r>
        <w:rPr>
          <w:rFonts w:cs="Times New Roman"/>
          <w:sz w:val="24"/>
        </w:rPr>
        <w:t>本工程井场</w:t>
      </w:r>
      <w:bookmarkEnd w:id="957"/>
      <w:r>
        <w:rPr>
          <w:rFonts w:cs="Times New Roman" w:hint="eastAsia"/>
          <w:sz w:val="24"/>
        </w:rPr>
        <w:t>4</w:t>
      </w:r>
      <w:r>
        <w:rPr>
          <w:rFonts w:cs="Times New Roman" w:hint="eastAsia"/>
          <w:sz w:val="24"/>
        </w:rPr>
        <w:t>座</w:t>
      </w:r>
      <w:bookmarkStart w:id="959" w:name="OLE_LINK1092"/>
      <w:r>
        <w:rPr>
          <w:rFonts w:cs="Times New Roman"/>
          <w:sz w:val="24"/>
        </w:rPr>
        <w:t>多功能储集器大小呼吸非甲烷总烃排放量</w:t>
      </w:r>
      <w:bookmarkEnd w:id="959"/>
      <w:r>
        <w:rPr>
          <w:rFonts w:cs="Times New Roman"/>
          <w:sz w:val="24"/>
        </w:rPr>
        <w:t>为</w:t>
      </w:r>
      <w:r>
        <w:rPr>
          <w:rFonts w:cs="Times New Roman" w:hint="eastAsia"/>
          <w:sz w:val="24"/>
        </w:rPr>
        <w:t>4.08</w:t>
      </w:r>
      <w:r>
        <w:rPr>
          <w:rFonts w:cs="Times New Roman"/>
          <w:sz w:val="24"/>
        </w:rPr>
        <w:t>t/a</w:t>
      </w:r>
      <w:r>
        <w:rPr>
          <w:rFonts w:cs="Times New Roman"/>
          <w:sz w:val="24"/>
        </w:rPr>
        <w:t>。</w:t>
      </w:r>
    </w:p>
    <w:bookmarkEnd w:id="958"/>
    <w:p w:rsidR="00C645C9" w:rsidRDefault="00F955D9" w:rsidP="005718BB">
      <w:pPr>
        <w:pStyle w:val="afff3"/>
        <w:adjustRightInd w:val="0"/>
        <w:snapToGrid w:val="0"/>
        <w:spacing w:beforeLines="0" w:before="0" w:afterLines="0" w:after="0" w:line="360" w:lineRule="auto"/>
        <w:ind w:firstLine="480"/>
        <w:jc w:val="both"/>
        <w:rPr>
          <w:rFonts w:cs="Times New Roman"/>
          <w:sz w:val="24"/>
        </w:rPr>
      </w:pPr>
      <w:r>
        <w:rPr>
          <w:rFonts w:cs="Times New Roman"/>
          <w:sz w:val="24"/>
        </w:rPr>
        <w:t>根据可研提供，本工程天然气处理量为</w:t>
      </w:r>
      <w:r>
        <w:rPr>
          <w:rFonts w:cs="Times New Roman" w:hint="eastAsia"/>
          <w:sz w:val="24"/>
        </w:rPr>
        <w:t>10</w:t>
      </w:r>
      <w:r>
        <w:rPr>
          <w:rFonts w:cs="Times New Roman"/>
          <w:sz w:val="24"/>
        </w:rPr>
        <w:t>×10</w:t>
      </w:r>
      <w:r>
        <w:rPr>
          <w:rFonts w:cs="Times New Roman"/>
          <w:sz w:val="24"/>
          <w:vertAlign w:val="superscript"/>
        </w:rPr>
        <w:t>4</w:t>
      </w:r>
      <w:r>
        <w:rPr>
          <w:rFonts w:cs="Times New Roman"/>
          <w:sz w:val="24"/>
        </w:rPr>
        <w:t>Nm</w:t>
      </w:r>
      <w:r>
        <w:rPr>
          <w:rFonts w:cs="Times New Roman"/>
          <w:sz w:val="24"/>
          <w:vertAlign w:val="superscript"/>
        </w:rPr>
        <w:t>3</w:t>
      </w:r>
      <w:r>
        <w:rPr>
          <w:rFonts w:cs="Times New Roman"/>
          <w:sz w:val="24"/>
        </w:rPr>
        <w:t>/d</w:t>
      </w:r>
      <w:r>
        <w:rPr>
          <w:rFonts w:cs="Times New Roman"/>
          <w:sz w:val="24"/>
        </w:rPr>
        <w:t>，脱烃后，产生混烃的量约</w:t>
      </w:r>
      <w:r>
        <w:rPr>
          <w:rFonts w:cs="Times New Roman" w:hint="eastAsia"/>
          <w:sz w:val="24"/>
        </w:rPr>
        <w:t>1.5</w:t>
      </w:r>
      <w:r>
        <w:rPr>
          <w:rFonts w:cs="Times New Roman"/>
          <w:sz w:val="24"/>
        </w:rPr>
        <w:t>t/d</w:t>
      </w:r>
      <w:r>
        <w:rPr>
          <w:rFonts w:cs="Times New Roman"/>
          <w:sz w:val="24"/>
        </w:rPr>
        <w:t>，本工程混烃罐可储存混烃</w:t>
      </w:r>
      <w:r>
        <w:rPr>
          <w:rFonts w:cs="Times New Roman"/>
          <w:sz w:val="24"/>
        </w:rPr>
        <w:t>15t</w:t>
      </w:r>
      <w:r>
        <w:rPr>
          <w:rFonts w:cs="Times New Roman"/>
          <w:sz w:val="24"/>
        </w:rPr>
        <w:t>，周转天数为</w:t>
      </w:r>
      <w:r>
        <w:rPr>
          <w:rFonts w:cs="Times New Roman"/>
          <w:sz w:val="24"/>
        </w:rPr>
        <w:t>5d</w:t>
      </w:r>
      <w:r>
        <w:rPr>
          <w:rFonts w:cs="Times New Roman"/>
          <w:sz w:val="24"/>
        </w:rPr>
        <w:t>。根据《石化行业</w:t>
      </w:r>
      <w:r>
        <w:rPr>
          <w:rFonts w:cs="Times New Roman"/>
          <w:sz w:val="24"/>
        </w:rPr>
        <w:t>VOCs</w:t>
      </w:r>
      <w:r>
        <w:rPr>
          <w:rFonts w:cs="Times New Roman"/>
          <w:sz w:val="24"/>
        </w:rPr>
        <w:t>污染源排查工作指南》中石化行业</w:t>
      </w:r>
      <w:r>
        <w:rPr>
          <w:rFonts w:cs="Times New Roman"/>
          <w:sz w:val="24"/>
        </w:rPr>
        <w:t>VOCs</w:t>
      </w:r>
      <w:r>
        <w:rPr>
          <w:rFonts w:cs="Times New Roman"/>
          <w:sz w:val="24"/>
        </w:rPr>
        <w:t>污染源排查参考计算表中有机液体储存和</w:t>
      </w:r>
      <w:r>
        <w:rPr>
          <w:rFonts w:cs="Times New Roman"/>
          <w:sz w:val="24"/>
        </w:rPr>
        <w:t>VOCs</w:t>
      </w:r>
      <w:r>
        <w:rPr>
          <w:rFonts w:cs="Times New Roman"/>
          <w:sz w:val="24"/>
        </w:rPr>
        <w:t>排放量参考计算表计算后，可知</w:t>
      </w:r>
      <w:bookmarkStart w:id="960" w:name="OLE_LINK368"/>
      <w:r>
        <w:rPr>
          <w:rFonts w:cs="Times New Roman" w:hint="eastAsia"/>
          <w:sz w:val="24"/>
        </w:rPr>
        <w:t>井</w:t>
      </w:r>
      <w:bookmarkEnd w:id="960"/>
      <w:r>
        <w:rPr>
          <w:rFonts w:cs="Times New Roman"/>
          <w:sz w:val="24"/>
        </w:rPr>
        <w:t>场</w:t>
      </w:r>
      <w:r>
        <w:rPr>
          <w:rFonts w:cs="Times New Roman" w:hint="eastAsia"/>
          <w:sz w:val="24"/>
        </w:rPr>
        <w:t>单座</w:t>
      </w:r>
      <w:r>
        <w:rPr>
          <w:rFonts w:cs="Times New Roman"/>
          <w:sz w:val="24"/>
        </w:rPr>
        <w:t>混烃罐静置损失</w:t>
      </w:r>
      <w:bookmarkStart w:id="961" w:name="OLE_LINK366"/>
      <w:r>
        <w:rPr>
          <w:rFonts w:cs="Times New Roman"/>
          <w:sz w:val="24"/>
        </w:rPr>
        <w:t>0.</w:t>
      </w:r>
      <w:r>
        <w:rPr>
          <w:rFonts w:cs="Times New Roman" w:hint="eastAsia"/>
          <w:sz w:val="24"/>
        </w:rPr>
        <w:t>9475</w:t>
      </w:r>
      <w:bookmarkEnd w:id="961"/>
      <w:r>
        <w:rPr>
          <w:rFonts w:cs="Times New Roman"/>
          <w:sz w:val="24"/>
        </w:rPr>
        <w:t>t/a</w:t>
      </w:r>
      <w:r>
        <w:rPr>
          <w:rFonts w:cs="Times New Roman"/>
          <w:sz w:val="24"/>
        </w:rPr>
        <w:t>，工作损失</w:t>
      </w:r>
      <w:bookmarkStart w:id="962" w:name="OLE_LINK367"/>
      <w:r>
        <w:rPr>
          <w:rFonts w:cs="Times New Roman" w:hint="eastAsia"/>
          <w:sz w:val="24"/>
        </w:rPr>
        <w:t>1.0275</w:t>
      </w:r>
      <w:bookmarkEnd w:id="962"/>
      <w:r>
        <w:rPr>
          <w:rFonts w:cs="Times New Roman"/>
          <w:sz w:val="24"/>
        </w:rPr>
        <w:t>t/a</w:t>
      </w:r>
      <w:r>
        <w:rPr>
          <w:rFonts w:cs="Times New Roman"/>
          <w:sz w:val="24"/>
        </w:rPr>
        <w:t>，</w:t>
      </w:r>
      <w:bookmarkStart w:id="963" w:name="OLE_LINK1093"/>
      <w:r>
        <w:rPr>
          <w:rFonts w:cs="Times New Roman"/>
          <w:sz w:val="24"/>
        </w:rPr>
        <w:t>单</w:t>
      </w:r>
      <w:r>
        <w:rPr>
          <w:rFonts w:cs="Times New Roman" w:hint="eastAsia"/>
          <w:sz w:val="24"/>
        </w:rPr>
        <w:t>座</w:t>
      </w:r>
      <w:r>
        <w:rPr>
          <w:rFonts w:cs="Times New Roman"/>
          <w:sz w:val="24"/>
        </w:rPr>
        <w:t>混烃罐</w:t>
      </w:r>
      <w:r>
        <w:rPr>
          <w:rFonts w:cs="Times New Roman" w:hint="eastAsia"/>
          <w:sz w:val="24"/>
        </w:rPr>
        <w:t>损失</w:t>
      </w:r>
      <w:r>
        <w:rPr>
          <w:rFonts w:cs="Times New Roman" w:hint="eastAsia"/>
          <w:sz w:val="24"/>
        </w:rPr>
        <w:t>1.975</w:t>
      </w:r>
      <w:r>
        <w:rPr>
          <w:rFonts w:cs="Times New Roman"/>
          <w:sz w:val="24"/>
        </w:rPr>
        <w:t>t/a</w:t>
      </w:r>
      <w:r>
        <w:rPr>
          <w:rFonts w:cs="Times New Roman" w:hint="eastAsia"/>
          <w:sz w:val="24"/>
        </w:rPr>
        <w:t>，</w:t>
      </w:r>
      <w:r>
        <w:rPr>
          <w:rFonts w:cs="Times New Roman"/>
          <w:sz w:val="24"/>
        </w:rPr>
        <w:t>本工程井场</w:t>
      </w:r>
      <w:r>
        <w:rPr>
          <w:rFonts w:cs="Times New Roman" w:hint="eastAsia"/>
          <w:sz w:val="24"/>
        </w:rPr>
        <w:t>2</w:t>
      </w:r>
      <w:r>
        <w:rPr>
          <w:rFonts w:cs="Times New Roman" w:hint="eastAsia"/>
          <w:sz w:val="24"/>
        </w:rPr>
        <w:t>座</w:t>
      </w:r>
      <w:bookmarkStart w:id="964" w:name="OLE_LINK1097"/>
      <w:r>
        <w:rPr>
          <w:rFonts w:cs="Times New Roman"/>
          <w:sz w:val="24"/>
        </w:rPr>
        <w:t>混烃罐大小呼吸</w:t>
      </w:r>
      <w:bookmarkEnd w:id="964"/>
      <w:r>
        <w:rPr>
          <w:rFonts w:cs="Times New Roman"/>
          <w:sz w:val="24"/>
        </w:rPr>
        <w:t>总损失</w:t>
      </w:r>
      <w:bookmarkStart w:id="965" w:name="OLE_LINK1099"/>
      <w:bookmarkEnd w:id="963"/>
      <w:r>
        <w:rPr>
          <w:rFonts w:cs="Times New Roman" w:hint="eastAsia"/>
          <w:sz w:val="24"/>
        </w:rPr>
        <w:t>3.95</w:t>
      </w:r>
      <w:r>
        <w:rPr>
          <w:rFonts w:cs="Times New Roman"/>
          <w:sz w:val="24"/>
        </w:rPr>
        <w:t>t/a</w:t>
      </w:r>
      <w:bookmarkEnd w:id="965"/>
      <w:r>
        <w:rPr>
          <w:rFonts w:cs="Times New Roman"/>
          <w:sz w:val="24"/>
        </w:rPr>
        <w:t>。</w:t>
      </w:r>
    </w:p>
    <w:p w:rsidR="00C645C9" w:rsidRDefault="00F955D9">
      <w:pPr>
        <w:autoSpaceDE w:val="0"/>
        <w:autoSpaceDN w:val="0"/>
        <w:spacing w:line="360" w:lineRule="auto"/>
        <w:ind w:firstLineChars="200" w:firstLine="480"/>
        <w:jc w:val="both"/>
        <w:rPr>
          <w:rFonts w:cs="Times New Roman"/>
          <w:szCs w:val="28"/>
        </w:rPr>
      </w:pPr>
      <w:r>
        <w:rPr>
          <w:rFonts w:cs="Times New Roman"/>
          <w:szCs w:val="28"/>
        </w:rPr>
        <w:fldChar w:fldCharType="begin"/>
      </w:r>
      <w:r>
        <w:rPr>
          <w:rFonts w:cs="Times New Roman"/>
          <w:szCs w:val="28"/>
        </w:rPr>
        <w:instrText xml:space="preserve"> = 2 \* GB3 \* MERGEFORMAT </w:instrText>
      </w:r>
      <w:r>
        <w:rPr>
          <w:rFonts w:cs="Times New Roman"/>
          <w:szCs w:val="28"/>
        </w:rPr>
        <w:fldChar w:fldCharType="separate"/>
      </w:r>
      <w:r>
        <w:t>②</w:t>
      </w:r>
      <w:r>
        <w:rPr>
          <w:rFonts w:cs="Times New Roman"/>
          <w:szCs w:val="28"/>
        </w:rPr>
        <w:fldChar w:fldCharType="end"/>
      </w:r>
      <w:r>
        <w:rPr>
          <w:rFonts w:cs="Times New Roman"/>
          <w:szCs w:val="28"/>
        </w:rPr>
        <w:t>油气</w:t>
      </w:r>
      <w:r>
        <w:rPr>
          <w:rFonts w:cs="Times New Roman" w:hint="eastAsia"/>
          <w:szCs w:val="28"/>
        </w:rPr>
        <w:t>处理</w:t>
      </w:r>
      <w:r>
        <w:rPr>
          <w:rFonts w:cs="Times New Roman"/>
          <w:szCs w:val="28"/>
        </w:rPr>
        <w:t>过程中非甲烷总烃（</w:t>
      </w:r>
      <w:r>
        <w:rPr>
          <w:rFonts w:cs="Times New Roman"/>
          <w:szCs w:val="28"/>
        </w:rPr>
        <w:t>NMHC</w:t>
      </w:r>
      <w:r>
        <w:rPr>
          <w:rFonts w:cs="Times New Roman"/>
          <w:szCs w:val="28"/>
        </w:rPr>
        <w:t>）</w:t>
      </w:r>
    </w:p>
    <w:p w:rsidR="00C645C9" w:rsidRDefault="00F955D9">
      <w:pPr>
        <w:adjustRightInd w:val="0"/>
        <w:snapToGrid w:val="0"/>
        <w:spacing w:line="360" w:lineRule="auto"/>
        <w:ind w:firstLineChars="200" w:firstLine="480"/>
        <w:jc w:val="both"/>
        <w:rPr>
          <w:rFonts w:cs="Times New Roman"/>
        </w:rPr>
      </w:pPr>
      <w:r>
        <w:rPr>
          <w:rFonts w:cs="Times New Roman"/>
          <w:bCs/>
          <w:snapToGrid w:val="0"/>
        </w:rPr>
        <w:t>在油气</w:t>
      </w:r>
      <w:r>
        <w:rPr>
          <w:rFonts w:cs="Times New Roman" w:hint="eastAsia"/>
          <w:bCs/>
          <w:snapToGrid w:val="0"/>
        </w:rPr>
        <w:t>处理</w:t>
      </w:r>
      <w:r>
        <w:rPr>
          <w:rFonts w:cs="Times New Roman"/>
          <w:bCs/>
          <w:snapToGrid w:val="0"/>
        </w:rPr>
        <w:t>环节产生的挥发性有机物（</w:t>
      </w:r>
      <w:r>
        <w:rPr>
          <w:rFonts w:cs="Times New Roman"/>
          <w:bCs/>
          <w:snapToGrid w:val="0"/>
        </w:rPr>
        <w:t>VOCs</w:t>
      </w:r>
      <w:r>
        <w:rPr>
          <w:rFonts w:cs="Times New Roman"/>
          <w:bCs/>
          <w:snapToGrid w:val="0"/>
        </w:rPr>
        <w:t>）主要包括非甲烷总烃（</w:t>
      </w:r>
      <w:r>
        <w:rPr>
          <w:rFonts w:cs="Times New Roman"/>
        </w:rPr>
        <w:t>烷烃、烯烃、芳香烃、炔烃等</w:t>
      </w:r>
      <w:r>
        <w:rPr>
          <w:rFonts w:cs="Times New Roman"/>
          <w:bCs/>
          <w:snapToGrid w:val="0"/>
        </w:rPr>
        <w:t>）、含氧有机化合物（</w:t>
      </w:r>
      <w:r>
        <w:rPr>
          <w:rFonts w:cs="Times New Roman"/>
        </w:rPr>
        <w:t>醛、酮、醇、醚、酯、酚等</w:t>
      </w:r>
      <w:r>
        <w:rPr>
          <w:rFonts w:cs="Times New Roman"/>
          <w:bCs/>
          <w:snapToGrid w:val="0"/>
        </w:rPr>
        <w:t>）、</w:t>
      </w:r>
      <w:r>
        <w:rPr>
          <w:rFonts w:cs="Times New Roman"/>
        </w:rPr>
        <w:t>卤代烃，含氮有机化合物，含硫有机化合物等，对</w:t>
      </w:r>
      <w:r>
        <w:rPr>
          <w:rFonts w:cs="Times New Roman"/>
        </w:rPr>
        <w:t>本</w:t>
      </w:r>
      <w:r>
        <w:rPr>
          <w:rFonts w:cs="Times New Roman" w:hint="eastAsia"/>
        </w:rPr>
        <w:t>工程</w:t>
      </w:r>
      <w:r>
        <w:rPr>
          <w:rFonts w:cs="Times New Roman"/>
        </w:rPr>
        <w:t>而言，</w:t>
      </w:r>
      <w:r>
        <w:rPr>
          <w:rFonts w:cs="Times New Roman"/>
          <w:bCs/>
          <w:snapToGrid w:val="0"/>
        </w:rPr>
        <w:t>VOCs</w:t>
      </w:r>
      <w:r>
        <w:rPr>
          <w:rFonts w:cs="Times New Roman"/>
          <w:bCs/>
          <w:snapToGrid w:val="0"/>
        </w:rPr>
        <w:t>主要为非甲烷总烃。</w:t>
      </w:r>
    </w:p>
    <w:p w:rsidR="00C645C9" w:rsidRDefault="00F955D9">
      <w:pPr>
        <w:pStyle w:val="aff"/>
        <w:rPr>
          <w:rFonts w:cs="Times New Roman"/>
          <w:color w:val="auto"/>
        </w:rPr>
      </w:pPr>
      <w:r>
        <w:rPr>
          <w:rFonts w:cs="Times New Roman"/>
          <w:color w:val="auto"/>
        </w:rPr>
        <w:t>本</w:t>
      </w:r>
      <w:r>
        <w:rPr>
          <w:rFonts w:cs="Times New Roman" w:hint="eastAsia"/>
          <w:color w:val="auto"/>
        </w:rPr>
        <w:t>工程</w:t>
      </w:r>
      <w:r>
        <w:rPr>
          <w:rFonts w:cs="Times New Roman"/>
          <w:color w:val="auto"/>
        </w:rPr>
        <w:t>运营过程中井场无组织废气主要污染物为从阀门等部分逸散无组织非甲烷总烃，参照《</w:t>
      </w:r>
      <w:bookmarkStart w:id="966" w:name="OLE_LINK914"/>
      <w:bookmarkStart w:id="967" w:name="OLE_LINK369"/>
      <w:r>
        <w:rPr>
          <w:rFonts w:cs="Times New Roman"/>
          <w:color w:val="auto"/>
        </w:rPr>
        <w:t>排污许可证申请与核发技术规范</w:t>
      </w:r>
      <w:bookmarkEnd w:id="966"/>
      <w:r>
        <w:rPr>
          <w:rFonts w:cs="Times New Roman"/>
          <w:color w:val="auto"/>
        </w:rPr>
        <w:t xml:space="preserve"> </w:t>
      </w:r>
      <w:bookmarkStart w:id="968" w:name="OLE_LINK915"/>
      <w:r>
        <w:rPr>
          <w:rFonts w:cs="Times New Roman"/>
          <w:color w:val="auto"/>
        </w:rPr>
        <w:t>石化工业</w:t>
      </w:r>
      <w:bookmarkEnd w:id="967"/>
      <w:bookmarkEnd w:id="968"/>
      <w:r>
        <w:rPr>
          <w:rFonts w:cs="Times New Roman"/>
          <w:color w:val="auto"/>
        </w:rPr>
        <w:t>》（</w:t>
      </w:r>
      <w:r>
        <w:rPr>
          <w:rFonts w:cs="Times New Roman"/>
          <w:color w:val="auto"/>
        </w:rPr>
        <w:t>HJ853-2017</w:t>
      </w:r>
      <w:r>
        <w:rPr>
          <w:rFonts w:cs="Times New Roman"/>
          <w:color w:val="auto"/>
        </w:rPr>
        <w:t>）中</w:t>
      </w:r>
      <w:r>
        <w:rPr>
          <w:rFonts w:cs="Times New Roman"/>
          <w:color w:val="auto"/>
        </w:rPr>
        <w:t xml:space="preserve">5.2.3.1.2 </w:t>
      </w:r>
      <w:r>
        <w:rPr>
          <w:rFonts w:cs="Times New Roman"/>
          <w:color w:val="auto"/>
        </w:rPr>
        <w:t>设备与管线组件密封点泄漏的挥发性有机物年许可排放量计算公式对</w:t>
      </w:r>
      <w:r>
        <w:rPr>
          <w:rFonts w:cs="Times New Roman"/>
          <w:color w:val="auto"/>
        </w:rPr>
        <w:t>本</w:t>
      </w:r>
      <w:r>
        <w:rPr>
          <w:rFonts w:cs="Times New Roman" w:hint="eastAsia"/>
          <w:color w:val="auto"/>
        </w:rPr>
        <w:t>工程</w:t>
      </w:r>
      <w:r>
        <w:rPr>
          <w:rFonts w:cs="Times New Roman"/>
          <w:color w:val="auto"/>
        </w:rPr>
        <w:t>无组织</w:t>
      </w:r>
      <w:r>
        <w:rPr>
          <w:rFonts w:cs="Times New Roman"/>
          <w:color w:val="auto"/>
          <w:szCs w:val="28"/>
        </w:rPr>
        <w:t>挥发的非甲烷总烃</w:t>
      </w:r>
      <w:r>
        <w:rPr>
          <w:rFonts w:cs="Times New Roman"/>
          <w:color w:val="auto"/>
        </w:rPr>
        <w:t>进行核算。公式如下：</w:t>
      </w:r>
    </w:p>
    <w:p w:rsidR="00C645C9" w:rsidRDefault="00F955D9">
      <w:pPr>
        <w:jc w:val="center"/>
        <w:rPr>
          <w:rFonts w:cs="Times New Roman"/>
          <w:lang w:val="zh-CN"/>
        </w:rPr>
      </w:pPr>
      <w:r>
        <w:rPr>
          <w:noProof/>
        </w:rPr>
        <w:lastRenderedPageBreak/>
        <w:drawing>
          <wp:inline distT="0" distB="0" distL="0" distR="0">
            <wp:extent cx="2228215" cy="387350"/>
            <wp:effectExtent l="0" t="0" r="63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28215" cy="387350"/>
                    </a:xfrm>
                    <a:prstGeom prst="rect">
                      <a:avLst/>
                    </a:prstGeom>
                    <a:noFill/>
                    <a:ln>
                      <a:noFill/>
                    </a:ln>
                    <a:effectLst/>
                  </pic:spPr>
                </pic:pic>
              </a:graphicData>
            </a:graphic>
          </wp:inline>
        </w:drawing>
      </w:r>
    </w:p>
    <w:p w:rsidR="00C645C9" w:rsidRDefault="00F955D9">
      <w:pPr>
        <w:pStyle w:val="aff"/>
        <w:rPr>
          <w:rFonts w:cs="Times New Roman"/>
          <w:color w:val="auto"/>
          <w:lang w:val="zh-CN"/>
        </w:rPr>
      </w:pPr>
      <w:r>
        <w:rPr>
          <w:rFonts w:cs="Times New Roman" w:hint="eastAsia"/>
          <w:color w:val="auto"/>
        </w:rPr>
        <w:t>式中：</w:t>
      </w:r>
      <w:r>
        <w:rPr>
          <w:rFonts w:cs="Times New Roman"/>
          <w:i/>
          <w:iCs/>
          <w:color w:val="auto"/>
        </w:rPr>
        <w:t>E</w:t>
      </w:r>
      <w:r>
        <w:rPr>
          <w:rFonts w:cs="Times New Roman"/>
          <w:color w:val="auto"/>
          <w:vertAlign w:val="subscript"/>
          <w:lang w:val="zh-CN"/>
        </w:rPr>
        <w:t>设备</w:t>
      </w:r>
      <w:r>
        <w:rPr>
          <w:rFonts w:cs="Times New Roman"/>
          <w:color w:val="auto"/>
          <w:lang w:val="zh-CN"/>
        </w:rPr>
        <w:t>——</w:t>
      </w:r>
      <w:r>
        <w:rPr>
          <w:rFonts w:cs="Times New Roman"/>
          <w:color w:val="auto"/>
          <w:lang w:val="zh-CN"/>
        </w:rPr>
        <w:t>设备与管线组件密封点泄漏的挥发性有机物年许可排放量，</w:t>
      </w:r>
      <w:r>
        <w:rPr>
          <w:rFonts w:cs="Times New Roman"/>
          <w:color w:val="auto"/>
        </w:rPr>
        <w:t>kg/a</w:t>
      </w:r>
      <w:r>
        <w:rPr>
          <w:rFonts w:cs="Times New Roman"/>
          <w:color w:val="auto"/>
          <w:lang w:val="zh-CN"/>
        </w:rPr>
        <w:t>；</w:t>
      </w:r>
    </w:p>
    <w:p w:rsidR="00C645C9" w:rsidRDefault="00F955D9">
      <w:pPr>
        <w:pStyle w:val="aff"/>
        <w:ind w:firstLineChars="525" w:firstLine="1260"/>
        <w:rPr>
          <w:rFonts w:cs="Times New Roman"/>
          <w:color w:val="auto"/>
          <w:lang w:val="zh-CN"/>
        </w:rPr>
      </w:pPr>
      <w:r>
        <w:rPr>
          <w:rFonts w:cs="Times New Roman"/>
          <w:i/>
          <w:iCs/>
          <w:color w:val="auto"/>
        </w:rPr>
        <w:t>t</w:t>
      </w:r>
      <w:r>
        <w:rPr>
          <w:rFonts w:cs="Times New Roman"/>
          <w:i/>
          <w:iCs/>
          <w:color w:val="auto"/>
          <w:vertAlign w:val="subscript"/>
          <w:lang w:val="zh-CN"/>
        </w:rPr>
        <w:t>i</w:t>
      </w:r>
      <w:r>
        <w:rPr>
          <w:rFonts w:cs="Times New Roman"/>
          <w:color w:val="auto"/>
          <w:lang w:val="zh-CN"/>
        </w:rPr>
        <w:t>——</w:t>
      </w:r>
      <w:r>
        <w:rPr>
          <w:rFonts w:cs="Times New Roman"/>
          <w:color w:val="auto"/>
          <w:lang w:val="zh-CN"/>
        </w:rPr>
        <w:t>密封点</w:t>
      </w:r>
      <w:r>
        <w:rPr>
          <w:rFonts w:cs="Times New Roman"/>
          <w:i/>
          <w:iCs/>
          <w:color w:val="auto"/>
          <w:lang w:val="zh-CN"/>
        </w:rPr>
        <w:t>i</w:t>
      </w:r>
      <w:r>
        <w:rPr>
          <w:rFonts w:cs="Times New Roman"/>
          <w:color w:val="auto"/>
          <w:lang w:val="zh-CN"/>
        </w:rPr>
        <w:t>的年运行时间，</w:t>
      </w:r>
      <w:r>
        <w:rPr>
          <w:rFonts w:cs="Times New Roman"/>
          <w:color w:val="auto"/>
        </w:rPr>
        <w:t>h</w:t>
      </w:r>
      <w:r>
        <w:rPr>
          <w:rFonts w:cs="Times New Roman"/>
          <w:color w:val="auto"/>
          <w:lang w:val="zh-CN"/>
        </w:rPr>
        <w:t>/</w:t>
      </w:r>
      <w:r>
        <w:rPr>
          <w:rFonts w:cs="Times New Roman"/>
          <w:color w:val="auto"/>
        </w:rPr>
        <w:t>a</w:t>
      </w:r>
      <w:r>
        <w:rPr>
          <w:rFonts w:cs="Times New Roman"/>
          <w:color w:val="auto"/>
          <w:lang w:val="zh-CN"/>
        </w:rPr>
        <w:t>；</w:t>
      </w:r>
    </w:p>
    <w:p w:rsidR="00C645C9" w:rsidRDefault="00F955D9">
      <w:pPr>
        <w:pStyle w:val="aff"/>
        <w:ind w:firstLineChars="525" w:firstLine="1260"/>
        <w:rPr>
          <w:rFonts w:cs="Times New Roman"/>
          <w:color w:val="auto"/>
          <w:lang w:val="zh-CN"/>
        </w:rPr>
      </w:pPr>
      <w:r>
        <w:rPr>
          <w:rFonts w:cs="Times New Roman"/>
          <w:i/>
          <w:iCs/>
          <w:color w:val="auto"/>
        </w:rPr>
        <w:t>e</w:t>
      </w:r>
      <w:r>
        <w:rPr>
          <w:rFonts w:cs="Times New Roman"/>
          <w:i/>
          <w:iCs/>
          <w:color w:val="auto"/>
          <w:vertAlign w:val="subscript"/>
        </w:rPr>
        <w:t>TOC</w:t>
      </w:r>
      <w:r>
        <w:rPr>
          <w:rFonts w:cs="Times New Roman"/>
          <w:i/>
          <w:iCs/>
          <w:color w:val="auto"/>
          <w:vertAlign w:val="subscript"/>
        </w:rPr>
        <w:t>，</w:t>
      </w:r>
      <w:r>
        <w:rPr>
          <w:rFonts w:cs="Times New Roman"/>
          <w:i/>
          <w:iCs/>
          <w:color w:val="auto"/>
          <w:vertAlign w:val="subscript"/>
          <w:lang w:val="zh-CN"/>
        </w:rPr>
        <w:t>i</w:t>
      </w:r>
      <w:r>
        <w:rPr>
          <w:rFonts w:cs="Times New Roman"/>
          <w:color w:val="auto"/>
          <w:lang w:val="zh-CN"/>
        </w:rPr>
        <w:t>——</w:t>
      </w:r>
      <w:r>
        <w:rPr>
          <w:rFonts w:cs="Times New Roman"/>
          <w:color w:val="auto"/>
          <w:lang w:val="zh-CN"/>
        </w:rPr>
        <w:t>密封点</w:t>
      </w:r>
      <w:r>
        <w:rPr>
          <w:rFonts w:cs="Times New Roman"/>
          <w:i/>
          <w:iCs/>
          <w:color w:val="auto"/>
        </w:rPr>
        <w:t>i</w:t>
      </w:r>
      <w:r>
        <w:rPr>
          <w:rFonts w:cs="Times New Roman"/>
          <w:color w:val="auto"/>
        </w:rPr>
        <w:t>的总有机碳（</w:t>
      </w:r>
      <w:r>
        <w:rPr>
          <w:rFonts w:cs="Times New Roman"/>
          <w:color w:val="auto"/>
        </w:rPr>
        <w:t>TOC</w:t>
      </w:r>
      <w:r>
        <w:rPr>
          <w:rFonts w:cs="Times New Roman"/>
          <w:color w:val="auto"/>
        </w:rPr>
        <w:t>）排放速率</w:t>
      </w:r>
      <w:r>
        <w:rPr>
          <w:rFonts w:cs="Times New Roman"/>
          <w:color w:val="auto"/>
          <w:lang w:val="zh-CN"/>
        </w:rPr>
        <w:t>，</w:t>
      </w:r>
      <w:r>
        <w:rPr>
          <w:rFonts w:cs="Times New Roman"/>
          <w:color w:val="auto"/>
        </w:rPr>
        <w:t>kg</w:t>
      </w:r>
      <w:r>
        <w:rPr>
          <w:rFonts w:cs="Times New Roman"/>
          <w:color w:val="auto"/>
          <w:lang w:val="zh-CN"/>
        </w:rPr>
        <w:t>/</w:t>
      </w:r>
      <w:r>
        <w:rPr>
          <w:rFonts w:cs="Times New Roman"/>
          <w:color w:val="auto"/>
        </w:rPr>
        <w:t>h</w:t>
      </w:r>
      <w:r>
        <w:rPr>
          <w:rFonts w:cs="Times New Roman"/>
          <w:color w:val="auto"/>
        </w:rPr>
        <w:t>；</w:t>
      </w:r>
    </w:p>
    <w:p w:rsidR="00C645C9" w:rsidRDefault="00F955D9">
      <w:pPr>
        <w:pStyle w:val="aff"/>
        <w:ind w:firstLineChars="425" w:firstLine="1020"/>
        <w:rPr>
          <w:rFonts w:cs="Times New Roman"/>
          <w:color w:val="auto"/>
        </w:rPr>
      </w:pPr>
      <w:r>
        <w:rPr>
          <w:rFonts w:cs="Times New Roman"/>
          <w:i/>
          <w:iCs/>
          <w:color w:val="auto"/>
        </w:rPr>
        <w:t>WF</w:t>
      </w:r>
      <w:r>
        <w:rPr>
          <w:rFonts w:cs="Times New Roman"/>
          <w:i/>
          <w:iCs/>
          <w:color w:val="auto"/>
          <w:vertAlign w:val="subscript"/>
        </w:rPr>
        <w:t>VOCs</w:t>
      </w:r>
      <w:r>
        <w:rPr>
          <w:rFonts w:cs="Times New Roman"/>
          <w:i/>
          <w:iCs/>
          <w:color w:val="auto"/>
          <w:vertAlign w:val="subscript"/>
        </w:rPr>
        <w:t>，</w:t>
      </w:r>
      <w:r>
        <w:rPr>
          <w:rFonts w:cs="Times New Roman"/>
          <w:i/>
          <w:iCs/>
          <w:color w:val="auto"/>
          <w:vertAlign w:val="subscript"/>
          <w:lang w:val="zh-CN"/>
        </w:rPr>
        <w:t>i</w:t>
      </w:r>
      <w:r>
        <w:rPr>
          <w:rFonts w:cs="Times New Roman"/>
          <w:color w:val="auto"/>
          <w:lang w:val="zh-CN"/>
        </w:rPr>
        <w:t>——</w:t>
      </w:r>
      <w:r>
        <w:rPr>
          <w:rFonts w:cs="Times New Roman"/>
          <w:color w:val="auto"/>
          <w:lang w:val="zh-CN"/>
        </w:rPr>
        <w:t>流经密封点</w:t>
      </w:r>
      <w:r>
        <w:rPr>
          <w:rFonts w:cs="Times New Roman"/>
          <w:i/>
          <w:iCs/>
          <w:color w:val="auto"/>
        </w:rPr>
        <w:t>i</w:t>
      </w:r>
      <w:r>
        <w:rPr>
          <w:rFonts w:cs="Times New Roman"/>
          <w:color w:val="auto"/>
        </w:rPr>
        <w:t>的物料中挥发性有机物平均质量分数，根据设计文件取值；</w:t>
      </w:r>
    </w:p>
    <w:p w:rsidR="00C645C9" w:rsidRDefault="00F955D9">
      <w:pPr>
        <w:pStyle w:val="aff"/>
        <w:ind w:firstLineChars="425" w:firstLine="1020"/>
        <w:rPr>
          <w:rFonts w:cs="Times New Roman"/>
          <w:color w:val="auto"/>
        </w:rPr>
      </w:pPr>
      <w:r>
        <w:rPr>
          <w:rFonts w:cs="Times New Roman"/>
          <w:i/>
          <w:iCs/>
          <w:color w:val="auto"/>
        </w:rPr>
        <w:t>WF</w:t>
      </w:r>
      <w:r>
        <w:rPr>
          <w:rFonts w:cs="Times New Roman"/>
          <w:i/>
          <w:iCs/>
          <w:color w:val="auto"/>
          <w:vertAlign w:val="subscript"/>
        </w:rPr>
        <w:t>TOC</w:t>
      </w:r>
      <w:r>
        <w:rPr>
          <w:rFonts w:cs="Times New Roman"/>
          <w:i/>
          <w:iCs/>
          <w:color w:val="auto"/>
          <w:vertAlign w:val="subscript"/>
        </w:rPr>
        <w:t>，</w:t>
      </w:r>
      <w:r>
        <w:rPr>
          <w:rFonts w:cs="Times New Roman"/>
          <w:i/>
          <w:iCs/>
          <w:color w:val="auto"/>
          <w:vertAlign w:val="subscript"/>
          <w:lang w:val="zh-CN"/>
        </w:rPr>
        <w:t>i</w:t>
      </w:r>
      <w:r>
        <w:rPr>
          <w:rFonts w:cs="Times New Roman"/>
          <w:color w:val="auto"/>
          <w:lang w:val="zh-CN"/>
        </w:rPr>
        <w:t>——</w:t>
      </w:r>
      <w:r>
        <w:rPr>
          <w:rFonts w:cs="Times New Roman"/>
          <w:color w:val="auto"/>
          <w:lang w:val="zh-CN"/>
        </w:rPr>
        <w:t>流经密封点</w:t>
      </w:r>
      <w:r>
        <w:rPr>
          <w:rFonts w:cs="Times New Roman"/>
          <w:i/>
          <w:iCs/>
          <w:color w:val="auto"/>
        </w:rPr>
        <w:t>i</w:t>
      </w:r>
      <w:r>
        <w:rPr>
          <w:rFonts w:cs="Times New Roman"/>
          <w:color w:val="auto"/>
        </w:rPr>
        <w:t>的物料中总有机碳（</w:t>
      </w:r>
      <w:r>
        <w:rPr>
          <w:rFonts w:cs="Times New Roman"/>
          <w:color w:val="auto"/>
        </w:rPr>
        <w:t>TOC</w:t>
      </w:r>
      <w:r>
        <w:rPr>
          <w:rFonts w:cs="Times New Roman"/>
          <w:color w:val="auto"/>
        </w:rPr>
        <w:t>）平均质量分数，根据设计文件取值；</w:t>
      </w:r>
    </w:p>
    <w:p w:rsidR="00C645C9" w:rsidRDefault="00F955D9">
      <w:pPr>
        <w:pStyle w:val="aff"/>
        <w:ind w:firstLineChars="425" w:firstLine="1020"/>
        <w:rPr>
          <w:rFonts w:cs="Times New Roman"/>
          <w:color w:val="auto"/>
        </w:rPr>
      </w:pPr>
      <w:r>
        <w:rPr>
          <w:rFonts w:cs="Times New Roman"/>
          <w:i/>
          <w:iCs/>
          <w:color w:val="auto"/>
        </w:rPr>
        <w:t>n</w:t>
      </w:r>
      <w:r>
        <w:rPr>
          <w:rFonts w:cs="Times New Roman"/>
          <w:color w:val="auto"/>
          <w:lang w:val="zh-CN"/>
        </w:rPr>
        <w:t>——</w:t>
      </w:r>
      <w:r>
        <w:rPr>
          <w:rFonts w:cs="Times New Roman"/>
          <w:color w:val="auto"/>
          <w:lang w:val="zh-CN"/>
        </w:rPr>
        <w:t>挥发性有机物流经的设备与管线组件密封点数。</w:t>
      </w:r>
    </w:p>
    <w:p w:rsidR="00C645C9" w:rsidRDefault="00F955D9">
      <w:pPr>
        <w:pStyle w:val="af9"/>
        <w:adjustRightInd w:val="0"/>
        <w:snapToGrid w:val="0"/>
        <w:spacing w:line="240" w:lineRule="auto"/>
      </w:pPr>
      <w:r>
        <w:rPr>
          <w:rFonts w:eastAsia="黑体"/>
          <w:b w:val="0"/>
          <w:bCs/>
          <w:kern w:val="2"/>
          <w:lang w:bidi="ar"/>
        </w:rPr>
        <w:t>表</w:t>
      </w:r>
      <w:r>
        <w:rPr>
          <w:rFonts w:eastAsia="黑体"/>
          <w:b w:val="0"/>
          <w:bCs/>
          <w:kern w:val="2"/>
          <w:lang w:bidi="ar"/>
        </w:rPr>
        <w:t>3.</w:t>
      </w:r>
      <w:r>
        <w:rPr>
          <w:rFonts w:eastAsia="黑体" w:hint="eastAsia"/>
          <w:b w:val="0"/>
          <w:bCs/>
          <w:kern w:val="2"/>
          <w:lang w:bidi="ar"/>
        </w:rPr>
        <w:t>3-11</w:t>
      </w:r>
      <w:r>
        <w:rPr>
          <w:rFonts w:eastAsia="黑体"/>
          <w:b w:val="0"/>
          <w:bCs/>
          <w:kern w:val="2"/>
          <w:lang w:bidi="ar"/>
        </w:rPr>
        <w:t xml:space="preserve">    </w:t>
      </w:r>
      <w:r>
        <w:rPr>
          <w:rFonts w:eastAsia="黑体"/>
          <w:b w:val="0"/>
          <w:bCs/>
          <w:kern w:val="2"/>
          <w:lang w:val="zh-CN" w:bidi="ar"/>
        </w:rPr>
        <w:t>设备与管线组件</w:t>
      </w:r>
      <w:r>
        <w:rPr>
          <w:rFonts w:eastAsia="黑体"/>
          <w:b w:val="0"/>
          <w:bCs/>
          <w:i/>
          <w:iCs/>
          <w:kern w:val="2"/>
          <w:lang w:val="zh-CN" w:bidi="ar"/>
        </w:rPr>
        <w:t>e</w:t>
      </w:r>
      <w:r>
        <w:rPr>
          <w:rFonts w:eastAsia="黑体"/>
          <w:b w:val="0"/>
          <w:bCs/>
          <w:i/>
          <w:iCs/>
          <w:kern w:val="2"/>
          <w:vertAlign w:val="subscript"/>
          <w:lang w:val="zh-CN" w:bidi="ar"/>
        </w:rPr>
        <w:t>TOC</w:t>
      </w:r>
      <w:r>
        <w:rPr>
          <w:rFonts w:eastAsia="黑体"/>
          <w:b w:val="0"/>
          <w:bCs/>
          <w:i/>
          <w:iCs/>
          <w:kern w:val="2"/>
          <w:vertAlign w:val="subscript"/>
          <w:lang w:val="zh-CN" w:bidi="ar"/>
        </w:rPr>
        <w:t>，</w:t>
      </w:r>
      <w:r>
        <w:rPr>
          <w:rFonts w:eastAsia="黑体"/>
          <w:b w:val="0"/>
          <w:bCs/>
          <w:i/>
          <w:iCs/>
          <w:kern w:val="2"/>
          <w:vertAlign w:val="subscript"/>
          <w:lang w:val="zh-CN" w:bidi="ar"/>
        </w:rPr>
        <w:t>i</w:t>
      </w:r>
      <w:r>
        <w:rPr>
          <w:rFonts w:eastAsia="黑体"/>
          <w:b w:val="0"/>
          <w:bCs/>
          <w:kern w:val="2"/>
          <w:lang w:val="zh-CN" w:bidi="ar"/>
        </w:rPr>
        <w:t>取值参数表</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7"/>
        <w:gridCol w:w="3613"/>
        <w:gridCol w:w="3185"/>
      </w:tblGrid>
      <w:tr w:rsidR="00C645C9">
        <w:trPr>
          <w:trHeight w:val="397"/>
          <w:jc w:val="center"/>
        </w:trPr>
        <w:tc>
          <w:tcPr>
            <w:tcW w:w="98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类型</w:t>
            </w:r>
          </w:p>
        </w:tc>
        <w:tc>
          <w:tcPr>
            <w:tcW w:w="213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设备类型</w:t>
            </w:r>
          </w:p>
        </w:tc>
        <w:tc>
          <w:tcPr>
            <w:tcW w:w="188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排放速率</w:t>
            </w:r>
            <w:r>
              <w:rPr>
                <w:rFonts w:cs="Times New Roman"/>
                <w:i/>
                <w:iCs/>
                <w:spacing w:val="-10"/>
                <w:sz w:val="21"/>
                <w:szCs w:val="21"/>
              </w:rPr>
              <w:t>e</w:t>
            </w:r>
            <w:r>
              <w:rPr>
                <w:rFonts w:cs="Times New Roman"/>
                <w:i/>
                <w:iCs/>
                <w:spacing w:val="-10"/>
                <w:sz w:val="21"/>
                <w:szCs w:val="21"/>
                <w:vertAlign w:val="subscript"/>
              </w:rPr>
              <w:t>TOC</w:t>
            </w:r>
            <w:r>
              <w:rPr>
                <w:rFonts w:cs="Times New Roman"/>
                <w:i/>
                <w:iCs/>
                <w:spacing w:val="-10"/>
                <w:sz w:val="21"/>
                <w:szCs w:val="21"/>
                <w:vertAlign w:val="subscript"/>
              </w:rPr>
              <w:t>，</w:t>
            </w:r>
            <w:r>
              <w:rPr>
                <w:rFonts w:cs="Times New Roman"/>
                <w:i/>
                <w:iCs/>
                <w:spacing w:val="-10"/>
                <w:sz w:val="21"/>
                <w:szCs w:val="21"/>
                <w:vertAlign w:val="subscript"/>
              </w:rPr>
              <w:t>i</w:t>
            </w:r>
            <w:r>
              <w:rPr>
                <w:rFonts w:cs="Times New Roman"/>
                <w:spacing w:val="-10"/>
                <w:sz w:val="21"/>
                <w:szCs w:val="21"/>
              </w:rPr>
              <w:t>/</w:t>
            </w:r>
            <w:r>
              <w:rPr>
                <w:rFonts w:cs="Times New Roman"/>
                <w:spacing w:val="-10"/>
                <w:sz w:val="21"/>
                <w:szCs w:val="21"/>
              </w:rPr>
              <w:t>（</w:t>
            </w:r>
            <w:r>
              <w:rPr>
                <w:rFonts w:cs="Times New Roman"/>
                <w:spacing w:val="-10"/>
                <w:sz w:val="21"/>
                <w:szCs w:val="21"/>
              </w:rPr>
              <w:t>kg/h</w:t>
            </w:r>
            <w:r>
              <w:rPr>
                <w:rFonts w:cs="Times New Roman"/>
                <w:spacing w:val="-10"/>
                <w:sz w:val="21"/>
                <w:szCs w:val="21"/>
              </w:rPr>
              <w:t>排放源</w:t>
            </w:r>
            <w:r>
              <w:rPr>
                <w:rFonts w:cs="Times New Roman"/>
                <w:spacing w:val="-10"/>
                <w:sz w:val="21"/>
                <w:szCs w:val="21"/>
              </w:rPr>
              <w:t>）</w:t>
            </w:r>
          </w:p>
        </w:tc>
      </w:tr>
      <w:tr w:rsidR="00C645C9">
        <w:trPr>
          <w:trHeight w:val="397"/>
          <w:jc w:val="center"/>
        </w:trPr>
        <w:tc>
          <w:tcPr>
            <w:tcW w:w="985" w:type="pct"/>
            <w:vMerge w:val="restar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石油</w:t>
            </w:r>
            <w:r>
              <w:rPr>
                <w:rFonts w:cs="Times New Roman" w:hint="eastAsia"/>
                <w:spacing w:val="-10"/>
                <w:sz w:val="21"/>
                <w:szCs w:val="21"/>
              </w:rPr>
              <w:t>炼制</w:t>
            </w:r>
            <w:r>
              <w:rPr>
                <w:rFonts w:cs="Times New Roman"/>
                <w:spacing w:val="-10"/>
                <w:sz w:val="21"/>
                <w:szCs w:val="21"/>
              </w:rPr>
              <w:t>工业</w:t>
            </w:r>
          </w:p>
        </w:tc>
        <w:tc>
          <w:tcPr>
            <w:tcW w:w="2134" w:type="pct"/>
            <w:vAlign w:val="center"/>
          </w:tcPr>
          <w:p w:rsidR="00C645C9" w:rsidRDefault="00F955D9">
            <w:pPr>
              <w:spacing w:line="0" w:lineRule="atLeast"/>
              <w:jc w:val="center"/>
              <w:rPr>
                <w:rFonts w:cs="Times New Roman"/>
                <w:spacing w:val="-10"/>
                <w:sz w:val="21"/>
                <w:szCs w:val="21"/>
              </w:rPr>
            </w:pPr>
            <w:r>
              <w:rPr>
                <w:rFonts w:cs="Times New Roman" w:hint="eastAsia"/>
                <w:spacing w:val="-10"/>
                <w:sz w:val="21"/>
                <w:szCs w:val="21"/>
              </w:rPr>
              <w:t>连接件</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0.02</w:t>
            </w:r>
            <w:r>
              <w:rPr>
                <w:rFonts w:cs="Times New Roman" w:hint="eastAsia"/>
                <w:spacing w:val="-10"/>
                <w:sz w:val="21"/>
                <w:szCs w:val="21"/>
              </w:rPr>
              <w:t>8</w:t>
            </w:r>
          </w:p>
        </w:tc>
      </w:tr>
      <w:tr w:rsidR="00C645C9">
        <w:trPr>
          <w:trHeight w:val="397"/>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开口阀或开口管线</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0.03</w:t>
            </w:r>
          </w:p>
        </w:tc>
      </w:tr>
      <w:tr w:rsidR="00C645C9">
        <w:trPr>
          <w:trHeight w:val="397"/>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阀门</w:t>
            </w:r>
          </w:p>
        </w:tc>
        <w:tc>
          <w:tcPr>
            <w:tcW w:w="1881" w:type="pct"/>
            <w:vAlign w:val="center"/>
          </w:tcPr>
          <w:p w:rsidR="00C645C9" w:rsidRDefault="00F955D9">
            <w:pPr>
              <w:spacing w:line="0" w:lineRule="atLeast"/>
              <w:jc w:val="center"/>
              <w:rPr>
                <w:rFonts w:cs="Times New Roman"/>
                <w:spacing w:val="-10"/>
                <w:sz w:val="21"/>
                <w:szCs w:val="21"/>
              </w:rPr>
            </w:pPr>
            <w:bookmarkStart w:id="969" w:name="OLE_LINK384"/>
            <w:r>
              <w:rPr>
                <w:rFonts w:cs="Times New Roman"/>
                <w:spacing w:val="-10"/>
                <w:sz w:val="21"/>
                <w:szCs w:val="21"/>
              </w:rPr>
              <w:t>0.0</w:t>
            </w:r>
            <w:bookmarkEnd w:id="969"/>
            <w:r>
              <w:rPr>
                <w:rFonts w:cs="Times New Roman" w:hint="eastAsia"/>
                <w:spacing w:val="-10"/>
                <w:sz w:val="21"/>
                <w:szCs w:val="21"/>
              </w:rPr>
              <w:t>64</w:t>
            </w:r>
          </w:p>
        </w:tc>
      </w:tr>
      <w:tr w:rsidR="00C645C9">
        <w:trPr>
          <w:trHeight w:val="425"/>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压缩机、搅拌器、泄压设备</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0.0</w:t>
            </w:r>
            <w:r>
              <w:rPr>
                <w:rFonts w:cs="Times New Roman" w:hint="eastAsia"/>
                <w:spacing w:val="-10"/>
                <w:sz w:val="21"/>
                <w:szCs w:val="21"/>
              </w:rPr>
              <w:t>73</w:t>
            </w:r>
          </w:p>
        </w:tc>
      </w:tr>
      <w:tr w:rsidR="00C645C9">
        <w:trPr>
          <w:trHeight w:val="425"/>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泵</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0.</w:t>
            </w:r>
            <w:r>
              <w:rPr>
                <w:rFonts w:cs="Times New Roman" w:hint="eastAsia"/>
                <w:spacing w:val="-10"/>
                <w:sz w:val="21"/>
                <w:szCs w:val="21"/>
              </w:rPr>
              <w:t>074</w:t>
            </w:r>
          </w:p>
        </w:tc>
      </w:tr>
      <w:tr w:rsidR="00C645C9">
        <w:trPr>
          <w:trHeight w:val="425"/>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hint="eastAsia"/>
                <w:spacing w:val="-10"/>
                <w:sz w:val="21"/>
                <w:szCs w:val="21"/>
              </w:rPr>
              <w:t>法兰</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hint="eastAsia"/>
                <w:spacing w:val="-10"/>
                <w:sz w:val="21"/>
                <w:szCs w:val="21"/>
              </w:rPr>
              <w:t>0.085</w:t>
            </w:r>
          </w:p>
        </w:tc>
      </w:tr>
      <w:tr w:rsidR="00C645C9">
        <w:trPr>
          <w:trHeight w:val="425"/>
          <w:jc w:val="center"/>
        </w:trPr>
        <w:tc>
          <w:tcPr>
            <w:tcW w:w="985" w:type="pct"/>
            <w:vMerge/>
            <w:vAlign w:val="center"/>
          </w:tcPr>
          <w:p w:rsidR="00C645C9" w:rsidRDefault="00C645C9">
            <w:pPr>
              <w:spacing w:line="0" w:lineRule="atLeast"/>
              <w:jc w:val="center"/>
              <w:rPr>
                <w:rFonts w:cs="Times New Roman"/>
                <w:spacing w:val="-10"/>
                <w:sz w:val="21"/>
                <w:szCs w:val="21"/>
              </w:rPr>
            </w:pPr>
          </w:p>
        </w:tc>
        <w:tc>
          <w:tcPr>
            <w:tcW w:w="2134"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其他</w:t>
            </w:r>
          </w:p>
        </w:tc>
        <w:tc>
          <w:tcPr>
            <w:tcW w:w="1881" w:type="pct"/>
            <w:vAlign w:val="center"/>
          </w:tcPr>
          <w:p w:rsidR="00C645C9" w:rsidRDefault="00F955D9">
            <w:pPr>
              <w:spacing w:line="0" w:lineRule="atLeast"/>
              <w:jc w:val="center"/>
              <w:rPr>
                <w:rFonts w:cs="Times New Roman"/>
                <w:spacing w:val="-10"/>
                <w:sz w:val="21"/>
                <w:szCs w:val="21"/>
              </w:rPr>
            </w:pPr>
            <w:r>
              <w:rPr>
                <w:rFonts w:cs="Times New Roman"/>
                <w:spacing w:val="-10"/>
                <w:sz w:val="21"/>
                <w:szCs w:val="21"/>
              </w:rPr>
              <w:t>0.073</w:t>
            </w:r>
          </w:p>
        </w:tc>
      </w:tr>
    </w:tbl>
    <w:p w:rsidR="00C645C9" w:rsidRDefault="00F955D9">
      <w:pPr>
        <w:pStyle w:val="aff"/>
        <w:jc w:val="both"/>
        <w:rPr>
          <w:rFonts w:cs="Times New Roman"/>
          <w:color w:val="auto"/>
        </w:rPr>
      </w:pPr>
      <w:r>
        <w:rPr>
          <w:rFonts w:cs="Times New Roman"/>
          <w:color w:val="auto"/>
          <w:szCs w:val="28"/>
        </w:rPr>
        <w:t>参照《石化行业</w:t>
      </w:r>
      <w:r>
        <w:rPr>
          <w:rFonts w:cs="Times New Roman"/>
          <w:color w:val="auto"/>
          <w:szCs w:val="28"/>
        </w:rPr>
        <w:t>VOCs</w:t>
      </w:r>
      <w:r>
        <w:rPr>
          <w:rFonts w:cs="Times New Roman"/>
          <w:color w:val="auto"/>
          <w:szCs w:val="28"/>
        </w:rPr>
        <w:t>污染源排查工作指南》，若未提供</w:t>
      </w:r>
      <w:r>
        <w:rPr>
          <w:rFonts w:cs="Times New Roman"/>
          <w:color w:val="auto"/>
          <w:szCs w:val="28"/>
        </w:rPr>
        <w:t>TOC</w:t>
      </w:r>
      <w:r>
        <w:rPr>
          <w:rFonts w:cs="Times New Roman"/>
          <w:color w:val="auto"/>
          <w:szCs w:val="28"/>
        </w:rPr>
        <w:t>中</w:t>
      </w:r>
      <w:r>
        <w:rPr>
          <w:rFonts w:cs="Times New Roman"/>
          <w:color w:val="auto"/>
          <w:szCs w:val="28"/>
        </w:rPr>
        <w:t xml:space="preserve"> VOCs</w:t>
      </w:r>
      <w:r>
        <w:rPr>
          <w:rFonts w:cs="Times New Roman"/>
          <w:color w:val="auto"/>
          <w:szCs w:val="28"/>
        </w:rPr>
        <w:t>的质量分数，则取</w:t>
      </w:r>
      <w:r>
        <w:rPr>
          <w:rFonts w:cs="Times New Roman"/>
          <w:color w:val="auto"/>
          <w:szCs w:val="28"/>
        </w:rPr>
        <w:t>1</w:t>
      </w:r>
      <w:r>
        <w:rPr>
          <w:rFonts w:cs="Times New Roman"/>
          <w:color w:val="auto"/>
          <w:szCs w:val="28"/>
        </w:rPr>
        <w:t>进行核算，</w:t>
      </w:r>
      <w:r>
        <w:rPr>
          <w:bCs/>
          <w:color w:val="auto"/>
        </w:rPr>
        <w:t>本次评价按保守估计的原则，将</w:t>
      </w:r>
      <w:r>
        <w:rPr>
          <w:bCs/>
          <w:color w:val="auto"/>
        </w:rPr>
        <w:t>TOC</w:t>
      </w:r>
      <w:r>
        <w:rPr>
          <w:bCs/>
          <w:color w:val="auto"/>
        </w:rPr>
        <w:t>全部视为可挥发性有机物</w:t>
      </w:r>
      <w:r>
        <w:rPr>
          <w:bCs/>
          <w:color w:val="auto"/>
        </w:rPr>
        <w:t>VOCs</w:t>
      </w:r>
      <w:r>
        <w:rPr>
          <w:rFonts w:hint="eastAsia"/>
          <w:bCs/>
          <w:color w:val="auto"/>
        </w:rPr>
        <w:t>，</w:t>
      </w:r>
      <w:r>
        <w:rPr>
          <w:color w:val="auto"/>
          <w:kern w:val="2"/>
        </w:rPr>
        <w:t>本工程采出液</w:t>
      </w:r>
      <w:r>
        <w:rPr>
          <w:rFonts w:hint="eastAsia"/>
          <w:color w:val="auto"/>
          <w:kern w:val="2"/>
        </w:rPr>
        <w:t>以及天然气</w:t>
      </w:r>
      <w:r>
        <w:rPr>
          <w:color w:val="auto"/>
          <w:kern w:val="2"/>
        </w:rPr>
        <w:t>中</w:t>
      </w:r>
      <w:r>
        <w:rPr>
          <w:i/>
          <w:iCs/>
          <w:color w:val="auto"/>
          <w:kern w:val="2"/>
        </w:rPr>
        <w:t>WF</w:t>
      </w:r>
      <w:r>
        <w:rPr>
          <w:i/>
          <w:iCs/>
          <w:color w:val="auto"/>
          <w:kern w:val="2"/>
          <w:vertAlign w:val="subscript"/>
        </w:rPr>
        <w:t>VOCs</w:t>
      </w:r>
      <w:r>
        <w:rPr>
          <w:i/>
          <w:iCs/>
          <w:color w:val="auto"/>
          <w:kern w:val="2"/>
          <w:vertAlign w:val="subscript"/>
        </w:rPr>
        <w:t>，</w:t>
      </w:r>
      <w:r>
        <w:rPr>
          <w:i/>
          <w:iCs/>
          <w:color w:val="auto"/>
          <w:kern w:val="2"/>
          <w:vertAlign w:val="subscript"/>
        </w:rPr>
        <w:t>i</w:t>
      </w:r>
      <w:r>
        <w:rPr>
          <w:color w:val="auto"/>
          <w:kern w:val="2"/>
          <w:lang w:val="zh-CN"/>
        </w:rPr>
        <w:t>和</w:t>
      </w:r>
      <w:r>
        <w:rPr>
          <w:i/>
          <w:iCs/>
          <w:color w:val="auto"/>
          <w:kern w:val="2"/>
        </w:rPr>
        <w:t>WF</w:t>
      </w:r>
      <w:r>
        <w:rPr>
          <w:i/>
          <w:iCs/>
          <w:color w:val="auto"/>
          <w:kern w:val="2"/>
          <w:vertAlign w:val="subscript"/>
        </w:rPr>
        <w:t>TOC</w:t>
      </w:r>
      <w:r>
        <w:rPr>
          <w:i/>
          <w:iCs/>
          <w:color w:val="auto"/>
          <w:kern w:val="2"/>
          <w:vertAlign w:val="subscript"/>
        </w:rPr>
        <w:t>，</w:t>
      </w:r>
      <w:r>
        <w:rPr>
          <w:i/>
          <w:iCs/>
          <w:color w:val="auto"/>
          <w:kern w:val="2"/>
          <w:vertAlign w:val="subscript"/>
        </w:rPr>
        <w:t>i</w:t>
      </w:r>
      <w:r>
        <w:rPr>
          <w:color w:val="auto"/>
          <w:kern w:val="2"/>
          <w:lang w:val="zh-CN"/>
        </w:rPr>
        <w:t>比值取</w:t>
      </w:r>
      <w:r>
        <w:rPr>
          <w:color w:val="auto"/>
          <w:kern w:val="2"/>
          <w:lang w:val="zh-CN"/>
        </w:rPr>
        <w:t>1</w:t>
      </w:r>
      <w:r>
        <w:rPr>
          <w:rFonts w:hint="eastAsia"/>
          <w:color w:val="auto"/>
        </w:rPr>
        <w:t>。根据设计单位提供的数据，本工程井场无</w:t>
      </w:r>
      <w:r>
        <w:rPr>
          <w:rFonts w:hint="eastAsia"/>
          <w:color w:val="auto"/>
        </w:rPr>
        <w:t>组织废气核算见表</w:t>
      </w:r>
      <w:r>
        <w:rPr>
          <w:rFonts w:cs="Times New Roman"/>
          <w:color w:val="auto"/>
        </w:rPr>
        <w:t>3.3-</w:t>
      </w:r>
      <w:r>
        <w:rPr>
          <w:rFonts w:cs="Times New Roman" w:hint="eastAsia"/>
          <w:color w:val="auto"/>
        </w:rPr>
        <w:t>12</w:t>
      </w:r>
      <w:r>
        <w:rPr>
          <w:rFonts w:cs="Times New Roman"/>
          <w:color w:val="auto"/>
        </w:rPr>
        <w:t>。</w:t>
      </w:r>
    </w:p>
    <w:p w:rsidR="00C645C9" w:rsidRDefault="00F955D9">
      <w:pPr>
        <w:pStyle w:val="af9"/>
        <w:adjustRightInd w:val="0"/>
        <w:snapToGrid w:val="0"/>
        <w:spacing w:line="240" w:lineRule="auto"/>
        <w:rPr>
          <w:rFonts w:eastAsia="黑体"/>
          <w:b w:val="0"/>
          <w:bCs/>
          <w:kern w:val="2"/>
          <w:lang w:bidi="ar"/>
        </w:rPr>
      </w:pPr>
      <w:r>
        <w:rPr>
          <w:rFonts w:eastAsia="黑体"/>
          <w:b w:val="0"/>
          <w:bCs/>
          <w:kern w:val="2"/>
          <w:lang w:bidi="ar"/>
        </w:rPr>
        <w:t>表</w:t>
      </w:r>
      <w:r>
        <w:rPr>
          <w:rFonts w:eastAsia="黑体"/>
          <w:b w:val="0"/>
          <w:bCs/>
          <w:kern w:val="2"/>
          <w:lang w:bidi="ar"/>
        </w:rPr>
        <w:t>3.</w:t>
      </w:r>
      <w:r>
        <w:rPr>
          <w:rFonts w:eastAsia="黑体" w:hint="eastAsia"/>
          <w:b w:val="0"/>
          <w:bCs/>
          <w:kern w:val="2"/>
          <w:lang w:bidi="ar"/>
        </w:rPr>
        <w:t>3-12</w:t>
      </w:r>
      <w:r>
        <w:rPr>
          <w:rFonts w:eastAsia="黑体"/>
          <w:b w:val="0"/>
          <w:bCs/>
          <w:kern w:val="2"/>
          <w:lang w:bidi="ar"/>
        </w:rPr>
        <w:t xml:space="preserve">   </w:t>
      </w:r>
      <w:r>
        <w:rPr>
          <w:rFonts w:eastAsia="黑体"/>
          <w:b w:val="0"/>
          <w:bCs/>
          <w:kern w:val="2"/>
          <w:lang w:bidi="ar"/>
        </w:rPr>
        <w:t>本工程</w:t>
      </w:r>
      <w:r>
        <w:rPr>
          <w:rFonts w:eastAsia="黑体" w:hint="eastAsia"/>
          <w:b w:val="0"/>
          <w:bCs/>
          <w:kern w:val="2"/>
          <w:lang w:bidi="ar"/>
        </w:rPr>
        <w:t>单座</w:t>
      </w:r>
      <w:r>
        <w:rPr>
          <w:rFonts w:eastAsia="黑体"/>
          <w:b w:val="0"/>
          <w:bCs/>
          <w:kern w:val="2"/>
          <w:lang w:bidi="ar"/>
        </w:rPr>
        <w:t>井场</w:t>
      </w:r>
      <w:bookmarkStart w:id="970" w:name="OLE_LINK802"/>
      <w:r>
        <w:rPr>
          <w:rFonts w:eastAsia="黑体"/>
          <w:b w:val="0"/>
          <w:bCs/>
          <w:kern w:val="2"/>
          <w:lang w:bidi="ar"/>
        </w:rPr>
        <w:t>无组织废气</w:t>
      </w:r>
      <w:bookmarkEnd w:id="970"/>
      <w:r>
        <w:rPr>
          <w:rFonts w:eastAsia="黑体"/>
          <w:b w:val="0"/>
          <w:bCs/>
          <w:kern w:val="2"/>
          <w:lang w:bidi="ar"/>
        </w:rPr>
        <w:t>核算一览表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9"/>
        <w:gridCol w:w="1595"/>
        <w:gridCol w:w="1297"/>
        <w:gridCol w:w="2505"/>
        <w:gridCol w:w="2537"/>
      </w:tblGrid>
      <w:tr w:rsidR="00C645C9">
        <w:trPr>
          <w:trHeight w:val="397"/>
          <w:jc w:val="center"/>
        </w:trPr>
        <w:tc>
          <w:tcPr>
            <w:tcW w:w="312" w:type="pct"/>
            <w:vAlign w:val="center"/>
          </w:tcPr>
          <w:p w:rsidR="00C645C9" w:rsidRDefault="00F955D9">
            <w:pPr>
              <w:pStyle w:val="afb"/>
              <w:rPr>
                <w:szCs w:val="21"/>
              </w:rPr>
            </w:pPr>
            <w:r>
              <w:rPr>
                <w:szCs w:val="21"/>
              </w:rPr>
              <w:t>序号</w:t>
            </w:r>
          </w:p>
        </w:tc>
        <w:tc>
          <w:tcPr>
            <w:tcW w:w="942" w:type="pct"/>
            <w:vAlign w:val="center"/>
          </w:tcPr>
          <w:p w:rsidR="00C645C9" w:rsidRDefault="00F955D9">
            <w:pPr>
              <w:pStyle w:val="afb"/>
              <w:rPr>
                <w:szCs w:val="21"/>
              </w:rPr>
            </w:pPr>
            <w:r>
              <w:rPr>
                <w:szCs w:val="21"/>
              </w:rPr>
              <w:t>设备名称</w:t>
            </w:r>
          </w:p>
        </w:tc>
        <w:tc>
          <w:tcPr>
            <w:tcW w:w="766" w:type="pct"/>
            <w:vAlign w:val="center"/>
          </w:tcPr>
          <w:p w:rsidR="00C645C9" w:rsidRDefault="00F955D9">
            <w:pPr>
              <w:pStyle w:val="afb"/>
              <w:rPr>
                <w:szCs w:val="21"/>
                <w:lang w:bidi="ar"/>
              </w:rPr>
            </w:pPr>
            <w:r>
              <w:rPr>
                <w:szCs w:val="21"/>
              </w:rPr>
              <w:t>密封点数量</w:t>
            </w:r>
          </w:p>
        </w:tc>
        <w:tc>
          <w:tcPr>
            <w:tcW w:w="1479" w:type="pct"/>
            <w:vAlign w:val="center"/>
          </w:tcPr>
          <w:p w:rsidR="00C645C9" w:rsidRDefault="00F955D9">
            <w:pPr>
              <w:pStyle w:val="afb"/>
              <w:rPr>
                <w:szCs w:val="21"/>
                <w:lang w:bidi="ar"/>
              </w:rPr>
            </w:pPr>
            <w:r>
              <w:rPr>
                <w:rFonts w:hint="eastAsia"/>
                <w:szCs w:val="21"/>
              </w:rPr>
              <w:t>排放速率</w:t>
            </w:r>
            <w:r>
              <w:rPr>
                <w:rFonts w:hint="eastAsia"/>
                <w:i/>
                <w:iCs/>
                <w:szCs w:val="21"/>
              </w:rPr>
              <w:t>e</w:t>
            </w:r>
            <w:r>
              <w:rPr>
                <w:rFonts w:hint="eastAsia"/>
                <w:i/>
                <w:iCs/>
                <w:szCs w:val="21"/>
                <w:vertAlign w:val="subscript"/>
              </w:rPr>
              <w:t>TOC</w:t>
            </w:r>
            <w:r>
              <w:rPr>
                <w:rFonts w:hint="eastAsia"/>
                <w:i/>
                <w:iCs/>
                <w:szCs w:val="21"/>
                <w:vertAlign w:val="subscript"/>
              </w:rPr>
              <w:t>，</w:t>
            </w:r>
            <w:r>
              <w:rPr>
                <w:rFonts w:hint="eastAsia"/>
                <w:i/>
                <w:iCs/>
                <w:szCs w:val="21"/>
                <w:vertAlign w:val="subscript"/>
              </w:rPr>
              <w:t>i</w:t>
            </w:r>
            <w:r>
              <w:rPr>
                <w:rFonts w:hint="eastAsia"/>
                <w:szCs w:val="21"/>
              </w:rPr>
              <w:t>/</w:t>
            </w:r>
            <w:r>
              <w:rPr>
                <w:rFonts w:hint="eastAsia"/>
                <w:szCs w:val="21"/>
              </w:rPr>
              <w:t>（</w:t>
            </w:r>
            <w:r>
              <w:rPr>
                <w:szCs w:val="21"/>
              </w:rPr>
              <w:t>kg/h</w:t>
            </w:r>
            <w:r>
              <w:rPr>
                <w:rFonts w:hint="eastAsia"/>
                <w:szCs w:val="21"/>
              </w:rPr>
              <w:t>）</w:t>
            </w:r>
          </w:p>
        </w:tc>
        <w:tc>
          <w:tcPr>
            <w:tcW w:w="1499" w:type="pct"/>
            <w:vAlign w:val="center"/>
          </w:tcPr>
          <w:p w:rsidR="00C645C9" w:rsidRDefault="00F955D9">
            <w:pPr>
              <w:pStyle w:val="afb"/>
              <w:rPr>
                <w:szCs w:val="21"/>
                <w:lang w:bidi="ar"/>
              </w:rPr>
            </w:pPr>
            <w:r>
              <w:rPr>
                <w:szCs w:val="21"/>
              </w:rPr>
              <w:t>年排放量</w:t>
            </w:r>
            <w:r>
              <w:rPr>
                <w:rFonts w:hint="eastAsia"/>
                <w:szCs w:val="21"/>
              </w:rPr>
              <w:t>（</w:t>
            </w:r>
            <w:r>
              <w:rPr>
                <w:szCs w:val="21"/>
              </w:rPr>
              <w:t>t</w:t>
            </w:r>
            <w:r>
              <w:rPr>
                <w:rFonts w:hint="eastAsia"/>
                <w:szCs w:val="21"/>
              </w:rPr>
              <w:t>）</w:t>
            </w:r>
          </w:p>
        </w:tc>
      </w:tr>
      <w:tr w:rsidR="00C645C9">
        <w:trPr>
          <w:trHeight w:val="397"/>
          <w:jc w:val="center"/>
        </w:trPr>
        <w:tc>
          <w:tcPr>
            <w:tcW w:w="312" w:type="pct"/>
            <w:vAlign w:val="center"/>
          </w:tcPr>
          <w:p w:rsidR="00C645C9" w:rsidRDefault="00F955D9">
            <w:pPr>
              <w:pStyle w:val="afb"/>
              <w:rPr>
                <w:szCs w:val="21"/>
              </w:rPr>
            </w:pPr>
            <w:bookmarkStart w:id="971" w:name="OLE_LINK371" w:colFirst="4" w:colLast="4"/>
            <w:bookmarkStart w:id="972" w:name="OLE_LINK372" w:colFirst="3" w:colLast="3"/>
            <w:r>
              <w:rPr>
                <w:szCs w:val="21"/>
              </w:rPr>
              <w:t>1</w:t>
            </w:r>
          </w:p>
        </w:tc>
        <w:tc>
          <w:tcPr>
            <w:tcW w:w="942" w:type="pct"/>
            <w:vAlign w:val="center"/>
          </w:tcPr>
          <w:p w:rsidR="00C645C9" w:rsidRDefault="00F955D9">
            <w:pPr>
              <w:pStyle w:val="afb"/>
              <w:rPr>
                <w:szCs w:val="21"/>
              </w:rPr>
            </w:pPr>
            <w:r>
              <w:rPr>
                <w:rFonts w:hint="eastAsia"/>
                <w:szCs w:val="21"/>
              </w:rPr>
              <w:t>阀门</w:t>
            </w:r>
          </w:p>
        </w:tc>
        <w:tc>
          <w:tcPr>
            <w:tcW w:w="766" w:type="pct"/>
            <w:vAlign w:val="center"/>
          </w:tcPr>
          <w:p w:rsidR="00C645C9" w:rsidRDefault="00F955D9">
            <w:pPr>
              <w:pStyle w:val="afb"/>
              <w:rPr>
                <w:szCs w:val="21"/>
              </w:rPr>
            </w:pPr>
            <w:r>
              <w:rPr>
                <w:rFonts w:hint="eastAsia"/>
                <w:szCs w:val="21"/>
              </w:rPr>
              <w:t>2</w:t>
            </w:r>
            <w:r>
              <w:rPr>
                <w:rFonts w:hint="eastAsia"/>
                <w:szCs w:val="21"/>
              </w:rPr>
              <w:t>6</w:t>
            </w:r>
          </w:p>
        </w:tc>
        <w:tc>
          <w:tcPr>
            <w:tcW w:w="1479" w:type="pct"/>
            <w:vAlign w:val="center"/>
          </w:tcPr>
          <w:p w:rsidR="00C645C9" w:rsidRDefault="00F955D9">
            <w:pPr>
              <w:pStyle w:val="afb"/>
              <w:rPr>
                <w:szCs w:val="21"/>
              </w:rPr>
            </w:pPr>
            <w:r>
              <w:rPr>
                <w:rFonts w:hint="eastAsia"/>
                <w:szCs w:val="21"/>
              </w:rPr>
              <w:t>0.0</w:t>
            </w:r>
            <w:r>
              <w:rPr>
                <w:rFonts w:hint="eastAsia"/>
                <w:szCs w:val="21"/>
              </w:rPr>
              <w:t>64</w:t>
            </w:r>
          </w:p>
        </w:tc>
        <w:tc>
          <w:tcPr>
            <w:tcW w:w="2538" w:type="dxa"/>
            <w:vAlign w:val="center"/>
          </w:tcPr>
          <w:p w:rsidR="00C645C9" w:rsidRDefault="00F955D9">
            <w:pPr>
              <w:pStyle w:val="afb"/>
            </w:pPr>
            <w:r>
              <w:t xml:space="preserve">0.040 </w:t>
            </w:r>
          </w:p>
        </w:tc>
      </w:tr>
      <w:tr w:rsidR="00C645C9">
        <w:trPr>
          <w:trHeight w:val="397"/>
          <w:jc w:val="center"/>
        </w:trPr>
        <w:tc>
          <w:tcPr>
            <w:tcW w:w="312" w:type="pct"/>
            <w:vAlign w:val="center"/>
          </w:tcPr>
          <w:p w:rsidR="00C645C9" w:rsidRDefault="00F955D9">
            <w:pPr>
              <w:pStyle w:val="afb"/>
              <w:rPr>
                <w:szCs w:val="21"/>
              </w:rPr>
            </w:pPr>
            <w:r>
              <w:rPr>
                <w:rFonts w:hint="eastAsia"/>
                <w:szCs w:val="21"/>
              </w:rPr>
              <w:t>2</w:t>
            </w:r>
          </w:p>
        </w:tc>
        <w:tc>
          <w:tcPr>
            <w:tcW w:w="942" w:type="pct"/>
            <w:vAlign w:val="center"/>
          </w:tcPr>
          <w:p w:rsidR="00C645C9" w:rsidRDefault="00F955D9">
            <w:pPr>
              <w:pStyle w:val="afb"/>
              <w:rPr>
                <w:szCs w:val="21"/>
                <w:lang w:bidi="ar"/>
              </w:rPr>
            </w:pPr>
            <w:r>
              <w:rPr>
                <w:szCs w:val="21"/>
              </w:rPr>
              <w:t>法兰</w:t>
            </w:r>
          </w:p>
        </w:tc>
        <w:tc>
          <w:tcPr>
            <w:tcW w:w="766" w:type="pct"/>
            <w:vAlign w:val="center"/>
          </w:tcPr>
          <w:p w:rsidR="00C645C9" w:rsidRDefault="00F955D9">
            <w:pPr>
              <w:pStyle w:val="afb"/>
              <w:rPr>
                <w:szCs w:val="21"/>
                <w:lang w:bidi="ar"/>
              </w:rPr>
            </w:pPr>
            <w:r>
              <w:rPr>
                <w:szCs w:val="21"/>
                <w:lang w:bidi="ar"/>
              </w:rPr>
              <w:t>52</w:t>
            </w:r>
          </w:p>
        </w:tc>
        <w:tc>
          <w:tcPr>
            <w:tcW w:w="1479" w:type="pct"/>
            <w:vAlign w:val="center"/>
          </w:tcPr>
          <w:p w:rsidR="00C645C9" w:rsidRDefault="00F955D9">
            <w:pPr>
              <w:pStyle w:val="afb"/>
              <w:rPr>
                <w:szCs w:val="21"/>
                <w:lang w:bidi="ar"/>
              </w:rPr>
            </w:pPr>
            <w:r>
              <w:rPr>
                <w:szCs w:val="21"/>
              </w:rPr>
              <w:t>0.0</w:t>
            </w:r>
            <w:r>
              <w:rPr>
                <w:rFonts w:hint="eastAsia"/>
                <w:szCs w:val="21"/>
              </w:rPr>
              <w:t>85</w:t>
            </w:r>
          </w:p>
        </w:tc>
        <w:tc>
          <w:tcPr>
            <w:tcW w:w="2538" w:type="dxa"/>
            <w:vAlign w:val="center"/>
          </w:tcPr>
          <w:p w:rsidR="00C645C9" w:rsidRDefault="00F955D9">
            <w:pPr>
              <w:pStyle w:val="afb"/>
            </w:pPr>
            <w:r>
              <w:t xml:space="preserve">0.105 </w:t>
            </w:r>
          </w:p>
        </w:tc>
      </w:tr>
      <w:tr w:rsidR="00C645C9">
        <w:trPr>
          <w:trHeight w:val="397"/>
          <w:jc w:val="center"/>
        </w:trPr>
        <w:tc>
          <w:tcPr>
            <w:tcW w:w="312" w:type="pct"/>
            <w:vAlign w:val="center"/>
          </w:tcPr>
          <w:p w:rsidR="00C645C9" w:rsidRDefault="00F955D9">
            <w:pPr>
              <w:pStyle w:val="afb"/>
              <w:rPr>
                <w:szCs w:val="21"/>
              </w:rPr>
            </w:pPr>
            <w:r>
              <w:rPr>
                <w:rFonts w:hint="eastAsia"/>
                <w:szCs w:val="21"/>
              </w:rPr>
              <w:t>3</w:t>
            </w:r>
          </w:p>
        </w:tc>
        <w:tc>
          <w:tcPr>
            <w:tcW w:w="942" w:type="pct"/>
            <w:vAlign w:val="center"/>
          </w:tcPr>
          <w:p w:rsidR="00C645C9" w:rsidRDefault="00F955D9">
            <w:pPr>
              <w:pStyle w:val="afb"/>
              <w:rPr>
                <w:szCs w:val="21"/>
              </w:rPr>
            </w:pPr>
            <w:bookmarkStart w:id="973" w:name="OLE_LINK1140"/>
            <w:r>
              <w:rPr>
                <w:rFonts w:hint="eastAsia"/>
                <w:szCs w:val="21"/>
              </w:rPr>
              <w:t>分离器</w:t>
            </w:r>
            <w:bookmarkEnd w:id="973"/>
            <w:r>
              <w:rPr>
                <w:rFonts w:hint="eastAsia"/>
                <w:szCs w:val="21"/>
              </w:rPr>
              <w:t>、</w:t>
            </w:r>
            <w:bookmarkStart w:id="974" w:name="OLE_LINK1139"/>
            <w:r>
              <w:rPr>
                <w:rFonts w:hint="eastAsia"/>
                <w:szCs w:val="21"/>
              </w:rPr>
              <w:t>回收泵</w:t>
            </w:r>
            <w:bookmarkEnd w:id="974"/>
            <w:r>
              <w:rPr>
                <w:rFonts w:hint="eastAsia"/>
                <w:szCs w:val="21"/>
              </w:rPr>
              <w:t>撬、计量撬</w:t>
            </w:r>
            <w:r>
              <w:rPr>
                <w:rFonts w:hint="eastAsia"/>
                <w:szCs w:val="21"/>
              </w:rPr>
              <w:t>等</w:t>
            </w:r>
          </w:p>
        </w:tc>
        <w:tc>
          <w:tcPr>
            <w:tcW w:w="766" w:type="pct"/>
            <w:vAlign w:val="center"/>
          </w:tcPr>
          <w:p w:rsidR="00C645C9" w:rsidRDefault="00F955D9">
            <w:pPr>
              <w:pStyle w:val="afb"/>
              <w:rPr>
                <w:szCs w:val="21"/>
                <w:lang w:bidi="ar"/>
              </w:rPr>
            </w:pPr>
            <w:r>
              <w:rPr>
                <w:rFonts w:hint="eastAsia"/>
                <w:szCs w:val="21"/>
                <w:lang w:bidi="ar"/>
              </w:rPr>
              <w:t>5</w:t>
            </w:r>
          </w:p>
        </w:tc>
        <w:tc>
          <w:tcPr>
            <w:tcW w:w="1479" w:type="pct"/>
            <w:vAlign w:val="center"/>
          </w:tcPr>
          <w:p w:rsidR="00C645C9" w:rsidRDefault="00F955D9">
            <w:pPr>
              <w:pStyle w:val="afb"/>
              <w:rPr>
                <w:szCs w:val="21"/>
              </w:rPr>
            </w:pPr>
            <w:bookmarkStart w:id="975" w:name="OLE_LINK370"/>
            <w:r>
              <w:rPr>
                <w:rFonts w:hint="eastAsia"/>
                <w:szCs w:val="21"/>
              </w:rPr>
              <w:t>0</w:t>
            </w:r>
            <w:r>
              <w:rPr>
                <w:szCs w:val="21"/>
              </w:rPr>
              <w:t>.</w:t>
            </w:r>
            <w:bookmarkEnd w:id="975"/>
            <w:r>
              <w:rPr>
                <w:rFonts w:hint="eastAsia"/>
                <w:szCs w:val="21"/>
              </w:rPr>
              <w:t>073</w:t>
            </w:r>
          </w:p>
        </w:tc>
        <w:tc>
          <w:tcPr>
            <w:tcW w:w="2538" w:type="dxa"/>
            <w:vAlign w:val="center"/>
          </w:tcPr>
          <w:p w:rsidR="00C645C9" w:rsidRDefault="00F955D9">
            <w:pPr>
              <w:pStyle w:val="afb"/>
            </w:pPr>
            <w:r>
              <w:t xml:space="preserve">0.009 </w:t>
            </w:r>
          </w:p>
        </w:tc>
      </w:tr>
      <w:bookmarkEnd w:id="971"/>
      <w:bookmarkEnd w:id="972"/>
      <w:tr w:rsidR="00C645C9">
        <w:trPr>
          <w:trHeight w:val="397"/>
          <w:jc w:val="center"/>
        </w:trPr>
        <w:tc>
          <w:tcPr>
            <w:tcW w:w="3500" w:type="pct"/>
            <w:gridSpan w:val="4"/>
            <w:vAlign w:val="center"/>
          </w:tcPr>
          <w:p w:rsidR="00C645C9" w:rsidRDefault="00F955D9">
            <w:pPr>
              <w:pStyle w:val="afb"/>
              <w:rPr>
                <w:szCs w:val="21"/>
              </w:rPr>
            </w:pPr>
            <w:r>
              <w:rPr>
                <w:rFonts w:hint="eastAsia"/>
                <w:szCs w:val="21"/>
              </w:rPr>
              <w:t>合计</w:t>
            </w:r>
          </w:p>
        </w:tc>
        <w:tc>
          <w:tcPr>
            <w:tcW w:w="2538" w:type="dxa"/>
            <w:vAlign w:val="center"/>
          </w:tcPr>
          <w:p w:rsidR="00C645C9" w:rsidRDefault="00F955D9">
            <w:pPr>
              <w:pStyle w:val="afb"/>
            </w:pPr>
            <w:bookmarkStart w:id="976" w:name="OLE_LINK987"/>
            <w:r>
              <w:t>0.153</w:t>
            </w:r>
            <w:bookmarkEnd w:id="976"/>
            <w:r>
              <w:t xml:space="preserve"> </w:t>
            </w:r>
          </w:p>
        </w:tc>
      </w:tr>
    </w:tbl>
    <w:p w:rsidR="00C645C9" w:rsidRDefault="00F955D9">
      <w:pPr>
        <w:adjustRightInd w:val="0"/>
        <w:snapToGrid w:val="0"/>
        <w:spacing w:line="360" w:lineRule="auto"/>
        <w:ind w:firstLineChars="200" w:firstLine="480"/>
        <w:rPr>
          <w:rFonts w:cs="Times New Roman"/>
          <w:szCs w:val="28"/>
        </w:rPr>
      </w:pPr>
      <w:r>
        <w:t>经核算，</w:t>
      </w:r>
      <w:r>
        <w:rPr>
          <w:rFonts w:hint="eastAsia"/>
        </w:rPr>
        <w:t>本工程</w:t>
      </w:r>
      <w:r>
        <w:rPr>
          <w:rFonts w:hint="eastAsia"/>
        </w:rPr>
        <w:t>单座</w:t>
      </w:r>
      <w:r>
        <w:rPr>
          <w:rFonts w:hint="eastAsia"/>
        </w:rPr>
        <w:t>井场</w:t>
      </w:r>
      <w:bookmarkStart w:id="977" w:name="OLE_LINK1452"/>
      <w:r>
        <w:rPr>
          <w:rFonts w:hint="eastAsia"/>
        </w:rPr>
        <w:t>油气处理</w:t>
      </w:r>
      <w:bookmarkEnd w:id="977"/>
      <w:r>
        <w:rPr>
          <w:rFonts w:hint="eastAsia"/>
        </w:rPr>
        <w:t>过程中烃类挥发量为</w:t>
      </w:r>
      <w:bookmarkStart w:id="978" w:name="OLE_LINK373"/>
      <w:r>
        <w:rPr>
          <w:rFonts w:hint="eastAsia"/>
        </w:rPr>
        <w:t>0.153</w:t>
      </w:r>
      <w:r>
        <w:t>t/a</w:t>
      </w:r>
      <w:bookmarkEnd w:id="978"/>
      <w:r>
        <w:rPr>
          <w:rFonts w:hint="eastAsia"/>
        </w:rPr>
        <w:t>，则本工程</w:t>
      </w:r>
      <w:bookmarkStart w:id="979" w:name="OLE_LINK385"/>
      <w:r>
        <w:rPr>
          <w:rFonts w:hint="eastAsia"/>
        </w:rPr>
        <w:t>油气处理</w:t>
      </w:r>
      <w:r>
        <w:rPr>
          <w:rFonts w:hint="eastAsia"/>
        </w:rPr>
        <w:t>过程无组织</w:t>
      </w:r>
      <w:r>
        <w:t>烃类挥发总量</w:t>
      </w:r>
      <w:bookmarkEnd w:id="979"/>
      <w:r>
        <w:t>为</w:t>
      </w:r>
      <w:bookmarkStart w:id="980" w:name="OLE_LINK988"/>
      <w:r>
        <w:rPr>
          <w:rFonts w:hint="eastAsia"/>
        </w:rPr>
        <w:t>0.</w:t>
      </w:r>
      <w:r>
        <w:rPr>
          <w:rFonts w:hint="eastAsia"/>
        </w:rPr>
        <w:t>30</w:t>
      </w:r>
      <w:r>
        <w:rPr>
          <w:rFonts w:hint="eastAsia"/>
        </w:rPr>
        <w:t>6</w:t>
      </w:r>
      <w:bookmarkEnd w:id="980"/>
      <w:r>
        <w:t>t/a</w:t>
      </w:r>
      <w:r>
        <w:rPr>
          <w:rFonts w:cs="Times New Roman"/>
          <w:szCs w:val="28"/>
        </w:rPr>
        <w:t>。</w:t>
      </w:r>
    </w:p>
    <w:bookmarkEnd w:id="915"/>
    <w:p w:rsidR="00C645C9" w:rsidRDefault="00F955D9" w:rsidP="005718BB">
      <w:pPr>
        <w:pStyle w:val="afff3"/>
        <w:adjustRightInd w:val="0"/>
        <w:snapToGrid w:val="0"/>
        <w:spacing w:beforeLines="0" w:before="0" w:afterLines="0" w:after="0" w:line="360" w:lineRule="auto"/>
        <w:ind w:firstLine="480"/>
        <w:jc w:val="both"/>
        <w:rPr>
          <w:rFonts w:cs="Times New Roman"/>
          <w:sz w:val="24"/>
          <w:szCs w:val="28"/>
        </w:rPr>
      </w:pPr>
      <w:r>
        <w:rPr>
          <w:rFonts w:hint="eastAsia"/>
          <w:sz w:val="24"/>
        </w:rPr>
        <w:lastRenderedPageBreak/>
        <w:t>本工程井场</w:t>
      </w:r>
      <w:bookmarkStart w:id="981" w:name="OLE_LINK1094"/>
      <w:r>
        <w:rPr>
          <w:rFonts w:hint="eastAsia"/>
          <w:sz w:val="24"/>
        </w:rPr>
        <w:t>单座</w:t>
      </w:r>
      <w:bookmarkEnd w:id="981"/>
      <w:r>
        <w:rPr>
          <w:rFonts w:cs="Arial" w:hint="eastAsia"/>
          <w:kern w:val="24"/>
          <w:sz w:val="24"/>
        </w:rPr>
        <w:t>8</w:t>
      </w:r>
      <w:r>
        <w:rPr>
          <w:rFonts w:cs="Arial" w:hint="eastAsia"/>
          <w:kern w:val="24"/>
          <w:sz w:val="24"/>
        </w:rPr>
        <w:t>0m</w:t>
      </w:r>
      <w:r>
        <w:rPr>
          <w:rFonts w:cs="Arial" w:hint="eastAsia"/>
          <w:kern w:val="24"/>
          <w:sz w:val="24"/>
          <w:vertAlign w:val="superscript"/>
        </w:rPr>
        <w:t>3</w:t>
      </w:r>
      <w:r>
        <w:rPr>
          <w:rFonts w:cs="Times New Roman"/>
          <w:sz w:val="24"/>
        </w:rPr>
        <w:t>多功能储集器</w:t>
      </w:r>
      <w:r>
        <w:rPr>
          <w:rFonts w:hint="eastAsia"/>
          <w:sz w:val="24"/>
        </w:rPr>
        <w:t>大小呼吸</w:t>
      </w:r>
      <w:bookmarkStart w:id="982" w:name="OLE_LINK827"/>
      <w:r>
        <w:rPr>
          <w:rFonts w:hint="eastAsia"/>
          <w:sz w:val="24"/>
        </w:rPr>
        <w:t>非甲烷总烃</w:t>
      </w:r>
      <w:r>
        <w:rPr>
          <w:sz w:val="24"/>
        </w:rPr>
        <w:t>排放量</w:t>
      </w:r>
      <w:bookmarkEnd w:id="982"/>
      <w:r>
        <w:rPr>
          <w:sz w:val="24"/>
        </w:rPr>
        <w:t>为</w:t>
      </w:r>
      <w:bookmarkStart w:id="983" w:name="OLE_LINK382"/>
      <w:r>
        <w:rPr>
          <w:rFonts w:cs="Times New Roman" w:hint="eastAsia"/>
          <w:sz w:val="24"/>
        </w:rPr>
        <w:t>1.02</w:t>
      </w:r>
      <w:bookmarkEnd w:id="983"/>
      <w:r>
        <w:rPr>
          <w:sz w:val="24"/>
        </w:rPr>
        <w:t>t/a</w:t>
      </w:r>
      <w:r>
        <w:rPr>
          <w:rFonts w:hint="eastAsia"/>
          <w:sz w:val="24"/>
        </w:rPr>
        <w:t>，</w:t>
      </w:r>
      <w:r>
        <w:rPr>
          <w:rFonts w:hint="eastAsia"/>
          <w:sz w:val="24"/>
        </w:rPr>
        <w:t>单座</w:t>
      </w:r>
      <w:r>
        <w:rPr>
          <w:rFonts w:hint="eastAsia"/>
          <w:sz w:val="24"/>
        </w:rPr>
        <w:t>混烃罐大小呼吸总损失</w:t>
      </w:r>
      <w:bookmarkStart w:id="984" w:name="OLE_LINK383"/>
      <w:r>
        <w:rPr>
          <w:rFonts w:cs="Times New Roman" w:hint="eastAsia"/>
          <w:sz w:val="24"/>
        </w:rPr>
        <w:t>1.975</w:t>
      </w:r>
      <w:bookmarkStart w:id="985" w:name="OLE_LINK828"/>
      <w:bookmarkEnd w:id="984"/>
      <w:r>
        <w:rPr>
          <w:rFonts w:hint="eastAsia"/>
          <w:sz w:val="24"/>
        </w:rPr>
        <w:t>t/a</w:t>
      </w:r>
      <w:r>
        <w:rPr>
          <w:rFonts w:hint="eastAsia"/>
          <w:sz w:val="24"/>
        </w:rPr>
        <w:t>。</w:t>
      </w:r>
      <w:bookmarkStart w:id="986" w:name="OLE_LINK1100"/>
      <w:bookmarkStart w:id="987" w:name="OLE_LINK442"/>
      <w:bookmarkEnd w:id="985"/>
      <w:r>
        <w:rPr>
          <w:rFonts w:hint="eastAsia"/>
          <w:sz w:val="24"/>
        </w:rPr>
        <w:t>本工程</w:t>
      </w:r>
      <w:r>
        <w:rPr>
          <w:rFonts w:hint="eastAsia"/>
          <w:sz w:val="24"/>
        </w:rPr>
        <w:t>2</w:t>
      </w:r>
      <w:r>
        <w:rPr>
          <w:rFonts w:hint="eastAsia"/>
          <w:sz w:val="24"/>
        </w:rPr>
        <w:t>座井场</w:t>
      </w:r>
      <w:r>
        <w:rPr>
          <w:rFonts w:hint="eastAsia"/>
          <w:sz w:val="24"/>
        </w:rPr>
        <w:t>非甲烷总烃</w:t>
      </w:r>
      <w:r>
        <w:rPr>
          <w:sz w:val="24"/>
        </w:rPr>
        <w:t>排放量</w:t>
      </w:r>
      <w:r>
        <w:rPr>
          <w:rFonts w:hint="eastAsia"/>
          <w:sz w:val="24"/>
        </w:rPr>
        <w:t>共计</w:t>
      </w:r>
      <w:bookmarkStart w:id="988" w:name="OLE_LINK1101"/>
      <w:bookmarkEnd w:id="986"/>
      <w:r>
        <w:rPr>
          <w:rFonts w:hint="eastAsia"/>
          <w:sz w:val="24"/>
        </w:rPr>
        <w:t>8.03</w:t>
      </w:r>
      <w:r>
        <w:rPr>
          <w:rFonts w:hint="eastAsia"/>
          <w:sz w:val="24"/>
        </w:rPr>
        <w:t>t/a</w:t>
      </w:r>
      <w:bookmarkEnd w:id="988"/>
      <w:r>
        <w:rPr>
          <w:rFonts w:hint="eastAsia"/>
          <w:sz w:val="24"/>
        </w:rPr>
        <w:t>。油气处理过程无组织</w:t>
      </w:r>
      <w:r>
        <w:rPr>
          <w:sz w:val="24"/>
        </w:rPr>
        <w:t>烃类挥发总量</w:t>
      </w:r>
      <w:bookmarkEnd w:id="987"/>
      <w:r>
        <w:rPr>
          <w:sz w:val="24"/>
        </w:rPr>
        <w:t>为</w:t>
      </w:r>
      <w:bookmarkStart w:id="989" w:name="OLE_LINK819"/>
      <w:r>
        <w:rPr>
          <w:rFonts w:hint="eastAsia"/>
          <w:sz w:val="24"/>
        </w:rPr>
        <w:t>0.</w:t>
      </w:r>
      <w:r>
        <w:rPr>
          <w:rFonts w:hint="eastAsia"/>
          <w:sz w:val="24"/>
        </w:rPr>
        <w:t>30</w:t>
      </w:r>
      <w:r>
        <w:rPr>
          <w:rFonts w:hint="eastAsia"/>
          <w:sz w:val="24"/>
        </w:rPr>
        <w:t>6</w:t>
      </w:r>
      <w:r>
        <w:rPr>
          <w:sz w:val="24"/>
        </w:rPr>
        <w:t xml:space="preserve"> t/a</w:t>
      </w:r>
      <w:bookmarkEnd w:id="989"/>
      <w:r>
        <w:rPr>
          <w:rFonts w:hint="eastAsia"/>
          <w:sz w:val="24"/>
        </w:rPr>
        <w:t>，综上，</w:t>
      </w:r>
      <w:bookmarkStart w:id="990" w:name="OLE_LINK1102"/>
      <w:r>
        <w:rPr>
          <w:rFonts w:hint="eastAsia"/>
          <w:sz w:val="24"/>
        </w:rPr>
        <w:t>本工</w:t>
      </w:r>
      <w:r>
        <w:rPr>
          <w:rFonts w:cs="Times New Roman" w:hint="eastAsia"/>
          <w:sz w:val="24"/>
        </w:rPr>
        <w:t>程</w:t>
      </w:r>
      <w:bookmarkStart w:id="991" w:name="OLE_LINK990"/>
      <w:r>
        <w:rPr>
          <w:rFonts w:cs="Times New Roman" w:hint="eastAsia"/>
          <w:sz w:val="24"/>
        </w:rPr>
        <w:t>正常排放无组织非甲烷总烃</w:t>
      </w:r>
      <w:bookmarkEnd w:id="990"/>
      <w:bookmarkEnd w:id="991"/>
      <w:r>
        <w:rPr>
          <w:rFonts w:cs="Times New Roman" w:hint="eastAsia"/>
          <w:sz w:val="24"/>
        </w:rPr>
        <w:t>为</w:t>
      </w:r>
      <w:bookmarkStart w:id="992" w:name="OLE_LINK1103"/>
      <w:r>
        <w:rPr>
          <w:rFonts w:cs="Times New Roman" w:hint="eastAsia"/>
          <w:sz w:val="24"/>
        </w:rPr>
        <w:t>8.336</w:t>
      </w:r>
      <w:r>
        <w:rPr>
          <w:rFonts w:cs="Times New Roman"/>
          <w:sz w:val="24"/>
        </w:rPr>
        <w:t>t/a</w:t>
      </w:r>
      <w:bookmarkEnd w:id="992"/>
      <w:r>
        <w:rPr>
          <w:rFonts w:cs="Times New Roman" w:hint="eastAsia"/>
          <w:sz w:val="24"/>
        </w:rPr>
        <w:t>。</w:t>
      </w:r>
    </w:p>
    <w:p w:rsidR="00C645C9" w:rsidRDefault="00F955D9" w:rsidP="005718BB">
      <w:pPr>
        <w:pStyle w:val="afff3"/>
        <w:adjustRightInd w:val="0"/>
        <w:snapToGrid w:val="0"/>
        <w:spacing w:beforeLines="0" w:before="0" w:afterLines="0" w:after="0" w:line="360" w:lineRule="auto"/>
        <w:ind w:firstLine="480"/>
        <w:rPr>
          <w:rFonts w:cs="Times New Roman"/>
          <w:b/>
          <w:sz w:val="24"/>
        </w:rPr>
      </w:pPr>
      <w:r>
        <w:rPr>
          <w:rFonts w:cs="Times New Roman" w:hint="eastAsia"/>
          <w:sz w:val="24"/>
          <w:szCs w:val="28"/>
        </w:rPr>
        <w:fldChar w:fldCharType="begin"/>
      </w:r>
      <w:r>
        <w:rPr>
          <w:rFonts w:cs="Times New Roman" w:hint="eastAsia"/>
          <w:sz w:val="24"/>
          <w:szCs w:val="28"/>
        </w:rPr>
        <w:instrText xml:space="preserve"> = 3 \* GB3 \* MERGEFORMAT </w:instrText>
      </w:r>
      <w:r>
        <w:rPr>
          <w:rFonts w:cs="Times New Roman" w:hint="eastAsia"/>
          <w:sz w:val="24"/>
          <w:szCs w:val="28"/>
        </w:rPr>
        <w:fldChar w:fldCharType="separate"/>
      </w:r>
      <w:r>
        <w:rPr>
          <w:rFonts w:cs="Times New Roman"/>
          <w:sz w:val="24"/>
          <w:szCs w:val="28"/>
        </w:rPr>
        <w:t>③</w:t>
      </w:r>
      <w:r>
        <w:rPr>
          <w:rFonts w:cs="Times New Roman" w:hint="eastAsia"/>
          <w:sz w:val="24"/>
          <w:szCs w:val="28"/>
        </w:rPr>
        <w:fldChar w:fldCharType="end"/>
      </w:r>
      <w:r>
        <w:rPr>
          <w:rFonts w:cs="Times New Roman"/>
          <w:bCs/>
          <w:sz w:val="24"/>
        </w:rPr>
        <w:t>无组织</w:t>
      </w:r>
      <w:r>
        <w:rPr>
          <w:rFonts w:cs="Times New Roman"/>
          <w:bCs/>
          <w:sz w:val="24"/>
        </w:rPr>
        <w:t>H</w:t>
      </w:r>
      <w:r>
        <w:rPr>
          <w:rFonts w:cs="Times New Roman"/>
          <w:bCs/>
          <w:sz w:val="24"/>
          <w:vertAlign w:val="subscript"/>
        </w:rPr>
        <w:t>2</w:t>
      </w:r>
      <w:r>
        <w:rPr>
          <w:rFonts w:cs="Times New Roman"/>
          <w:bCs/>
          <w:sz w:val="24"/>
        </w:rPr>
        <w:t>S</w:t>
      </w:r>
    </w:p>
    <w:p w:rsidR="00C645C9" w:rsidRDefault="00F955D9">
      <w:pPr>
        <w:widowControl w:val="0"/>
        <w:spacing w:line="360" w:lineRule="auto"/>
        <w:ind w:firstLineChars="200" w:firstLine="480"/>
        <w:rPr>
          <w:rFonts w:cs="Times New Roman"/>
        </w:rPr>
      </w:pPr>
      <w:r>
        <w:rPr>
          <w:rFonts w:cs="Times New Roman"/>
        </w:rPr>
        <w:t>本</w:t>
      </w:r>
      <w:r>
        <w:rPr>
          <w:rFonts w:cs="Times New Roman" w:hint="eastAsia"/>
        </w:rPr>
        <w:t>工程</w:t>
      </w:r>
      <w:r>
        <w:rPr>
          <w:rFonts w:cs="Times New Roman"/>
        </w:rPr>
        <w:t>井区内</w:t>
      </w:r>
      <w:bookmarkStart w:id="993" w:name="OLE_LINK391"/>
      <w:r>
        <w:rPr>
          <w:rFonts w:cs="Times New Roman"/>
        </w:rPr>
        <w:t>硫化氢</w:t>
      </w:r>
      <w:bookmarkEnd w:id="993"/>
      <w:r>
        <w:rPr>
          <w:rFonts w:cs="Times New Roman"/>
        </w:rPr>
        <w:t>平均</w:t>
      </w:r>
      <w:r>
        <w:rPr>
          <w:rFonts w:cs="Times New Roman" w:hint="eastAsia"/>
        </w:rPr>
        <w:t>含量</w:t>
      </w:r>
      <w:r>
        <w:rPr>
          <w:rFonts w:cs="Times New Roman"/>
        </w:rPr>
        <w:t>为</w:t>
      </w:r>
      <w:bookmarkStart w:id="994" w:name="OLE_LINK397"/>
      <w:r>
        <w:rPr>
          <w:rFonts w:cs="Times New Roman" w:hint="eastAsia"/>
          <w:szCs w:val="28"/>
        </w:rPr>
        <w:t>2.65</w:t>
      </w:r>
      <w:bookmarkEnd w:id="994"/>
      <w:r>
        <w:rPr>
          <w:rFonts w:cs="Times New Roman"/>
        </w:rPr>
        <w:t>mg/m</w:t>
      </w:r>
      <w:r>
        <w:rPr>
          <w:rFonts w:cs="Times New Roman"/>
          <w:vertAlign w:val="superscript"/>
        </w:rPr>
        <w:t>3</w:t>
      </w:r>
      <w:r>
        <w:rPr>
          <w:rFonts w:cs="Times New Roman"/>
        </w:rPr>
        <w:t>。</w:t>
      </w:r>
    </w:p>
    <w:p w:rsidR="00C645C9" w:rsidRDefault="00F955D9">
      <w:pPr>
        <w:pStyle w:val="-1"/>
        <w:ind w:firstLine="480"/>
        <w:rPr>
          <w:sz w:val="24"/>
          <w:szCs w:val="24"/>
        </w:rPr>
      </w:pPr>
      <w:r>
        <w:rPr>
          <w:sz w:val="24"/>
          <w:szCs w:val="24"/>
        </w:rPr>
        <w:t>无组织排放</w:t>
      </w:r>
      <w:r>
        <w:rPr>
          <w:sz w:val="24"/>
          <w:szCs w:val="24"/>
        </w:rPr>
        <w:t>H</w:t>
      </w:r>
      <w:r>
        <w:rPr>
          <w:sz w:val="24"/>
          <w:szCs w:val="24"/>
          <w:vertAlign w:val="subscript"/>
        </w:rPr>
        <w:t>2</w:t>
      </w:r>
      <w:r>
        <w:rPr>
          <w:sz w:val="24"/>
          <w:szCs w:val="24"/>
        </w:rPr>
        <w:t>S</w:t>
      </w:r>
      <w:r>
        <w:rPr>
          <w:sz w:val="24"/>
          <w:szCs w:val="24"/>
        </w:rPr>
        <w:t>计算思路为：通过无组织排放的非甲烷总烃推算出无组织排放的天然气排放量，根据天然气中硫化氢的浓度，计算出硫化氢的排放量，计算过程如下：</w:t>
      </w:r>
    </w:p>
    <w:p w:rsidR="00C645C9" w:rsidRDefault="00F955D9">
      <w:pPr>
        <w:pStyle w:val="-1"/>
        <w:ind w:firstLine="480"/>
        <w:rPr>
          <w:sz w:val="24"/>
          <w:szCs w:val="24"/>
        </w:rPr>
      </w:pPr>
      <w:r>
        <w:rPr>
          <w:sz w:val="24"/>
          <w:szCs w:val="24"/>
        </w:rPr>
        <w:t>根据</w:t>
      </w:r>
      <w:r>
        <w:rPr>
          <w:sz w:val="24"/>
          <w:szCs w:val="24"/>
        </w:rPr>
        <w:t>区块</w:t>
      </w:r>
      <w:r>
        <w:rPr>
          <w:sz w:val="24"/>
          <w:szCs w:val="24"/>
        </w:rPr>
        <w:t>天然气样分析结果</w:t>
      </w:r>
      <w:r>
        <w:rPr>
          <w:sz w:val="24"/>
          <w:szCs w:val="24"/>
        </w:rPr>
        <w:t>计算可知</w:t>
      </w:r>
      <w:r>
        <w:rPr>
          <w:sz w:val="24"/>
          <w:szCs w:val="24"/>
        </w:rPr>
        <w:t>，天然气中</w:t>
      </w:r>
      <w:r>
        <w:rPr>
          <w:sz w:val="24"/>
          <w:szCs w:val="24"/>
        </w:rPr>
        <w:t>H</w:t>
      </w:r>
      <w:r>
        <w:rPr>
          <w:sz w:val="24"/>
          <w:szCs w:val="24"/>
          <w:vertAlign w:val="subscript"/>
        </w:rPr>
        <w:t>2</w:t>
      </w:r>
      <w:r>
        <w:rPr>
          <w:sz w:val="24"/>
          <w:szCs w:val="24"/>
        </w:rPr>
        <w:t>S</w:t>
      </w:r>
      <w:r>
        <w:rPr>
          <w:sz w:val="24"/>
          <w:szCs w:val="24"/>
        </w:rPr>
        <w:t>平均含量为</w:t>
      </w:r>
      <w:r>
        <w:rPr>
          <w:rFonts w:hint="eastAsia"/>
          <w:sz w:val="24"/>
          <w:szCs w:val="24"/>
        </w:rPr>
        <w:t>2.65</w:t>
      </w:r>
      <w:r>
        <w:rPr>
          <w:sz w:val="24"/>
          <w:szCs w:val="24"/>
        </w:rPr>
        <w:t>mg/m</w:t>
      </w:r>
      <w:r>
        <w:rPr>
          <w:sz w:val="24"/>
          <w:szCs w:val="24"/>
          <w:vertAlign w:val="superscript"/>
        </w:rPr>
        <w:t>3</w:t>
      </w:r>
      <w:r>
        <w:rPr>
          <w:sz w:val="24"/>
          <w:szCs w:val="24"/>
        </w:rPr>
        <w:t>，需要计算</w:t>
      </w:r>
      <w:r>
        <w:rPr>
          <w:sz w:val="24"/>
          <w:szCs w:val="24"/>
        </w:rPr>
        <w:t>井场</w:t>
      </w:r>
      <w:r>
        <w:rPr>
          <w:sz w:val="24"/>
          <w:szCs w:val="24"/>
        </w:rPr>
        <w:t>无组织排放的天然气体积</w:t>
      </w:r>
      <w:r>
        <w:rPr>
          <w:rFonts w:hint="eastAsia"/>
          <w:sz w:val="24"/>
          <w:szCs w:val="24"/>
        </w:rPr>
        <w:t>。</w:t>
      </w:r>
      <w:r>
        <w:rPr>
          <w:sz w:val="24"/>
          <w:szCs w:val="24"/>
        </w:rPr>
        <w:t>根据区块天然气样分析可知甲烷含量为</w:t>
      </w:r>
      <w:r>
        <w:rPr>
          <w:rFonts w:hint="eastAsia"/>
          <w:sz w:val="24"/>
          <w:szCs w:val="24"/>
        </w:rPr>
        <w:t>79.81</w:t>
      </w:r>
      <w:r>
        <w:rPr>
          <w:sz w:val="24"/>
          <w:szCs w:val="24"/>
        </w:rPr>
        <w:t>%</w:t>
      </w:r>
      <w:r>
        <w:rPr>
          <w:sz w:val="24"/>
          <w:szCs w:val="24"/>
        </w:rPr>
        <w:t>，</w:t>
      </w:r>
      <w:r>
        <w:rPr>
          <w:sz w:val="24"/>
          <w:szCs w:val="24"/>
        </w:rPr>
        <w:t>N</w:t>
      </w:r>
      <w:r>
        <w:rPr>
          <w:sz w:val="24"/>
          <w:szCs w:val="24"/>
          <w:vertAlign w:val="subscript"/>
        </w:rPr>
        <w:t>2</w:t>
      </w:r>
      <w:r>
        <w:rPr>
          <w:sz w:val="24"/>
          <w:szCs w:val="24"/>
        </w:rPr>
        <w:t>平均含量为</w:t>
      </w:r>
      <w:r>
        <w:rPr>
          <w:sz w:val="24"/>
          <w:szCs w:val="24"/>
        </w:rPr>
        <w:t>2.37%</w:t>
      </w:r>
      <w:r>
        <w:rPr>
          <w:sz w:val="24"/>
          <w:szCs w:val="24"/>
        </w:rPr>
        <w:t>，</w:t>
      </w:r>
      <w:r>
        <w:rPr>
          <w:sz w:val="24"/>
          <w:szCs w:val="24"/>
        </w:rPr>
        <w:t>CO</w:t>
      </w:r>
      <w:r>
        <w:rPr>
          <w:sz w:val="24"/>
          <w:szCs w:val="24"/>
          <w:vertAlign w:val="subscript"/>
        </w:rPr>
        <w:t>2</w:t>
      </w:r>
      <w:r>
        <w:rPr>
          <w:sz w:val="24"/>
          <w:szCs w:val="24"/>
        </w:rPr>
        <w:t>平均含量</w:t>
      </w:r>
      <w:r>
        <w:rPr>
          <w:kern w:val="0"/>
          <w:sz w:val="24"/>
          <w:szCs w:val="24"/>
        </w:rPr>
        <w:t>为</w:t>
      </w:r>
      <w:r>
        <w:rPr>
          <w:kern w:val="0"/>
          <w:sz w:val="24"/>
          <w:szCs w:val="24"/>
        </w:rPr>
        <w:t>1.04</w:t>
      </w:r>
      <w:r>
        <w:rPr>
          <w:kern w:val="0"/>
          <w:sz w:val="24"/>
          <w:szCs w:val="24"/>
        </w:rPr>
        <w:t>％</w:t>
      </w:r>
      <w:r>
        <w:rPr>
          <w:rFonts w:hint="eastAsia"/>
          <w:kern w:val="0"/>
          <w:sz w:val="24"/>
          <w:szCs w:val="24"/>
        </w:rPr>
        <w:t>，</w:t>
      </w:r>
      <w:r>
        <w:rPr>
          <w:sz w:val="24"/>
          <w:szCs w:val="24"/>
        </w:rPr>
        <w:t>故</w:t>
      </w:r>
      <w:r>
        <w:rPr>
          <w:sz w:val="24"/>
          <w:szCs w:val="24"/>
        </w:rPr>
        <w:t>非甲烷总烃在天然气中的比例为</w:t>
      </w:r>
      <w:bookmarkStart w:id="995" w:name="OLE_LINK394"/>
      <w:r>
        <w:rPr>
          <w:rFonts w:hint="eastAsia"/>
          <w:sz w:val="24"/>
          <w:szCs w:val="24"/>
        </w:rPr>
        <w:t>16.78</w:t>
      </w:r>
      <w:bookmarkEnd w:id="995"/>
      <w:r>
        <w:rPr>
          <w:sz w:val="24"/>
          <w:szCs w:val="24"/>
        </w:rPr>
        <w:t>%</w:t>
      </w:r>
      <w:r>
        <w:rPr>
          <w:sz w:val="24"/>
          <w:szCs w:val="24"/>
        </w:rPr>
        <w:t>，</w:t>
      </w:r>
      <w:r>
        <w:rPr>
          <w:sz w:val="24"/>
          <w:szCs w:val="24"/>
        </w:rPr>
        <w:t>由上文计算可知井场非甲烷总烃排放量为</w:t>
      </w:r>
      <w:r>
        <w:rPr>
          <w:rFonts w:hint="eastAsia"/>
          <w:sz w:val="24"/>
          <w:szCs w:val="24"/>
        </w:rPr>
        <w:t>8.336</w:t>
      </w:r>
      <w:r>
        <w:rPr>
          <w:sz w:val="24"/>
          <w:szCs w:val="24"/>
        </w:rPr>
        <w:t>t/a</w:t>
      </w:r>
      <w:r>
        <w:rPr>
          <w:sz w:val="24"/>
          <w:szCs w:val="24"/>
        </w:rPr>
        <w:t>，</w:t>
      </w:r>
      <w:r>
        <w:rPr>
          <w:sz w:val="24"/>
          <w:szCs w:val="24"/>
        </w:rPr>
        <w:t>那么</w:t>
      </w:r>
      <w:bookmarkStart w:id="996" w:name="OLE_LINK393"/>
      <w:r>
        <w:rPr>
          <w:sz w:val="24"/>
          <w:szCs w:val="24"/>
        </w:rPr>
        <w:t>无组织的天然气排放量</w:t>
      </w:r>
      <w:bookmarkEnd w:id="996"/>
      <w:r>
        <w:rPr>
          <w:sz w:val="24"/>
          <w:szCs w:val="24"/>
        </w:rPr>
        <w:t>为</w:t>
      </w:r>
      <w:r>
        <w:rPr>
          <w:rFonts w:hint="eastAsia"/>
          <w:sz w:val="24"/>
          <w:szCs w:val="24"/>
        </w:rPr>
        <w:t>8.336</w:t>
      </w:r>
      <w:r>
        <w:rPr>
          <w:sz w:val="24"/>
          <w:szCs w:val="24"/>
        </w:rPr>
        <w:t>÷</w:t>
      </w:r>
      <w:r>
        <w:rPr>
          <w:rFonts w:hint="eastAsia"/>
          <w:sz w:val="24"/>
          <w:szCs w:val="24"/>
        </w:rPr>
        <w:t>16.78</w:t>
      </w:r>
      <w:r>
        <w:rPr>
          <w:sz w:val="24"/>
          <w:szCs w:val="24"/>
        </w:rPr>
        <w:t>%=</w:t>
      </w:r>
      <w:bookmarkStart w:id="997" w:name="OLE_LINK392"/>
      <w:bookmarkStart w:id="998" w:name="OLE_LINK820"/>
      <w:r>
        <w:rPr>
          <w:rFonts w:hint="eastAsia"/>
          <w:sz w:val="24"/>
          <w:szCs w:val="24"/>
        </w:rPr>
        <w:t>49.68</w:t>
      </w:r>
      <w:bookmarkEnd w:id="997"/>
      <w:r>
        <w:rPr>
          <w:sz w:val="24"/>
          <w:szCs w:val="24"/>
        </w:rPr>
        <w:t>（</w:t>
      </w:r>
      <w:r>
        <w:rPr>
          <w:sz w:val="24"/>
          <w:szCs w:val="24"/>
        </w:rPr>
        <w:t>t/a</w:t>
      </w:r>
      <w:r>
        <w:rPr>
          <w:sz w:val="24"/>
          <w:szCs w:val="24"/>
        </w:rPr>
        <w:t>）</w:t>
      </w:r>
      <w:bookmarkEnd w:id="998"/>
      <w:r>
        <w:rPr>
          <w:rFonts w:hint="eastAsia"/>
          <w:sz w:val="24"/>
          <w:szCs w:val="24"/>
        </w:rPr>
        <w:t>。</w:t>
      </w:r>
    </w:p>
    <w:p w:rsidR="00C645C9" w:rsidRDefault="00F955D9">
      <w:pPr>
        <w:pStyle w:val="-1"/>
        <w:ind w:firstLine="480"/>
        <w:rPr>
          <w:sz w:val="24"/>
          <w:szCs w:val="24"/>
        </w:rPr>
      </w:pPr>
      <w:r>
        <w:rPr>
          <w:sz w:val="24"/>
          <w:szCs w:val="24"/>
        </w:rPr>
        <w:t>折算成体积为：标况下，本区块油藏天然气密度为</w:t>
      </w:r>
      <w:bookmarkStart w:id="999" w:name="OLE_LINK396"/>
      <w:r>
        <w:rPr>
          <w:sz w:val="24"/>
          <w:szCs w:val="24"/>
        </w:rPr>
        <w:t>0.663</w:t>
      </w:r>
      <w:bookmarkEnd w:id="999"/>
      <w:r>
        <w:rPr>
          <w:sz w:val="24"/>
          <w:szCs w:val="24"/>
        </w:rPr>
        <w:t>kg/m</w:t>
      </w:r>
      <w:r>
        <w:rPr>
          <w:sz w:val="24"/>
          <w:szCs w:val="24"/>
          <w:vertAlign w:val="superscript"/>
        </w:rPr>
        <w:t>3</w:t>
      </w:r>
      <w:r>
        <w:rPr>
          <w:sz w:val="24"/>
          <w:szCs w:val="24"/>
        </w:rPr>
        <w:t>，</w:t>
      </w:r>
      <w:r>
        <w:rPr>
          <w:sz w:val="24"/>
          <w:szCs w:val="24"/>
        </w:rPr>
        <w:t>故</w:t>
      </w:r>
      <w:bookmarkStart w:id="1000" w:name="OLE_LINK395"/>
      <w:r>
        <w:rPr>
          <w:sz w:val="24"/>
          <w:szCs w:val="24"/>
        </w:rPr>
        <w:t>井场</w:t>
      </w:r>
      <w:r>
        <w:rPr>
          <w:sz w:val="24"/>
          <w:szCs w:val="24"/>
        </w:rPr>
        <w:t>无组织排放的天然气体积</w:t>
      </w:r>
      <w:bookmarkEnd w:id="1000"/>
      <w:r>
        <w:rPr>
          <w:sz w:val="24"/>
          <w:szCs w:val="24"/>
        </w:rPr>
        <w:t>为</w:t>
      </w:r>
      <w:r>
        <w:rPr>
          <w:rFonts w:hint="eastAsia"/>
          <w:sz w:val="24"/>
          <w:szCs w:val="24"/>
        </w:rPr>
        <w:t>49.68</w:t>
      </w:r>
      <w:r>
        <w:rPr>
          <w:sz w:val="24"/>
          <w:szCs w:val="24"/>
        </w:rPr>
        <w:t>×1000</w:t>
      </w:r>
      <w:r>
        <w:rPr>
          <w:sz w:val="24"/>
          <w:szCs w:val="24"/>
        </w:rPr>
        <w:t>÷0.663=</w:t>
      </w:r>
      <w:bookmarkStart w:id="1001" w:name="OLE_LINK399"/>
      <w:bookmarkStart w:id="1002" w:name="OLE_LINK821"/>
      <w:r>
        <w:rPr>
          <w:rFonts w:hint="eastAsia"/>
          <w:sz w:val="24"/>
          <w:szCs w:val="24"/>
        </w:rPr>
        <w:t>74932.13</w:t>
      </w:r>
      <w:bookmarkEnd w:id="1001"/>
      <w:r>
        <w:rPr>
          <w:sz w:val="24"/>
          <w:szCs w:val="24"/>
        </w:rPr>
        <w:t>（</w:t>
      </w:r>
      <w:r>
        <w:rPr>
          <w:sz w:val="24"/>
          <w:szCs w:val="24"/>
        </w:rPr>
        <w:t>m</w:t>
      </w:r>
      <w:r>
        <w:rPr>
          <w:sz w:val="24"/>
          <w:szCs w:val="24"/>
          <w:vertAlign w:val="superscript"/>
        </w:rPr>
        <w:t>3</w:t>
      </w:r>
      <w:r>
        <w:rPr>
          <w:sz w:val="24"/>
          <w:szCs w:val="24"/>
        </w:rPr>
        <w:t>）</w:t>
      </w:r>
      <w:bookmarkEnd w:id="1002"/>
      <w:r>
        <w:rPr>
          <w:rFonts w:hint="eastAsia"/>
          <w:sz w:val="24"/>
          <w:szCs w:val="24"/>
        </w:rPr>
        <w:t>。</w:t>
      </w:r>
    </w:p>
    <w:p w:rsidR="00C645C9" w:rsidRDefault="00F955D9">
      <w:pPr>
        <w:pStyle w:val="-1"/>
        <w:ind w:firstLine="480"/>
        <w:rPr>
          <w:sz w:val="24"/>
          <w:szCs w:val="24"/>
        </w:rPr>
      </w:pPr>
      <w:r>
        <w:rPr>
          <w:sz w:val="24"/>
          <w:szCs w:val="24"/>
        </w:rPr>
        <w:t>本区块油藏天然气</w:t>
      </w:r>
      <w:r>
        <w:rPr>
          <w:sz w:val="24"/>
          <w:szCs w:val="24"/>
        </w:rPr>
        <w:t>中</w:t>
      </w:r>
      <w:r>
        <w:rPr>
          <w:sz w:val="24"/>
          <w:szCs w:val="24"/>
        </w:rPr>
        <w:t>硫化氢密度为</w:t>
      </w:r>
      <w:bookmarkStart w:id="1003" w:name="OLE_LINK398"/>
      <w:r>
        <w:rPr>
          <w:rFonts w:hint="eastAsia"/>
          <w:sz w:val="24"/>
          <w:szCs w:val="24"/>
        </w:rPr>
        <w:t>2.65</w:t>
      </w:r>
      <w:bookmarkEnd w:id="1003"/>
      <w:r>
        <w:rPr>
          <w:sz w:val="24"/>
          <w:szCs w:val="24"/>
        </w:rPr>
        <w:t>mg/m</w:t>
      </w:r>
      <w:r>
        <w:rPr>
          <w:sz w:val="24"/>
          <w:szCs w:val="24"/>
          <w:vertAlign w:val="superscript"/>
        </w:rPr>
        <w:t>3</w:t>
      </w:r>
      <w:r>
        <w:rPr>
          <w:sz w:val="24"/>
          <w:szCs w:val="24"/>
        </w:rPr>
        <w:t>，计算可得</w:t>
      </w:r>
      <w:bookmarkStart w:id="1004" w:name="OLE_LINK825"/>
      <w:r>
        <w:rPr>
          <w:sz w:val="24"/>
          <w:szCs w:val="24"/>
        </w:rPr>
        <w:t>本工程</w:t>
      </w:r>
      <w:bookmarkStart w:id="1005" w:name="OLE_LINK823"/>
      <w:r>
        <w:rPr>
          <w:sz w:val="24"/>
          <w:szCs w:val="24"/>
        </w:rPr>
        <w:t>井场</w:t>
      </w:r>
      <w:r>
        <w:rPr>
          <w:sz w:val="24"/>
          <w:szCs w:val="24"/>
        </w:rPr>
        <w:t>无组织硫化氢的排放量</w:t>
      </w:r>
      <w:bookmarkEnd w:id="1004"/>
      <w:bookmarkEnd w:id="1005"/>
      <w:r>
        <w:rPr>
          <w:sz w:val="24"/>
          <w:szCs w:val="24"/>
        </w:rPr>
        <w:t>为：</w:t>
      </w:r>
      <w:bookmarkStart w:id="1006" w:name="OLE_LINK400"/>
      <w:r>
        <w:rPr>
          <w:rFonts w:hint="eastAsia"/>
          <w:sz w:val="24"/>
          <w:szCs w:val="24"/>
        </w:rPr>
        <w:t>74932.13</w:t>
      </w:r>
      <w:r>
        <w:rPr>
          <w:sz w:val="24"/>
          <w:szCs w:val="24"/>
        </w:rPr>
        <w:t>×</w:t>
      </w:r>
      <w:bookmarkEnd w:id="1006"/>
      <w:r>
        <w:rPr>
          <w:rFonts w:hint="eastAsia"/>
          <w:sz w:val="24"/>
          <w:szCs w:val="24"/>
        </w:rPr>
        <w:t>2.65</w:t>
      </w:r>
      <w:r>
        <w:rPr>
          <w:sz w:val="24"/>
          <w:szCs w:val="24"/>
        </w:rPr>
        <w:t>÷10</w:t>
      </w:r>
      <w:r>
        <w:rPr>
          <w:sz w:val="24"/>
          <w:szCs w:val="24"/>
          <w:vertAlign w:val="superscript"/>
        </w:rPr>
        <w:t>9</w:t>
      </w:r>
      <w:r>
        <w:rPr>
          <w:sz w:val="24"/>
          <w:szCs w:val="24"/>
        </w:rPr>
        <w:t>=</w:t>
      </w:r>
      <w:bookmarkStart w:id="1007" w:name="OLE_LINK401"/>
      <w:bookmarkStart w:id="1008" w:name="OLE_LINK826"/>
      <w:bookmarkStart w:id="1009" w:name="OLE_LINK824"/>
      <w:r>
        <w:rPr>
          <w:rFonts w:hint="eastAsia"/>
          <w:sz w:val="24"/>
          <w:szCs w:val="24"/>
        </w:rPr>
        <w:t>2</w:t>
      </w:r>
      <w:r>
        <w:rPr>
          <w:sz w:val="24"/>
          <w:szCs w:val="24"/>
        </w:rPr>
        <w:t>×</w:t>
      </w:r>
      <w:r>
        <w:rPr>
          <w:rFonts w:hint="eastAsia"/>
          <w:sz w:val="24"/>
          <w:szCs w:val="24"/>
        </w:rPr>
        <w:t>10</w:t>
      </w:r>
      <w:r>
        <w:rPr>
          <w:rFonts w:hint="eastAsia"/>
          <w:sz w:val="24"/>
          <w:szCs w:val="24"/>
          <w:vertAlign w:val="superscript"/>
        </w:rPr>
        <w:t>-</w:t>
      </w:r>
      <w:bookmarkEnd w:id="1007"/>
      <w:r>
        <w:rPr>
          <w:rFonts w:hint="eastAsia"/>
          <w:sz w:val="24"/>
          <w:szCs w:val="24"/>
          <w:vertAlign w:val="superscript"/>
        </w:rPr>
        <w:t>4</w:t>
      </w:r>
      <w:bookmarkEnd w:id="1008"/>
      <w:r>
        <w:rPr>
          <w:sz w:val="24"/>
          <w:szCs w:val="24"/>
        </w:rPr>
        <w:t>（</w:t>
      </w:r>
      <w:bookmarkStart w:id="1010" w:name="OLE_LINK402"/>
      <w:r>
        <w:rPr>
          <w:sz w:val="24"/>
          <w:szCs w:val="24"/>
        </w:rPr>
        <w:t>t/a</w:t>
      </w:r>
      <w:bookmarkEnd w:id="1010"/>
      <w:r>
        <w:rPr>
          <w:sz w:val="24"/>
          <w:szCs w:val="24"/>
        </w:rPr>
        <w:t>）</w:t>
      </w:r>
      <w:bookmarkEnd w:id="1009"/>
      <w:r>
        <w:rPr>
          <w:sz w:val="24"/>
          <w:szCs w:val="24"/>
        </w:rPr>
        <w:t>。</w:t>
      </w:r>
    </w:p>
    <w:p w:rsidR="00C645C9" w:rsidRDefault="00F955D9">
      <w:pPr>
        <w:pStyle w:val="aff1"/>
        <w:widowControl w:val="0"/>
        <w:adjustRightInd/>
        <w:snapToGrid w:val="0"/>
        <w:ind w:firstLine="480"/>
        <w:rPr>
          <w:rFonts w:cs="Times New Roman"/>
        </w:rPr>
      </w:pPr>
      <w:r>
        <w:rPr>
          <w:rFonts w:cs="Times New Roman"/>
        </w:rPr>
        <w:t>本工程</w:t>
      </w:r>
      <w:r>
        <w:rPr>
          <w:rFonts w:cs="Times New Roman" w:hint="eastAsia"/>
        </w:rPr>
        <w:t>井场</w:t>
      </w:r>
      <w:r>
        <w:rPr>
          <w:rFonts w:cs="Times New Roman"/>
        </w:rPr>
        <w:t>运营期无组织硫化氢的排放量</w:t>
      </w:r>
      <w:r>
        <w:rPr>
          <w:rFonts w:cs="Times New Roman" w:hint="eastAsia"/>
        </w:rPr>
        <w:t>合计</w:t>
      </w:r>
      <w:r>
        <w:rPr>
          <w:rFonts w:cs="Times New Roman"/>
        </w:rPr>
        <w:t>为：</w:t>
      </w:r>
      <w:bookmarkStart w:id="1011" w:name="OLE_LINK403"/>
      <w:r>
        <w:rPr>
          <w:rFonts w:cs="Times New Roman" w:hint="eastAsia"/>
        </w:rPr>
        <w:t>2</w:t>
      </w:r>
      <w:r>
        <w:rPr>
          <w:rFonts w:cs="Times New Roman"/>
        </w:rPr>
        <w:t>×</w:t>
      </w:r>
      <w:r>
        <w:rPr>
          <w:rFonts w:cs="Times New Roman" w:hint="eastAsia"/>
        </w:rPr>
        <w:t>10</w:t>
      </w:r>
      <w:r>
        <w:rPr>
          <w:rFonts w:cs="Times New Roman" w:hint="eastAsia"/>
          <w:vertAlign w:val="superscript"/>
        </w:rPr>
        <w:t>-4</w:t>
      </w:r>
      <w:r>
        <w:rPr>
          <w:rFonts w:cs="Times New Roman"/>
        </w:rPr>
        <w:t>t/a</w:t>
      </w:r>
      <w:bookmarkEnd w:id="1011"/>
      <w:r>
        <w:rPr>
          <w:rFonts w:cs="Times New Roman"/>
        </w:rPr>
        <w:t>。</w:t>
      </w:r>
    </w:p>
    <w:p w:rsidR="00C645C9" w:rsidRDefault="00F955D9" w:rsidP="005718BB">
      <w:pPr>
        <w:pStyle w:val="afff3"/>
        <w:adjustRightInd w:val="0"/>
        <w:snapToGrid w:val="0"/>
        <w:spacing w:beforeLines="0" w:before="0" w:afterLines="0" w:after="0" w:line="360" w:lineRule="auto"/>
        <w:ind w:firstLine="480"/>
        <w:rPr>
          <w:rFonts w:cs="Times New Roman"/>
          <w:b/>
          <w:sz w:val="24"/>
        </w:rPr>
      </w:pPr>
      <w:r>
        <w:rPr>
          <w:rFonts w:cs="Times New Roman" w:hint="eastAsia"/>
          <w:sz w:val="24"/>
        </w:rPr>
        <w:t>综上，</w:t>
      </w:r>
      <w:r>
        <w:rPr>
          <w:rFonts w:cs="Times New Roman"/>
          <w:sz w:val="24"/>
        </w:rPr>
        <w:t>本工程运营期无组织硫化氢的排放量</w:t>
      </w:r>
      <w:r>
        <w:rPr>
          <w:rFonts w:cs="Times New Roman" w:hint="eastAsia"/>
          <w:sz w:val="24"/>
        </w:rPr>
        <w:t>总计</w:t>
      </w:r>
      <w:r>
        <w:rPr>
          <w:rFonts w:cs="Times New Roman"/>
          <w:sz w:val="24"/>
        </w:rPr>
        <w:t>为：</w:t>
      </w:r>
      <w:r>
        <w:rPr>
          <w:rFonts w:cs="Times New Roman" w:hint="eastAsia"/>
          <w:sz w:val="24"/>
        </w:rPr>
        <w:t>2</w:t>
      </w:r>
      <w:r>
        <w:rPr>
          <w:rFonts w:cs="Times New Roman"/>
          <w:sz w:val="24"/>
        </w:rPr>
        <w:t>×</w:t>
      </w:r>
      <w:r>
        <w:rPr>
          <w:rFonts w:cs="Times New Roman" w:hint="eastAsia"/>
          <w:sz w:val="24"/>
        </w:rPr>
        <w:t>10</w:t>
      </w:r>
      <w:r>
        <w:rPr>
          <w:rFonts w:cs="Times New Roman" w:hint="eastAsia"/>
          <w:sz w:val="24"/>
          <w:vertAlign w:val="superscript"/>
        </w:rPr>
        <w:t>-4</w:t>
      </w:r>
      <w:r>
        <w:rPr>
          <w:rFonts w:cs="Times New Roman"/>
          <w:sz w:val="24"/>
        </w:rPr>
        <w:t>t/a</w:t>
      </w:r>
      <w:r>
        <w:rPr>
          <w:rFonts w:cs="Times New Roman"/>
          <w:sz w:val="24"/>
        </w:rPr>
        <w:t>。</w:t>
      </w:r>
    </w:p>
    <w:p w:rsidR="00C645C9" w:rsidRDefault="00F955D9">
      <w:pPr>
        <w:adjustRightInd w:val="0"/>
        <w:snapToGrid w:val="0"/>
        <w:spacing w:line="360" w:lineRule="auto"/>
        <w:ind w:firstLineChars="200" w:firstLine="480"/>
        <w:jc w:val="both"/>
        <w:rPr>
          <w:rFonts w:cs="Times New Roman"/>
        </w:rPr>
      </w:pPr>
      <w:bookmarkStart w:id="1012" w:name="OLE_LINK259"/>
      <w:r>
        <w:rPr>
          <w:rFonts w:cs="Times New Roman"/>
        </w:rPr>
        <w:t>（</w:t>
      </w:r>
      <w:r>
        <w:rPr>
          <w:rFonts w:cs="Times New Roman"/>
        </w:rPr>
        <w:t>3</w:t>
      </w:r>
      <w:r>
        <w:rPr>
          <w:rFonts w:cs="Times New Roman"/>
        </w:rPr>
        <w:t>）非正常工况</w:t>
      </w:r>
      <w:r>
        <w:rPr>
          <w:rFonts w:cs="Times New Roman"/>
        </w:rPr>
        <w:t>排放</w:t>
      </w:r>
    </w:p>
    <w:p w:rsidR="00C645C9" w:rsidRDefault="00F955D9" w:rsidP="005718BB">
      <w:pPr>
        <w:pStyle w:val="a6"/>
        <w:ind w:firstLine="480"/>
      </w:pPr>
      <w:r>
        <w:rPr>
          <w:rFonts w:hint="eastAsia"/>
        </w:rPr>
        <w:t>本工程在井场设置放空火炬</w:t>
      </w:r>
      <w:r>
        <w:rPr>
          <w:rFonts w:hint="eastAsia"/>
        </w:rPr>
        <w:t>区</w:t>
      </w:r>
      <w:r>
        <w:rPr>
          <w:rFonts w:hint="eastAsia"/>
        </w:rPr>
        <w:t>，用于</w:t>
      </w:r>
      <w:r>
        <w:rPr>
          <w:szCs w:val="24"/>
        </w:rPr>
        <w:t>事故及非正常工况</w:t>
      </w:r>
      <w:r>
        <w:rPr>
          <w:rFonts w:hint="eastAsia"/>
          <w:szCs w:val="24"/>
        </w:rPr>
        <w:t>下的放空燃烧。</w:t>
      </w:r>
      <w:r>
        <w:rPr>
          <w:rFonts w:hint="eastAsia"/>
        </w:rPr>
        <w:t>泄放点在事故状态下泄放的气体经过放空管线进入放空火炬分液罐，在放空火炬分液罐中分离出携带的液滴后进入放空火炬焚烧，考虑装置全放空状态下，井场火炬最大泄放量</w:t>
      </w:r>
      <w:bookmarkStart w:id="1013" w:name="OLE_LINK386"/>
      <w:r>
        <w:rPr>
          <w:rFonts w:hint="eastAsia"/>
        </w:rPr>
        <w:t>10</w:t>
      </w:r>
      <w:r>
        <w:rPr>
          <w:rFonts w:hint="eastAsia"/>
        </w:rPr>
        <w:t>×</w:t>
      </w:r>
      <w:r>
        <w:rPr>
          <w:rFonts w:hint="eastAsia"/>
        </w:rPr>
        <w:t>1</w:t>
      </w:r>
      <w:r>
        <w:t>0</w:t>
      </w:r>
      <w:r>
        <w:rPr>
          <w:vertAlign w:val="superscript"/>
        </w:rPr>
        <w:t>4</w:t>
      </w:r>
      <w:bookmarkEnd w:id="1013"/>
      <w:r>
        <w:rPr>
          <w:rFonts w:hint="eastAsia"/>
          <w:vertAlign w:val="superscript"/>
        </w:rPr>
        <w:t xml:space="preserve"> </w:t>
      </w:r>
      <w:r>
        <w:rPr>
          <w:rFonts w:hint="eastAsia"/>
        </w:rPr>
        <w:t>Nm</w:t>
      </w:r>
      <w:r>
        <w:rPr>
          <w:rFonts w:hint="eastAsia"/>
          <w:vertAlign w:val="superscript"/>
        </w:rPr>
        <w:t>3</w:t>
      </w:r>
      <w:r>
        <w:rPr>
          <w:rFonts w:hint="eastAsia"/>
        </w:rPr>
        <w:t>/d</w:t>
      </w:r>
      <w:r>
        <w:rPr>
          <w:rFonts w:hint="eastAsia"/>
        </w:rPr>
        <w:t>（</w:t>
      </w:r>
      <w:bookmarkStart w:id="1014" w:name="OLE_LINK378"/>
      <w:r>
        <w:rPr>
          <w:rFonts w:hint="eastAsia"/>
        </w:rPr>
        <w:t>41</w:t>
      </w:r>
      <w:bookmarkEnd w:id="1014"/>
      <w:r>
        <w:rPr>
          <w:rFonts w:hint="eastAsia"/>
        </w:rPr>
        <w:t>65</w:t>
      </w:r>
      <w:r>
        <w:rPr>
          <w:rFonts w:hint="eastAsia"/>
        </w:rPr>
        <w:t>Nm</w:t>
      </w:r>
      <w:r>
        <w:rPr>
          <w:rFonts w:hint="eastAsia"/>
          <w:vertAlign w:val="superscript"/>
        </w:rPr>
        <w:t>3</w:t>
      </w:r>
      <w:r>
        <w:rPr>
          <w:rFonts w:hint="eastAsia"/>
        </w:rPr>
        <w:t>/h</w:t>
      </w:r>
      <w:r>
        <w:rPr>
          <w:rFonts w:hint="eastAsia"/>
        </w:rPr>
        <w:t>），一次</w:t>
      </w:r>
      <w:r>
        <w:t>火炬燃烧放空时间按</w:t>
      </w:r>
      <w:r>
        <w:t>2</w:t>
      </w:r>
      <w:r>
        <w:rPr>
          <w:rFonts w:hint="eastAsia"/>
        </w:rPr>
        <w:t>h</w:t>
      </w:r>
      <w:r>
        <w:t>计</w:t>
      </w:r>
      <w:r>
        <w:rPr>
          <w:rFonts w:hint="eastAsia"/>
        </w:rPr>
        <w:t>，本次评价按最大燃烧时间</w:t>
      </w:r>
      <w:r>
        <w:t>2</w:t>
      </w:r>
      <w:r>
        <w:rPr>
          <w:rFonts w:hint="eastAsia"/>
        </w:rPr>
        <w:t>h</w:t>
      </w:r>
      <w:r>
        <w:t>/</w:t>
      </w:r>
      <w:r>
        <w:rPr>
          <w:rFonts w:hint="eastAsia"/>
        </w:rPr>
        <w:t>次计算</w:t>
      </w:r>
      <w:r>
        <w:t>。参照《</w:t>
      </w:r>
      <w:bookmarkStart w:id="1015" w:name="OLE_LINK376"/>
      <w:r>
        <w:t>排污许可证申请与核发技术规范</w:t>
      </w:r>
      <w:r>
        <w:t xml:space="preserve"> </w:t>
      </w:r>
      <w:r>
        <w:t>石化工业</w:t>
      </w:r>
      <w:bookmarkEnd w:id="1015"/>
      <w:r>
        <w:t>》</w:t>
      </w:r>
      <w:r>
        <w:rPr>
          <w:rFonts w:hint="eastAsia"/>
        </w:rPr>
        <w:t>（</w:t>
      </w:r>
      <w:r>
        <w:rPr>
          <w:rFonts w:hint="eastAsia"/>
        </w:rPr>
        <w:t>HJ853-2017</w:t>
      </w:r>
      <w:r>
        <w:rPr>
          <w:rFonts w:hint="eastAsia"/>
        </w:rPr>
        <w:t>）</w:t>
      </w:r>
      <w:r>
        <w:t>中的排污系数，具体核算方法详见</w:t>
      </w:r>
      <w:r>
        <w:rPr>
          <w:rFonts w:hint="eastAsia"/>
        </w:rPr>
        <w:t>表</w:t>
      </w:r>
      <w:r>
        <w:t>3.</w:t>
      </w:r>
      <w:r>
        <w:rPr>
          <w:rFonts w:hint="eastAsia"/>
        </w:rPr>
        <w:t>3-13</w:t>
      </w:r>
      <w:r>
        <w:t>，计算得出</w:t>
      </w:r>
      <w:r>
        <w:rPr>
          <w:rFonts w:hint="eastAsia"/>
        </w:rPr>
        <w:t>事故状态下火炬燃烧</w:t>
      </w:r>
      <w:r>
        <w:t>烟气排放情况见</w:t>
      </w:r>
      <w:r>
        <w:t>3.</w:t>
      </w:r>
      <w:r>
        <w:rPr>
          <w:rFonts w:hint="eastAsia"/>
        </w:rPr>
        <w:t>3-14</w:t>
      </w:r>
      <w:r>
        <w:t>所示</w:t>
      </w:r>
      <w:r>
        <w:t>。</w:t>
      </w:r>
    </w:p>
    <w:p w:rsidR="00C645C9" w:rsidRDefault="00F955D9">
      <w:pPr>
        <w:jc w:val="center"/>
        <w:rPr>
          <w:rFonts w:eastAsia="黑体" w:cs="Times New Roman"/>
          <w:sz w:val="21"/>
          <w:szCs w:val="21"/>
        </w:rPr>
      </w:pPr>
      <w:bookmarkStart w:id="1016" w:name="OLE_LINK377"/>
      <w:r>
        <w:rPr>
          <w:rFonts w:eastAsia="黑体" w:cs="Times New Roman"/>
          <w:sz w:val="21"/>
          <w:szCs w:val="21"/>
        </w:rPr>
        <w:t>表</w:t>
      </w:r>
      <w:r>
        <w:rPr>
          <w:rFonts w:eastAsia="黑体" w:cs="Times New Roman"/>
          <w:sz w:val="21"/>
          <w:szCs w:val="21"/>
        </w:rPr>
        <w:t>3.</w:t>
      </w:r>
      <w:r>
        <w:rPr>
          <w:rFonts w:eastAsia="黑体" w:cs="Times New Roman" w:hint="eastAsia"/>
          <w:sz w:val="21"/>
          <w:szCs w:val="21"/>
        </w:rPr>
        <w:t>3-13</w:t>
      </w:r>
      <w:r>
        <w:rPr>
          <w:rFonts w:eastAsia="黑体" w:cs="Times New Roman"/>
          <w:sz w:val="21"/>
          <w:szCs w:val="21"/>
        </w:rPr>
        <w:t xml:space="preserve">   </w:t>
      </w:r>
      <w:bookmarkEnd w:id="1016"/>
      <w:r>
        <w:rPr>
          <w:rFonts w:eastAsia="黑体" w:cs="Times New Roman"/>
          <w:sz w:val="21"/>
          <w:szCs w:val="21"/>
        </w:rPr>
        <w:t>各污染物排放量核算方法一览表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2680"/>
        <w:gridCol w:w="4551"/>
      </w:tblGrid>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污染物</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核算方法</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各参数代表的含义</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氮氧化物</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氮氧化物</w:t>
            </w:r>
            <w:r>
              <w:rPr>
                <w:szCs w:val="21"/>
              </w:rPr>
              <w:t>=Q</w:t>
            </w:r>
            <w:bookmarkStart w:id="1017" w:name="OLE_LINK390"/>
            <w:r>
              <w:rPr>
                <w:szCs w:val="21"/>
              </w:rPr>
              <w:t>×</w:t>
            </w:r>
            <w:bookmarkEnd w:id="1017"/>
            <w:r>
              <w:rPr>
                <w:szCs w:val="21"/>
              </w:rPr>
              <w:t>α×t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氮氧化物：氮氧化物的排放量（</w:t>
            </w:r>
            <w:r>
              <w:rPr>
                <w:szCs w:val="21"/>
              </w:rPr>
              <w:t>kg/a</w:t>
            </w:r>
            <w:r>
              <w:rPr>
                <w:szCs w:val="21"/>
              </w:rPr>
              <w:t>）；</w:t>
            </w:r>
          </w:p>
          <w:p w:rsidR="00C645C9" w:rsidRDefault="00F955D9">
            <w:pPr>
              <w:pStyle w:val="afb"/>
              <w:jc w:val="left"/>
              <w:rPr>
                <w:szCs w:val="21"/>
              </w:rPr>
            </w:pPr>
            <w:r>
              <w:rPr>
                <w:szCs w:val="21"/>
              </w:rPr>
              <w:lastRenderedPageBreak/>
              <w:t>Q</w:t>
            </w:r>
            <w:r>
              <w:rPr>
                <w:szCs w:val="21"/>
              </w:rPr>
              <w:t>：火炬气流量（</w:t>
            </w:r>
            <w:r>
              <w:rPr>
                <w:szCs w:val="21"/>
              </w:rPr>
              <w:t>m³/h</w:t>
            </w:r>
            <w:r>
              <w:rPr>
                <w:szCs w:val="21"/>
              </w:rPr>
              <w:t>）</w:t>
            </w:r>
            <w:bookmarkStart w:id="1018" w:name="OLE_LINK375"/>
            <w:r>
              <w:rPr>
                <w:szCs w:val="21"/>
              </w:rPr>
              <w:t>；</w:t>
            </w:r>
            <w:bookmarkEnd w:id="1018"/>
          </w:p>
          <w:p w:rsidR="00C645C9" w:rsidRDefault="00F955D9">
            <w:pPr>
              <w:pStyle w:val="afb"/>
              <w:jc w:val="left"/>
              <w:rPr>
                <w:szCs w:val="21"/>
              </w:rPr>
            </w:pPr>
            <w:r>
              <w:rPr>
                <w:szCs w:val="21"/>
              </w:rPr>
              <w:t>α</w:t>
            </w:r>
            <w:r>
              <w:rPr>
                <w:szCs w:val="21"/>
              </w:rPr>
              <w:t>：排污系数，取</w:t>
            </w:r>
            <w:r>
              <w:rPr>
                <w:szCs w:val="21"/>
              </w:rPr>
              <w:t>0.054kg/m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lastRenderedPageBreak/>
              <w:t>总烃</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总烃</w:t>
            </w:r>
            <w:r>
              <w:rPr>
                <w:szCs w:val="21"/>
              </w:rPr>
              <w:t>=Q×α×t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总烃</w:t>
            </w:r>
            <w:r>
              <w:rPr>
                <w:rFonts w:hint="eastAsia"/>
                <w:szCs w:val="21"/>
              </w:rPr>
              <w:t>：</w:t>
            </w:r>
            <w:r>
              <w:rPr>
                <w:szCs w:val="21"/>
              </w:rPr>
              <w:t>总烃的排放量（</w:t>
            </w:r>
            <w:r>
              <w:rPr>
                <w:szCs w:val="21"/>
              </w:rPr>
              <w:t>kg/a</w:t>
            </w:r>
            <w:r>
              <w:rPr>
                <w:szCs w:val="21"/>
              </w:rPr>
              <w:t>）；</w:t>
            </w:r>
          </w:p>
          <w:p w:rsidR="00C645C9" w:rsidRDefault="00F955D9">
            <w:pPr>
              <w:pStyle w:val="afb"/>
              <w:jc w:val="left"/>
              <w:rPr>
                <w:szCs w:val="21"/>
              </w:rPr>
            </w:pPr>
            <w:r>
              <w:rPr>
                <w:szCs w:val="21"/>
              </w:rPr>
              <w:t>Q</w:t>
            </w:r>
            <w:r>
              <w:rPr>
                <w:szCs w:val="21"/>
              </w:rPr>
              <w:t>：火炬气流量（</w:t>
            </w:r>
            <w:r>
              <w:rPr>
                <w:szCs w:val="21"/>
              </w:rPr>
              <w:t>m³/h</w:t>
            </w:r>
            <w:r>
              <w:rPr>
                <w:szCs w:val="21"/>
              </w:rPr>
              <w:t>）；</w:t>
            </w:r>
          </w:p>
          <w:p w:rsidR="00C645C9" w:rsidRDefault="00F955D9">
            <w:pPr>
              <w:pStyle w:val="afb"/>
              <w:jc w:val="left"/>
              <w:rPr>
                <w:szCs w:val="21"/>
              </w:rPr>
            </w:pPr>
            <w:r>
              <w:rPr>
                <w:szCs w:val="21"/>
              </w:rPr>
              <w:t>α</w:t>
            </w:r>
            <w:r>
              <w:rPr>
                <w:szCs w:val="21"/>
              </w:rPr>
              <w:t>：排污系数，取</w:t>
            </w:r>
            <w:r>
              <w:rPr>
                <w:szCs w:val="21"/>
              </w:rPr>
              <w:t>0.002kg/m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二氧化硫</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二氧化硫</w:t>
            </w:r>
            <w:r>
              <w:rPr>
                <w:szCs w:val="21"/>
              </w:rPr>
              <w:t>=2×</w:t>
            </w:r>
            <w:r>
              <w:rPr>
                <w:szCs w:val="21"/>
              </w:rPr>
              <w:t>（</w:t>
            </w:r>
            <w:r>
              <w:rPr>
                <w:szCs w:val="21"/>
              </w:rPr>
              <w:t>S×Q×t</w:t>
            </w:r>
            <w:r>
              <w:rPr>
                <w:szCs w:val="21"/>
              </w:rPr>
              <w: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二氧化硫</w:t>
            </w:r>
            <w:r>
              <w:rPr>
                <w:rFonts w:hint="eastAsia"/>
                <w:szCs w:val="21"/>
              </w:rPr>
              <w:t>：</w:t>
            </w:r>
            <w:r>
              <w:rPr>
                <w:szCs w:val="21"/>
              </w:rPr>
              <w:t>二氧化硫的排放量（</w:t>
            </w:r>
            <w:r>
              <w:rPr>
                <w:szCs w:val="21"/>
              </w:rPr>
              <w:t>kg/a</w:t>
            </w:r>
            <w:r>
              <w:rPr>
                <w:szCs w:val="21"/>
              </w:rPr>
              <w:t>）；</w:t>
            </w:r>
          </w:p>
          <w:p w:rsidR="00C645C9" w:rsidRDefault="00F955D9">
            <w:pPr>
              <w:pStyle w:val="afb"/>
              <w:jc w:val="left"/>
              <w:rPr>
                <w:szCs w:val="21"/>
              </w:rPr>
            </w:pPr>
            <w:r>
              <w:rPr>
                <w:szCs w:val="21"/>
              </w:rPr>
              <w:t>Q</w:t>
            </w:r>
            <w:r>
              <w:rPr>
                <w:szCs w:val="21"/>
              </w:rPr>
              <w:t>：火炬气流量（</w:t>
            </w:r>
            <w:r>
              <w:rPr>
                <w:szCs w:val="21"/>
              </w:rPr>
              <w:t>m³/h</w:t>
            </w:r>
            <w:r>
              <w:rPr>
                <w:szCs w:val="21"/>
              </w:rPr>
              <w:t>）；</w:t>
            </w:r>
          </w:p>
          <w:p w:rsidR="00C645C9" w:rsidRDefault="00F955D9">
            <w:pPr>
              <w:pStyle w:val="afb"/>
              <w:jc w:val="left"/>
              <w:rPr>
                <w:szCs w:val="21"/>
              </w:rPr>
            </w:pPr>
            <w:r>
              <w:rPr>
                <w:szCs w:val="21"/>
              </w:rPr>
              <w:t>S</w:t>
            </w:r>
            <w:r>
              <w:rPr>
                <w:szCs w:val="21"/>
              </w:rPr>
              <w:t>：火炬气中的硫含量（</w:t>
            </w:r>
            <w:r>
              <w:rPr>
                <w:szCs w:val="21"/>
              </w:rPr>
              <w:t>kg/m³</w:t>
            </w:r>
            <w:r>
              <w:rPr>
                <w:szCs w:val="21"/>
              </w:rPr>
              <w:t>），取</w:t>
            </w:r>
            <w:r>
              <w:rPr>
                <w:szCs w:val="21"/>
              </w:rPr>
              <w:t>0.002kg/m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bl>
    <w:p w:rsidR="00C645C9" w:rsidRDefault="00F955D9">
      <w:pPr>
        <w:jc w:val="center"/>
        <w:rPr>
          <w:rFonts w:eastAsia="黑体" w:cs="Times New Roman"/>
          <w:sz w:val="21"/>
          <w:szCs w:val="21"/>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3-14</w:t>
      </w:r>
      <w:r>
        <w:rPr>
          <w:rFonts w:eastAsia="黑体" w:cs="Times New Roman"/>
          <w:sz w:val="21"/>
          <w:szCs w:val="21"/>
        </w:rPr>
        <w:t xml:space="preserve">   </w:t>
      </w:r>
      <w:r>
        <w:rPr>
          <w:rFonts w:eastAsia="黑体" w:cs="Times New Roman"/>
          <w:sz w:val="21"/>
          <w:szCs w:val="21"/>
        </w:rPr>
        <w:t>本工程火炬全放空一次燃烧烟气排放情况一览表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319"/>
        <w:gridCol w:w="1642"/>
        <w:gridCol w:w="1199"/>
        <w:gridCol w:w="1199"/>
        <w:gridCol w:w="1204"/>
      </w:tblGrid>
      <w:tr w:rsidR="00C645C9">
        <w:trPr>
          <w:trHeight w:val="367"/>
        </w:trPr>
        <w:tc>
          <w:tcPr>
            <w:tcW w:w="1194" w:type="pct"/>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污染源</w:t>
            </w:r>
          </w:p>
        </w:tc>
        <w:tc>
          <w:tcPr>
            <w:tcW w:w="765" w:type="pct"/>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气流量</w:t>
            </w:r>
          </w:p>
        </w:tc>
        <w:tc>
          <w:tcPr>
            <w:tcW w:w="952" w:type="pct"/>
            <w:vMerge w:val="restart"/>
            <w:tcBorders>
              <w:top w:val="single" w:sz="4" w:space="0" w:color="auto"/>
              <w:left w:val="single" w:sz="4" w:space="0" w:color="auto"/>
              <w:right w:val="single" w:sz="4" w:space="0" w:color="auto"/>
            </w:tcBorders>
            <w:vAlign w:val="center"/>
          </w:tcPr>
          <w:p w:rsidR="00C645C9" w:rsidRDefault="00F955D9">
            <w:pPr>
              <w:pStyle w:val="afb"/>
              <w:rPr>
                <w:szCs w:val="21"/>
              </w:rPr>
            </w:pPr>
            <w:r>
              <w:rPr>
                <w:rFonts w:hint="eastAsia"/>
                <w:szCs w:val="21"/>
              </w:rPr>
              <w:t>单次持续时间</w:t>
            </w:r>
            <w:r>
              <w:rPr>
                <w:rFonts w:hint="eastAsia"/>
                <w:szCs w:val="21"/>
              </w:rPr>
              <w:t>/h</w:t>
            </w:r>
          </w:p>
        </w:tc>
        <w:tc>
          <w:tcPr>
            <w:tcW w:w="2088"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污染物排放情况</w:t>
            </w:r>
          </w:p>
        </w:tc>
      </w:tr>
      <w:tr w:rsidR="00C645C9">
        <w:trPr>
          <w:trHeight w:val="372"/>
        </w:trPr>
        <w:tc>
          <w:tcPr>
            <w:tcW w:w="1194"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952" w:type="pct"/>
            <w:vMerge/>
            <w:tcBorders>
              <w:left w:val="single" w:sz="4" w:space="0" w:color="auto"/>
              <w:right w:val="single" w:sz="4" w:space="0" w:color="auto"/>
            </w:tcBorders>
            <w:vAlign w:val="center"/>
          </w:tcPr>
          <w:p w:rsidR="00C645C9" w:rsidRDefault="00C645C9">
            <w:pPr>
              <w:pStyle w:val="afb"/>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总烃</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NOx</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vertAlign w:val="subscript"/>
              </w:rPr>
            </w:pPr>
            <w:r>
              <w:rPr>
                <w:szCs w:val="21"/>
              </w:rPr>
              <w:t>SO</w:t>
            </w:r>
            <w:r>
              <w:rPr>
                <w:szCs w:val="21"/>
                <w:vertAlign w:val="subscript"/>
              </w:rPr>
              <w:t>2</w:t>
            </w:r>
          </w:p>
        </w:tc>
      </w:tr>
      <w:tr w:rsidR="00C645C9">
        <w:trPr>
          <w:trHeight w:val="340"/>
        </w:trPr>
        <w:tc>
          <w:tcPr>
            <w:tcW w:w="1194"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952" w:type="pct"/>
            <w:vMerge/>
            <w:tcBorders>
              <w:left w:val="single" w:sz="4" w:space="0" w:color="auto"/>
              <w:bottom w:val="single" w:sz="4" w:space="0" w:color="auto"/>
              <w:right w:val="single" w:sz="4" w:space="0" w:color="auto"/>
            </w:tcBorders>
            <w:vAlign w:val="center"/>
          </w:tcPr>
          <w:p w:rsidR="00C645C9" w:rsidRDefault="00C645C9">
            <w:pPr>
              <w:pStyle w:val="afb"/>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 xml:space="preserve"> /</w:t>
            </w:r>
            <w:r>
              <w:rPr>
                <w:rFonts w:hint="eastAsia"/>
                <w:szCs w:val="21"/>
              </w:rPr>
              <w:t>次</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w:t>
            </w:r>
            <w:r>
              <w:rPr>
                <w:rFonts w:hint="eastAsia"/>
                <w:szCs w:val="21"/>
              </w:rPr>
              <w:t>次</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 xml:space="preserve"> /</w:t>
            </w:r>
            <w:r>
              <w:rPr>
                <w:rFonts w:hint="eastAsia"/>
                <w:szCs w:val="21"/>
              </w:rPr>
              <w:t>次</w:t>
            </w:r>
          </w:p>
        </w:tc>
      </w:tr>
      <w:tr w:rsidR="00C645C9">
        <w:trPr>
          <w:trHeight w:val="340"/>
        </w:trPr>
        <w:tc>
          <w:tcPr>
            <w:tcW w:w="119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bookmarkStart w:id="1019" w:name="OLE_LINK379" w:colFirst="3" w:colLast="5"/>
            <w:r>
              <w:rPr>
                <w:rFonts w:hint="eastAsia"/>
                <w:szCs w:val="21"/>
              </w:rPr>
              <w:t>井场火炬全放空</w:t>
            </w:r>
          </w:p>
        </w:tc>
        <w:tc>
          <w:tcPr>
            <w:tcW w:w="76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bookmarkStart w:id="1020" w:name="OLE_LINK380"/>
            <w:r>
              <w:rPr>
                <w:rFonts w:hint="eastAsia"/>
                <w:szCs w:val="21"/>
              </w:rPr>
              <w:t>41</w:t>
            </w:r>
            <w:bookmarkEnd w:id="1020"/>
            <w:r>
              <w:rPr>
                <w:rFonts w:hint="eastAsia"/>
                <w:szCs w:val="21"/>
              </w:rPr>
              <w:t>65</w:t>
            </w:r>
            <w:r>
              <w:rPr>
                <w:rFonts w:hint="eastAsia"/>
                <w:szCs w:val="21"/>
              </w:rPr>
              <w:t>Nm</w:t>
            </w:r>
            <w:r>
              <w:rPr>
                <w:rFonts w:hint="eastAsia"/>
                <w:szCs w:val="21"/>
                <w:vertAlign w:val="superscript"/>
              </w:rPr>
              <w:t>3</w:t>
            </w:r>
            <w:r>
              <w:rPr>
                <w:rFonts w:hint="eastAsia"/>
                <w:szCs w:val="21"/>
              </w:rPr>
              <w:t>/h</w:t>
            </w:r>
          </w:p>
        </w:tc>
        <w:tc>
          <w:tcPr>
            <w:tcW w:w="9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2h</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16.66</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449.82</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33.32</w:t>
            </w:r>
          </w:p>
        </w:tc>
      </w:tr>
      <w:bookmarkEnd w:id="1019"/>
      <w:tr w:rsidR="00C645C9">
        <w:trPr>
          <w:trHeight w:val="340"/>
        </w:trPr>
        <w:tc>
          <w:tcPr>
            <w:tcW w:w="2911"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合计</w:t>
            </w:r>
          </w:p>
        </w:tc>
        <w:tc>
          <w:tcPr>
            <w:tcW w:w="119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16.66</w:t>
            </w:r>
          </w:p>
        </w:tc>
        <w:tc>
          <w:tcPr>
            <w:tcW w:w="119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449.82</w:t>
            </w:r>
          </w:p>
        </w:tc>
        <w:tc>
          <w:tcPr>
            <w:tcW w:w="1204"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33.32</w:t>
            </w:r>
          </w:p>
        </w:tc>
      </w:tr>
    </w:tbl>
    <w:bookmarkEnd w:id="1012"/>
    <w:p w:rsidR="00C645C9" w:rsidRDefault="00F955D9">
      <w:pPr>
        <w:pStyle w:val="4"/>
        <w:widowControl w:val="0"/>
        <w:adjustRightInd w:val="0"/>
        <w:snapToGrid w:val="0"/>
        <w:rPr>
          <w:rFonts w:ascii="Times New Roman" w:hAnsi="Times New Roman" w:cs="Times New Roman"/>
          <w:color w:val="auto"/>
          <w:szCs w:val="24"/>
        </w:rPr>
      </w:pPr>
      <w:r>
        <w:rPr>
          <w:rFonts w:ascii="Times New Roman" w:hAnsi="Times New Roman" w:cs="Times New Roman"/>
          <w:color w:val="auto"/>
        </w:rPr>
        <w:fldChar w:fldCharType="begin"/>
      </w:r>
      <w:r>
        <w:rPr>
          <w:rFonts w:ascii="Times New Roman" w:hAnsi="Times New Roman" w:cs="Times New Roman"/>
          <w:color w:val="auto"/>
        </w:rPr>
        <w:instrText xml:space="preserve"> HYPERLINK "3.2.4.4"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color w:val="auto"/>
          <w:lang w:eastAsia="zh-CN"/>
        </w:rPr>
        <w:t>3</w:t>
      </w:r>
      <w:r>
        <w:rPr>
          <w:rFonts w:ascii="Times New Roman" w:hAnsi="Times New Roman" w:cs="Times New Roman"/>
          <w:color w:val="auto"/>
        </w:rPr>
        <w:t>.</w:t>
      </w:r>
      <w:r>
        <w:rPr>
          <w:rFonts w:ascii="Times New Roman" w:hAnsi="Times New Roman" w:cs="Times New Roman"/>
          <w:color w:val="auto"/>
          <w:lang w:eastAsia="zh-CN"/>
        </w:rPr>
        <w:t>3</w:t>
      </w:r>
      <w:r>
        <w:rPr>
          <w:rFonts w:ascii="Times New Roman" w:hAnsi="Times New Roman" w:cs="Times New Roman"/>
          <w:color w:val="auto"/>
        </w:rPr>
        <w:t>.4</w:t>
      </w:r>
      <w:r>
        <w:rPr>
          <w:rFonts w:ascii="Times New Roman" w:hAnsi="Times New Roman" w:cs="Times New Roman"/>
          <w:color w:val="auto"/>
        </w:rPr>
        <w:fldChar w:fldCharType="end"/>
      </w:r>
      <w:r>
        <w:rPr>
          <w:rFonts w:ascii="Times New Roman" w:hAnsi="Times New Roman" w:cs="Times New Roman"/>
          <w:color w:val="auto"/>
        </w:rPr>
        <w:t>噪声源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本工程井场产噪设备主要为</w:t>
      </w:r>
      <w:r>
        <w:rPr>
          <w:rFonts w:ascii="Times New Roman" w:hAnsi="Times New Roman" w:cs="Times New Roman" w:hint="eastAsia"/>
        </w:rPr>
        <w:t>泵撬</w:t>
      </w:r>
      <w:r>
        <w:rPr>
          <w:rFonts w:ascii="Times New Roman" w:hAnsi="Times New Roman" w:cs="Times New Roman"/>
        </w:rPr>
        <w:t>等设备运转噪声，噪声值为</w:t>
      </w:r>
      <w:r>
        <w:rPr>
          <w:rFonts w:ascii="Times New Roman" w:hAnsi="Times New Roman" w:cs="Times New Roman"/>
        </w:rPr>
        <w:t>60</w:t>
      </w:r>
      <w:r>
        <w:rPr>
          <w:rFonts w:ascii="Times New Roman" w:hAnsi="Times New Roman" w:cs="Times New Roman"/>
        </w:rPr>
        <w:t>～</w:t>
      </w:r>
      <w:r>
        <w:rPr>
          <w:rFonts w:ascii="Times New Roman" w:hAnsi="Times New Roman" w:cs="Times New Roman"/>
        </w:rPr>
        <w:t>9</w:t>
      </w:r>
      <w:r>
        <w:rPr>
          <w:rFonts w:ascii="Times New Roman" w:hAnsi="Times New Roman" w:cs="Times New Roman" w:hint="eastAsia"/>
        </w:rPr>
        <w:t>0</w:t>
      </w:r>
      <w:r>
        <w:rPr>
          <w:rFonts w:ascii="Times New Roman" w:hAnsi="Times New Roman" w:cs="Times New Roman"/>
        </w:rPr>
        <w:t>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。采取基础减振降噪，控制噪声对周围环境的影响，降噪效果约</w:t>
      </w:r>
      <w:r>
        <w:rPr>
          <w:rFonts w:ascii="Times New Roman" w:hAnsi="Times New Roman" w:cs="Times New Roman"/>
        </w:rPr>
        <w:t>10dB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Pr>
          <w:rFonts w:ascii="Times New Roman" w:hAnsi="Times New Roman" w:cs="Times New Roman"/>
          <w:spacing w:val="4"/>
          <w:kern w:val="24"/>
        </w:rPr>
        <w:t>在非正常工况下，启动火炬放空系统。火炬系统噪声源强约</w:t>
      </w:r>
      <w:r>
        <w:rPr>
          <w:rFonts w:ascii="Times New Roman" w:hAnsi="Times New Roman" w:cs="Times New Roman"/>
          <w:spacing w:val="4"/>
          <w:kern w:val="24"/>
        </w:rPr>
        <w:t>100~110dB</w:t>
      </w:r>
      <w:r>
        <w:rPr>
          <w:rFonts w:ascii="Times New Roman" w:hAnsi="Times New Roman" w:cs="Times New Roman"/>
          <w:spacing w:val="4"/>
          <w:kern w:val="24"/>
        </w:rPr>
        <w:t>（</w:t>
      </w:r>
      <w:r>
        <w:rPr>
          <w:rFonts w:ascii="Times New Roman" w:hAnsi="Times New Roman" w:cs="Times New Roman"/>
          <w:spacing w:val="4"/>
          <w:kern w:val="24"/>
        </w:rPr>
        <w:t>A</w:t>
      </w:r>
      <w:r>
        <w:rPr>
          <w:rFonts w:ascii="Times New Roman" w:hAnsi="Times New Roman" w:cs="Times New Roman"/>
          <w:spacing w:val="4"/>
          <w:kern w:val="24"/>
        </w:rPr>
        <w:t>）</w:t>
      </w:r>
      <w:r>
        <w:rPr>
          <w:rFonts w:ascii="Times New Roman" w:hAnsi="Times New Roman" w:cs="Times New Roman"/>
          <w:spacing w:val="4"/>
          <w:kern w:val="24"/>
        </w:rPr>
        <w:t>。</w:t>
      </w:r>
      <w:r>
        <w:rPr>
          <w:rFonts w:ascii="Times New Roman" w:hAnsi="Times New Roman" w:cs="Times New Roman"/>
        </w:rPr>
        <w:t>各噪声污染源噪声强度及治理措施情况见表</w:t>
      </w:r>
      <w:r>
        <w:rPr>
          <w:rFonts w:ascii="Times New Roman" w:hAnsi="Times New Roman" w:cs="Times New Roman"/>
        </w:rPr>
        <w:t>3.</w:t>
      </w:r>
      <w:r>
        <w:rPr>
          <w:rFonts w:ascii="Times New Roman" w:hAnsi="Times New Roman" w:cs="Times New Roman"/>
        </w:rPr>
        <w:t>3</w:t>
      </w:r>
      <w:r>
        <w:rPr>
          <w:rFonts w:ascii="Times New Roman" w:hAnsi="Times New Roman" w:cs="Times New Roman"/>
        </w:rPr>
        <w:t>-1</w:t>
      </w:r>
      <w:r>
        <w:rPr>
          <w:rFonts w:ascii="Times New Roman" w:hAnsi="Times New Roman" w:cs="Times New Roman" w:hint="eastAsia"/>
        </w:rPr>
        <w:t>5</w:t>
      </w:r>
      <w:r>
        <w:rPr>
          <w:rFonts w:ascii="Times New Roman" w:hAnsi="Times New Roman" w:cs="Times New Roman"/>
        </w:rPr>
        <w:t>。</w:t>
      </w:r>
    </w:p>
    <w:p w:rsidR="00C645C9" w:rsidRDefault="00F955D9" w:rsidP="005718BB">
      <w:pPr>
        <w:pStyle w:val="a6"/>
        <w:adjustRightInd w:val="0"/>
        <w:snapToGrid w:val="0"/>
        <w:spacing w:line="240" w:lineRule="auto"/>
        <w:ind w:firstLine="420"/>
        <w:jc w:val="center"/>
        <w:rPr>
          <w:rFonts w:eastAsia="黑体"/>
          <w:bCs/>
          <w:snapToGrid w:val="0"/>
          <w:sz w:val="21"/>
          <w:szCs w:val="21"/>
        </w:rPr>
      </w:pPr>
      <w:r>
        <w:rPr>
          <w:rFonts w:eastAsia="黑体"/>
          <w:bCs/>
          <w:snapToGrid w:val="0"/>
          <w:sz w:val="21"/>
          <w:szCs w:val="21"/>
        </w:rPr>
        <w:t>表</w:t>
      </w:r>
      <w:r>
        <w:rPr>
          <w:rFonts w:eastAsia="黑体"/>
          <w:bCs/>
          <w:snapToGrid w:val="0"/>
          <w:sz w:val="21"/>
          <w:szCs w:val="21"/>
        </w:rPr>
        <w:t>3.</w:t>
      </w:r>
      <w:r>
        <w:rPr>
          <w:rFonts w:eastAsia="黑体" w:hint="eastAsia"/>
          <w:bCs/>
          <w:snapToGrid w:val="0"/>
          <w:sz w:val="21"/>
          <w:szCs w:val="21"/>
        </w:rPr>
        <w:t>3</w:t>
      </w:r>
      <w:r>
        <w:rPr>
          <w:rFonts w:eastAsia="黑体"/>
          <w:bCs/>
          <w:snapToGrid w:val="0"/>
          <w:sz w:val="21"/>
          <w:szCs w:val="21"/>
        </w:rPr>
        <w:t>-1</w:t>
      </w:r>
      <w:r>
        <w:rPr>
          <w:rFonts w:eastAsia="黑体" w:hint="eastAsia"/>
          <w:bCs/>
          <w:snapToGrid w:val="0"/>
          <w:sz w:val="21"/>
          <w:szCs w:val="21"/>
        </w:rPr>
        <w:t xml:space="preserve">5   </w:t>
      </w:r>
      <w:r>
        <w:rPr>
          <w:rFonts w:eastAsia="黑体"/>
          <w:bCs/>
          <w:snapToGrid w:val="0"/>
          <w:sz w:val="21"/>
          <w:szCs w:val="21"/>
        </w:rPr>
        <w:t>噪声源设备</w:t>
      </w:r>
      <w:r>
        <w:rPr>
          <w:rFonts w:eastAsia="黑体" w:hint="eastAsia"/>
          <w:bCs/>
          <w:snapToGrid w:val="0"/>
          <w:sz w:val="21"/>
          <w:szCs w:val="21"/>
        </w:rPr>
        <w:t>（单座井场）</w:t>
      </w:r>
      <w:r>
        <w:rPr>
          <w:rFonts w:eastAsia="黑体" w:hint="eastAsia"/>
          <w:bCs/>
          <w:snapToGrid w:val="0"/>
          <w:sz w:val="21"/>
          <w:szCs w:val="21"/>
        </w:rPr>
        <w:t xml:space="preserve"> </w:t>
      </w:r>
      <w:r>
        <w:rPr>
          <w:rFonts w:eastAsia="黑体" w:hint="eastAsia"/>
          <w:bCs/>
          <w:snapToGrid w:val="0"/>
          <w:sz w:val="21"/>
          <w:szCs w:val="21"/>
        </w:rPr>
        <w:t>单位：</w:t>
      </w:r>
      <w:r>
        <w:rPr>
          <w:rFonts w:eastAsia="黑体" w:hint="eastAsia"/>
          <w:bCs/>
          <w:snapToGrid w:val="0"/>
          <w:sz w:val="21"/>
          <w:szCs w:val="21"/>
        </w:rPr>
        <w:t>dB</w:t>
      </w:r>
      <w:r>
        <w:rPr>
          <w:rFonts w:eastAsia="黑体" w:hint="eastAsia"/>
          <w:bCs/>
          <w:snapToGrid w:val="0"/>
          <w:sz w:val="21"/>
          <w:szCs w:val="21"/>
        </w:rPr>
        <w:t>（</w:t>
      </w:r>
      <w:r>
        <w:rPr>
          <w:rFonts w:eastAsia="黑体" w:hint="eastAsia"/>
          <w:bCs/>
          <w:snapToGrid w:val="0"/>
          <w:sz w:val="21"/>
          <w:szCs w:val="21"/>
        </w:rPr>
        <w:t>A</w:t>
      </w:r>
      <w:r>
        <w:rPr>
          <w:rFonts w:eastAsia="黑体" w:hint="eastAsia"/>
          <w:bCs/>
          <w:snapToGrid w:val="0"/>
          <w:sz w:val="21"/>
          <w:szCs w:val="21"/>
        </w:rPr>
        <w:t>）</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879"/>
        <w:gridCol w:w="1297"/>
        <w:gridCol w:w="980"/>
        <w:gridCol w:w="1173"/>
        <w:gridCol w:w="1854"/>
        <w:gridCol w:w="1148"/>
        <w:gridCol w:w="725"/>
      </w:tblGrid>
      <w:tr w:rsidR="00C645C9">
        <w:trPr>
          <w:trHeight w:val="237"/>
          <w:tblHeader/>
        </w:trPr>
        <w:tc>
          <w:tcPr>
            <w:tcW w:w="255" w:type="pct"/>
            <w:noWrap/>
            <w:vAlign w:val="center"/>
          </w:tcPr>
          <w:p w:rsidR="00C645C9" w:rsidRDefault="00F955D9">
            <w:pPr>
              <w:adjustRightInd w:val="0"/>
              <w:snapToGrid w:val="0"/>
              <w:jc w:val="center"/>
              <w:rPr>
                <w:sz w:val="21"/>
                <w:szCs w:val="21"/>
              </w:rPr>
            </w:pPr>
            <w:r>
              <w:rPr>
                <w:sz w:val="21"/>
                <w:szCs w:val="21"/>
              </w:rPr>
              <w:t>序号</w:t>
            </w:r>
          </w:p>
        </w:tc>
        <w:tc>
          <w:tcPr>
            <w:tcW w:w="518" w:type="pct"/>
            <w:noWrap/>
            <w:vAlign w:val="center"/>
          </w:tcPr>
          <w:p w:rsidR="00C645C9" w:rsidRDefault="00F955D9">
            <w:pPr>
              <w:adjustRightInd w:val="0"/>
              <w:snapToGrid w:val="0"/>
              <w:jc w:val="center"/>
              <w:rPr>
                <w:sz w:val="21"/>
                <w:szCs w:val="21"/>
              </w:rPr>
            </w:pPr>
            <w:r>
              <w:rPr>
                <w:sz w:val="21"/>
                <w:szCs w:val="21"/>
              </w:rPr>
              <w:t>装置区名称</w:t>
            </w:r>
          </w:p>
        </w:tc>
        <w:tc>
          <w:tcPr>
            <w:tcW w:w="763" w:type="pct"/>
            <w:noWrap/>
            <w:vAlign w:val="center"/>
          </w:tcPr>
          <w:p w:rsidR="00C645C9" w:rsidRDefault="00F955D9">
            <w:pPr>
              <w:adjustRightInd w:val="0"/>
              <w:snapToGrid w:val="0"/>
              <w:jc w:val="center"/>
              <w:rPr>
                <w:sz w:val="21"/>
                <w:szCs w:val="21"/>
              </w:rPr>
            </w:pPr>
            <w:r>
              <w:rPr>
                <w:sz w:val="21"/>
                <w:szCs w:val="21"/>
              </w:rPr>
              <w:t>噪声源</w:t>
            </w:r>
          </w:p>
        </w:tc>
        <w:tc>
          <w:tcPr>
            <w:tcW w:w="577" w:type="pct"/>
            <w:vAlign w:val="center"/>
          </w:tcPr>
          <w:p w:rsidR="00C645C9" w:rsidRDefault="00F955D9">
            <w:pPr>
              <w:adjustRightInd w:val="0"/>
              <w:snapToGrid w:val="0"/>
              <w:jc w:val="center"/>
              <w:rPr>
                <w:rFonts w:hAnsi="宋体"/>
                <w:spacing w:val="-10"/>
                <w:sz w:val="21"/>
                <w:szCs w:val="21"/>
              </w:rPr>
            </w:pPr>
            <w:r>
              <w:rPr>
                <w:rFonts w:hAnsi="宋体" w:hint="eastAsia"/>
                <w:spacing w:val="-10"/>
                <w:sz w:val="21"/>
                <w:szCs w:val="21"/>
              </w:rPr>
              <w:t>数量</w:t>
            </w:r>
          </w:p>
          <w:p w:rsidR="00C645C9" w:rsidRDefault="00F955D9">
            <w:pPr>
              <w:adjustRightInd w:val="0"/>
              <w:snapToGrid w:val="0"/>
              <w:jc w:val="center"/>
              <w:rPr>
                <w:sz w:val="21"/>
                <w:szCs w:val="21"/>
              </w:rPr>
            </w:pPr>
            <w:r>
              <w:rPr>
                <w:rFonts w:hAnsi="宋体" w:hint="eastAsia"/>
                <w:spacing w:val="-10"/>
                <w:sz w:val="21"/>
                <w:szCs w:val="21"/>
              </w:rPr>
              <w:t>（</w:t>
            </w:r>
            <w:r>
              <w:rPr>
                <w:rFonts w:hAnsi="宋体" w:hint="eastAsia"/>
                <w:spacing w:val="-10"/>
                <w:sz w:val="21"/>
                <w:szCs w:val="21"/>
              </w:rPr>
              <w:t>台</w:t>
            </w:r>
            <w:r>
              <w:rPr>
                <w:rFonts w:hAnsi="宋体" w:hint="eastAsia"/>
                <w:spacing w:val="-10"/>
                <w:sz w:val="21"/>
                <w:szCs w:val="21"/>
              </w:rPr>
              <w:t>/</w:t>
            </w:r>
            <w:r>
              <w:rPr>
                <w:rFonts w:hAnsi="宋体" w:hint="eastAsia"/>
                <w:spacing w:val="-10"/>
                <w:sz w:val="21"/>
                <w:szCs w:val="21"/>
              </w:rPr>
              <w:t>套</w:t>
            </w:r>
            <w:r>
              <w:rPr>
                <w:rFonts w:hAnsi="宋体" w:hint="eastAsia"/>
                <w:spacing w:val="-10"/>
                <w:sz w:val="21"/>
                <w:szCs w:val="21"/>
              </w:rPr>
              <w:t>）</w:t>
            </w:r>
          </w:p>
        </w:tc>
        <w:tc>
          <w:tcPr>
            <w:tcW w:w="690" w:type="pct"/>
            <w:noWrap/>
            <w:vAlign w:val="center"/>
          </w:tcPr>
          <w:p w:rsidR="00C645C9" w:rsidRDefault="00F955D9">
            <w:pPr>
              <w:adjustRightInd w:val="0"/>
              <w:snapToGrid w:val="0"/>
              <w:jc w:val="center"/>
              <w:rPr>
                <w:sz w:val="21"/>
                <w:szCs w:val="21"/>
              </w:rPr>
            </w:pPr>
            <w:r>
              <w:rPr>
                <w:sz w:val="21"/>
                <w:szCs w:val="21"/>
              </w:rPr>
              <w:t>噪声强度</w:t>
            </w:r>
          </w:p>
        </w:tc>
        <w:tc>
          <w:tcPr>
            <w:tcW w:w="1091" w:type="pct"/>
            <w:noWrap/>
            <w:vAlign w:val="center"/>
          </w:tcPr>
          <w:p w:rsidR="00C645C9" w:rsidRDefault="00F955D9">
            <w:pPr>
              <w:adjustRightInd w:val="0"/>
              <w:snapToGrid w:val="0"/>
              <w:jc w:val="center"/>
              <w:rPr>
                <w:sz w:val="21"/>
                <w:szCs w:val="21"/>
              </w:rPr>
            </w:pPr>
            <w:r>
              <w:rPr>
                <w:sz w:val="21"/>
                <w:szCs w:val="21"/>
              </w:rPr>
              <w:t>声源控制措施</w:t>
            </w:r>
          </w:p>
        </w:tc>
        <w:tc>
          <w:tcPr>
            <w:tcW w:w="675" w:type="pct"/>
            <w:vAlign w:val="center"/>
          </w:tcPr>
          <w:p w:rsidR="00C645C9" w:rsidRDefault="00F955D9">
            <w:pPr>
              <w:adjustRightInd w:val="0"/>
              <w:snapToGrid w:val="0"/>
              <w:jc w:val="center"/>
              <w:rPr>
                <w:sz w:val="21"/>
                <w:szCs w:val="21"/>
              </w:rPr>
            </w:pPr>
            <w:r>
              <w:rPr>
                <w:rFonts w:hint="eastAsia"/>
                <w:sz w:val="21"/>
                <w:szCs w:val="21"/>
              </w:rPr>
              <w:t>降噪效果</w:t>
            </w:r>
          </w:p>
        </w:tc>
        <w:tc>
          <w:tcPr>
            <w:tcW w:w="427" w:type="pct"/>
            <w:noWrap/>
            <w:vAlign w:val="center"/>
          </w:tcPr>
          <w:p w:rsidR="00C645C9" w:rsidRDefault="00F955D9">
            <w:pPr>
              <w:adjustRightInd w:val="0"/>
              <w:snapToGrid w:val="0"/>
              <w:jc w:val="center"/>
              <w:rPr>
                <w:sz w:val="21"/>
                <w:szCs w:val="21"/>
              </w:rPr>
            </w:pPr>
            <w:r>
              <w:rPr>
                <w:sz w:val="21"/>
                <w:szCs w:val="21"/>
              </w:rPr>
              <w:t>运行时段</w:t>
            </w:r>
          </w:p>
        </w:tc>
      </w:tr>
      <w:tr w:rsidR="00C645C9">
        <w:trPr>
          <w:trHeight w:val="544"/>
        </w:trPr>
        <w:tc>
          <w:tcPr>
            <w:tcW w:w="255" w:type="pct"/>
            <w:vAlign w:val="center"/>
          </w:tcPr>
          <w:p w:rsidR="00C645C9" w:rsidRDefault="00F955D9">
            <w:pPr>
              <w:adjustRightInd w:val="0"/>
              <w:snapToGrid w:val="0"/>
              <w:jc w:val="center"/>
              <w:rPr>
                <w:sz w:val="21"/>
                <w:szCs w:val="21"/>
              </w:rPr>
            </w:pPr>
            <w:r>
              <w:rPr>
                <w:sz w:val="21"/>
                <w:szCs w:val="21"/>
              </w:rPr>
              <w:t>1</w:t>
            </w:r>
          </w:p>
        </w:tc>
        <w:tc>
          <w:tcPr>
            <w:tcW w:w="518" w:type="pct"/>
            <w:vMerge w:val="restart"/>
            <w:vAlign w:val="center"/>
          </w:tcPr>
          <w:p w:rsidR="00C645C9" w:rsidRDefault="00F955D9">
            <w:pPr>
              <w:adjustRightInd w:val="0"/>
              <w:snapToGrid w:val="0"/>
              <w:jc w:val="center"/>
              <w:rPr>
                <w:sz w:val="21"/>
                <w:szCs w:val="21"/>
              </w:rPr>
            </w:pPr>
            <w:r>
              <w:rPr>
                <w:sz w:val="21"/>
                <w:szCs w:val="21"/>
              </w:rPr>
              <w:t>井场</w:t>
            </w:r>
            <w:r>
              <w:rPr>
                <w:rFonts w:hint="eastAsia"/>
                <w:sz w:val="21"/>
                <w:szCs w:val="21"/>
              </w:rPr>
              <w:t>工艺装置区</w:t>
            </w:r>
          </w:p>
        </w:tc>
        <w:tc>
          <w:tcPr>
            <w:tcW w:w="763" w:type="pct"/>
            <w:vAlign w:val="center"/>
          </w:tcPr>
          <w:p w:rsidR="00C645C9" w:rsidRDefault="00F955D9">
            <w:pPr>
              <w:adjustRightInd w:val="0"/>
              <w:snapToGrid w:val="0"/>
              <w:jc w:val="center"/>
              <w:rPr>
                <w:sz w:val="21"/>
                <w:szCs w:val="21"/>
              </w:rPr>
            </w:pPr>
            <w:r>
              <w:rPr>
                <w:rFonts w:hint="eastAsia"/>
                <w:sz w:val="21"/>
                <w:szCs w:val="21"/>
              </w:rPr>
              <w:t>加热炉</w:t>
            </w:r>
          </w:p>
        </w:tc>
        <w:tc>
          <w:tcPr>
            <w:tcW w:w="577" w:type="pct"/>
            <w:vAlign w:val="center"/>
          </w:tcPr>
          <w:p w:rsidR="00C645C9" w:rsidRDefault="00F955D9">
            <w:pPr>
              <w:adjustRightInd w:val="0"/>
              <w:snapToGrid w:val="0"/>
              <w:jc w:val="center"/>
              <w:rPr>
                <w:sz w:val="21"/>
                <w:szCs w:val="21"/>
              </w:rPr>
            </w:pPr>
            <w:r>
              <w:rPr>
                <w:rFonts w:hint="eastAsia"/>
                <w:sz w:val="21"/>
                <w:szCs w:val="21"/>
              </w:rPr>
              <w:t>1</w:t>
            </w:r>
          </w:p>
        </w:tc>
        <w:tc>
          <w:tcPr>
            <w:tcW w:w="690" w:type="pct"/>
            <w:vAlign w:val="center"/>
          </w:tcPr>
          <w:p w:rsidR="00C645C9" w:rsidRDefault="00F955D9">
            <w:pPr>
              <w:adjustRightInd w:val="0"/>
              <w:snapToGrid w:val="0"/>
              <w:jc w:val="center"/>
              <w:rPr>
                <w:sz w:val="21"/>
                <w:szCs w:val="21"/>
              </w:rPr>
            </w:pPr>
            <w:r>
              <w:rPr>
                <w:sz w:val="21"/>
                <w:szCs w:val="21"/>
              </w:rPr>
              <w:t>70~80</w:t>
            </w:r>
          </w:p>
        </w:tc>
        <w:tc>
          <w:tcPr>
            <w:tcW w:w="1091" w:type="pct"/>
            <w:vAlign w:val="center"/>
          </w:tcPr>
          <w:p w:rsidR="00C645C9" w:rsidRDefault="00F955D9">
            <w:pPr>
              <w:adjustRightInd w:val="0"/>
              <w:snapToGrid w:val="0"/>
              <w:jc w:val="center"/>
              <w:rPr>
                <w:sz w:val="21"/>
                <w:szCs w:val="21"/>
              </w:rPr>
            </w:pPr>
            <w:r>
              <w:rPr>
                <w:sz w:val="21"/>
                <w:szCs w:val="21"/>
              </w:rPr>
              <w:t>减振、隔声、消声</w:t>
            </w:r>
          </w:p>
        </w:tc>
        <w:tc>
          <w:tcPr>
            <w:tcW w:w="675" w:type="pct"/>
            <w:vAlign w:val="center"/>
          </w:tcPr>
          <w:p w:rsidR="00C645C9" w:rsidRDefault="00F955D9">
            <w:pPr>
              <w:adjustRightInd w:val="0"/>
              <w:snapToGrid w:val="0"/>
              <w:jc w:val="center"/>
              <w:rPr>
                <w:sz w:val="21"/>
                <w:szCs w:val="21"/>
              </w:rPr>
            </w:pPr>
            <w:r>
              <w:rPr>
                <w:rFonts w:hint="eastAsia"/>
                <w:sz w:val="21"/>
                <w:szCs w:val="21"/>
              </w:rPr>
              <w:t>1</w:t>
            </w:r>
            <w:r>
              <w:rPr>
                <w:sz w:val="21"/>
                <w:szCs w:val="21"/>
              </w:rPr>
              <w:t>0</w:t>
            </w:r>
          </w:p>
        </w:tc>
        <w:tc>
          <w:tcPr>
            <w:tcW w:w="427" w:type="pct"/>
            <w:vAlign w:val="center"/>
          </w:tcPr>
          <w:p w:rsidR="00C645C9" w:rsidRDefault="00F955D9">
            <w:pPr>
              <w:adjustRightInd w:val="0"/>
              <w:snapToGrid w:val="0"/>
              <w:jc w:val="center"/>
              <w:rPr>
                <w:sz w:val="21"/>
                <w:szCs w:val="21"/>
              </w:rPr>
            </w:pPr>
            <w:r>
              <w:rPr>
                <w:sz w:val="21"/>
                <w:szCs w:val="21"/>
              </w:rPr>
              <w:t>昼夜</w:t>
            </w:r>
          </w:p>
        </w:tc>
      </w:tr>
      <w:tr w:rsidR="00C645C9">
        <w:trPr>
          <w:trHeight w:val="544"/>
        </w:trPr>
        <w:tc>
          <w:tcPr>
            <w:tcW w:w="255" w:type="pct"/>
            <w:vAlign w:val="center"/>
          </w:tcPr>
          <w:p w:rsidR="00C645C9" w:rsidRDefault="00F955D9">
            <w:pPr>
              <w:adjustRightInd w:val="0"/>
              <w:snapToGrid w:val="0"/>
              <w:jc w:val="center"/>
              <w:rPr>
                <w:sz w:val="21"/>
                <w:szCs w:val="21"/>
              </w:rPr>
            </w:pPr>
            <w:r>
              <w:rPr>
                <w:sz w:val="21"/>
                <w:szCs w:val="21"/>
              </w:rPr>
              <w:t>2</w:t>
            </w:r>
          </w:p>
        </w:tc>
        <w:tc>
          <w:tcPr>
            <w:tcW w:w="518" w:type="pct"/>
            <w:vMerge/>
            <w:vAlign w:val="center"/>
          </w:tcPr>
          <w:p w:rsidR="00C645C9" w:rsidRDefault="00C645C9">
            <w:pPr>
              <w:adjustRightInd w:val="0"/>
              <w:snapToGrid w:val="0"/>
              <w:jc w:val="center"/>
              <w:rPr>
                <w:sz w:val="21"/>
                <w:szCs w:val="21"/>
              </w:rPr>
            </w:pPr>
          </w:p>
        </w:tc>
        <w:tc>
          <w:tcPr>
            <w:tcW w:w="763" w:type="pct"/>
            <w:vAlign w:val="center"/>
          </w:tcPr>
          <w:p w:rsidR="00C645C9" w:rsidRDefault="00F955D9">
            <w:pPr>
              <w:adjustRightInd w:val="0"/>
              <w:snapToGrid w:val="0"/>
              <w:jc w:val="center"/>
              <w:rPr>
                <w:sz w:val="21"/>
                <w:szCs w:val="21"/>
              </w:rPr>
            </w:pPr>
            <w:r>
              <w:rPr>
                <w:rFonts w:hint="eastAsia"/>
                <w:sz w:val="21"/>
                <w:szCs w:val="21"/>
              </w:rPr>
              <w:t>泵撬</w:t>
            </w:r>
          </w:p>
        </w:tc>
        <w:tc>
          <w:tcPr>
            <w:tcW w:w="577" w:type="pct"/>
            <w:vAlign w:val="center"/>
          </w:tcPr>
          <w:p w:rsidR="00C645C9" w:rsidRDefault="00F955D9">
            <w:pPr>
              <w:adjustRightInd w:val="0"/>
              <w:snapToGrid w:val="0"/>
              <w:jc w:val="center"/>
              <w:rPr>
                <w:sz w:val="21"/>
                <w:szCs w:val="21"/>
              </w:rPr>
            </w:pPr>
            <w:r>
              <w:rPr>
                <w:rFonts w:hint="eastAsia"/>
                <w:sz w:val="21"/>
                <w:szCs w:val="21"/>
              </w:rPr>
              <w:t>1</w:t>
            </w:r>
          </w:p>
        </w:tc>
        <w:tc>
          <w:tcPr>
            <w:tcW w:w="690" w:type="pct"/>
            <w:vAlign w:val="center"/>
          </w:tcPr>
          <w:p w:rsidR="00C645C9" w:rsidRDefault="00F955D9">
            <w:pPr>
              <w:adjustRightInd w:val="0"/>
              <w:snapToGrid w:val="0"/>
              <w:jc w:val="center"/>
              <w:rPr>
                <w:sz w:val="21"/>
                <w:szCs w:val="21"/>
              </w:rPr>
            </w:pPr>
            <w:r>
              <w:rPr>
                <w:sz w:val="21"/>
                <w:szCs w:val="21"/>
              </w:rPr>
              <w:t>60</w:t>
            </w:r>
            <w:r>
              <w:rPr>
                <w:rFonts w:hint="eastAsia"/>
                <w:sz w:val="21"/>
                <w:szCs w:val="21"/>
              </w:rPr>
              <w:t>~</w:t>
            </w:r>
            <w:r>
              <w:rPr>
                <w:sz w:val="21"/>
                <w:szCs w:val="21"/>
              </w:rPr>
              <w:t>90</w:t>
            </w:r>
          </w:p>
        </w:tc>
        <w:tc>
          <w:tcPr>
            <w:tcW w:w="1091" w:type="pct"/>
            <w:vAlign w:val="center"/>
          </w:tcPr>
          <w:p w:rsidR="00C645C9" w:rsidRDefault="00F955D9">
            <w:pPr>
              <w:adjustRightInd w:val="0"/>
              <w:snapToGrid w:val="0"/>
              <w:jc w:val="center"/>
              <w:rPr>
                <w:sz w:val="21"/>
                <w:szCs w:val="21"/>
              </w:rPr>
            </w:pPr>
            <w:r>
              <w:rPr>
                <w:sz w:val="21"/>
                <w:szCs w:val="21"/>
              </w:rPr>
              <w:t>减振、隔声、消声</w:t>
            </w:r>
          </w:p>
        </w:tc>
        <w:tc>
          <w:tcPr>
            <w:tcW w:w="675" w:type="pct"/>
            <w:vAlign w:val="center"/>
          </w:tcPr>
          <w:p w:rsidR="00C645C9" w:rsidRDefault="00F955D9">
            <w:pPr>
              <w:adjustRightInd w:val="0"/>
              <w:snapToGrid w:val="0"/>
              <w:jc w:val="center"/>
              <w:rPr>
                <w:sz w:val="21"/>
                <w:szCs w:val="21"/>
              </w:rPr>
            </w:pPr>
            <w:r>
              <w:rPr>
                <w:rFonts w:hint="eastAsia"/>
                <w:sz w:val="21"/>
                <w:szCs w:val="21"/>
              </w:rPr>
              <w:t>1</w:t>
            </w:r>
            <w:r>
              <w:rPr>
                <w:sz w:val="21"/>
                <w:szCs w:val="21"/>
              </w:rPr>
              <w:t>0</w:t>
            </w:r>
          </w:p>
        </w:tc>
        <w:tc>
          <w:tcPr>
            <w:tcW w:w="427" w:type="pct"/>
            <w:vAlign w:val="center"/>
          </w:tcPr>
          <w:p w:rsidR="00C645C9" w:rsidRDefault="00F955D9">
            <w:pPr>
              <w:adjustRightInd w:val="0"/>
              <w:snapToGrid w:val="0"/>
              <w:jc w:val="center"/>
              <w:rPr>
                <w:sz w:val="21"/>
                <w:szCs w:val="21"/>
              </w:rPr>
            </w:pPr>
            <w:r>
              <w:rPr>
                <w:sz w:val="21"/>
                <w:szCs w:val="21"/>
              </w:rPr>
              <w:t>昼夜</w:t>
            </w:r>
          </w:p>
        </w:tc>
      </w:tr>
      <w:tr w:rsidR="00C645C9">
        <w:trPr>
          <w:trHeight w:val="544"/>
        </w:trPr>
        <w:tc>
          <w:tcPr>
            <w:tcW w:w="255" w:type="pct"/>
            <w:vAlign w:val="center"/>
          </w:tcPr>
          <w:p w:rsidR="00C645C9" w:rsidRDefault="00F955D9">
            <w:pPr>
              <w:adjustRightInd w:val="0"/>
              <w:snapToGrid w:val="0"/>
              <w:jc w:val="center"/>
              <w:rPr>
                <w:sz w:val="21"/>
                <w:szCs w:val="21"/>
              </w:rPr>
            </w:pPr>
            <w:r>
              <w:rPr>
                <w:rFonts w:hint="eastAsia"/>
                <w:sz w:val="21"/>
                <w:szCs w:val="21"/>
              </w:rPr>
              <w:t>3</w:t>
            </w:r>
          </w:p>
        </w:tc>
        <w:tc>
          <w:tcPr>
            <w:tcW w:w="518" w:type="pct"/>
            <w:vMerge/>
            <w:vAlign w:val="center"/>
          </w:tcPr>
          <w:p w:rsidR="00C645C9" w:rsidRDefault="00C645C9">
            <w:pPr>
              <w:adjustRightInd w:val="0"/>
              <w:snapToGrid w:val="0"/>
              <w:jc w:val="center"/>
              <w:rPr>
                <w:sz w:val="21"/>
                <w:szCs w:val="21"/>
              </w:rPr>
            </w:pPr>
          </w:p>
        </w:tc>
        <w:tc>
          <w:tcPr>
            <w:tcW w:w="763" w:type="pct"/>
            <w:vAlign w:val="center"/>
          </w:tcPr>
          <w:p w:rsidR="00C645C9" w:rsidRDefault="00F955D9">
            <w:pPr>
              <w:adjustRightInd w:val="0"/>
              <w:snapToGrid w:val="0"/>
              <w:jc w:val="center"/>
              <w:rPr>
                <w:sz w:val="21"/>
                <w:szCs w:val="21"/>
              </w:rPr>
            </w:pPr>
            <w:bookmarkStart w:id="1021" w:name="OLE_LINK998"/>
            <w:r>
              <w:rPr>
                <w:rFonts w:hint="eastAsia"/>
                <w:sz w:val="21"/>
                <w:szCs w:val="21"/>
              </w:rPr>
              <w:t>各类分离器</w:t>
            </w:r>
            <w:bookmarkEnd w:id="1021"/>
          </w:p>
        </w:tc>
        <w:tc>
          <w:tcPr>
            <w:tcW w:w="577" w:type="pct"/>
            <w:vAlign w:val="center"/>
          </w:tcPr>
          <w:p w:rsidR="00C645C9" w:rsidRDefault="00F955D9">
            <w:pPr>
              <w:adjustRightInd w:val="0"/>
              <w:snapToGrid w:val="0"/>
              <w:jc w:val="center"/>
              <w:rPr>
                <w:sz w:val="21"/>
                <w:szCs w:val="21"/>
              </w:rPr>
            </w:pPr>
            <w:r>
              <w:rPr>
                <w:rFonts w:hint="eastAsia"/>
                <w:sz w:val="21"/>
                <w:szCs w:val="21"/>
              </w:rPr>
              <w:t>5</w:t>
            </w:r>
          </w:p>
        </w:tc>
        <w:tc>
          <w:tcPr>
            <w:tcW w:w="690" w:type="pct"/>
            <w:vAlign w:val="center"/>
          </w:tcPr>
          <w:p w:rsidR="00C645C9" w:rsidRDefault="00F955D9">
            <w:pPr>
              <w:adjustRightInd w:val="0"/>
              <w:snapToGrid w:val="0"/>
              <w:jc w:val="center"/>
              <w:rPr>
                <w:sz w:val="21"/>
                <w:szCs w:val="21"/>
              </w:rPr>
            </w:pPr>
            <w:r>
              <w:rPr>
                <w:sz w:val="21"/>
                <w:szCs w:val="21"/>
              </w:rPr>
              <w:t>60</w:t>
            </w:r>
            <w:bookmarkStart w:id="1022" w:name="OLE_LINK348"/>
            <w:r>
              <w:rPr>
                <w:rFonts w:hint="eastAsia"/>
                <w:sz w:val="21"/>
                <w:szCs w:val="21"/>
              </w:rPr>
              <w:t>~</w:t>
            </w:r>
            <w:bookmarkEnd w:id="1022"/>
            <w:r>
              <w:rPr>
                <w:sz w:val="21"/>
                <w:szCs w:val="21"/>
              </w:rPr>
              <w:t>70</w:t>
            </w:r>
          </w:p>
        </w:tc>
        <w:tc>
          <w:tcPr>
            <w:tcW w:w="1091" w:type="pct"/>
            <w:vAlign w:val="center"/>
          </w:tcPr>
          <w:p w:rsidR="00C645C9" w:rsidRDefault="00F955D9">
            <w:pPr>
              <w:adjustRightInd w:val="0"/>
              <w:snapToGrid w:val="0"/>
              <w:jc w:val="center"/>
              <w:rPr>
                <w:sz w:val="21"/>
                <w:szCs w:val="21"/>
              </w:rPr>
            </w:pPr>
            <w:r>
              <w:rPr>
                <w:sz w:val="21"/>
                <w:szCs w:val="21"/>
              </w:rPr>
              <w:t>减振、隔声、消声</w:t>
            </w:r>
          </w:p>
        </w:tc>
        <w:tc>
          <w:tcPr>
            <w:tcW w:w="675" w:type="pct"/>
            <w:vAlign w:val="center"/>
          </w:tcPr>
          <w:p w:rsidR="00C645C9" w:rsidRDefault="00F955D9">
            <w:pPr>
              <w:adjustRightInd w:val="0"/>
              <w:snapToGrid w:val="0"/>
              <w:jc w:val="center"/>
              <w:rPr>
                <w:sz w:val="21"/>
                <w:szCs w:val="21"/>
              </w:rPr>
            </w:pPr>
            <w:r>
              <w:rPr>
                <w:rFonts w:hint="eastAsia"/>
                <w:sz w:val="21"/>
                <w:szCs w:val="21"/>
              </w:rPr>
              <w:t>1</w:t>
            </w:r>
            <w:r>
              <w:rPr>
                <w:sz w:val="21"/>
                <w:szCs w:val="21"/>
              </w:rPr>
              <w:t>0</w:t>
            </w:r>
          </w:p>
        </w:tc>
        <w:tc>
          <w:tcPr>
            <w:tcW w:w="427" w:type="pct"/>
            <w:vAlign w:val="center"/>
          </w:tcPr>
          <w:p w:rsidR="00C645C9" w:rsidRDefault="00F955D9">
            <w:pPr>
              <w:adjustRightInd w:val="0"/>
              <w:snapToGrid w:val="0"/>
              <w:jc w:val="center"/>
              <w:rPr>
                <w:sz w:val="21"/>
                <w:szCs w:val="21"/>
              </w:rPr>
            </w:pPr>
            <w:r>
              <w:rPr>
                <w:sz w:val="21"/>
                <w:szCs w:val="21"/>
              </w:rPr>
              <w:t>昼夜</w:t>
            </w:r>
          </w:p>
        </w:tc>
      </w:tr>
      <w:tr w:rsidR="00C645C9">
        <w:trPr>
          <w:trHeight w:val="544"/>
        </w:trPr>
        <w:tc>
          <w:tcPr>
            <w:tcW w:w="255" w:type="pct"/>
            <w:vAlign w:val="center"/>
          </w:tcPr>
          <w:p w:rsidR="00C645C9" w:rsidRDefault="00F955D9">
            <w:pPr>
              <w:adjustRightInd w:val="0"/>
              <w:snapToGrid w:val="0"/>
              <w:jc w:val="center"/>
              <w:rPr>
                <w:sz w:val="21"/>
                <w:szCs w:val="21"/>
              </w:rPr>
            </w:pPr>
            <w:r>
              <w:rPr>
                <w:rFonts w:hint="eastAsia"/>
                <w:sz w:val="21"/>
                <w:szCs w:val="21"/>
              </w:rPr>
              <w:t>4</w:t>
            </w:r>
          </w:p>
        </w:tc>
        <w:tc>
          <w:tcPr>
            <w:tcW w:w="518" w:type="pct"/>
            <w:vMerge/>
            <w:vAlign w:val="center"/>
          </w:tcPr>
          <w:p w:rsidR="00C645C9" w:rsidRDefault="00C645C9">
            <w:pPr>
              <w:adjustRightInd w:val="0"/>
              <w:snapToGrid w:val="0"/>
              <w:jc w:val="center"/>
              <w:rPr>
                <w:sz w:val="21"/>
                <w:szCs w:val="21"/>
              </w:rPr>
            </w:pPr>
          </w:p>
        </w:tc>
        <w:tc>
          <w:tcPr>
            <w:tcW w:w="763" w:type="pct"/>
            <w:vAlign w:val="center"/>
          </w:tcPr>
          <w:p w:rsidR="00C645C9" w:rsidRDefault="00F955D9">
            <w:pPr>
              <w:adjustRightInd w:val="0"/>
              <w:snapToGrid w:val="0"/>
              <w:jc w:val="center"/>
              <w:rPr>
                <w:sz w:val="21"/>
                <w:szCs w:val="21"/>
              </w:rPr>
            </w:pPr>
            <w:r>
              <w:rPr>
                <w:sz w:val="21"/>
                <w:szCs w:val="21"/>
              </w:rPr>
              <w:t>火炬</w:t>
            </w:r>
          </w:p>
        </w:tc>
        <w:tc>
          <w:tcPr>
            <w:tcW w:w="577" w:type="pct"/>
            <w:vAlign w:val="center"/>
          </w:tcPr>
          <w:p w:rsidR="00C645C9" w:rsidRDefault="00F955D9">
            <w:pPr>
              <w:adjustRightInd w:val="0"/>
              <w:snapToGrid w:val="0"/>
              <w:jc w:val="center"/>
              <w:rPr>
                <w:sz w:val="21"/>
                <w:szCs w:val="21"/>
              </w:rPr>
            </w:pPr>
            <w:r>
              <w:rPr>
                <w:rFonts w:hint="eastAsia"/>
                <w:sz w:val="21"/>
                <w:szCs w:val="21"/>
              </w:rPr>
              <w:t>1</w:t>
            </w:r>
          </w:p>
        </w:tc>
        <w:tc>
          <w:tcPr>
            <w:tcW w:w="690" w:type="pct"/>
            <w:vAlign w:val="center"/>
          </w:tcPr>
          <w:p w:rsidR="00C645C9" w:rsidRDefault="00F955D9">
            <w:pPr>
              <w:adjustRightInd w:val="0"/>
              <w:snapToGrid w:val="0"/>
              <w:jc w:val="center"/>
              <w:rPr>
                <w:sz w:val="21"/>
                <w:szCs w:val="21"/>
              </w:rPr>
            </w:pPr>
            <w:r>
              <w:rPr>
                <w:sz w:val="21"/>
                <w:szCs w:val="21"/>
              </w:rPr>
              <w:t>100</w:t>
            </w:r>
            <w:r>
              <w:rPr>
                <w:rFonts w:hint="eastAsia"/>
                <w:sz w:val="21"/>
                <w:szCs w:val="21"/>
              </w:rPr>
              <w:t>~</w:t>
            </w:r>
            <w:r>
              <w:rPr>
                <w:sz w:val="21"/>
                <w:szCs w:val="21"/>
              </w:rPr>
              <w:t>110</w:t>
            </w:r>
          </w:p>
        </w:tc>
        <w:tc>
          <w:tcPr>
            <w:tcW w:w="1091" w:type="pct"/>
            <w:vAlign w:val="center"/>
          </w:tcPr>
          <w:p w:rsidR="00C645C9" w:rsidRDefault="00F955D9">
            <w:pPr>
              <w:adjustRightInd w:val="0"/>
              <w:snapToGrid w:val="0"/>
              <w:jc w:val="center"/>
              <w:rPr>
                <w:sz w:val="21"/>
                <w:szCs w:val="21"/>
              </w:rPr>
            </w:pPr>
            <w:r>
              <w:rPr>
                <w:sz w:val="21"/>
                <w:szCs w:val="21"/>
              </w:rPr>
              <w:t>/</w:t>
            </w:r>
          </w:p>
        </w:tc>
        <w:tc>
          <w:tcPr>
            <w:tcW w:w="675" w:type="pct"/>
            <w:vAlign w:val="center"/>
          </w:tcPr>
          <w:p w:rsidR="00C645C9" w:rsidRDefault="00F955D9">
            <w:pPr>
              <w:adjustRightInd w:val="0"/>
              <w:snapToGrid w:val="0"/>
              <w:jc w:val="center"/>
              <w:rPr>
                <w:sz w:val="21"/>
                <w:szCs w:val="21"/>
              </w:rPr>
            </w:pPr>
            <w:r>
              <w:rPr>
                <w:rFonts w:hint="eastAsia"/>
                <w:sz w:val="21"/>
                <w:szCs w:val="21"/>
              </w:rPr>
              <w:t>1</w:t>
            </w:r>
            <w:r>
              <w:rPr>
                <w:sz w:val="21"/>
                <w:szCs w:val="21"/>
              </w:rPr>
              <w:t>0</w:t>
            </w:r>
          </w:p>
        </w:tc>
        <w:tc>
          <w:tcPr>
            <w:tcW w:w="427" w:type="pct"/>
            <w:vAlign w:val="center"/>
          </w:tcPr>
          <w:p w:rsidR="00C645C9" w:rsidRDefault="00F955D9">
            <w:pPr>
              <w:adjustRightInd w:val="0"/>
              <w:snapToGrid w:val="0"/>
              <w:jc w:val="center"/>
              <w:rPr>
                <w:sz w:val="21"/>
                <w:szCs w:val="21"/>
              </w:rPr>
            </w:pPr>
            <w:r>
              <w:rPr>
                <w:sz w:val="21"/>
                <w:szCs w:val="21"/>
              </w:rPr>
              <w:t>事故状态</w:t>
            </w:r>
          </w:p>
        </w:tc>
      </w:tr>
    </w:tbl>
    <w:p w:rsidR="00C645C9" w:rsidRDefault="00F955D9">
      <w:pPr>
        <w:pStyle w:val="4"/>
        <w:widowControl w:val="0"/>
        <w:adjustRightInd w:val="0"/>
        <w:snapToGrid w:val="0"/>
        <w:rPr>
          <w:rFonts w:ascii="Times New Roman" w:hAnsi="Times New Roman" w:cs="Times New Roman"/>
          <w:color w:val="auto"/>
          <w:szCs w:val="24"/>
        </w:rPr>
      </w:pPr>
      <w:hyperlink r:id="rId29" w:history="1">
        <w:r>
          <w:rPr>
            <w:rFonts w:ascii="Times New Roman" w:hAnsi="Times New Roman" w:cs="Times New Roman"/>
            <w:color w:val="auto"/>
          </w:rPr>
          <w:t>3.</w:t>
        </w:r>
        <w:r>
          <w:rPr>
            <w:rFonts w:ascii="Times New Roman" w:hAnsi="Times New Roman" w:cs="Times New Roman" w:hint="eastAsia"/>
            <w:color w:val="auto"/>
            <w:lang w:eastAsia="zh-CN"/>
          </w:rPr>
          <w:t>3</w:t>
        </w:r>
        <w:r>
          <w:rPr>
            <w:rFonts w:ascii="Times New Roman" w:hAnsi="Times New Roman" w:cs="Times New Roman"/>
            <w:color w:val="auto"/>
          </w:rPr>
          <w:t>.</w:t>
        </w:r>
        <w:r>
          <w:rPr>
            <w:rFonts w:ascii="Times New Roman" w:hAnsi="Times New Roman" w:cs="Times New Roman"/>
            <w:color w:val="auto"/>
            <w:lang w:eastAsia="zh-CN"/>
          </w:rPr>
          <w:t>3</w:t>
        </w:r>
        <w:r>
          <w:rPr>
            <w:rFonts w:ascii="Times New Roman" w:hAnsi="Times New Roman" w:cs="Times New Roman"/>
            <w:color w:val="auto"/>
          </w:rPr>
          <w:t>.5</w:t>
        </w:r>
      </w:hyperlink>
      <w:r>
        <w:rPr>
          <w:rFonts w:ascii="Times New Roman" w:hAnsi="Times New Roman" w:cs="Times New Roman"/>
          <w:color w:val="auto"/>
        </w:rPr>
        <w:t>运营期污染源汇总</w:t>
      </w:r>
    </w:p>
    <w:p w:rsidR="00C645C9" w:rsidRDefault="00F955D9">
      <w:pPr>
        <w:pStyle w:val="a5"/>
        <w:widowControl w:val="0"/>
        <w:snapToGrid w:val="0"/>
        <w:ind w:firstLineChars="200" w:firstLine="480"/>
        <w:rPr>
          <w:rFonts w:ascii="Times New Roman" w:eastAsia="黑体" w:hAnsi="Times New Roman" w:cs="Times New Roman"/>
          <w:spacing w:val="-2"/>
          <w:sz w:val="21"/>
          <w:szCs w:val="21"/>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运营期三废排放状况见表</w:t>
      </w:r>
      <w:r>
        <w:rPr>
          <w:rFonts w:ascii="Times New Roman" w:hAnsi="Times New Roman" w:cs="Times New Roman"/>
        </w:rPr>
        <w:t>3.</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16</w:t>
      </w:r>
      <w:r>
        <w:rPr>
          <w:rFonts w:ascii="Times New Roman" w:hAnsi="Times New Roman" w:cs="Times New Roman"/>
        </w:rPr>
        <w:t>。</w:t>
      </w:r>
    </w:p>
    <w:p w:rsidR="00C645C9" w:rsidRDefault="00F955D9">
      <w:pPr>
        <w:pStyle w:val="aff8"/>
        <w:ind w:firstLineChars="0" w:firstLine="0"/>
        <w:rPr>
          <w:rFonts w:eastAsia="黑体" w:cs="Times New Roman"/>
          <w:b w:val="0"/>
          <w:bCs/>
          <w:sz w:val="21"/>
          <w:szCs w:val="21"/>
        </w:rPr>
      </w:pPr>
      <w:bookmarkStart w:id="1023" w:name="_Toc23654"/>
      <w:bookmarkStart w:id="1024" w:name="_Toc28732"/>
      <w:bookmarkStart w:id="1025" w:name="_Toc4681"/>
      <w:r>
        <w:rPr>
          <w:rFonts w:eastAsia="黑体" w:cs="Times New Roman"/>
          <w:b w:val="0"/>
          <w:bCs/>
          <w:sz w:val="21"/>
          <w:szCs w:val="21"/>
        </w:rPr>
        <w:t>表</w:t>
      </w:r>
      <w:r>
        <w:rPr>
          <w:rFonts w:cs="Times New Roman"/>
          <w:b w:val="0"/>
          <w:bCs/>
          <w:sz w:val="21"/>
          <w:szCs w:val="21"/>
        </w:rPr>
        <w:t>3.</w:t>
      </w:r>
      <w:r>
        <w:rPr>
          <w:rFonts w:cs="Times New Roman" w:hint="eastAsia"/>
          <w:b w:val="0"/>
          <w:bCs/>
          <w:sz w:val="21"/>
          <w:szCs w:val="21"/>
        </w:rPr>
        <w:t>3</w:t>
      </w:r>
      <w:r>
        <w:rPr>
          <w:rFonts w:cs="Times New Roman"/>
          <w:b w:val="0"/>
          <w:bCs/>
          <w:sz w:val="21"/>
          <w:szCs w:val="21"/>
        </w:rPr>
        <w:t>-</w:t>
      </w:r>
      <w:r>
        <w:rPr>
          <w:rFonts w:cs="Times New Roman" w:hint="eastAsia"/>
          <w:b w:val="0"/>
          <w:bCs/>
          <w:sz w:val="21"/>
          <w:szCs w:val="21"/>
        </w:rPr>
        <w:t>16</w:t>
      </w:r>
      <w:r>
        <w:rPr>
          <w:rFonts w:cs="Times New Roman"/>
          <w:b w:val="0"/>
          <w:bCs/>
          <w:sz w:val="21"/>
          <w:szCs w:val="21"/>
        </w:rPr>
        <w:t xml:space="preserve">   </w:t>
      </w:r>
      <w:r>
        <w:rPr>
          <w:rFonts w:eastAsia="黑体" w:cs="Times New Roman"/>
          <w:b w:val="0"/>
          <w:bCs/>
          <w:sz w:val="21"/>
          <w:szCs w:val="21"/>
        </w:rPr>
        <w:t>运营期污染物排放汇总</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609"/>
        <w:gridCol w:w="1735"/>
        <w:gridCol w:w="1372"/>
        <w:gridCol w:w="1314"/>
        <w:gridCol w:w="2048"/>
      </w:tblGrid>
      <w:tr w:rsidR="00C645C9">
        <w:trPr>
          <w:trHeight w:val="91"/>
          <w:jc w:val="center"/>
        </w:trPr>
        <w:tc>
          <w:tcPr>
            <w:tcW w:w="664" w:type="dxa"/>
            <w:vAlign w:val="center"/>
          </w:tcPr>
          <w:p w:rsidR="00C645C9" w:rsidRDefault="00F955D9">
            <w:pPr>
              <w:pStyle w:val="afa"/>
              <w:shd w:val="clear" w:color="auto" w:fill="auto"/>
              <w:rPr>
                <w:szCs w:val="21"/>
              </w:rPr>
            </w:pPr>
            <w:r>
              <w:rPr>
                <w:szCs w:val="21"/>
              </w:rPr>
              <w:t>工段</w:t>
            </w:r>
          </w:p>
        </w:tc>
        <w:tc>
          <w:tcPr>
            <w:tcW w:w="1609" w:type="dxa"/>
            <w:vAlign w:val="center"/>
          </w:tcPr>
          <w:p w:rsidR="00C645C9" w:rsidRDefault="00F955D9">
            <w:pPr>
              <w:pStyle w:val="afa"/>
              <w:shd w:val="clear" w:color="auto" w:fill="auto"/>
              <w:rPr>
                <w:szCs w:val="21"/>
              </w:rPr>
            </w:pPr>
            <w:r>
              <w:rPr>
                <w:szCs w:val="21"/>
              </w:rPr>
              <w:t>污染源</w:t>
            </w:r>
          </w:p>
        </w:tc>
        <w:tc>
          <w:tcPr>
            <w:tcW w:w="1735" w:type="dxa"/>
            <w:vAlign w:val="center"/>
          </w:tcPr>
          <w:p w:rsidR="00C645C9" w:rsidRDefault="00F955D9">
            <w:pPr>
              <w:pStyle w:val="afa"/>
              <w:shd w:val="clear" w:color="auto" w:fill="auto"/>
              <w:rPr>
                <w:szCs w:val="21"/>
              </w:rPr>
            </w:pPr>
            <w:r>
              <w:rPr>
                <w:szCs w:val="21"/>
              </w:rPr>
              <w:t>主要污染物</w:t>
            </w:r>
          </w:p>
        </w:tc>
        <w:tc>
          <w:tcPr>
            <w:tcW w:w="1372" w:type="dxa"/>
            <w:vAlign w:val="center"/>
          </w:tcPr>
          <w:p w:rsidR="00C645C9" w:rsidRDefault="00F955D9">
            <w:pPr>
              <w:pStyle w:val="afa"/>
              <w:shd w:val="clear" w:color="auto" w:fill="auto"/>
              <w:rPr>
                <w:szCs w:val="21"/>
              </w:rPr>
            </w:pPr>
            <w:r>
              <w:rPr>
                <w:szCs w:val="21"/>
              </w:rPr>
              <w:t>产生量</w:t>
            </w:r>
          </w:p>
        </w:tc>
        <w:tc>
          <w:tcPr>
            <w:tcW w:w="1314" w:type="dxa"/>
            <w:vAlign w:val="center"/>
          </w:tcPr>
          <w:p w:rsidR="00C645C9" w:rsidRDefault="00F955D9">
            <w:pPr>
              <w:pStyle w:val="afa"/>
              <w:shd w:val="clear" w:color="auto" w:fill="auto"/>
              <w:rPr>
                <w:szCs w:val="21"/>
              </w:rPr>
            </w:pPr>
            <w:r>
              <w:rPr>
                <w:szCs w:val="21"/>
              </w:rPr>
              <w:t>排放量</w:t>
            </w:r>
          </w:p>
        </w:tc>
        <w:tc>
          <w:tcPr>
            <w:tcW w:w="2048" w:type="dxa"/>
            <w:vAlign w:val="center"/>
          </w:tcPr>
          <w:p w:rsidR="00C645C9" w:rsidRDefault="00F955D9">
            <w:pPr>
              <w:pStyle w:val="afa"/>
              <w:shd w:val="clear" w:color="auto" w:fill="auto"/>
              <w:rPr>
                <w:szCs w:val="21"/>
              </w:rPr>
            </w:pPr>
            <w:r>
              <w:rPr>
                <w:szCs w:val="21"/>
              </w:rPr>
              <w:t>排放去向</w:t>
            </w:r>
          </w:p>
        </w:tc>
      </w:tr>
      <w:tr w:rsidR="00C645C9">
        <w:trPr>
          <w:jc w:val="center"/>
        </w:trPr>
        <w:tc>
          <w:tcPr>
            <w:tcW w:w="664" w:type="dxa"/>
            <w:vMerge w:val="restart"/>
            <w:vAlign w:val="center"/>
          </w:tcPr>
          <w:p w:rsidR="00C645C9" w:rsidRDefault="00F955D9">
            <w:pPr>
              <w:pStyle w:val="afa"/>
              <w:shd w:val="clear" w:color="auto" w:fill="auto"/>
              <w:rPr>
                <w:szCs w:val="21"/>
              </w:rPr>
            </w:pPr>
            <w:bookmarkStart w:id="1026" w:name="OLE_LINK810" w:colFirst="3" w:colLast="3"/>
            <w:r>
              <w:rPr>
                <w:szCs w:val="21"/>
              </w:rPr>
              <w:t>废气</w:t>
            </w:r>
          </w:p>
        </w:tc>
        <w:tc>
          <w:tcPr>
            <w:tcW w:w="1609" w:type="dxa"/>
            <w:vMerge w:val="restart"/>
            <w:vAlign w:val="center"/>
          </w:tcPr>
          <w:p w:rsidR="00C645C9" w:rsidRDefault="00F955D9">
            <w:pPr>
              <w:pStyle w:val="afa"/>
              <w:shd w:val="clear" w:color="auto" w:fill="auto"/>
              <w:rPr>
                <w:szCs w:val="21"/>
              </w:rPr>
            </w:pPr>
            <w:r>
              <w:rPr>
                <w:szCs w:val="21"/>
              </w:rPr>
              <w:t>有组织排放</w:t>
            </w:r>
          </w:p>
        </w:tc>
        <w:tc>
          <w:tcPr>
            <w:tcW w:w="1735" w:type="dxa"/>
            <w:vAlign w:val="center"/>
          </w:tcPr>
          <w:p w:rsidR="00C645C9" w:rsidRDefault="00F955D9">
            <w:pPr>
              <w:pStyle w:val="afa"/>
              <w:shd w:val="clear" w:color="auto" w:fill="auto"/>
              <w:rPr>
                <w:szCs w:val="21"/>
              </w:rPr>
            </w:pPr>
            <w:r>
              <w:rPr>
                <w:szCs w:val="21"/>
              </w:rPr>
              <w:t>SO</w:t>
            </w:r>
            <w:r>
              <w:rPr>
                <w:szCs w:val="21"/>
                <w:vertAlign w:val="subscript"/>
              </w:rPr>
              <w:t>2</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1314"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NOx</w:t>
            </w:r>
          </w:p>
        </w:tc>
        <w:tc>
          <w:tcPr>
            <w:tcW w:w="1372"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颗粒物</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bookmarkEnd w:id="1026"/>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bookmarkStart w:id="1027" w:name="OLE_LINK811"/>
            <w:bookmarkStart w:id="1028" w:name="OLE_LINK815"/>
            <w:r>
              <w:rPr>
                <w:szCs w:val="21"/>
              </w:rPr>
              <w:t>0.</w:t>
            </w:r>
            <w:bookmarkEnd w:id="1027"/>
            <w:r>
              <w:rPr>
                <w:rFonts w:hint="eastAsia"/>
                <w:szCs w:val="21"/>
              </w:rPr>
              <w:t>126</w:t>
            </w:r>
            <w:r>
              <w:rPr>
                <w:szCs w:val="21"/>
              </w:rPr>
              <w:t>t/a</w:t>
            </w:r>
            <w:bookmarkEnd w:id="1028"/>
          </w:p>
        </w:tc>
        <w:tc>
          <w:tcPr>
            <w:tcW w:w="1314" w:type="dxa"/>
            <w:vAlign w:val="center"/>
          </w:tcPr>
          <w:p w:rsidR="00C645C9" w:rsidRDefault="00F955D9">
            <w:pPr>
              <w:pStyle w:val="afa"/>
              <w:shd w:val="clear" w:color="auto" w:fill="auto"/>
              <w:rPr>
                <w:szCs w:val="21"/>
              </w:rPr>
            </w:pPr>
            <w:r>
              <w:rPr>
                <w:szCs w:val="21"/>
              </w:rPr>
              <w:t>0.</w:t>
            </w:r>
            <w:r>
              <w:rPr>
                <w:rFonts w:hint="eastAsia"/>
                <w:szCs w:val="21"/>
              </w:rPr>
              <w:t>126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bookmarkStart w:id="1029" w:name="OLE_LINK822" w:colFirst="3" w:colLast="3"/>
          </w:p>
        </w:tc>
        <w:tc>
          <w:tcPr>
            <w:tcW w:w="1609" w:type="dxa"/>
            <w:vMerge w:val="restart"/>
            <w:vAlign w:val="center"/>
          </w:tcPr>
          <w:p w:rsidR="00C645C9" w:rsidRDefault="00F955D9">
            <w:pPr>
              <w:pStyle w:val="afa"/>
              <w:shd w:val="clear" w:color="auto" w:fill="auto"/>
              <w:rPr>
                <w:szCs w:val="21"/>
              </w:rPr>
            </w:pPr>
            <w:r>
              <w:rPr>
                <w:szCs w:val="21"/>
              </w:rPr>
              <w:t>无组织排放</w:t>
            </w: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r>
              <w:rPr>
                <w:rFonts w:hint="eastAsia"/>
                <w:szCs w:val="21"/>
              </w:rPr>
              <w:t>8.336</w:t>
            </w:r>
            <w:r>
              <w:rPr>
                <w:szCs w:val="21"/>
              </w:rPr>
              <w:t>t/a</w:t>
            </w:r>
          </w:p>
        </w:tc>
        <w:tc>
          <w:tcPr>
            <w:tcW w:w="1314" w:type="dxa"/>
            <w:vAlign w:val="center"/>
          </w:tcPr>
          <w:p w:rsidR="00C645C9" w:rsidRDefault="00F955D9">
            <w:pPr>
              <w:pStyle w:val="afa"/>
              <w:shd w:val="clear" w:color="auto" w:fill="auto"/>
              <w:rPr>
                <w:szCs w:val="21"/>
              </w:rPr>
            </w:pPr>
            <w:r>
              <w:rPr>
                <w:rFonts w:hint="eastAsia"/>
                <w:szCs w:val="21"/>
              </w:rPr>
              <w:t>8.336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trHeight w:val="90"/>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bookmarkStart w:id="1030" w:name="OLE_LINK813"/>
            <w:r>
              <w:rPr>
                <w:szCs w:val="21"/>
              </w:rPr>
              <w:t>硫化氢</w:t>
            </w:r>
            <w:bookmarkEnd w:id="1030"/>
          </w:p>
        </w:tc>
        <w:tc>
          <w:tcPr>
            <w:tcW w:w="1372" w:type="dxa"/>
            <w:vAlign w:val="center"/>
          </w:tcPr>
          <w:p w:rsidR="00C645C9" w:rsidRDefault="00F955D9">
            <w:pPr>
              <w:pStyle w:val="afa"/>
              <w:shd w:val="clear" w:color="auto" w:fill="auto"/>
              <w:rPr>
                <w:szCs w:val="21"/>
              </w:rPr>
            </w:pPr>
            <w:bookmarkStart w:id="1031" w:name="OLE_LINK814"/>
            <w:r>
              <w:rPr>
                <w:rFonts w:hint="eastAsia"/>
                <w:szCs w:val="21"/>
              </w:rPr>
              <w:t>2</w:t>
            </w:r>
            <w:r>
              <w:rPr>
                <w:szCs w:val="21"/>
              </w:rPr>
              <w:t>×</w:t>
            </w:r>
            <w:r>
              <w:rPr>
                <w:rFonts w:hint="eastAsia"/>
                <w:szCs w:val="21"/>
              </w:rPr>
              <w:t>10</w:t>
            </w:r>
            <w:r>
              <w:rPr>
                <w:rFonts w:hint="eastAsia"/>
                <w:szCs w:val="21"/>
                <w:vertAlign w:val="superscript"/>
              </w:rPr>
              <w:t>-4</w:t>
            </w:r>
            <w:r>
              <w:rPr>
                <w:szCs w:val="21"/>
              </w:rPr>
              <w:t>t/a</w:t>
            </w:r>
            <w:bookmarkEnd w:id="1031"/>
          </w:p>
        </w:tc>
        <w:tc>
          <w:tcPr>
            <w:tcW w:w="1314" w:type="dxa"/>
            <w:vAlign w:val="center"/>
          </w:tcPr>
          <w:p w:rsidR="00C645C9" w:rsidRDefault="00F955D9">
            <w:pPr>
              <w:pStyle w:val="afa"/>
              <w:shd w:val="clear" w:color="auto" w:fill="auto"/>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bookmarkEnd w:id="1029"/>
      <w:tr w:rsidR="00C645C9">
        <w:trPr>
          <w:trHeight w:val="347"/>
          <w:jc w:val="center"/>
        </w:trPr>
        <w:tc>
          <w:tcPr>
            <w:tcW w:w="664" w:type="dxa"/>
            <w:vMerge w:val="restart"/>
            <w:vAlign w:val="center"/>
          </w:tcPr>
          <w:p w:rsidR="00C645C9" w:rsidRDefault="00F955D9">
            <w:pPr>
              <w:pStyle w:val="afa"/>
              <w:shd w:val="clear" w:color="auto" w:fill="auto"/>
              <w:rPr>
                <w:szCs w:val="21"/>
              </w:rPr>
            </w:pPr>
            <w:r>
              <w:rPr>
                <w:szCs w:val="21"/>
              </w:rPr>
              <w:lastRenderedPageBreak/>
              <w:t>废水</w:t>
            </w:r>
          </w:p>
        </w:tc>
        <w:tc>
          <w:tcPr>
            <w:tcW w:w="1609" w:type="dxa"/>
            <w:vAlign w:val="center"/>
          </w:tcPr>
          <w:p w:rsidR="00C645C9" w:rsidRDefault="00F955D9">
            <w:pPr>
              <w:pStyle w:val="afa"/>
              <w:shd w:val="clear" w:color="auto" w:fill="auto"/>
              <w:rPr>
                <w:szCs w:val="21"/>
              </w:rPr>
            </w:pPr>
            <w:r>
              <w:rPr>
                <w:szCs w:val="21"/>
              </w:rPr>
              <w:t>生产废水</w:t>
            </w:r>
          </w:p>
        </w:tc>
        <w:tc>
          <w:tcPr>
            <w:tcW w:w="1735" w:type="dxa"/>
            <w:vAlign w:val="center"/>
          </w:tcPr>
          <w:p w:rsidR="00C645C9" w:rsidRDefault="00F955D9">
            <w:pPr>
              <w:pStyle w:val="afa"/>
              <w:shd w:val="clear" w:color="auto" w:fill="auto"/>
              <w:rPr>
                <w:szCs w:val="21"/>
              </w:rPr>
            </w:pPr>
            <w:r>
              <w:rPr>
                <w:szCs w:val="21"/>
              </w:rPr>
              <w:t>生产废水</w:t>
            </w:r>
          </w:p>
        </w:tc>
        <w:tc>
          <w:tcPr>
            <w:tcW w:w="1372" w:type="dxa"/>
            <w:vAlign w:val="center"/>
          </w:tcPr>
          <w:p w:rsidR="00C645C9" w:rsidRDefault="00F955D9">
            <w:pPr>
              <w:jc w:val="center"/>
              <w:textAlignment w:val="center"/>
              <w:rPr>
                <w:rFonts w:cs="Times New Roman"/>
                <w:sz w:val="21"/>
                <w:szCs w:val="21"/>
              </w:rPr>
            </w:pPr>
            <w:r>
              <w:rPr>
                <w:rFonts w:cs="Times New Roman"/>
                <w:spacing w:val="4"/>
                <w:kern w:val="24"/>
                <w:sz w:val="21"/>
                <w:szCs w:val="21"/>
              </w:rPr>
              <w:t>0.5t/d</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rFonts w:hint="eastAsia"/>
                <w:kern w:val="0"/>
                <w:szCs w:val="21"/>
                <w:lang w:bidi="ar"/>
              </w:rPr>
              <w:t>生产废水</w:t>
            </w:r>
            <w:r>
              <w:rPr>
                <w:kern w:val="0"/>
                <w:szCs w:val="21"/>
                <w:lang w:bidi="ar"/>
              </w:rPr>
              <w:t>由罐车拉运至塔河油田绿色环保工作站处理</w:t>
            </w:r>
            <w:r>
              <w:rPr>
                <w:kern w:val="0"/>
                <w:szCs w:val="21"/>
                <w:lang w:bidi="ar"/>
              </w:rPr>
              <w:t>。</w:t>
            </w:r>
          </w:p>
        </w:tc>
      </w:tr>
      <w:tr w:rsidR="00C645C9">
        <w:trPr>
          <w:trHeight w:val="493"/>
          <w:jc w:val="center"/>
        </w:trPr>
        <w:tc>
          <w:tcPr>
            <w:tcW w:w="664" w:type="dxa"/>
            <w:vMerge/>
            <w:vAlign w:val="center"/>
          </w:tcPr>
          <w:p w:rsidR="00C645C9" w:rsidRDefault="00C645C9">
            <w:pPr>
              <w:pStyle w:val="afa"/>
              <w:shd w:val="clear" w:color="auto" w:fill="auto"/>
              <w:rPr>
                <w:szCs w:val="21"/>
              </w:rPr>
            </w:pPr>
          </w:p>
        </w:tc>
        <w:tc>
          <w:tcPr>
            <w:tcW w:w="1609" w:type="dxa"/>
            <w:vMerge w:val="restart"/>
            <w:vAlign w:val="center"/>
          </w:tcPr>
          <w:p w:rsidR="00C645C9" w:rsidRDefault="00F955D9">
            <w:pPr>
              <w:pStyle w:val="afa"/>
              <w:shd w:val="clear" w:color="auto" w:fill="auto"/>
              <w:rPr>
                <w:szCs w:val="21"/>
              </w:rPr>
            </w:pPr>
            <w:r>
              <w:rPr>
                <w:szCs w:val="21"/>
              </w:rPr>
              <w:t>井下作业废水</w:t>
            </w:r>
          </w:p>
        </w:tc>
        <w:tc>
          <w:tcPr>
            <w:tcW w:w="1735" w:type="dxa"/>
            <w:vAlign w:val="center"/>
          </w:tcPr>
          <w:p w:rsidR="00C645C9" w:rsidRDefault="00F955D9">
            <w:pPr>
              <w:pStyle w:val="afa"/>
              <w:shd w:val="clear" w:color="auto" w:fill="auto"/>
              <w:rPr>
                <w:szCs w:val="21"/>
              </w:rPr>
            </w:pPr>
            <w:r>
              <w:rPr>
                <w:szCs w:val="21"/>
              </w:rPr>
              <w:t>井下作业废水量</w:t>
            </w:r>
          </w:p>
        </w:tc>
        <w:tc>
          <w:tcPr>
            <w:tcW w:w="1372" w:type="dxa"/>
            <w:vAlign w:val="center"/>
          </w:tcPr>
          <w:p w:rsidR="00C645C9" w:rsidRDefault="00F955D9">
            <w:pPr>
              <w:pStyle w:val="afa"/>
              <w:shd w:val="clear" w:color="auto" w:fill="auto"/>
              <w:rPr>
                <w:szCs w:val="21"/>
              </w:rPr>
            </w:pPr>
            <w:r>
              <w:rPr>
                <w:szCs w:val="21"/>
              </w:rPr>
              <w:t>13.565</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restart"/>
            <w:vAlign w:val="center"/>
          </w:tcPr>
          <w:p w:rsidR="00C645C9" w:rsidRDefault="00F955D9">
            <w:pPr>
              <w:pStyle w:val="afa"/>
              <w:shd w:val="clear" w:color="auto" w:fill="auto"/>
              <w:jc w:val="both"/>
              <w:rPr>
                <w:szCs w:val="21"/>
              </w:rPr>
            </w:pPr>
            <w:r>
              <w:rPr>
                <w:szCs w:val="21"/>
              </w:rPr>
              <w:t>井下作业废水自带回收罐回收井下作业废水，依托塔河油田绿色环保工作站处理</w:t>
            </w:r>
            <w:r>
              <w:rPr>
                <w:szCs w:val="21"/>
              </w:rPr>
              <w:t>。</w:t>
            </w:r>
          </w:p>
        </w:tc>
      </w:tr>
      <w:tr w:rsidR="00C645C9">
        <w:trPr>
          <w:trHeight w:val="437"/>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COD</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.017</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03</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trHeight w:val="90"/>
          <w:jc w:val="center"/>
        </w:trPr>
        <w:tc>
          <w:tcPr>
            <w:tcW w:w="664" w:type="dxa"/>
            <w:vMerge w:val="restart"/>
            <w:vAlign w:val="center"/>
          </w:tcPr>
          <w:p w:rsidR="00C645C9" w:rsidRDefault="00F955D9">
            <w:pPr>
              <w:pStyle w:val="afa"/>
              <w:shd w:val="clear" w:color="auto" w:fill="auto"/>
              <w:rPr>
                <w:szCs w:val="21"/>
              </w:rPr>
            </w:pPr>
            <w:r>
              <w:rPr>
                <w:szCs w:val="21"/>
              </w:rPr>
              <w:t>固体废物</w:t>
            </w:r>
          </w:p>
        </w:tc>
        <w:tc>
          <w:tcPr>
            <w:tcW w:w="1609" w:type="dxa"/>
            <w:vAlign w:val="center"/>
          </w:tcPr>
          <w:p w:rsidR="00C645C9" w:rsidRDefault="00F955D9">
            <w:pPr>
              <w:pStyle w:val="afa"/>
              <w:shd w:val="clear" w:color="auto" w:fill="auto"/>
              <w:rPr>
                <w:szCs w:val="21"/>
              </w:rPr>
            </w:pPr>
            <w:r>
              <w:rPr>
                <w:szCs w:val="21"/>
              </w:rPr>
              <w:t>落地油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w:t>
            </w:r>
            <w:r>
              <w:rPr>
                <w:rFonts w:hint="eastAsia"/>
                <w:szCs w:val="21"/>
              </w:rPr>
              <w:t>1</w:t>
            </w:r>
            <w:r>
              <w:rPr>
                <w:szCs w:val="21"/>
              </w:rPr>
              <w:t>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落地油不在施工井场储存，直接在作业施工现场由施工人员回收至密闭的专用罐车内，统一由塔河油田绿色环保站进行无害化处理。</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废防渗材料</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0.25t/a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施工单位将废弃的废防渗材料集中收集，不在井场贮存，委托持有危险废物经营许可证的单位利用处置</w:t>
            </w:r>
            <w:r>
              <w:rPr>
                <w:rFonts w:hint="eastAsia"/>
                <w:szCs w:val="21"/>
              </w:rPr>
              <w:t>。</w:t>
            </w:r>
          </w:p>
        </w:tc>
      </w:tr>
      <w:tr w:rsidR="00C645C9">
        <w:trPr>
          <w:trHeight w:val="1342"/>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清罐底泥</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t>0.1t/a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施工人员回收至密闭的专用罐车内，委托持有危险废物经营许可证的单位利用处置</w:t>
            </w:r>
            <w:r>
              <w:rPr>
                <w:szCs w:val="21"/>
              </w:rPr>
              <w:t>。</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废润滑油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委托持有危险废物经营许可证的单位利用处置</w:t>
            </w:r>
            <w:r>
              <w:rPr>
                <w:rFonts w:hint="eastAsia"/>
                <w:szCs w:val="21"/>
              </w:rPr>
              <w:t>。</w:t>
            </w:r>
          </w:p>
        </w:tc>
      </w:tr>
    </w:tbl>
    <w:p w:rsidR="00C645C9" w:rsidRDefault="00F955D9">
      <w:pPr>
        <w:pStyle w:val="3"/>
        <w:adjustRightInd w:val="0"/>
        <w:snapToGrid w:val="0"/>
        <w:spacing w:before="0" w:after="0" w:line="360" w:lineRule="auto"/>
        <w:rPr>
          <w:rFonts w:ascii="Times New Roman" w:hAnsi="Times New Roman" w:cs="Times New Roman"/>
          <w:color w:val="auto"/>
          <w:szCs w:val="28"/>
          <w:lang w:eastAsia="zh-CN"/>
        </w:rPr>
      </w:pPr>
      <w:bookmarkStart w:id="1032" w:name="_Toc9091"/>
      <w:bookmarkStart w:id="1033" w:name="_Toc3567"/>
      <w:bookmarkEnd w:id="1023"/>
      <w:bookmarkEnd w:id="1024"/>
      <w:bookmarkEnd w:id="1025"/>
      <w:r>
        <w:rPr>
          <w:rFonts w:ascii="Times New Roman" w:hAnsi="Times New Roman" w:cs="Times New Roman"/>
          <w:color w:val="auto"/>
          <w:szCs w:val="28"/>
          <w:lang w:eastAsia="zh-CN"/>
        </w:rPr>
        <w:t>3.</w:t>
      </w:r>
      <w:r>
        <w:rPr>
          <w:rFonts w:ascii="Times New Roman" w:hAnsi="Times New Roman" w:cs="Times New Roman" w:hint="eastAsia"/>
          <w:color w:val="auto"/>
          <w:szCs w:val="28"/>
          <w:lang w:eastAsia="zh-CN"/>
        </w:rPr>
        <w:t>3</w:t>
      </w:r>
      <w:r>
        <w:rPr>
          <w:rFonts w:ascii="Times New Roman" w:hAnsi="Times New Roman" w:cs="Times New Roman"/>
          <w:color w:val="auto"/>
          <w:szCs w:val="28"/>
          <w:lang w:eastAsia="zh-CN"/>
        </w:rPr>
        <w:t>.</w:t>
      </w:r>
      <w:r>
        <w:rPr>
          <w:rFonts w:ascii="Times New Roman" w:hAnsi="Times New Roman" w:cs="Times New Roman" w:hint="eastAsia"/>
          <w:color w:val="auto"/>
          <w:szCs w:val="28"/>
          <w:lang w:eastAsia="zh-CN"/>
        </w:rPr>
        <w:t>4</w:t>
      </w:r>
      <w:r>
        <w:rPr>
          <w:rFonts w:ascii="Times New Roman" w:hAnsi="Times New Roman" w:cs="Times New Roman"/>
          <w:color w:val="auto"/>
          <w:szCs w:val="28"/>
          <w:lang w:eastAsia="zh-CN"/>
        </w:rPr>
        <w:t>退役期环境影响因素分析</w:t>
      </w:r>
    </w:p>
    <w:p w:rsidR="00C645C9" w:rsidRDefault="00F955D9">
      <w:pPr>
        <w:keepNext/>
        <w:keepLines/>
        <w:widowControl w:val="0"/>
        <w:adjustRightInd w:val="0"/>
        <w:snapToGrid w:val="0"/>
        <w:spacing w:line="360" w:lineRule="auto"/>
        <w:ind w:firstLineChars="200" w:firstLine="480"/>
      </w:pPr>
      <w:r>
        <w:rPr>
          <w:rFonts w:hint="eastAsia"/>
        </w:rPr>
        <w:t>退役期的环境影响主要为井区停采后进行一系列的清理工作，包括地面设施的拆除、封井、井场清理等，将产生少量扬尘、地表废弃建筑、不可移动的废弃设施等固体废物。在闭井施工操作中应注意采取降尘措施，同时，将产生的建筑垃圾进行集中收集，</w:t>
      </w:r>
      <w:r>
        <w:rPr>
          <w:rFonts w:hint="eastAsia"/>
        </w:rPr>
        <w:t>委托有资质的单位</w:t>
      </w:r>
      <w:r>
        <w:rPr>
          <w:rFonts w:hint="eastAsia"/>
        </w:rPr>
        <w:t>运至固废填埋场进行填埋处理。</w:t>
      </w:r>
    </w:p>
    <w:bookmarkEnd w:id="761"/>
    <w:p w:rsidR="00C645C9" w:rsidRDefault="00F955D9">
      <w:pPr>
        <w:pStyle w:val="3"/>
        <w:adjustRightInd w:val="0"/>
        <w:snapToGrid w:val="0"/>
        <w:spacing w:before="0" w:after="0" w:line="360" w:lineRule="auto"/>
        <w:rPr>
          <w:rFonts w:ascii="Times New Roman" w:hAnsi="Times New Roman" w:cs="Times New Roman"/>
          <w:color w:val="auto"/>
          <w:szCs w:val="28"/>
          <w:lang w:eastAsia="zh-CN"/>
        </w:rPr>
      </w:pPr>
      <w:r>
        <w:rPr>
          <w:rFonts w:ascii="Times New Roman" w:hAnsi="Times New Roman" w:cs="Times New Roman"/>
          <w:color w:val="auto"/>
          <w:szCs w:val="28"/>
          <w:lang w:eastAsia="zh-CN"/>
        </w:rPr>
        <w:t>3.</w:t>
      </w:r>
      <w:r>
        <w:rPr>
          <w:rFonts w:ascii="Times New Roman" w:hAnsi="Times New Roman" w:cs="Times New Roman" w:hint="eastAsia"/>
          <w:color w:val="auto"/>
          <w:szCs w:val="28"/>
          <w:lang w:eastAsia="zh-CN"/>
        </w:rPr>
        <w:t>3</w:t>
      </w:r>
      <w:r>
        <w:rPr>
          <w:rFonts w:ascii="Times New Roman" w:hAnsi="Times New Roman" w:cs="Times New Roman"/>
          <w:color w:val="auto"/>
          <w:szCs w:val="28"/>
          <w:lang w:eastAsia="zh-CN"/>
        </w:rPr>
        <w:t>.</w:t>
      </w:r>
      <w:r>
        <w:rPr>
          <w:rFonts w:ascii="Times New Roman" w:hAnsi="Times New Roman" w:cs="Times New Roman" w:hint="eastAsia"/>
          <w:color w:val="auto"/>
          <w:szCs w:val="28"/>
          <w:lang w:eastAsia="zh-CN"/>
        </w:rPr>
        <w:t>5</w:t>
      </w:r>
      <w:r>
        <w:rPr>
          <w:rFonts w:ascii="Times New Roman" w:hAnsi="Times New Roman" w:cs="Times New Roman"/>
          <w:color w:val="auto"/>
          <w:szCs w:val="28"/>
          <w:lang w:eastAsia="zh-CN"/>
        </w:rPr>
        <w:t>非正常排放</w:t>
      </w:r>
    </w:p>
    <w:p w:rsidR="00C645C9" w:rsidRDefault="00F955D9" w:rsidP="005718BB">
      <w:pPr>
        <w:pStyle w:val="a6"/>
        <w:ind w:firstLine="480"/>
      </w:pPr>
      <w:r>
        <w:rPr>
          <w:rFonts w:hint="eastAsia"/>
        </w:rPr>
        <w:t>本工程在井场设置放空火炬</w:t>
      </w:r>
      <w:r>
        <w:rPr>
          <w:rFonts w:hint="eastAsia"/>
        </w:rPr>
        <w:t>区</w:t>
      </w:r>
      <w:r>
        <w:rPr>
          <w:rFonts w:hint="eastAsia"/>
        </w:rPr>
        <w:t>，用于</w:t>
      </w:r>
      <w:r>
        <w:rPr>
          <w:szCs w:val="24"/>
        </w:rPr>
        <w:t>事故及非正常工况</w:t>
      </w:r>
      <w:r>
        <w:rPr>
          <w:rFonts w:hint="eastAsia"/>
          <w:szCs w:val="24"/>
        </w:rPr>
        <w:t>下的放空燃烧。</w:t>
      </w:r>
      <w:r>
        <w:rPr>
          <w:rFonts w:hint="eastAsia"/>
        </w:rPr>
        <w:t>泄放点在事故状态下泄放的气体经过放空管线进入放空火炬分液罐，在放空火炬分液罐中分离出携带的液滴后进入放空火炬焚烧，考虑装置全放空状态下，井场火炬最大泄放量</w:t>
      </w:r>
      <w:r>
        <w:rPr>
          <w:rFonts w:hint="eastAsia"/>
        </w:rPr>
        <w:t>10</w:t>
      </w:r>
      <w:r>
        <w:rPr>
          <w:rFonts w:hint="eastAsia"/>
        </w:rPr>
        <w:t>×</w:t>
      </w:r>
      <w:r>
        <w:rPr>
          <w:rFonts w:hint="eastAsia"/>
        </w:rPr>
        <w:t>1</w:t>
      </w:r>
      <w:r>
        <w:t>0</w:t>
      </w:r>
      <w:r>
        <w:rPr>
          <w:vertAlign w:val="superscript"/>
        </w:rPr>
        <w:t>4</w:t>
      </w:r>
      <w:r>
        <w:rPr>
          <w:rFonts w:hint="eastAsia"/>
          <w:vertAlign w:val="superscript"/>
        </w:rPr>
        <w:t xml:space="preserve"> </w:t>
      </w:r>
      <w:r>
        <w:rPr>
          <w:rFonts w:hint="eastAsia"/>
        </w:rPr>
        <w:t>Nm</w:t>
      </w:r>
      <w:r>
        <w:rPr>
          <w:rFonts w:hint="eastAsia"/>
          <w:vertAlign w:val="superscript"/>
        </w:rPr>
        <w:t>3</w:t>
      </w:r>
      <w:r>
        <w:rPr>
          <w:rFonts w:hint="eastAsia"/>
        </w:rPr>
        <w:t>/d</w:t>
      </w:r>
      <w:r>
        <w:rPr>
          <w:rFonts w:hint="eastAsia"/>
        </w:rPr>
        <w:t>（</w:t>
      </w:r>
      <w:r>
        <w:rPr>
          <w:rFonts w:hint="eastAsia"/>
        </w:rPr>
        <w:t>4165</w:t>
      </w:r>
      <w:r>
        <w:rPr>
          <w:rFonts w:hint="eastAsia"/>
        </w:rPr>
        <w:t>Nm</w:t>
      </w:r>
      <w:r>
        <w:rPr>
          <w:rFonts w:hint="eastAsia"/>
          <w:vertAlign w:val="superscript"/>
        </w:rPr>
        <w:t>3</w:t>
      </w:r>
      <w:r>
        <w:rPr>
          <w:rFonts w:hint="eastAsia"/>
        </w:rPr>
        <w:t>/h</w:t>
      </w:r>
      <w:r>
        <w:rPr>
          <w:rFonts w:hint="eastAsia"/>
        </w:rPr>
        <w:t>），一次</w:t>
      </w:r>
      <w:r>
        <w:t>火炬燃烧放空时间按</w:t>
      </w:r>
      <w:r>
        <w:t>2</w:t>
      </w:r>
      <w:r>
        <w:rPr>
          <w:rFonts w:hint="eastAsia"/>
        </w:rPr>
        <w:t>h</w:t>
      </w:r>
      <w:r>
        <w:t>计</w:t>
      </w:r>
      <w:r>
        <w:rPr>
          <w:rFonts w:hint="eastAsia"/>
        </w:rPr>
        <w:t>，本次评价按最大燃烧时间</w:t>
      </w:r>
      <w:r>
        <w:t>2</w:t>
      </w:r>
      <w:r>
        <w:rPr>
          <w:rFonts w:hint="eastAsia"/>
        </w:rPr>
        <w:t>h</w:t>
      </w:r>
      <w:r>
        <w:t>/</w:t>
      </w:r>
      <w:r>
        <w:rPr>
          <w:rFonts w:hint="eastAsia"/>
        </w:rPr>
        <w:t>次计算</w:t>
      </w:r>
      <w:r>
        <w:t>。参照《排污许可证申请与核发技术规范</w:t>
      </w:r>
      <w:r>
        <w:t xml:space="preserve"> </w:t>
      </w:r>
      <w:r>
        <w:t>石化工业》</w:t>
      </w:r>
      <w:r>
        <w:rPr>
          <w:rFonts w:hint="eastAsia"/>
        </w:rPr>
        <w:t>（</w:t>
      </w:r>
      <w:r>
        <w:rPr>
          <w:rFonts w:hint="eastAsia"/>
        </w:rPr>
        <w:t>HJ853-2017</w:t>
      </w:r>
      <w:r>
        <w:rPr>
          <w:rFonts w:hint="eastAsia"/>
        </w:rPr>
        <w:t>）</w:t>
      </w:r>
      <w:r>
        <w:t>中的排污系数，具体核算方法详见</w:t>
      </w:r>
      <w:r>
        <w:rPr>
          <w:rFonts w:hint="eastAsia"/>
        </w:rPr>
        <w:t>表</w:t>
      </w:r>
      <w:r>
        <w:t>3.</w:t>
      </w:r>
      <w:r>
        <w:rPr>
          <w:rFonts w:hint="eastAsia"/>
        </w:rPr>
        <w:t>3-17</w:t>
      </w:r>
      <w:r>
        <w:t>，计算得出</w:t>
      </w:r>
      <w:r>
        <w:rPr>
          <w:rFonts w:hint="eastAsia"/>
        </w:rPr>
        <w:t>事故状态下火炬燃烧</w:t>
      </w:r>
      <w:r>
        <w:t>烟气排放情况见</w:t>
      </w:r>
      <w:r>
        <w:t>3.</w:t>
      </w:r>
      <w:r>
        <w:rPr>
          <w:rFonts w:hint="eastAsia"/>
        </w:rPr>
        <w:t>3-18</w:t>
      </w:r>
      <w:r>
        <w:t>所示</w:t>
      </w:r>
      <w:r>
        <w:t>。</w:t>
      </w:r>
    </w:p>
    <w:p w:rsidR="00C645C9" w:rsidRDefault="00F955D9">
      <w:pPr>
        <w:jc w:val="center"/>
        <w:rPr>
          <w:rFonts w:eastAsia="黑体" w:cs="Times New Roman"/>
          <w:sz w:val="21"/>
          <w:szCs w:val="21"/>
        </w:rPr>
      </w:pPr>
      <w:r>
        <w:rPr>
          <w:rFonts w:eastAsia="黑体" w:cs="Times New Roman"/>
          <w:sz w:val="21"/>
          <w:szCs w:val="21"/>
        </w:rPr>
        <w:lastRenderedPageBreak/>
        <w:t>表</w:t>
      </w:r>
      <w:r>
        <w:rPr>
          <w:rFonts w:eastAsia="黑体" w:cs="Times New Roman"/>
          <w:sz w:val="21"/>
          <w:szCs w:val="21"/>
        </w:rPr>
        <w:t>3.</w:t>
      </w:r>
      <w:r>
        <w:rPr>
          <w:rFonts w:eastAsia="黑体" w:cs="Times New Roman" w:hint="eastAsia"/>
          <w:sz w:val="21"/>
          <w:szCs w:val="21"/>
        </w:rPr>
        <w:t>3-17</w:t>
      </w:r>
      <w:r>
        <w:rPr>
          <w:rFonts w:eastAsia="黑体" w:cs="Times New Roman"/>
          <w:sz w:val="21"/>
          <w:szCs w:val="21"/>
        </w:rPr>
        <w:t xml:space="preserve">   </w:t>
      </w:r>
      <w:r>
        <w:rPr>
          <w:rFonts w:eastAsia="黑体" w:cs="Times New Roman"/>
          <w:sz w:val="21"/>
          <w:szCs w:val="21"/>
        </w:rPr>
        <w:t>各污染物排放量核算方法一览表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2680"/>
        <w:gridCol w:w="4551"/>
      </w:tblGrid>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污染物</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核算方法</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各参数代表的含义</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氮氧化物</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氮氧化物</w:t>
            </w:r>
            <w:r>
              <w:rPr>
                <w:szCs w:val="21"/>
              </w:rPr>
              <w:t>=Q×α×t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氮氧化物：氮氧化物的排放量（</w:t>
            </w:r>
            <w:r>
              <w:rPr>
                <w:szCs w:val="21"/>
              </w:rPr>
              <w:t>kg/a</w:t>
            </w:r>
            <w:r>
              <w:rPr>
                <w:szCs w:val="21"/>
              </w:rPr>
              <w:t>）；</w:t>
            </w:r>
          </w:p>
          <w:p w:rsidR="00C645C9" w:rsidRDefault="00F955D9">
            <w:pPr>
              <w:pStyle w:val="afb"/>
              <w:jc w:val="left"/>
              <w:rPr>
                <w:szCs w:val="21"/>
              </w:rPr>
            </w:pPr>
            <w:r>
              <w:rPr>
                <w:szCs w:val="21"/>
              </w:rPr>
              <w:t>Q</w:t>
            </w:r>
            <w:r>
              <w:rPr>
                <w:szCs w:val="21"/>
              </w:rPr>
              <w:t>：火炬气流量（</w:t>
            </w:r>
            <w:r>
              <w:rPr>
                <w:szCs w:val="21"/>
              </w:rPr>
              <w:t>m³/h</w:t>
            </w:r>
            <w:r>
              <w:rPr>
                <w:szCs w:val="21"/>
              </w:rPr>
              <w:t>）；</w:t>
            </w:r>
          </w:p>
          <w:p w:rsidR="00C645C9" w:rsidRDefault="00F955D9">
            <w:pPr>
              <w:pStyle w:val="afb"/>
              <w:jc w:val="left"/>
              <w:rPr>
                <w:szCs w:val="21"/>
              </w:rPr>
            </w:pPr>
            <w:r>
              <w:rPr>
                <w:szCs w:val="21"/>
              </w:rPr>
              <w:t>α</w:t>
            </w:r>
            <w:r>
              <w:rPr>
                <w:szCs w:val="21"/>
              </w:rPr>
              <w:t>：排污系数，取</w:t>
            </w:r>
            <w:r>
              <w:rPr>
                <w:szCs w:val="21"/>
              </w:rPr>
              <w:t>0.054kg/m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总烃</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总烃</w:t>
            </w:r>
            <w:r>
              <w:rPr>
                <w:szCs w:val="21"/>
              </w:rPr>
              <w:t>=Q×α×t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总烃</w:t>
            </w:r>
            <w:r>
              <w:rPr>
                <w:rFonts w:hint="eastAsia"/>
                <w:szCs w:val="21"/>
              </w:rPr>
              <w:t>：</w:t>
            </w:r>
            <w:r>
              <w:rPr>
                <w:szCs w:val="21"/>
              </w:rPr>
              <w:t>总烃的排放量（</w:t>
            </w:r>
            <w:r>
              <w:rPr>
                <w:szCs w:val="21"/>
              </w:rPr>
              <w:t>kg/a</w:t>
            </w:r>
            <w:r>
              <w:rPr>
                <w:szCs w:val="21"/>
              </w:rPr>
              <w:t>）；</w:t>
            </w:r>
          </w:p>
          <w:p w:rsidR="00C645C9" w:rsidRDefault="00F955D9">
            <w:pPr>
              <w:pStyle w:val="afb"/>
              <w:jc w:val="left"/>
              <w:rPr>
                <w:szCs w:val="21"/>
              </w:rPr>
            </w:pPr>
            <w:r>
              <w:rPr>
                <w:szCs w:val="21"/>
              </w:rPr>
              <w:t>Q</w:t>
            </w:r>
            <w:r>
              <w:rPr>
                <w:szCs w:val="21"/>
              </w:rPr>
              <w:t>：火炬气流量（</w:t>
            </w:r>
            <w:r>
              <w:rPr>
                <w:szCs w:val="21"/>
              </w:rPr>
              <w:t>m³/h</w:t>
            </w:r>
            <w:r>
              <w:rPr>
                <w:szCs w:val="21"/>
              </w:rPr>
              <w:t>）；</w:t>
            </w:r>
          </w:p>
          <w:p w:rsidR="00C645C9" w:rsidRDefault="00F955D9">
            <w:pPr>
              <w:pStyle w:val="afb"/>
              <w:jc w:val="left"/>
              <w:rPr>
                <w:szCs w:val="21"/>
              </w:rPr>
            </w:pPr>
            <w:r>
              <w:rPr>
                <w:szCs w:val="21"/>
              </w:rPr>
              <w:t>α</w:t>
            </w:r>
            <w:r>
              <w:rPr>
                <w:szCs w:val="21"/>
              </w:rPr>
              <w:t>：排污系数，取</w:t>
            </w:r>
            <w:r>
              <w:rPr>
                <w:szCs w:val="21"/>
              </w:rPr>
              <w:t>0.002kg/m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r w:rsidR="00C645C9">
        <w:trPr>
          <w:trHeight w:val="340"/>
        </w:trPr>
        <w:tc>
          <w:tcPr>
            <w:tcW w:w="80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二氧化硫</w:t>
            </w:r>
          </w:p>
        </w:tc>
        <w:tc>
          <w:tcPr>
            <w:tcW w:w="155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E</w:t>
            </w:r>
            <w:r>
              <w:rPr>
                <w:szCs w:val="21"/>
              </w:rPr>
              <w:t>二氧化硫</w:t>
            </w:r>
            <w:r>
              <w:rPr>
                <w:szCs w:val="21"/>
              </w:rPr>
              <w:t>=2×</w:t>
            </w:r>
            <w:r>
              <w:rPr>
                <w:szCs w:val="21"/>
              </w:rPr>
              <w:t>（</w:t>
            </w:r>
            <w:r>
              <w:rPr>
                <w:szCs w:val="21"/>
              </w:rPr>
              <w:t>S×Q×t</w:t>
            </w:r>
            <w:r>
              <w:rPr>
                <w:szCs w:val="21"/>
              </w:rPr>
              <w:t>）</w:t>
            </w:r>
          </w:p>
        </w:tc>
        <w:tc>
          <w:tcPr>
            <w:tcW w:w="26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jc w:val="left"/>
              <w:rPr>
                <w:szCs w:val="21"/>
              </w:rPr>
            </w:pPr>
            <w:r>
              <w:rPr>
                <w:szCs w:val="21"/>
              </w:rPr>
              <w:t>E</w:t>
            </w:r>
            <w:r>
              <w:rPr>
                <w:szCs w:val="21"/>
              </w:rPr>
              <w:t>二氧化硫</w:t>
            </w:r>
            <w:r>
              <w:rPr>
                <w:rFonts w:hint="eastAsia"/>
                <w:szCs w:val="21"/>
              </w:rPr>
              <w:t>：</w:t>
            </w:r>
            <w:r>
              <w:rPr>
                <w:szCs w:val="21"/>
              </w:rPr>
              <w:t>二氧化硫的排放量（</w:t>
            </w:r>
            <w:r>
              <w:rPr>
                <w:szCs w:val="21"/>
              </w:rPr>
              <w:t>kg/a</w:t>
            </w:r>
            <w:r>
              <w:rPr>
                <w:szCs w:val="21"/>
              </w:rPr>
              <w:t>）；</w:t>
            </w:r>
          </w:p>
          <w:p w:rsidR="00C645C9" w:rsidRDefault="00F955D9">
            <w:pPr>
              <w:pStyle w:val="afb"/>
              <w:jc w:val="left"/>
              <w:rPr>
                <w:szCs w:val="21"/>
              </w:rPr>
            </w:pPr>
            <w:r>
              <w:rPr>
                <w:szCs w:val="21"/>
              </w:rPr>
              <w:t>Q</w:t>
            </w:r>
            <w:r>
              <w:rPr>
                <w:szCs w:val="21"/>
              </w:rPr>
              <w:t>：火炬气流量（</w:t>
            </w:r>
            <w:r>
              <w:rPr>
                <w:szCs w:val="21"/>
              </w:rPr>
              <w:t>m³/h</w:t>
            </w:r>
            <w:r>
              <w:rPr>
                <w:szCs w:val="21"/>
              </w:rPr>
              <w:t>）；</w:t>
            </w:r>
          </w:p>
          <w:p w:rsidR="00C645C9" w:rsidRDefault="00F955D9">
            <w:pPr>
              <w:pStyle w:val="afb"/>
              <w:jc w:val="left"/>
              <w:rPr>
                <w:szCs w:val="21"/>
              </w:rPr>
            </w:pPr>
            <w:r>
              <w:rPr>
                <w:szCs w:val="21"/>
              </w:rPr>
              <w:t>S</w:t>
            </w:r>
            <w:r>
              <w:rPr>
                <w:szCs w:val="21"/>
              </w:rPr>
              <w:t>：火炬气中的硫含量（</w:t>
            </w:r>
            <w:r>
              <w:rPr>
                <w:szCs w:val="21"/>
              </w:rPr>
              <w:t>kg/m³</w:t>
            </w:r>
            <w:r>
              <w:rPr>
                <w:szCs w:val="21"/>
              </w:rPr>
              <w:t>），取</w:t>
            </w:r>
            <w:r>
              <w:rPr>
                <w:szCs w:val="21"/>
              </w:rPr>
              <w:t>0.002kg/m</w:t>
            </w:r>
            <w:r>
              <w:rPr>
                <w:szCs w:val="21"/>
                <w:vertAlign w:val="superscript"/>
              </w:rPr>
              <w:t>3</w:t>
            </w:r>
            <w:r>
              <w:rPr>
                <w:szCs w:val="21"/>
              </w:rPr>
              <w:t>；</w:t>
            </w:r>
          </w:p>
          <w:p w:rsidR="00C645C9" w:rsidRDefault="00F955D9">
            <w:pPr>
              <w:pStyle w:val="afb"/>
              <w:jc w:val="left"/>
              <w:rPr>
                <w:szCs w:val="21"/>
              </w:rPr>
            </w:pPr>
            <w:r>
              <w:rPr>
                <w:szCs w:val="21"/>
              </w:rPr>
              <w:t>t</w:t>
            </w:r>
            <w:r>
              <w:rPr>
                <w:szCs w:val="21"/>
              </w:rPr>
              <w:t>：火炬年运行时间，</w:t>
            </w:r>
            <w:r>
              <w:rPr>
                <w:rFonts w:hint="eastAsia"/>
                <w:szCs w:val="21"/>
              </w:rPr>
              <w:t>（</w:t>
            </w:r>
            <w:r>
              <w:rPr>
                <w:szCs w:val="21"/>
              </w:rPr>
              <w:t>h/a</w:t>
            </w:r>
            <w:r>
              <w:rPr>
                <w:rFonts w:hint="eastAsia"/>
                <w:szCs w:val="21"/>
              </w:rPr>
              <w:t>）</w:t>
            </w:r>
            <w:r>
              <w:rPr>
                <w:szCs w:val="21"/>
              </w:rPr>
              <w:t>，取</w:t>
            </w:r>
            <w:r>
              <w:rPr>
                <w:szCs w:val="21"/>
              </w:rPr>
              <w:t>2</w:t>
            </w:r>
            <w:r>
              <w:rPr>
                <w:rFonts w:hint="eastAsia"/>
                <w:szCs w:val="21"/>
              </w:rPr>
              <w:t>h</w:t>
            </w:r>
            <w:r>
              <w:rPr>
                <w:szCs w:val="21"/>
              </w:rPr>
              <w:t>/</w:t>
            </w:r>
            <w:r>
              <w:rPr>
                <w:rFonts w:hint="eastAsia"/>
                <w:szCs w:val="21"/>
              </w:rPr>
              <w:t>次</w:t>
            </w:r>
            <w:r>
              <w:rPr>
                <w:rFonts w:hint="eastAsia"/>
                <w:szCs w:val="21"/>
              </w:rPr>
              <w:t>。</w:t>
            </w:r>
          </w:p>
        </w:tc>
      </w:tr>
    </w:tbl>
    <w:p w:rsidR="00C645C9" w:rsidRDefault="00F955D9">
      <w:pPr>
        <w:jc w:val="center"/>
        <w:rPr>
          <w:rFonts w:eastAsia="黑体" w:cs="Times New Roman"/>
          <w:sz w:val="21"/>
          <w:szCs w:val="21"/>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3-18</w:t>
      </w:r>
      <w:r>
        <w:rPr>
          <w:rFonts w:eastAsia="黑体" w:cs="Times New Roman"/>
          <w:sz w:val="21"/>
          <w:szCs w:val="21"/>
        </w:rPr>
        <w:t xml:space="preserve">   </w:t>
      </w:r>
      <w:r>
        <w:rPr>
          <w:rFonts w:eastAsia="黑体" w:cs="Times New Roman"/>
          <w:sz w:val="21"/>
          <w:szCs w:val="21"/>
        </w:rPr>
        <w:t>本工程火炬全放空一次燃烧烟气排放情况一览表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319"/>
        <w:gridCol w:w="1642"/>
        <w:gridCol w:w="1199"/>
        <w:gridCol w:w="1199"/>
        <w:gridCol w:w="1204"/>
      </w:tblGrid>
      <w:tr w:rsidR="00C645C9">
        <w:trPr>
          <w:trHeight w:val="367"/>
        </w:trPr>
        <w:tc>
          <w:tcPr>
            <w:tcW w:w="1194" w:type="pct"/>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污染源</w:t>
            </w:r>
          </w:p>
        </w:tc>
        <w:tc>
          <w:tcPr>
            <w:tcW w:w="765" w:type="pct"/>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气流量</w:t>
            </w:r>
          </w:p>
        </w:tc>
        <w:tc>
          <w:tcPr>
            <w:tcW w:w="952" w:type="pct"/>
            <w:vMerge w:val="restart"/>
            <w:tcBorders>
              <w:top w:val="single" w:sz="4" w:space="0" w:color="auto"/>
              <w:left w:val="single" w:sz="4" w:space="0" w:color="auto"/>
              <w:right w:val="single" w:sz="4" w:space="0" w:color="auto"/>
            </w:tcBorders>
            <w:vAlign w:val="center"/>
          </w:tcPr>
          <w:p w:rsidR="00C645C9" w:rsidRDefault="00F955D9">
            <w:pPr>
              <w:pStyle w:val="afb"/>
              <w:rPr>
                <w:szCs w:val="21"/>
              </w:rPr>
            </w:pPr>
            <w:r>
              <w:rPr>
                <w:rFonts w:hint="eastAsia"/>
                <w:szCs w:val="21"/>
              </w:rPr>
              <w:t>单次持续时间</w:t>
            </w:r>
            <w:r>
              <w:rPr>
                <w:rFonts w:hint="eastAsia"/>
                <w:szCs w:val="21"/>
              </w:rPr>
              <w:t>/h</w:t>
            </w:r>
          </w:p>
        </w:tc>
        <w:tc>
          <w:tcPr>
            <w:tcW w:w="2088"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污染物排放情况</w:t>
            </w:r>
          </w:p>
        </w:tc>
      </w:tr>
      <w:tr w:rsidR="00C645C9">
        <w:trPr>
          <w:trHeight w:val="372"/>
        </w:trPr>
        <w:tc>
          <w:tcPr>
            <w:tcW w:w="1194"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952" w:type="pct"/>
            <w:vMerge/>
            <w:tcBorders>
              <w:left w:val="single" w:sz="4" w:space="0" w:color="auto"/>
              <w:right w:val="single" w:sz="4" w:space="0" w:color="auto"/>
            </w:tcBorders>
            <w:vAlign w:val="center"/>
          </w:tcPr>
          <w:p w:rsidR="00C645C9" w:rsidRDefault="00C645C9">
            <w:pPr>
              <w:pStyle w:val="afb"/>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总烃</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szCs w:val="21"/>
              </w:rPr>
              <w:t>NOx</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vertAlign w:val="subscript"/>
              </w:rPr>
            </w:pPr>
            <w:r>
              <w:rPr>
                <w:szCs w:val="21"/>
              </w:rPr>
              <w:t>SO</w:t>
            </w:r>
            <w:r>
              <w:rPr>
                <w:szCs w:val="21"/>
                <w:vertAlign w:val="subscript"/>
              </w:rPr>
              <w:t>2</w:t>
            </w:r>
          </w:p>
        </w:tc>
      </w:tr>
      <w:tr w:rsidR="00C645C9">
        <w:trPr>
          <w:trHeight w:val="340"/>
        </w:trPr>
        <w:tc>
          <w:tcPr>
            <w:tcW w:w="1194"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C645C9" w:rsidRDefault="00C645C9">
            <w:pPr>
              <w:pStyle w:val="afb"/>
              <w:rPr>
                <w:szCs w:val="21"/>
              </w:rPr>
            </w:pPr>
          </w:p>
        </w:tc>
        <w:tc>
          <w:tcPr>
            <w:tcW w:w="952" w:type="pct"/>
            <w:vMerge/>
            <w:tcBorders>
              <w:left w:val="single" w:sz="4" w:space="0" w:color="auto"/>
              <w:bottom w:val="single" w:sz="4" w:space="0" w:color="auto"/>
              <w:right w:val="single" w:sz="4" w:space="0" w:color="auto"/>
            </w:tcBorders>
            <w:vAlign w:val="center"/>
          </w:tcPr>
          <w:p w:rsidR="00C645C9" w:rsidRDefault="00C645C9">
            <w:pPr>
              <w:pStyle w:val="afb"/>
              <w:rPr>
                <w:szCs w:val="21"/>
              </w:rPr>
            </w:pP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 xml:space="preserve"> /</w:t>
            </w:r>
            <w:r>
              <w:rPr>
                <w:rFonts w:hint="eastAsia"/>
                <w:szCs w:val="21"/>
              </w:rPr>
              <w:t>次</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w:t>
            </w:r>
            <w:r>
              <w:rPr>
                <w:rFonts w:hint="eastAsia"/>
                <w:szCs w:val="21"/>
              </w:rPr>
              <w:t>次</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kg</w:t>
            </w:r>
            <w:r>
              <w:rPr>
                <w:szCs w:val="21"/>
              </w:rPr>
              <w:t xml:space="preserve"> /</w:t>
            </w:r>
            <w:r>
              <w:rPr>
                <w:rFonts w:hint="eastAsia"/>
                <w:szCs w:val="21"/>
              </w:rPr>
              <w:t>次</w:t>
            </w:r>
          </w:p>
        </w:tc>
      </w:tr>
      <w:tr w:rsidR="00C645C9">
        <w:trPr>
          <w:trHeight w:val="340"/>
        </w:trPr>
        <w:tc>
          <w:tcPr>
            <w:tcW w:w="119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井场火炬全放空</w:t>
            </w:r>
          </w:p>
        </w:tc>
        <w:tc>
          <w:tcPr>
            <w:tcW w:w="76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41</w:t>
            </w:r>
            <w:r>
              <w:rPr>
                <w:rFonts w:hint="eastAsia"/>
                <w:szCs w:val="21"/>
              </w:rPr>
              <w:t>65</w:t>
            </w:r>
            <w:r>
              <w:rPr>
                <w:rFonts w:hint="eastAsia"/>
                <w:szCs w:val="21"/>
              </w:rPr>
              <w:t>Nm</w:t>
            </w:r>
            <w:r>
              <w:rPr>
                <w:rFonts w:hint="eastAsia"/>
                <w:szCs w:val="21"/>
                <w:vertAlign w:val="superscript"/>
              </w:rPr>
              <w:t>3</w:t>
            </w:r>
            <w:r>
              <w:rPr>
                <w:rFonts w:hint="eastAsia"/>
                <w:szCs w:val="21"/>
              </w:rPr>
              <w:t>/h</w:t>
            </w:r>
          </w:p>
        </w:tc>
        <w:tc>
          <w:tcPr>
            <w:tcW w:w="9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2h</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16.66</w:t>
            </w:r>
          </w:p>
        </w:tc>
        <w:tc>
          <w:tcPr>
            <w:tcW w:w="695"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449.82</w:t>
            </w:r>
          </w:p>
        </w:tc>
        <w:tc>
          <w:tcPr>
            <w:tcW w:w="69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33.32</w:t>
            </w:r>
          </w:p>
        </w:tc>
      </w:tr>
      <w:tr w:rsidR="00C645C9">
        <w:trPr>
          <w:trHeight w:val="340"/>
        </w:trPr>
        <w:tc>
          <w:tcPr>
            <w:tcW w:w="2911"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合计</w:t>
            </w:r>
          </w:p>
        </w:tc>
        <w:tc>
          <w:tcPr>
            <w:tcW w:w="119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16.66</w:t>
            </w:r>
          </w:p>
        </w:tc>
        <w:tc>
          <w:tcPr>
            <w:tcW w:w="119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449.82</w:t>
            </w:r>
          </w:p>
        </w:tc>
        <w:tc>
          <w:tcPr>
            <w:tcW w:w="1204"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b"/>
              <w:rPr>
                <w:szCs w:val="21"/>
              </w:rPr>
            </w:pPr>
            <w:r>
              <w:rPr>
                <w:rFonts w:hint="eastAsia"/>
                <w:szCs w:val="21"/>
              </w:rPr>
              <w:t>33.32</w:t>
            </w:r>
          </w:p>
        </w:tc>
      </w:tr>
    </w:tbl>
    <w:p w:rsidR="00C645C9" w:rsidRDefault="00F955D9">
      <w:pPr>
        <w:pStyle w:val="3"/>
        <w:widowControl w:val="0"/>
        <w:adjustRightInd w:val="0"/>
        <w:snapToGrid w:val="0"/>
        <w:spacing w:after="0" w:line="360" w:lineRule="auto"/>
        <w:rPr>
          <w:rFonts w:ascii="Times New Roman" w:hAnsi="Times New Roman" w:cs="Times New Roman"/>
          <w:color w:val="auto"/>
          <w:szCs w:val="28"/>
        </w:rPr>
      </w:pPr>
      <w:bookmarkStart w:id="1034" w:name="OLE_LINK260"/>
      <w:bookmarkStart w:id="1035" w:name="OLE_LINK262"/>
      <w:r>
        <w:rPr>
          <w:rFonts w:ascii="Times New Roman" w:hAnsi="Times New Roman" w:cs="Times New Roman"/>
          <w:color w:val="auto"/>
          <w:szCs w:val="28"/>
        </w:rPr>
        <w:t>3.</w:t>
      </w:r>
      <w:r>
        <w:rPr>
          <w:rFonts w:ascii="Times New Roman" w:hAnsi="Times New Roman" w:cs="Times New Roman" w:hint="eastAsia"/>
          <w:color w:val="auto"/>
          <w:szCs w:val="28"/>
          <w:lang w:eastAsia="zh-CN"/>
        </w:rPr>
        <w:t>3.</w:t>
      </w:r>
      <w:bookmarkEnd w:id="1032"/>
      <w:bookmarkEnd w:id="1034"/>
      <w:r>
        <w:rPr>
          <w:rFonts w:ascii="Times New Roman" w:hAnsi="Times New Roman" w:cs="Times New Roman" w:hint="eastAsia"/>
          <w:color w:val="auto"/>
          <w:szCs w:val="28"/>
          <w:lang w:eastAsia="zh-CN"/>
        </w:rPr>
        <w:t>6</w:t>
      </w:r>
      <w:r>
        <w:rPr>
          <w:rFonts w:ascii="Times New Roman" w:hAnsi="Times New Roman" w:cs="Times New Roman"/>
          <w:color w:val="auto"/>
          <w:szCs w:val="28"/>
        </w:rPr>
        <w:t>清洁生产水平分析</w:t>
      </w:r>
    </w:p>
    <w:p w:rsidR="00C645C9" w:rsidRDefault="00F955D9">
      <w:pPr>
        <w:pStyle w:val="4"/>
        <w:widowControl w:val="0"/>
        <w:adjustRightInd w:val="0"/>
        <w:snapToGrid w:val="0"/>
        <w:rPr>
          <w:rFonts w:ascii="Times New Roman" w:hAnsi="Times New Roman" w:cs="Times New Roman"/>
          <w:color w:val="auto"/>
        </w:rPr>
      </w:pPr>
      <w:bookmarkStart w:id="1036" w:name="OLE_LINK261"/>
      <w:bookmarkEnd w:id="1033"/>
      <w:bookmarkEnd w:id="1035"/>
      <w:r>
        <w:rPr>
          <w:rFonts w:ascii="Times New Roman" w:hAnsi="Times New Roman" w:cs="Times New Roman"/>
          <w:color w:val="auto"/>
        </w:rPr>
        <w:t>3.3.</w:t>
      </w:r>
      <w:r>
        <w:rPr>
          <w:rFonts w:ascii="Times New Roman" w:hAnsi="Times New Roman" w:cs="Times New Roman" w:hint="eastAsia"/>
          <w:color w:val="auto"/>
          <w:lang w:eastAsia="zh-CN"/>
        </w:rPr>
        <w:t>6.1</w:t>
      </w:r>
      <w:bookmarkEnd w:id="1036"/>
      <w:r>
        <w:rPr>
          <w:rFonts w:ascii="Times New Roman" w:hAnsi="Times New Roman" w:cs="Times New Roman"/>
          <w:color w:val="auto"/>
        </w:rPr>
        <w:t>油气处理清洁生产工艺</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bookmarkStart w:id="1037" w:name="OLE_LINK258"/>
      <w:r>
        <w:rPr>
          <w:sz w:val="24"/>
        </w:rPr>
        <w:t>1</w:t>
      </w:r>
      <w:r>
        <w:rPr>
          <w:rFonts w:hint="eastAsia"/>
          <w:sz w:val="24"/>
        </w:rPr>
        <w:t>）采用自动系统对</w:t>
      </w:r>
      <w:bookmarkEnd w:id="1037"/>
      <w:r>
        <w:rPr>
          <w:rFonts w:hint="eastAsia"/>
          <w:sz w:val="24"/>
        </w:rPr>
        <w:t>主要采气和</w:t>
      </w:r>
      <w:r>
        <w:rPr>
          <w:rFonts w:hint="eastAsia"/>
          <w:sz w:val="24"/>
        </w:rPr>
        <w:t>拉运</w:t>
      </w:r>
      <w:r>
        <w:rPr>
          <w:rFonts w:hint="eastAsia"/>
          <w:sz w:val="24"/>
        </w:rPr>
        <w:t>工艺参数进行控制，能够提高管理水平，尽量简化工艺过程，减少操作人员，同时使</w:t>
      </w:r>
      <w:r>
        <w:rPr>
          <w:rFonts w:hint="eastAsia"/>
          <w:sz w:val="24"/>
        </w:rPr>
        <w:t>拉运</w:t>
      </w:r>
      <w:r>
        <w:rPr>
          <w:rFonts w:hint="eastAsia"/>
          <w:sz w:val="24"/>
        </w:rPr>
        <w:t>系统的安全性、可靠性得到保证。</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sz w:val="24"/>
        </w:rPr>
        <w:t>2</w:t>
      </w:r>
      <w:r>
        <w:rPr>
          <w:rFonts w:hint="eastAsia"/>
          <w:sz w:val="24"/>
        </w:rPr>
        <w:t>）系统采用气液混输工艺，简化流程，方便操作。</w:t>
      </w:r>
    </w:p>
    <w:p w:rsidR="00C645C9" w:rsidRDefault="00F955D9" w:rsidP="005718BB">
      <w:pPr>
        <w:pStyle w:val="afff3"/>
        <w:adjustRightInd w:val="0"/>
        <w:snapToGrid w:val="0"/>
        <w:spacing w:beforeLines="0" w:before="0" w:afterLines="0" w:after="0" w:line="360" w:lineRule="auto"/>
        <w:ind w:firstLine="480"/>
        <w:jc w:val="both"/>
        <w:rPr>
          <w:rFonts w:cs="Times New Roman"/>
          <w:sz w:val="24"/>
        </w:rPr>
      </w:pPr>
      <w:r>
        <w:rPr>
          <w:rFonts w:hint="eastAsia"/>
          <w:sz w:val="24"/>
        </w:rPr>
        <w:t>（</w:t>
      </w:r>
      <w:r>
        <w:rPr>
          <w:sz w:val="24"/>
        </w:rPr>
        <w:t>3</w:t>
      </w:r>
      <w:r>
        <w:rPr>
          <w:rFonts w:hint="eastAsia"/>
          <w:sz w:val="24"/>
        </w:rPr>
        <w:t>）</w:t>
      </w:r>
      <w:r>
        <w:rPr>
          <w:rFonts w:hint="eastAsia"/>
          <w:bCs/>
          <w:sz w:val="24"/>
        </w:rPr>
        <w:t>本工程</w:t>
      </w:r>
      <w:r>
        <w:rPr>
          <w:rFonts w:hint="eastAsia"/>
          <w:sz w:val="24"/>
        </w:rPr>
        <w:t>单井油气经</w:t>
      </w:r>
      <w:r>
        <w:rPr>
          <w:rFonts w:hint="eastAsia"/>
          <w:sz w:val="24"/>
        </w:rPr>
        <w:t>加热炉</w:t>
      </w:r>
      <w:r>
        <w:rPr>
          <w:rFonts w:hint="eastAsia"/>
          <w:sz w:val="24"/>
        </w:rPr>
        <w:t>后</w:t>
      </w:r>
      <w:r>
        <w:rPr>
          <w:rFonts w:hint="eastAsia"/>
          <w:sz w:val="24"/>
        </w:rPr>
        <w:t>，</w:t>
      </w:r>
      <w:r>
        <w:rPr>
          <w:rFonts w:hint="eastAsia"/>
          <w:sz w:val="24"/>
        </w:rPr>
        <w:t>进分离器分离，液经分离后进储集器缓冲装车外运</w:t>
      </w:r>
      <w:r>
        <w:rPr>
          <w:rFonts w:cs="Times New Roman"/>
          <w:sz w:val="24"/>
        </w:rPr>
        <w:t>至雅克拉集气处理站处理</w:t>
      </w:r>
      <w:r>
        <w:rPr>
          <w:rFonts w:hint="eastAsia"/>
          <w:sz w:val="24"/>
        </w:rPr>
        <w:t>，天然气分子筛脱水后进三股流换热器</w:t>
      </w:r>
      <w:r>
        <w:rPr>
          <w:rFonts w:hint="eastAsia"/>
          <w:sz w:val="24"/>
        </w:rPr>
        <w:t>+J-T</w:t>
      </w:r>
      <w:r>
        <w:rPr>
          <w:rFonts w:hint="eastAsia"/>
          <w:sz w:val="24"/>
        </w:rPr>
        <w:t>阀制冷脱烃，净化天然气经调压计量后</w:t>
      </w:r>
      <w:r>
        <w:rPr>
          <w:rFonts w:hint="eastAsia"/>
          <w:sz w:val="24"/>
        </w:rPr>
        <w:t>销售给地方企业</w:t>
      </w:r>
      <w:r>
        <w:rPr>
          <w:rFonts w:hint="eastAsia"/>
          <w:sz w:val="24"/>
        </w:rPr>
        <w:t>。</w:t>
      </w:r>
      <w:r>
        <w:rPr>
          <w:rFonts w:hint="eastAsia"/>
          <w:sz w:val="24"/>
        </w:rPr>
        <w:t>凝析油装车时的</w:t>
      </w:r>
      <w:r>
        <w:rPr>
          <w:rFonts w:hint="eastAsia"/>
          <w:sz w:val="24"/>
        </w:rPr>
        <w:t>VOCs</w:t>
      </w:r>
      <w:r>
        <w:rPr>
          <w:rFonts w:hint="eastAsia"/>
          <w:sz w:val="24"/>
        </w:rPr>
        <w:t>通过密闭装车鹤管返回加热炉炉膛伴烧，事故状态下去往井场火炬放空燃烧处理</w:t>
      </w:r>
      <w:r>
        <w:rPr>
          <w:rFonts w:hint="eastAsia"/>
          <w:sz w:val="24"/>
        </w:rPr>
        <w:t>，</w:t>
      </w:r>
      <w:r>
        <w:rPr>
          <w:rFonts w:hint="eastAsia"/>
          <w:kern w:val="24"/>
          <w:sz w:val="24"/>
        </w:rPr>
        <w:t>可有效</w:t>
      </w:r>
      <w:r>
        <w:rPr>
          <w:rFonts w:hint="eastAsia"/>
          <w:bCs/>
          <w:sz w:val="24"/>
        </w:rPr>
        <w:t>减少</w:t>
      </w:r>
      <w:r>
        <w:rPr>
          <w:rFonts w:hint="eastAsia"/>
          <w:bCs/>
          <w:sz w:val="24"/>
        </w:rPr>
        <w:t>VOCs</w:t>
      </w:r>
      <w:r>
        <w:rPr>
          <w:rFonts w:hint="eastAsia"/>
          <w:bCs/>
          <w:sz w:val="24"/>
        </w:rPr>
        <w:t>的产生。</w:t>
      </w:r>
    </w:p>
    <w:p w:rsidR="00C645C9" w:rsidRDefault="00F955D9">
      <w:pPr>
        <w:pStyle w:val="4"/>
        <w:widowControl w:val="0"/>
        <w:adjustRightInd w:val="0"/>
        <w:snapToGrid w:val="0"/>
        <w:rPr>
          <w:rFonts w:ascii="Times New Roman" w:hAnsi="Times New Roman" w:cs="Times New Roman"/>
          <w:color w:val="auto"/>
          <w:szCs w:val="24"/>
          <w:lang w:eastAsia="zh-CN"/>
        </w:rPr>
      </w:pPr>
      <w:r>
        <w:rPr>
          <w:rFonts w:ascii="Times New Roman" w:hAnsi="Times New Roman" w:cs="Times New Roman"/>
          <w:color w:val="auto"/>
          <w:lang w:eastAsia="zh-CN"/>
        </w:rPr>
        <w:t>3.3.</w:t>
      </w:r>
      <w:r>
        <w:rPr>
          <w:rFonts w:ascii="Times New Roman" w:hAnsi="Times New Roman" w:cs="Times New Roman" w:hint="eastAsia"/>
          <w:color w:val="auto"/>
          <w:lang w:eastAsia="zh-CN"/>
        </w:rPr>
        <w:t>6.2</w:t>
      </w:r>
      <w:r>
        <w:rPr>
          <w:rFonts w:ascii="Times New Roman" w:hAnsi="Times New Roman" w:cs="Times New Roman"/>
          <w:color w:val="auto"/>
          <w:lang w:eastAsia="zh-CN"/>
        </w:rPr>
        <w:t>运营期井下作业清洁生产工艺</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）在井场加强井口的密闭，减少井口烃类的无组织挥发。</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）生产过程中起下油管时，安装自封式封井器，避免</w:t>
      </w:r>
      <w:r>
        <w:rPr>
          <w:rFonts w:ascii="Times New Roman" w:hAnsi="Times New Roman" w:cs="Times New Roman" w:hint="eastAsia"/>
        </w:rPr>
        <w:t>凝析油</w:t>
      </w:r>
      <w:r>
        <w:rPr>
          <w:rFonts w:ascii="Times New Roman" w:hAnsi="Times New Roman" w:cs="Times New Roman"/>
        </w:rPr>
        <w:t>、污水喷出；另外，对运输车辆采取防渗漏、溢流和散落的措施。</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）在井下作业过程中，作业单位自带回收罐回收井下作业废水，依托塔河油田绿色环保工作站处理。</w:t>
      </w:r>
    </w:p>
    <w:p w:rsidR="00C645C9" w:rsidRDefault="00F955D9">
      <w:pPr>
        <w:pStyle w:val="4"/>
        <w:widowControl w:val="0"/>
        <w:adjustRightInd w:val="0"/>
        <w:snapToGrid w:val="0"/>
        <w:rPr>
          <w:rFonts w:ascii="Times New Roman" w:hAnsi="Times New Roman" w:cs="Times New Roman"/>
          <w:color w:val="auto"/>
          <w:szCs w:val="24"/>
          <w:lang w:eastAsia="zh-CN"/>
        </w:rPr>
      </w:pPr>
      <w:r>
        <w:rPr>
          <w:rFonts w:ascii="Times New Roman" w:hAnsi="Times New Roman" w:cs="Times New Roman"/>
          <w:color w:val="auto"/>
          <w:lang w:eastAsia="zh-CN"/>
        </w:rPr>
        <w:lastRenderedPageBreak/>
        <w:t>3.3.</w:t>
      </w:r>
      <w:r>
        <w:rPr>
          <w:rFonts w:ascii="Times New Roman" w:hAnsi="Times New Roman" w:cs="Times New Roman" w:hint="eastAsia"/>
          <w:color w:val="auto"/>
          <w:lang w:eastAsia="zh-CN"/>
        </w:rPr>
        <w:t>6.3</w:t>
      </w:r>
      <w:r>
        <w:rPr>
          <w:rFonts w:ascii="Times New Roman" w:hAnsi="Times New Roman" w:cs="Times New Roman"/>
          <w:color w:val="auto"/>
          <w:lang w:eastAsia="zh-CN"/>
        </w:rPr>
        <w:t>节能及其</w:t>
      </w:r>
      <w:r>
        <w:rPr>
          <w:rFonts w:ascii="Times New Roman" w:hAnsi="Times New Roman" w:cs="Times New Roman" w:hint="eastAsia"/>
          <w:color w:val="auto"/>
          <w:lang w:eastAsia="zh-CN"/>
        </w:rPr>
        <w:t>他</w:t>
      </w:r>
      <w:r>
        <w:rPr>
          <w:rFonts w:ascii="Times New Roman" w:hAnsi="Times New Roman" w:cs="Times New Roman"/>
          <w:color w:val="auto"/>
          <w:lang w:eastAsia="zh-CN"/>
        </w:rPr>
        <w:t>清洁生产措施分析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）优化</w:t>
      </w:r>
      <w:r>
        <w:rPr>
          <w:rFonts w:ascii="Times New Roman" w:hAnsi="Times New Roman" w:cs="Times New Roman" w:hint="eastAsia"/>
        </w:rPr>
        <w:t>凝析</w:t>
      </w:r>
      <w:r>
        <w:rPr>
          <w:rFonts w:ascii="Times New Roman" w:hAnsi="Times New Roman" w:cs="Times New Roman"/>
        </w:rPr>
        <w:t>油运输路线，降低生产运行及车辆运输时间。</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）选用节能型电气设备。站场的动力、供电等设备根据设计所确定的用电负荷，在保证安全要求的前提下，选择节能型的设备，防止造成大量能耗，从而降低生产成本。</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）采油区采用自动化管理，提高管理水平。</w:t>
      </w:r>
    </w:p>
    <w:p w:rsidR="00C645C9" w:rsidRDefault="00F955D9">
      <w:pPr>
        <w:pStyle w:val="a5"/>
        <w:widowControl w:val="0"/>
        <w:snapToGrid w:val="0"/>
        <w:outlineLvl w:val="3"/>
        <w:rPr>
          <w:rFonts w:ascii="Times New Roman" w:hAnsi="Times New Roman" w:cs="Times New Roman"/>
          <w:b/>
          <w:snapToGrid w:val="0"/>
          <w:szCs w:val="21"/>
        </w:rPr>
      </w:pPr>
      <w:r>
        <w:rPr>
          <w:rFonts w:ascii="Times New Roman" w:hAnsi="Times New Roman" w:cs="Times New Roman"/>
          <w:b/>
          <w:bCs/>
        </w:rPr>
        <w:t>3.3.</w:t>
      </w:r>
      <w:r>
        <w:rPr>
          <w:rFonts w:ascii="Times New Roman" w:hAnsi="Times New Roman" w:cs="Times New Roman" w:hint="eastAsia"/>
          <w:b/>
          <w:bCs/>
        </w:rPr>
        <w:t>6.4</w:t>
      </w:r>
      <w:r>
        <w:rPr>
          <w:rFonts w:ascii="Times New Roman" w:hAnsi="Times New Roman" w:cs="Times New Roman"/>
          <w:b/>
          <w:bCs/>
          <w:snapToGrid w:val="0"/>
          <w:szCs w:val="21"/>
        </w:rPr>
        <w:t>建立有效的环境管理制</w:t>
      </w:r>
      <w:r>
        <w:rPr>
          <w:rFonts w:ascii="Times New Roman" w:hAnsi="Times New Roman" w:cs="Times New Roman"/>
          <w:b/>
          <w:snapToGrid w:val="0"/>
          <w:szCs w:val="21"/>
        </w:rPr>
        <w:t>度</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本工程将环境管理和环境监测纳入</w:t>
      </w:r>
      <w:r>
        <w:rPr>
          <w:rFonts w:ascii="Times New Roman" w:hAnsi="Times New Roman" w:cs="Times New Roman" w:hint="eastAsia"/>
        </w:rPr>
        <w:t>西北油田分</w:t>
      </w:r>
      <w:r>
        <w:rPr>
          <w:rFonts w:ascii="Times New Roman" w:hAnsi="Times New Roman" w:cs="Times New Roman"/>
        </w:rPr>
        <w:t>公司负责，采用</w:t>
      </w:r>
      <w:r>
        <w:rPr>
          <w:rFonts w:ascii="Times New Roman" w:hAnsi="Times New Roman" w:cs="Times New Roman"/>
        </w:rPr>
        <w:t>HSE</w:t>
      </w:r>
      <w:r>
        <w:rPr>
          <w:rFonts w:ascii="Times New Roman" w:hAnsi="Times New Roman" w:cs="Times New Roman"/>
        </w:rPr>
        <w:t>管理模式，注重对员工进行培训，使员工自觉遵守</w:t>
      </w:r>
      <w:bookmarkStart w:id="1038" w:name="OLE_LINK1522"/>
      <w:r>
        <w:rPr>
          <w:rFonts w:ascii="Times New Roman" w:hAnsi="Times New Roman" w:cs="Times New Roman"/>
        </w:rPr>
        <w:t>HSE</w:t>
      </w:r>
      <w:bookmarkEnd w:id="1038"/>
      <w:r>
        <w:rPr>
          <w:rFonts w:ascii="Times New Roman" w:hAnsi="Times New Roman" w:cs="Times New Roman"/>
        </w:rPr>
        <w:t>管理要求，保护自身的安全和健康。为减少和杜绝环境污染事故的发生，建立、健全管理规章制度，</w:t>
      </w:r>
      <w:r>
        <w:rPr>
          <w:rFonts w:ascii="Times New Roman" w:hAnsi="Times New Roman" w:cs="Times New Roman" w:hint="eastAsia"/>
        </w:rPr>
        <w:t>制定</w:t>
      </w:r>
      <w:r>
        <w:rPr>
          <w:rFonts w:ascii="Times New Roman" w:hAnsi="Times New Roman" w:cs="Times New Roman"/>
        </w:rPr>
        <w:t>了详细的污染控制计划和实施方案，责任到人，指标到岗，实施监督；实行公平的奖惩制度，大力弘扬保护环境的行为</w:t>
      </w:r>
      <w:r>
        <w:rPr>
          <w:rFonts w:ascii="Times New Roman" w:hAnsi="Times New Roman" w:cs="Times New Roman"/>
        </w:rPr>
        <w:t>。</w:t>
      </w:r>
    </w:p>
    <w:p w:rsidR="00C645C9" w:rsidRDefault="00F955D9">
      <w:pPr>
        <w:pStyle w:val="4"/>
        <w:widowControl w:val="0"/>
        <w:adjustRightInd w:val="0"/>
        <w:snapToGrid w:val="0"/>
        <w:rPr>
          <w:rFonts w:ascii="Times New Roman" w:hAnsi="Times New Roman" w:cs="Times New Roman"/>
          <w:color w:val="auto"/>
          <w:szCs w:val="24"/>
          <w:lang w:eastAsia="zh-CN"/>
        </w:rPr>
      </w:pPr>
      <w:r>
        <w:rPr>
          <w:rFonts w:ascii="Times New Roman" w:hAnsi="Times New Roman" w:cs="Times New Roman"/>
          <w:color w:val="auto"/>
          <w:lang w:eastAsia="zh-CN"/>
        </w:rPr>
        <w:t>3.3.</w:t>
      </w:r>
      <w:r>
        <w:rPr>
          <w:rFonts w:ascii="Times New Roman" w:hAnsi="Times New Roman" w:cs="Times New Roman" w:hint="eastAsia"/>
          <w:color w:val="auto"/>
          <w:lang w:eastAsia="zh-CN"/>
        </w:rPr>
        <w:t>6.5</w:t>
      </w:r>
      <w:r>
        <w:rPr>
          <w:rFonts w:ascii="Times New Roman" w:hAnsi="Times New Roman" w:cs="Times New Roman"/>
          <w:color w:val="auto"/>
          <w:lang w:eastAsia="zh-CN"/>
        </w:rPr>
        <w:t>清洁生产技术指标对比分析</w:t>
      </w:r>
    </w:p>
    <w:p w:rsidR="00C645C9" w:rsidRDefault="00F955D9">
      <w:pPr>
        <w:adjustRightInd w:val="0"/>
        <w:snapToGrid w:val="0"/>
        <w:spacing w:line="360" w:lineRule="auto"/>
        <w:ind w:firstLineChars="200" w:firstLine="480"/>
        <w:rPr>
          <w:rFonts w:cs="Times New Roman"/>
        </w:rPr>
      </w:pPr>
      <w:r>
        <w:rPr>
          <w:rFonts w:cs="Times New Roman"/>
        </w:rPr>
        <w:t>根据《</w:t>
      </w:r>
      <w:bookmarkStart w:id="1039" w:name="OLE_LINK1177"/>
      <w:bookmarkStart w:id="1040" w:name="OLE_LINK417"/>
      <w:r>
        <w:rPr>
          <w:rFonts w:cs="Times New Roman"/>
        </w:rPr>
        <w:t>石油天然气开采</w:t>
      </w:r>
      <w:r>
        <w:rPr>
          <w:rFonts w:cs="Times New Roman" w:hint="eastAsia"/>
        </w:rPr>
        <w:t>业</w:t>
      </w:r>
      <w:r>
        <w:rPr>
          <w:rFonts w:cs="Times New Roman"/>
        </w:rPr>
        <w:t>清洁生产评价指标体系</w:t>
      </w:r>
      <w:bookmarkEnd w:id="1039"/>
      <w:r>
        <w:rPr>
          <w:rFonts w:cs="Times New Roman"/>
        </w:rPr>
        <w:t>（试行）</w:t>
      </w:r>
      <w:bookmarkEnd w:id="1040"/>
      <w:r>
        <w:rPr>
          <w:rFonts w:cs="Times New Roman"/>
        </w:rPr>
        <w:t>》</w:t>
      </w:r>
      <w:r>
        <w:rPr>
          <w:rFonts w:cs="Times New Roman" w:hint="eastAsia"/>
        </w:rPr>
        <w:t>（</w:t>
      </w:r>
      <w:r>
        <w:rPr>
          <w:rFonts w:cs="Times New Roman"/>
        </w:rPr>
        <w:t>国家发展</w:t>
      </w:r>
      <w:r>
        <w:rPr>
          <w:rFonts w:cs="Times New Roman" w:hint="eastAsia"/>
        </w:rPr>
        <w:t>和</w:t>
      </w:r>
      <w:r>
        <w:rPr>
          <w:rFonts w:cs="Times New Roman"/>
        </w:rPr>
        <w:t>改革</w:t>
      </w:r>
      <w:r>
        <w:rPr>
          <w:rFonts w:cs="Times New Roman" w:hint="eastAsia"/>
        </w:rPr>
        <w:t>委员会公告</w:t>
      </w:r>
      <w:r>
        <w:rPr>
          <w:rFonts w:cs="Times New Roman"/>
        </w:rPr>
        <w:t>2009</w:t>
      </w:r>
      <w:r>
        <w:rPr>
          <w:rFonts w:cs="Times New Roman"/>
        </w:rPr>
        <w:t>年</w:t>
      </w:r>
      <w:r>
        <w:rPr>
          <w:rFonts w:cs="Times New Roman" w:hint="eastAsia"/>
        </w:rPr>
        <w:t>第</w:t>
      </w:r>
      <w:r>
        <w:rPr>
          <w:rFonts w:cs="Times New Roman" w:hint="eastAsia"/>
        </w:rPr>
        <w:t>3</w:t>
      </w:r>
      <w:r>
        <w:rPr>
          <w:rFonts w:cs="Times New Roman" w:hint="eastAsia"/>
        </w:rPr>
        <w:t>号</w:t>
      </w:r>
      <w:r>
        <w:rPr>
          <w:rFonts w:cs="Times New Roman" w:hint="eastAsia"/>
        </w:rPr>
        <w:t>）</w:t>
      </w:r>
      <w:r>
        <w:rPr>
          <w:rFonts w:cs="Times New Roman"/>
        </w:rPr>
        <w:t>，对本工程清洁生产指标进行定量和定性的评价。</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rPr>
        <w:t>评价指标体系</w:t>
      </w:r>
    </w:p>
    <w:p w:rsidR="00C645C9" w:rsidRDefault="00F955D9">
      <w:pPr>
        <w:adjustRightInd w:val="0"/>
        <w:snapToGrid w:val="0"/>
        <w:spacing w:line="360" w:lineRule="auto"/>
        <w:ind w:firstLineChars="200" w:firstLine="480"/>
        <w:rPr>
          <w:rFonts w:cs="Times New Roman"/>
        </w:rPr>
      </w:pPr>
      <w:r>
        <w:rPr>
          <w:rFonts w:cs="Times New Roman"/>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bookmarkStart w:id="1041" w:name="OLE_LINK420"/>
    <w:p w:rsidR="00C645C9" w:rsidRDefault="00F955D9">
      <w:pPr>
        <w:adjustRightInd w:val="0"/>
        <w:snapToGrid w:val="0"/>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1 \* GB3 \* MERGEFORMAT </w:instrText>
      </w:r>
      <w:r>
        <w:rPr>
          <w:rFonts w:cs="Times New Roman" w:hint="eastAsia"/>
        </w:rPr>
        <w:fldChar w:fldCharType="separate"/>
      </w:r>
      <w:r>
        <w:t>①</w:t>
      </w:r>
      <w:r>
        <w:rPr>
          <w:rFonts w:cs="Times New Roman" w:hint="eastAsia"/>
        </w:rPr>
        <w:fldChar w:fldCharType="end"/>
      </w:r>
      <w:r>
        <w:rPr>
          <w:rFonts w:cs="Times New Roman"/>
        </w:rPr>
        <w:t>定量评价</w:t>
      </w:r>
      <w:bookmarkEnd w:id="1041"/>
    </w:p>
    <w:p w:rsidR="00C645C9" w:rsidRDefault="00F955D9">
      <w:pPr>
        <w:adjustRightInd w:val="0"/>
        <w:snapToGrid w:val="0"/>
        <w:spacing w:line="360" w:lineRule="auto"/>
        <w:ind w:firstLineChars="200" w:firstLine="480"/>
        <w:rPr>
          <w:rFonts w:cs="Times New Roman"/>
        </w:rPr>
      </w:pPr>
      <w:r>
        <w:rPr>
          <w:rFonts w:cs="Times New Roman"/>
        </w:rPr>
        <w:t>定量评价指标选取有代表性的、能反映</w:t>
      </w:r>
      <w:r>
        <w:rPr>
          <w:rFonts w:cs="Times New Roman" w:hint="eastAsia"/>
        </w:rPr>
        <w:t>“</w:t>
      </w:r>
      <w:r>
        <w:rPr>
          <w:rFonts w:cs="Times New Roman"/>
        </w:rPr>
        <w:t>节能</w:t>
      </w:r>
      <w:r>
        <w:rPr>
          <w:rFonts w:cs="Times New Roman" w:hint="eastAsia"/>
        </w:rPr>
        <w:t>”、“</w:t>
      </w:r>
      <w:r>
        <w:rPr>
          <w:rFonts w:cs="Times New Roman" w:hint="eastAsia"/>
        </w:rPr>
        <w:t>降耗”、“</w:t>
      </w:r>
      <w:r>
        <w:rPr>
          <w:rFonts w:cs="Times New Roman"/>
        </w:rPr>
        <w:t>减污</w:t>
      </w:r>
      <w:r>
        <w:rPr>
          <w:rFonts w:cs="Times New Roman" w:hint="eastAsia"/>
        </w:rPr>
        <w:t>”和“</w:t>
      </w:r>
      <w:r>
        <w:rPr>
          <w:rFonts w:cs="Times New Roman"/>
        </w:rPr>
        <w:t>增效</w:t>
      </w:r>
      <w:r>
        <w:rPr>
          <w:rFonts w:cs="Times New Roman" w:hint="eastAsia"/>
        </w:rPr>
        <w:t>”</w:t>
      </w:r>
      <w:r>
        <w:rPr>
          <w:rFonts w:cs="Times New Roman"/>
        </w:rPr>
        <w:t>等有关清洁生产最终目标的指标，建立评价模式</w:t>
      </w:r>
      <w:r>
        <w:rPr>
          <w:rFonts w:cs="Times New Roman" w:hint="eastAsia"/>
        </w:rPr>
        <w:t>。</w:t>
      </w:r>
      <w:r>
        <w:rPr>
          <w:rFonts w:cs="Times New Roman"/>
        </w:rPr>
        <w:t>通过对各项指标的实际达到值、评价基</w:t>
      </w:r>
      <w:r>
        <w:rPr>
          <w:rFonts w:cs="Times New Roman" w:hint="eastAsia"/>
        </w:rPr>
        <w:t>准</w:t>
      </w:r>
      <w:r>
        <w:rPr>
          <w:rFonts w:cs="Times New Roman"/>
        </w:rPr>
        <w:t>值和指标</w:t>
      </w:r>
      <w:r>
        <w:rPr>
          <w:rFonts w:cs="Times New Roman" w:hint="eastAsia"/>
        </w:rPr>
        <w:t>的</w:t>
      </w:r>
      <w:r>
        <w:rPr>
          <w:rFonts w:cs="Times New Roman"/>
        </w:rPr>
        <w:t>权重值</w:t>
      </w:r>
      <w:r>
        <w:rPr>
          <w:rFonts w:cs="Times New Roman" w:hint="eastAsia"/>
        </w:rPr>
        <w:t>进行</w:t>
      </w:r>
      <w:r>
        <w:rPr>
          <w:rFonts w:cs="Times New Roman"/>
        </w:rPr>
        <w:t>计算和评分，综合考评</w:t>
      </w:r>
      <w:r>
        <w:rPr>
          <w:rFonts w:cs="Times New Roman" w:hint="eastAsia"/>
        </w:rPr>
        <w:t>企业实施</w:t>
      </w:r>
      <w:r>
        <w:rPr>
          <w:rFonts w:cs="Times New Roman"/>
        </w:rPr>
        <w:t>清洁生产的状况和</w:t>
      </w:r>
      <w:r>
        <w:rPr>
          <w:rFonts w:cs="Times New Roman" w:hint="eastAsia"/>
        </w:rPr>
        <w:t>企业清洁生产程度</w:t>
      </w:r>
      <w:r>
        <w:rPr>
          <w:rFonts w:cs="Times New Roman"/>
        </w:rPr>
        <w:t>。</w:t>
      </w:r>
    </w:p>
    <w:p w:rsidR="00C645C9" w:rsidRDefault="00F955D9">
      <w:pPr>
        <w:adjustRightInd w:val="0"/>
        <w:snapToGrid w:val="0"/>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2 \* GB3 \* MERGEFORMAT </w:instrText>
      </w:r>
      <w:r>
        <w:rPr>
          <w:rFonts w:cs="Times New Roman" w:hint="eastAsia"/>
        </w:rPr>
        <w:fldChar w:fldCharType="separate"/>
      </w:r>
      <w:r>
        <w:t>②</w:t>
      </w:r>
      <w:r>
        <w:rPr>
          <w:rFonts w:cs="Times New Roman" w:hint="eastAsia"/>
        </w:rPr>
        <w:fldChar w:fldCharType="end"/>
      </w:r>
      <w:r>
        <w:rPr>
          <w:rFonts w:cs="Times New Roman"/>
        </w:rPr>
        <w:t>定性评价</w:t>
      </w:r>
    </w:p>
    <w:p w:rsidR="00C645C9" w:rsidRDefault="00F955D9">
      <w:pPr>
        <w:adjustRightInd w:val="0"/>
        <w:snapToGrid w:val="0"/>
        <w:spacing w:line="360" w:lineRule="auto"/>
        <w:ind w:firstLineChars="200" w:firstLine="480"/>
        <w:rPr>
          <w:rFonts w:cs="Times New Roman"/>
        </w:rPr>
      </w:pPr>
      <w:bookmarkStart w:id="1042" w:name="OLE_LINK422"/>
      <w:r>
        <w:rPr>
          <w:rFonts w:cs="Times New Roman"/>
        </w:rPr>
        <w:t>定性评价</w:t>
      </w:r>
      <w:bookmarkEnd w:id="1042"/>
      <w:r>
        <w:rPr>
          <w:rFonts w:cs="Times New Roman"/>
        </w:rPr>
        <w:t>指标根据国家有关推行清洁生产的产业发展和技术进步政策、资源环境保护政策规定以及行业发展规划选取，用于定性考核</w:t>
      </w:r>
      <w:r>
        <w:rPr>
          <w:rFonts w:cs="Times New Roman" w:hint="eastAsia"/>
        </w:rPr>
        <w:t>企业</w:t>
      </w:r>
      <w:r>
        <w:rPr>
          <w:rFonts w:cs="Times New Roman"/>
        </w:rPr>
        <w:t>对有关政策法规的符合性及</w:t>
      </w:r>
      <w:r>
        <w:rPr>
          <w:rFonts w:cs="Times New Roman" w:hint="eastAsia"/>
        </w:rPr>
        <w:t>其</w:t>
      </w:r>
      <w:r>
        <w:rPr>
          <w:rFonts w:cs="Times New Roman"/>
        </w:rPr>
        <w:t>清洁生产工作实施情况。</w:t>
      </w:r>
    </w:p>
    <w:p w:rsidR="00C645C9" w:rsidRDefault="00F955D9">
      <w:pPr>
        <w:adjustRightInd w:val="0"/>
        <w:snapToGrid w:val="0"/>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3 \* GB3 \* MERGEFORMAT </w:instrText>
      </w:r>
      <w:r>
        <w:rPr>
          <w:rFonts w:cs="Times New Roman" w:hint="eastAsia"/>
        </w:rPr>
        <w:fldChar w:fldCharType="separate"/>
      </w:r>
      <w:r>
        <w:t>③</w:t>
      </w:r>
      <w:r>
        <w:rPr>
          <w:rFonts w:cs="Times New Roman" w:hint="eastAsia"/>
        </w:rPr>
        <w:fldChar w:fldCharType="end"/>
      </w:r>
      <w:r>
        <w:rPr>
          <w:rFonts w:cs="Times New Roman"/>
        </w:rPr>
        <w:t>评价指标</w:t>
      </w:r>
      <w:r>
        <w:rPr>
          <w:rFonts w:cs="Times New Roman"/>
        </w:rPr>
        <w:t xml:space="preserve"> </w:t>
      </w:r>
    </w:p>
    <w:p w:rsidR="00C645C9" w:rsidRDefault="00F955D9">
      <w:pPr>
        <w:adjustRightInd w:val="0"/>
        <w:snapToGrid w:val="0"/>
        <w:spacing w:line="360" w:lineRule="auto"/>
        <w:ind w:firstLineChars="200" w:firstLine="480"/>
        <w:rPr>
          <w:rFonts w:cs="Times New Roman"/>
        </w:rPr>
      </w:pPr>
      <w:r>
        <w:rPr>
          <w:rFonts w:cs="Times New Roman"/>
        </w:rPr>
        <w:lastRenderedPageBreak/>
        <w:t>评价指标分为定量指标和定性指标。定量指标和定性指标分为一级指标和二级指标。一级指标为普遍性、概括性的指标</w:t>
      </w:r>
      <w:r>
        <w:rPr>
          <w:rFonts w:cs="Times New Roman" w:hint="eastAsia"/>
        </w:rPr>
        <w:t>。</w:t>
      </w:r>
      <w:r>
        <w:rPr>
          <w:rFonts w:cs="Times New Roman"/>
        </w:rPr>
        <w:t>二级指标为反映油气勘探开发企业清洁生产各方面具有代表性的、易于评价考核的指标。</w:t>
      </w:r>
    </w:p>
    <w:p w:rsidR="00C645C9" w:rsidRDefault="00F955D9">
      <w:pPr>
        <w:adjustRightInd w:val="0"/>
        <w:snapToGrid w:val="0"/>
        <w:spacing w:line="360" w:lineRule="auto"/>
        <w:ind w:firstLineChars="200" w:firstLine="480"/>
        <w:rPr>
          <w:rFonts w:cs="Times New Roman"/>
        </w:rPr>
      </w:pPr>
      <w:bookmarkStart w:id="1043" w:name="OLE_LINK423"/>
      <w:r>
        <w:rPr>
          <w:rFonts w:cs="Times New Roman" w:hint="eastAsia"/>
        </w:rPr>
        <w:t>（</w:t>
      </w:r>
      <w:r>
        <w:rPr>
          <w:rFonts w:cs="Times New Roman" w:hint="eastAsia"/>
        </w:rPr>
        <w:t>2</w:t>
      </w:r>
      <w:r>
        <w:rPr>
          <w:rFonts w:cs="Times New Roman" w:hint="eastAsia"/>
        </w:rPr>
        <w:t>）</w:t>
      </w:r>
      <w:r>
        <w:rPr>
          <w:rFonts w:cs="Times New Roman"/>
        </w:rPr>
        <w:t>评价</w:t>
      </w:r>
      <w:r>
        <w:rPr>
          <w:rFonts w:cs="Times New Roman" w:hint="eastAsia"/>
        </w:rPr>
        <w:t>基准值及权重值</w:t>
      </w:r>
      <w:bookmarkEnd w:id="1043"/>
    </w:p>
    <w:bookmarkStart w:id="1044" w:name="OLE_LINK418"/>
    <w:p w:rsidR="00C645C9" w:rsidRDefault="00F955D9">
      <w:pPr>
        <w:adjustRightInd w:val="0"/>
        <w:snapToGrid w:val="0"/>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1 \* GB3 \* MERGEFORMAT </w:instrText>
      </w:r>
      <w:r>
        <w:rPr>
          <w:rFonts w:cs="Times New Roman" w:hint="eastAsia"/>
        </w:rPr>
        <w:fldChar w:fldCharType="separate"/>
      </w:r>
      <w:r>
        <w:t>①</w:t>
      </w:r>
      <w:r>
        <w:rPr>
          <w:rFonts w:cs="Times New Roman" w:hint="eastAsia"/>
        </w:rPr>
        <w:fldChar w:fldCharType="end"/>
      </w:r>
      <w:r>
        <w:rPr>
          <w:rFonts w:cs="Times New Roman"/>
        </w:rPr>
        <w:t>评价</w:t>
      </w:r>
      <w:r>
        <w:rPr>
          <w:rFonts w:cs="Times New Roman" w:hint="eastAsia"/>
        </w:rPr>
        <w:t>基准值</w:t>
      </w:r>
      <w:bookmarkEnd w:id="1044"/>
    </w:p>
    <w:p w:rsidR="00C645C9" w:rsidRDefault="00F955D9">
      <w:pPr>
        <w:adjustRightInd w:val="0"/>
        <w:snapToGrid w:val="0"/>
        <w:spacing w:line="360" w:lineRule="auto"/>
        <w:ind w:firstLineChars="200" w:firstLine="480"/>
        <w:rPr>
          <w:rFonts w:cs="Times New Roman"/>
        </w:rPr>
      </w:pPr>
      <w:r>
        <w:rPr>
          <w:rFonts w:cs="Times New Roman"/>
        </w:rPr>
        <w:t>在定量评价指标体系中，各指标的评价基准值是衡量该项指标是否符合清洁生产基本要求的评价基准。本评价指标体系确定各定量评价指标的评价基准值的依据是：凡国家或行业在有关政策、规划等文件中对该项指标已有明确要求的</w:t>
      </w:r>
      <w:r>
        <w:rPr>
          <w:rFonts w:cs="Times New Roman" w:hint="eastAsia"/>
        </w:rPr>
        <w:t>就</w:t>
      </w:r>
      <w:r>
        <w:rPr>
          <w:rFonts w:cs="Times New Roman"/>
        </w:rPr>
        <w:t>执行国家要求的数值。凡国家或行业对该项指标尚无明确要求的，则选用国内重点大中型油气勘探开发企业近年来清洁生产所实际达到的中上等以上水平的指标值。定量评价指标体系的评价基准值代表行业清洁生产的平均先进水平。</w:t>
      </w:r>
    </w:p>
    <w:p w:rsidR="00C645C9" w:rsidRDefault="00F955D9">
      <w:pPr>
        <w:adjustRightInd w:val="0"/>
        <w:snapToGrid w:val="0"/>
        <w:spacing w:line="360" w:lineRule="auto"/>
        <w:ind w:firstLineChars="200" w:firstLine="480"/>
        <w:rPr>
          <w:rFonts w:cs="Times New Roman"/>
        </w:rPr>
      </w:pPr>
      <w:r>
        <w:rPr>
          <w:rFonts w:cs="Times New Roman"/>
        </w:rPr>
        <w:t>在定性评价</w:t>
      </w:r>
      <w:r>
        <w:rPr>
          <w:rFonts w:cs="Times New Roman"/>
        </w:rPr>
        <w:t>指标体系中，衡量该项指标是否贯彻执行国家有关政策、法规的情况，按</w:t>
      </w:r>
      <w:r>
        <w:rPr>
          <w:rFonts w:cs="Times New Roman" w:hint="eastAsia"/>
        </w:rPr>
        <w:t>“</w:t>
      </w:r>
      <w:r>
        <w:rPr>
          <w:rFonts w:cs="Times New Roman"/>
        </w:rPr>
        <w:t>是</w:t>
      </w:r>
      <w:r>
        <w:rPr>
          <w:rFonts w:cs="Times New Roman" w:hint="eastAsia"/>
        </w:rPr>
        <w:t>”</w:t>
      </w:r>
      <w:r>
        <w:rPr>
          <w:rFonts w:cs="Times New Roman"/>
        </w:rPr>
        <w:t>或</w:t>
      </w:r>
      <w:r>
        <w:rPr>
          <w:rFonts w:cs="Times New Roman" w:hint="eastAsia"/>
        </w:rPr>
        <w:t>“</w:t>
      </w:r>
      <w:r>
        <w:rPr>
          <w:rFonts w:cs="Times New Roman"/>
        </w:rPr>
        <w:t>否</w:t>
      </w:r>
      <w:r>
        <w:rPr>
          <w:rFonts w:cs="Times New Roman" w:hint="eastAsia"/>
        </w:rPr>
        <w:t>”</w:t>
      </w:r>
      <w:r>
        <w:rPr>
          <w:rFonts w:cs="Times New Roman"/>
        </w:rPr>
        <w:t>两种选择来评定。</w:t>
      </w:r>
    </w:p>
    <w:p w:rsidR="00C645C9" w:rsidRDefault="00F955D9">
      <w:pPr>
        <w:adjustRightInd w:val="0"/>
        <w:snapToGrid w:val="0"/>
        <w:spacing w:line="360" w:lineRule="auto"/>
        <w:ind w:firstLineChars="200" w:firstLine="480"/>
        <w:rPr>
          <w:rFonts w:cs="Times New Roman"/>
        </w:rPr>
      </w:pPr>
      <w:r>
        <w:rPr>
          <w:rFonts w:cs="Times New Roman" w:hint="eastAsia"/>
        </w:rPr>
        <w:fldChar w:fldCharType="begin"/>
      </w:r>
      <w:r>
        <w:rPr>
          <w:rFonts w:cs="Times New Roman" w:hint="eastAsia"/>
        </w:rPr>
        <w:instrText xml:space="preserve"> = 2 \* GB3 \* MERGEFORMAT </w:instrText>
      </w:r>
      <w:r>
        <w:rPr>
          <w:rFonts w:cs="Times New Roman" w:hint="eastAsia"/>
        </w:rPr>
        <w:fldChar w:fldCharType="separate"/>
      </w:r>
      <w:r>
        <w:t>②</w:t>
      </w:r>
      <w:r>
        <w:rPr>
          <w:rFonts w:cs="Times New Roman" w:hint="eastAsia"/>
        </w:rPr>
        <w:fldChar w:fldCharType="end"/>
      </w:r>
      <w:r>
        <w:rPr>
          <w:rFonts w:cs="Times New Roman"/>
        </w:rPr>
        <w:t>权重分值</w:t>
      </w:r>
    </w:p>
    <w:p w:rsidR="00C645C9" w:rsidRDefault="00F955D9">
      <w:pPr>
        <w:adjustRightInd w:val="0"/>
        <w:snapToGrid w:val="0"/>
        <w:spacing w:line="360" w:lineRule="auto"/>
        <w:ind w:firstLineChars="200" w:firstLine="480"/>
        <w:rPr>
          <w:rFonts w:cs="Times New Roman"/>
        </w:rPr>
      </w:pPr>
      <w:r>
        <w:rPr>
          <w:rFonts w:cs="Times New Roman"/>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3</w:t>
      </w:r>
      <w:r>
        <w:rPr>
          <w:rFonts w:cs="Times New Roman" w:hint="eastAsia"/>
        </w:rPr>
        <w:t>）本</w:t>
      </w:r>
      <w:r>
        <w:rPr>
          <w:rFonts w:cs="Times New Roman"/>
        </w:rPr>
        <w:t>评价基准值及权重值</w:t>
      </w:r>
    </w:p>
    <w:p w:rsidR="00C645C9" w:rsidRDefault="00F955D9">
      <w:pPr>
        <w:adjustRightInd w:val="0"/>
        <w:snapToGrid w:val="0"/>
        <w:spacing w:line="360" w:lineRule="auto"/>
        <w:ind w:firstLineChars="200" w:firstLine="480"/>
        <w:rPr>
          <w:rFonts w:cs="Times New Roman"/>
        </w:rPr>
      </w:pPr>
      <w:r>
        <w:rPr>
          <w:rFonts w:cs="Times New Roman"/>
        </w:rPr>
        <w:t>采</w:t>
      </w:r>
      <w:r>
        <w:rPr>
          <w:rFonts w:cs="Times New Roman" w:hint="eastAsia"/>
        </w:rPr>
        <w:t>气</w:t>
      </w:r>
      <w:r>
        <w:rPr>
          <w:rFonts w:cs="Times New Roman"/>
        </w:rPr>
        <w:t>和</w:t>
      </w:r>
      <w:r>
        <w:rPr>
          <w:rFonts w:cs="Times New Roman" w:hint="eastAsia"/>
        </w:rPr>
        <w:t>拉运</w:t>
      </w:r>
      <w:r>
        <w:rPr>
          <w:rFonts w:cs="Times New Roman"/>
        </w:rPr>
        <w:t>作业定量和定性评价指标项目、权重及基准值见表</w:t>
      </w:r>
      <w:r>
        <w:rPr>
          <w:rFonts w:cs="Times New Roman"/>
        </w:rPr>
        <w:t>3.</w:t>
      </w:r>
      <w:r>
        <w:rPr>
          <w:rFonts w:cs="Times New Roman" w:hint="eastAsia"/>
        </w:rPr>
        <w:t>3</w:t>
      </w:r>
      <w:r>
        <w:rPr>
          <w:rFonts w:cs="Times New Roman"/>
        </w:rPr>
        <w:t>-1</w:t>
      </w:r>
      <w:r>
        <w:rPr>
          <w:rFonts w:cs="Times New Roman" w:hint="eastAsia"/>
        </w:rPr>
        <w:t>8</w:t>
      </w:r>
      <w:r>
        <w:rPr>
          <w:rFonts w:cs="Times New Roman"/>
        </w:rPr>
        <w:t>~</w:t>
      </w:r>
      <w:r>
        <w:rPr>
          <w:rFonts w:cs="Times New Roman" w:hint="eastAsia"/>
        </w:rPr>
        <w:t>19</w:t>
      </w:r>
      <w:r>
        <w:rPr>
          <w:rFonts w:cs="Times New Roman"/>
        </w:rPr>
        <w:t>。</w:t>
      </w:r>
    </w:p>
    <w:p w:rsidR="00C645C9" w:rsidRDefault="00F955D9">
      <w:pPr>
        <w:adjustRightInd w:val="0"/>
        <w:snapToGrid w:val="0"/>
        <w:spacing w:line="360" w:lineRule="auto"/>
        <w:ind w:firstLineChars="200" w:firstLine="480"/>
        <w:rPr>
          <w:rFonts w:cs="Times New Roman"/>
          <w:lang w:val="zh-CN"/>
        </w:rPr>
      </w:pPr>
      <w:r>
        <w:rPr>
          <w:rFonts w:cs="Times New Roman" w:hint="eastAsia"/>
        </w:rPr>
        <w:t>（</w:t>
      </w:r>
      <w:r>
        <w:rPr>
          <w:rFonts w:cs="Times New Roman" w:hint="eastAsia"/>
        </w:rPr>
        <w:t>4</w:t>
      </w:r>
      <w:r>
        <w:rPr>
          <w:rFonts w:cs="Times New Roman" w:hint="eastAsia"/>
        </w:rPr>
        <w:t>）</w:t>
      </w:r>
      <w:r>
        <w:rPr>
          <w:rFonts w:cs="Times New Roman"/>
          <w:lang w:val="zh-CN"/>
        </w:rPr>
        <w:t>评价指标体系计算</w:t>
      </w:r>
    </w:p>
    <w:bookmarkStart w:id="1045" w:name="OLE_LINK421"/>
    <w:p w:rsidR="00C645C9" w:rsidRDefault="00F955D9">
      <w:pPr>
        <w:adjustRightInd w:val="0"/>
        <w:snapToGrid w:val="0"/>
        <w:spacing w:line="360" w:lineRule="auto"/>
        <w:ind w:firstLine="480"/>
        <w:rPr>
          <w:rFonts w:cs="Times New Roman"/>
          <w:bCs/>
          <w:lang w:val="zh-CN"/>
        </w:rPr>
      </w:pPr>
      <w:r>
        <w:rPr>
          <w:rFonts w:cs="Times New Roman" w:hint="eastAsia"/>
          <w:bCs/>
          <w:lang w:val="zh-CN"/>
        </w:rPr>
        <w:fldChar w:fldCharType="begin"/>
      </w:r>
      <w:r>
        <w:rPr>
          <w:rFonts w:cs="Times New Roman" w:hint="eastAsia"/>
          <w:bCs/>
          <w:lang w:val="zh-CN"/>
        </w:rPr>
        <w:instrText xml:space="preserve"> = 1 \* GB3 \* MERGEFORMAT </w:instrText>
      </w:r>
      <w:r>
        <w:rPr>
          <w:rFonts w:cs="Times New Roman" w:hint="eastAsia"/>
          <w:bCs/>
          <w:lang w:val="zh-CN"/>
        </w:rPr>
        <w:fldChar w:fldCharType="separate"/>
      </w:r>
      <w:r>
        <w:t>①</w:t>
      </w:r>
      <w:r>
        <w:rPr>
          <w:rFonts w:cs="Times New Roman" w:hint="eastAsia"/>
          <w:bCs/>
          <w:lang w:val="zh-CN"/>
        </w:rPr>
        <w:fldChar w:fldCharType="end"/>
      </w:r>
      <w:r>
        <w:rPr>
          <w:rFonts w:cs="Times New Roman"/>
          <w:bCs/>
          <w:lang w:val="zh-CN"/>
        </w:rPr>
        <w:t>定量评价指标的考核评分计算</w:t>
      </w:r>
    </w:p>
    <w:p w:rsidR="00C645C9" w:rsidRDefault="00F955D9">
      <w:pPr>
        <w:adjustRightInd w:val="0"/>
        <w:snapToGrid w:val="0"/>
        <w:spacing w:line="360" w:lineRule="auto"/>
        <w:ind w:firstLineChars="200" w:firstLine="480"/>
        <w:rPr>
          <w:rFonts w:cs="Times New Roman"/>
        </w:rPr>
      </w:pPr>
      <w:r>
        <w:rPr>
          <w:rFonts w:cs="Times New Roman"/>
        </w:rPr>
        <w:t>企业清洁生产定量评</w:t>
      </w:r>
      <w:bookmarkEnd w:id="1045"/>
      <w:r>
        <w:rPr>
          <w:rFonts w:cs="Times New Roman"/>
        </w:rPr>
        <w:t>价指标的考核评分，以企业在考核年度</w:t>
      </w:r>
      <w:r>
        <w:rPr>
          <w:rFonts w:cs="Times New Roman" w:hint="eastAsia"/>
        </w:rPr>
        <w:t>（</w:t>
      </w:r>
      <w:r>
        <w:rPr>
          <w:rFonts w:cs="Times New Roman"/>
        </w:rPr>
        <w:t>一般以一个生产年度为一个考核周期，并与生产年度同步</w:t>
      </w:r>
      <w:r>
        <w:rPr>
          <w:rFonts w:cs="Times New Roman" w:hint="eastAsia"/>
        </w:rPr>
        <w:t>）</w:t>
      </w:r>
      <w:r>
        <w:rPr>
          <w:rFonts w:cs="Times New Roman"/>
        </w:rPr>
        <w:t>各项二级指标实际达到的数值为基础进行计算，综合得出该企业定量评价指标的考核总分值。定量评价的二级指标从其数值情况来看，可分为两类情况：一类是该指标的数值越低（小）越符合清洁生产要求（如物料消耗量、取水量、综合能耗、污染物产生量等指标）；另一类是该指标的数值越高（大）越符合清洁生产要求（如水的循环利用率、</w:t>
      </w:r>
      <w:r>
        <w:rPr>
          <w:rFonts w:cs="Times New Roman" w:hint="eastAsia"/>
        </w:rPr>
        <w:t>回收率、固体废物综合利用率等指标</w:t>
      </w:r>
      <w:r>
        <w:rPr>
          <w:rFonts w:cs="Times New Roman"/>
        </w:rPr>
        <w:t>）。因此，对二级指标的考核评分，根据其类别采用不同的计算模式。</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A.</w:t>
      </w:r>
      <w:r>
        <w:rPr>
          <w:rFonts w:cs="Times New Roman" w:hint="eastAsia"/>
          <w:sz w:val="24"/>
        </w:rPr>
        <w:t>定量评价二级指标的单项评价指数计算</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lastRenderedPageBreak/>
        <w:t>对指标数值越高（大）越符合清洁生产要求的指标，其计算公式为：</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sz w:val="24"/>
        </w:rPr>
        <w:t>S</w:t>
      </w:r>
      <w:r>
        <w:rPr>
          <w:rFonts w:cs="Times New Roman"/>
          <w:sz w:val="24"/>
          <w:vertAlign w:val="subscript"/>
        </w:rPr>
        <w:t>i</w:t>
      </w:r>
      <w:r>
        <w:rPr>
          <w:rFonts w:cs="Times New Roman"/>
          <w:sz w:val="24"/>
        </w:rPr>
        <w:t>=S</w:t>
      </w:r>
      <w:r>
        <w:rPr>
          <w:rFonts w:cs="Times New Roman"/>
          <w:sz w:val="24"/>
          <w:vertAlign w:val="subscript"/>
        </w:rPr>
        <w:t>xi</w:t>
      </w:r>
      <w:r>
        <w:rPr>
          <w:rFonts w:cs="Times New Roman"/>
          <w:sz w:val="24"/>
        </w:rPr>
        <w:t>/S</w:t>
      </w:r>
      <w:r>
        <w:rPr>
          <w:rFonts w:cs="Times New Roman"/>
          <w:sz w:val="24"/>
          <w:vertAlign w:val="subscript"/>
        </w:rPr>
        <w:t>oi</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对指标数值越低（小）越符合清洁生产要求的指标，其计算公式为：</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sz w:val="24"/>
        </w:rPr>
        <w:t>S</w:t>
      </w:r>
      <w:r>
        <w:rPr>
          <w:rFonts w:cs="Times New Roman"/>
          <w:sz w:val="24"/>
          <w:vertAlign w:val="subscript"/>
        </w:rPr>
        <w:t>i</w:t>
      </w:r>
      <w:r>
        <w:rPr>
          <w:rFonts w:cs="Times New Roman"/>
          <w:sz w:val="24"/>
        </w:rPr>
        <w:t>=S</w:t>
      </w:r>
      <w:r>
        <w:rPr>
          <w:rFonts w:cs="Times New Roman"/>
          <w:sz w:val="24"/>
          <w:vertAlign w:val="subscript"/>
        </w:rPr>
        <w:t>oi</w:t>
      </w:r>
      <w:r>
        <w:rPr>
          <w:rFonts w:cs="Times New Roman"/>
          <w:sz w:val="24"/>
        </w:rPr>
        <w:t>/S</w:t>
      </w:r>
      <w:r>
        <w:rPr>
          <w:rFonts w:cs="Times New Roman"/>
          <w:sz w:val="24"/>
          <w:vertAlign w:val="subscript"/>
        </w:rPr>
        <w:t>xi</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式中</w:t>
      </w:r>
      <w:r>
        <w:rPr>
          <w:rFonts w:cs="Times New Roman" w:hint="eastAsia"/>
          <w:sz w:val="24"/>
        </w:rPr>
        <w:t>：</w:t>
      </w:r>
      <w:r>
        <w:rPr>
          <w:rFonts w:cs="Times New Roman"/>
          <w:sz w:val="24"/>
        </w:rPr>
        <w:t>S</w:t>
      </w:r>
      <w:r>
        <w:rPr>
          <w:rFonts w:cs="Times New Roman"/>
          <w:sz w:val="24"/>
          <w:vertAlign w:val="subscript"/>
        </w:rPr>
        <w:t>i</w:t>
      </w:r>
      <w:r>
        <w:rPr>
          <w:rFonts w:cs="Times New Roman"/>
          <w:bCs/>
          <w:sz w:val="24"/>
          <w:lang w:val="zh-CN"/>
        </w:rPr>
        <w:t>——</w:t>
      </w:r>
      <w:r>
        <w:rPr>
          <w:rFonts w:cs="Times New Roman"/>
          <w:sz w:val="24"/>
        </w:rPr>
        <w:t>第</w:t>
      </w:r>
      <w:r>
        <w:rPr>
          <w:rFonts w:cs="Times New Roman"/>
          <w:sz w:val="24"/>
        </w:rPr>
        <w:t>i</w:t>
      </w:r>
      <w:r>
        <w:rPr>
          <w:rFonts w:cs="Times New Roman"/>
          <w:sz w:val="24"/>
        </w:rPr>
        <w:t>项评价指标的单项评价指数；如手工计算，其值取小数点后两位；</w:t>
      </w:r>
    </w:p>
    <w:p w:rsidR="00C645C9" w:rsidRDefault="00F955D9">
      <w:pPr>
        <w:pStyle w:val="afff3"/>
        <w:adjustRightInd w:val="0"/>
        <w:snapToGrid w:val="0"/>
        <w:spacing w:beforeLines="0" w:before="0" w:afterLines="0" w:after="0" w:line="360" w:lineRule="auto"/>
        <w:ind w:firstLineChars="400" w:firstLine="960"/>
        <w:rPr>
          <w:rFonts w:cs="Times New Roman"/>
          <w:sz w:val="24"/>
        </w:rPr>
      </w:pPr>
      <w:r>
        <w:rPr>
          <w:rFonts w:cs="Times New Roman"/>
          <w:sz w:val="24"/>
        </w:rPr>
        <w:t>S</w:t>
      </w:r>
      <w:r>
        <w:rPr>
          <w:rFonts w:cs="Times New Roman"/>
          <w:sz w:val="24"/>
          <w:vertAlign w:val="subscript"/>
        </w:rPr>
        <w:t>xi</w:t>
      </w:r>
      <w:r>
        <w:rPr>
          <w:rFonts w:cs="Times New Roman"/>
          <w:bCs/>
          <w:sz w:val="24"/>
          <w:lang w:val="zh-CN"/>
        </w:rPr>
        <w:t>——</w:t>
      </w:r>
      <w:r>
        <w:rPr>
          <w:rFonts w:cs="Times New Roman"/>
          <w:sz w:val="24"/>
        </w:rPr>
        <w:t>第</w:t>
      </w:r>
      <w:r>
        <w:rPr>
          <w:rFonts w:cs="Times New Roman"/>
          <w:sz w:val="24"/>
        </w:rPr>
        <w:t>i</w:t>
      </w:r>
      <w:r>
        <w:rPr>
          <w:rFonts w:cs="Times New Roman"/>
          <w:sz w:val="24"/>
        </w:rPr>
        <w:t>项评价指标的实际值（考核年度实际达到值）；</w:t>
      </w:r>
    </w:p>
    <w:p w:rsidR="00C645C9" w:rsidRDefault="00F955D9">
      <w:pPr>
        <w:pStyle w:val="afff3"/>
        <w:adjustRightInd w:val="0"/>
        <w:snapToGrid w:val="0"/>
        <w:spacing w:beforeLines="0" w:before="0" w:afterLines="0" w:after="0" w:line="360" w:lineRule="auto"/>
        <w:ind w:firstLineChars="400" w:firstLine="960"/>
        <w:rPr>
          <w:rFonts w:cs="Times New Roman"/>
          <w:sz w:val="24"/>
        </w:rPr>
      </w:pPr>
      <w:r>
        <w:rPr>
          <w:rFonts w:cs="Times New Roman"/>
          <w:sz w:val="24"/>
        </w:rPr>
        <w:t>S</w:t>
      </w:r>
      <w:r>
        <w:rPr>
          <w:rFonts w:cs="Times New Roman"/>
          <w:sz w:val="24"/>
          <w:vertAlign w:val="subscript"/>
        </w:rPr>
        <w:t>oi</w:t>
      </w:r>
      <w:r>
        <w:rPr>
          <w:rFonts w:cs="Times New Roman"/>
          <w:bCs/>
          <w:sz w:val="24"/>
          <w:lang w:val="zh-CN"/>
        </w:rPr>
        <w:t>——</w:t>
      </w:r>
      <w:r>
        <w:rPr>
          <w:rFonts w:cs="Times New Roman"/>
          <w:sz w:val="24"/>
        </w:rPr>
        <w:t>第</w:t>
      </w:r>
      <w:r>
        <w:rPr>
          <w:rFonts w:cs="Times New Roman"/>
          <w:sz w:val="24"/>
        </w:rPr>
        <w:t>i</w:t>
      </w:r>
      <w:r>
        <w:rPr>
          <w:rFonts w:cs="Times New Roman"/>
          <w:sz w:val="24"/>
        </w:rPr>
        <w:t>项评价指标的评价基准值。</w:t>
      </w:r>
    </w:p>
    <w:p w:rsidR="00C645C9" w:rsidRDefault="00F955D9">
      <w:pPr>
        <w:adjustRightInd w:val="0"/>
        <w:snapToGrid w:val="0"/>
        <w:spacing w:line="360" w:lineRule="auto"/>
        <w:ind w:firstLine="480"/>
        <w:rPr>
          <w:rFonts w:cs="Times New Roman"/>
        </w:rPr>
      </w:pPr>
      <w:r>
        <w:rPr>
          <w:rFonts w:cs="Times New Roman"/>
        </w:rPr>
        <w:t>本评价指标体系各二级指标的单项评价指数的正常值一般在</w:t>
      </w:r>
      <w:r>
        <w:rPr>
          <w:rFonts w:cs="Times New Roman"/>
        </w:rPr>
        <w:t>1.0</w:t>
      </w:r>
      <w:r>
        <w:rPr>
          <w:rFonts w:cs="Times New Roman"/>
        </w:rPr>
        <w:t>左右，但当其实际数值远小于（或远大于）评价基准值时，计算得出的</w:t>
      </w:r>
      <w:r>
        <w:rPr>
          <w:rFonts w:cs="Times New Roman"/>
        </w:rPr>
        <w:t>S</w:t>
      </w:r>
      <w:r>
        <w:rPr>
          <w:rFonts w:cs="Times New Roman"/>
          <w:vertAlign w:val="subscript"/>
        </w:rPr>
        <w:t>i</w:t>
      </w:r>
      <w:r>
        <w:rPr>
          <w:rFonts w:cs="Times New Roman"/>
        </w:rPr>
        <w:t>值就会较大，计算结果就会偏离实际，对</w:t>
      </w:r>
      <w:r>
        <w:rPr>
          <w:rFonts w:cs="Times New Roman" w:hint="eastAsia"/>
        </w:rPr>
        <w:t>其他</w:t>
      </w:r>
      <w:r>
        <w:rPr>
          <w:rFonts w:cs="Times New Roman"/>
        </w:rPr>
        <w:t>评价指标的单项评价指数产生较大干扰。为了消除这种不合理影响，应对此进行修正处理。修正的方法是：当</w:t>
      </w:r>
      <w:r>
        <w:rPr>
          <w:rFonts w:cs="Times New Roman"/>
        </w:rPr>
        <w:t>S</w:t>
      </w:r>
      <w:r>
        <w:rPr>
          <w:rFonts w:cs="Times New Roman"/>
          <w:vertAlign w:val="subscript"/>
        </w:rPr>
        <w:t>i</w:t>
      </w:r>
      <w:r>
        <w:rPr>
          <w:rFonts w:cs="Times New Roman"/>
        </w:rPr>
        <w:t>＞</w:t>
      </w:r>
      <w:r>
        <w:rPr>
          <w:rFonts w:cs="Times New Roman"/>
        </w:rPr>
        <w:t>k/m</w:t>
      </w:r>
      <w:r>
        <w:rPr>
          <w:rFonts w:cs="Times New Roman"/>
        </w:rPr>
        <w:t>时（其中</w:t>
      </w:r>
      <w:r>
        <w:rPr>
          <w:rFonts w:cs="Times New Roman"/>
        </w:rPr>
        <w:t>k</w:t>
      </w:r>
      <w:r>
        <w:rPr>
          <w:rFonts w:cs="Times New Roman"/>
        </w:rPr>
        <w:t>为该类一级指标的权重值，</w:t>
      </w:r>
      <w:r>
        <w:rPr>
          <w:rFonts w:cs="Times New Roman"/>
        </w:rPr>
        <w:t>m</w:t>
      </w:r>
      <w:r>
        <w:rPr>
          <w:rFonts w:cs="Times New Roman"/>
        </w:rPr>
        <w:t>为该类一级指标中实际参与考核的二级指标的项目数），取该</w:t>
      </w:r>
      <w:r>
        <w:rPr>
          <w:rFonts w:cs="Times New Roman"/>
        </w:rPr>
        <w:t>S</w:t>
      </w:r>
      <w:r>
        <w:rPr>
          <w:rFonts w:cs="Times New Roman"/>
          <w:vertAlign w:val="subscript"/>
        </w:rPr>
        <w:t>i</w:t>
      </w:r>
      <w:r>
        <w:rPr>
          <w:rFonts w:cs="Times New Roman"/>
        </w:rPr>
        <w:t>值为</w:t>
      </w:r>
      <w:r>
        <w:rPr>
          <w:rFonts w:cs="Times New Roman"/>
        </w:rPr>
        <w:t>k/m</w:t>
      </w:r>
      <w:r>
        <w:rPr>
          <w:rFonts w:cs="Times New Roman"/>
        </w:rPr>
        <w:t>。</w:t>
      </w:r>
    </w:p>
    <w:p w:rsidR="00C645C9" w:rsidRDefault="00F955D9">
      <w:pPr>
        <w:adjustRightInd w:val="0"/>
        <w:snapToGrid w:val="0"/>
        <w:spacing w:line="360" w:lineRule="auto"/>
        <w:ind w:firstLine="480"/>
        <w:rPr>
          <w:rFonts w:cs="Times New Roman"/>
          <w:bCs/>
          <w:lang w:val="zh-CN"/>
        </w:rPr>
      </w:pPr>
      <w:bookmarkStart w:id="1046" w:name="OLE_LINK425"/>
      <w:r>
        <w:rPr>
          <w:rFonts w:cs="Times New Roman" w:hint="eastAsia"/>
        </w:rPr>
        <w:t>B.</w:t>
      </w:r>
      <w:r>
        <w:rPr>
          <w:rFonts w:cs="Times New Roman"/>
          <w:bCs/>
          <w:lang w:val="zh-CN"/>
        </w:rPr>
        <w:t>定量评价考核总分值的计算</w:t>
      </w:r>
      <w:bookmarkEnd w:id="1046"/>
    </w:p>
    <w:p w:rsidR="00C645C9" w:rsidRDefault="00F955D9">
      <w:pPr>
        <w:adjustRightInd w:val="0"/>
        <w:snapToGrid w:val="0"/>
        <w:spacing w:line="360" w:lineRule="auto"/>
        <w:ind w:firstLine="480"/>
        <w:rPr>
          <w:rFonts w:cs="Times New Roman"/>
          <w:bCs/>
          <w:lang w:val="zh-CN"/>
        </w:rPr>
      </w:pPr>
      <w:r>
        <w:rPr>
          <w:rFonts w:cs="Times New Roman"/>
          <w:bCs/>
          <w:noProof/>
        </w:rPr>
        <w:drawing>
          <wp:anchor distT="0" distB="0" distL="114300" distR="114300" simplePos="0" relativeHeight="251662848" behindDoc="0" locked="0" layoutInCell="1" allowOverlap="1">
            <wp:simplePos x="0" y="0"/>
            <wp:positionH relativeFrom="column">
              <wp:posOffset>2827655</wp:posOffset>
            </wp:positionH>
            <wp:positionV relativeFrom="paragraph">
              <wp:posOffset>203200</wp:posOffset>
            </wp:positionV>
            <wp:extent cx="523875" cy="371475"/>
            <wp:effectExtent l="0" t="0" r="0" b="825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3875" cy="371475"/>
                    </a:xfrm>
                    <a:prstGeom prst="rect">
                      <a:avLst/>
                    </a:prstGeom>
                    <a:noFill/>
                    <a:ln>
                      <a:noFill/>
                    </a:ln>
                  </pic:spPr>
                </pic:pic>
              </a:graphicData>
            </a:graphic>
          </wp:anchor>
        </w:drawing>
      </w:r>
      <w:r>
        <w:rPr>
          <w:rFonts w:cs="Times New Roman"/>
          <w:bCs/>
          <w:lang w:val="zh-CN"/>
        </w:rPr>
        <w:t>定量评价考核总分值的计算公式为：</w:t>
      </w:r>
    </w:p>
    <w:p w:rsidR="00C645C9" w:rsidRDefault="00F955D9">
      <w:pPr>
        <w:adjustRightInd w:val="0"/>
        <w:snapToGrid w:val="0"/>
        <w:spacing w:line="360" w:lineRule="auto"/>
        <w:jc w:val="center"/>
        <w:rPr>
          <w:rFonts w:cs="Times New Roman"/>
          <w:bCs/>
          <w:lang w:val="zh-CN"/>
        </w:rPr>
      </w:pPr>
      <w:r>
        <w:rPr>
          <w:rFonts w:cs="Times New Roman"/>
          <w:bCs/>
          <w:lang w:val="zh-CN"/>
        </w:rPr>
        <w:t>P</w:t>
      </w:r>
      <w:r>
        <w:rPr>
          <w:rFonts w:cs="Times New Roman"/>
          <w:bCs/>
          <w:vertAlign w:val="subscript"/>
          <w:lang w:val="zh-CN"/>
        </w:rPr>
        <w:t>1</w:t>
      </w:r>
      <w:r>
        <w:rPr>
          <w:rFonts w:cs="Times New Roman"/>
          <w:bCs/>
          <w:lang w:val="zh-CN"/>
        </w:rPr>
        <w:t>=</w:t>
      </w:r>
    </w:p>
    <w:p w:rsidR="00C645C9" w:rsidRDefault="00F955D9">
      <w:pPr>
        <w:adjustRightInd w:val="0"/>
        <w:snapToGrid w:val="0"/>
        <w:spacing w:line="360" w:lineRule="auto"/>
        <w:ind w:firstLine="480"/>
        <w:rPr>
          <w:rFonts w:cs="Times New Roman"/>
          <w:bCs/>
          <w:lang w:val="zh-CN"/>
        </w:rPr>
      </w:pPr>
      <w:r>
        <w:rPr>
          <w:rFonts w:cs="Times New Roman"/>
          <w:bCs/>
          <w:lang w:val="zh-CN"/>
        </w:rPr>
        <w:t>式中：</w:t>
      </w:r>
      <w:r>
        <w:rPr>
          <w:rFonts w:cs="Times New Roman"/>
          <w:bCs/>
          <w:lang w:val="zh-CN"/>
        </w:rPr>
        <w:t>P</w:t>
      </w:r>
      <w:r>
        <w:rPr>
          <w:rFonts w:cs="Times New Roman"/>
          <w:bCs/>
          <w:vertAlign w:val="subscript"/>
          <w:lang w:val="zh-CN"/>
        </w:rPr>
        <w:t>1</w:t>
      </w:r>
      <w:bookmarkStart w:id="1047" w:name="OLE_LINK419"/>
      <w:r>
        <w:rPr>
          <w:rFonts w:cs="Times New Roman"/>
          <w:bCs/>
          <w:lang w:val="zh-CN"/>
        </w:rPr>
        <w:t>——</w:t>
      </w:r>
      <w:bookmarkEnd w:id="1047"/>
      <w:r>
        <w:rPr>
          <w:rFonts w:cs="Times New Roman"/>
          <w:bCs/>
          <w:lang w:val="zh-CN"/>
        </w:rPr>
        <w:t>定量评价考核总分值；</w:t>
      </w:r>
    </w:p>
    <w:p w:rsidR="00C645C9" w:rsidRDefault="00F955D9">
      <w:pPr>
        <w:adjustRightInd w:val="0"/>
        <w:snapToGrid w:val="0"/>
        <w:spacing w:line="360" w:lineRule="auto"/>
        <w:ind w:firstLineChars="500" w:firstLine="1200"/>
        <w:rPr>
          <w:rFonts w:cs="Times New Roman"/>
          <w:bCs/>
          <w:lang w:val="zh-CN"/>
        </w:rPr>
      </w:pPr>
      <w:r>
        <w:rPr>
          <w:rFonts w:cs="Times New Roman"/>
          <w:bCs/>
          <w:lang w:val="zh-CN"/>
        </w:rPr>
        <w:t>n——</w:t>
      </w:r>
      <w:r>
        <w:rPr>
          <w:rFonts w:cs="Times New Roman"/>
          <w:bCs/>
          <w:lang w:val="zh-CN"/>
        </w:rPr>
        <w:t>参与定量评价考核的二级指标项目总数；</w:t>
      </w:r>
    </w:p>
    <w:p w:rsidR="00C645C9" w:rsidRDefault="00F955D9">
      <w:pPr>
        <w:adjustRightInd w:val="0"/>
        <w:snapToGrid w:val="0"/>
        <w:spacing w:line="360" w:lineRule="auto"/>
        <w:ind w:firstLineChars="500" w:firstLine="1200"/>
        <w:rPr>
          <w:rFonts w:cs="Times New Roman"/>
          <w:bCs/>
          <w:lang w:val="zh-CN"/>
        </w:rPr>
      </w:pPr>
      <w:r>
        <w:rPr>
          <w:rFonts w:cs="Times New Roman"/>
          <w:bCs/>
          <w:i/>
          <w:iCs/>
          <w:lang w:val="zh-CN"/>
        </w:rPr>
        <w:t>S</w:t>
      </w:r>
      <w:r>
        <w:rPr>
          <w:rFonts w:cs="Times New Roman"/>
          <w:bCs/>
          <w:i/>
          <w:iCs/>
          <w:vertAlign w:val="subscript"/>
          <w:lang w:val="zh-CN"/>
        </w:rPr>
        <w:t>i</w:t>
      </w:r>
      <w:r>
        <w:rPr>
          <w:rFonts w:cs="Times New Roman"/>
          <w:bCs/>
          <w:lang w:val="zh-CN"/>
        </w:rPr>
        <w:t>——</w:t>
      </w:r>
      <w:r>
        <w:rPr>
          <w:rFonts w:cs="Times New Roman"/>
          <w:bCs/>
          <w:lang w:val="zh-CN"/>
        </w:rPr>
        <w:t>第</w:t>
      </w:r>
      <w:r>
        <w:rPr>
          <w:rFonts w:cs="Times New Roman"/>
          <w:bCs/>
          <w:i/>
          <w:iCs/>
          <w:lang w:val="zh-CN"/>
        </w:rPr>
        <w:t>i</w:t>
      </w:r>
      <w:r>
        <w:rPr>
          <w:rFonts w:cs="Times New Roman"/>
          <w:bCs/>
          <w:lang w:val="zh-CN"/>
        </w:rPr>
        <w:t>项评价指标的单项评价指数；</w:t>
      </w:r>
    </w:p>
    <w:p w:rsidR="00C645C9" w:rsidRDefault="00F955D9">
      <w:pPr>
        <w:adjustRightInd w:val="0"/>
        <w:snapToGrid w:val="0"/>
        <w:spacing w:line="360" w:lineRule="auto"/>
        <w:ind w:firstLineChars="500" w:firstLine="1200"/>
        <w:rPr>
          <w:rFonts w:cs="Times New Roman"/>
          <w:bCs/>
          <w:lang w:val="zh-CN"/>
        </w:rPr>
      </w:pPr>
      <w:r>
        <w:rPr>
          <w:rFonts w:cs="Times New Roman"/>
          <w:bCs/>
          <w:i/>
          <w:iCs/>
          <w:lang w:val="zh-CN"/>
        </w:rPr>
        <w:t>K</w:t>
      </w:r>
      <w:r>
        <w:rPr>
          <w:rFonts w:cs="Times New Roman"/>
          <w:bCs/>
          <w:i/>
          <w:iCs/>
          <w:vertAlign w:val="subscript"/>
          <w:lang w:val="zh-CN"/>
        </w:rPr>
        <w:t>i</w:t>
      </w:r>
      <w:r>
        <w:rPr>
          <w:rFonts w:cs="Times New Roman"/>
          <w:bCs/>
          <w:lang w:val="zh-CN"/>
        </w:rPr>
        <w:t>——</w:t>
      </w:r>
      <w:r>
        <w:rPr>
          <w:rFonts w:cs="Times New Roman"/>
          <w:bCs/>
          <w:lang w:val="zh-CN"/>
        </w:rPr>
        <w:t>第</w:t>
      </w:r>
      <w:r>
        <w:rPr>
          <w:rFonts w:cs="Times New Roman"/>
          <w:bCs/>
          <w:i/>
          <w:iCs/>
          <w:lang w:val="zh-CN"/>
        </w:rPr>
        <w:t>i</w:t>
      </w:r>
      <w:r>
        <w:rPr>
          <w:rFonts w:cs="Times New Roman"/>
          <w:bCs/>
          <w:lang w:val="zh-CN"/>
        </w:rPr>
        <w:t>项评价指标的权重值。</w:t>
      </w:r>
    </w:p>
    <w:p w:rsidR="00C645C9" w:rsidRDefault="00F955D9">
      <w:pPr>
        <w:adjustRightInd w:val="0"/>
        <w:snapToGrid w:val="0"/>
        <w:spacing w:line="360" w:lineRule="auto"/>
        <w:ind w:firstLine="480"/>
        <w:rPr>
          <w:rFonts w:cs="Times New Roman"/>
          <w:bCs/>
          <w:lang w:val="zh-CN"/>
        </w:rPr>
      </w:pPr>
      <w:bookmarkStart w:id="1048" w:name="OLE_LINK426"/>
      <w:r>
        <w:rPr>
          <w:rFonts w:cs="Times New Roman" w:hint="eastAsia"/>
          <w:bCs/>
        </w:rPr>
        <w:t>C.</w:t>
      </w:r>
      <w:r>
        <w:rPr>
          <w:rFonts w:cs="Times New Roman"/>
          <w:bCs/>
          <w:lang w:val="zh-CN"/>
        </w:rPr>
        <w:t>定</w:t>
      </w:r>
      <w:r>
        <w:rPr>
          <w:rFonts w:cs="Times New Roman" w:hint="eastAsia"/>
          <w:bCs/>
        </w:rPr>
        <w:t>性</w:t>
      </w:r>
      <w:r>
        <w:rPr>
          <w:rFonts w:cs="Times New Roman"/>
          <w:bCs/>
          <w:lang w:val="zh-CN"/>
        </w:rPr>
        <w:t>评价指标的考核评分计算</w:t>
      </w:r>
      <w:bookmarkEnd w:id="1048"/>
    </w:p>
    <w:p w:rsidR="00C645C9" w:rsidRDefault="00F955D9">
      <w:pPr>
        <w:adjustRightInd w:val="0"/>
        <w:snapToGrid w:val="0"/>
        <w:spacing w:line="360" w:lineRule="auto"/>
        <w:ind w:firstLine="480"/>
        <w:rPr>
          <w:rFonts w:cs="Times New Roman"/>
          <w:bCs/>
          <w:lang w:val="zh-CN"/>
        </w:rPr>
      </w:pPr>
      <w:r>
        <w:rPr>
          <w:rFonts w:cs="Times New Roman"/>
          <w:bCs/>
          <w:noProof/>
        </w:rPr>
        <w:drawing>
          <wp:anchor distT="0" distB="0" distL="114300" distR="114300" simplePos="0" relativeHeight="251661824" behindDoc="0" locked="0" layoutInCell="1" allowOverlap="1">
            <wp:simplePos x="0" y="0"/>
            <wp:positionH relativeFrom="column">
              <wp:posOffset>2797810</wp:posOffset>
            </wp:positionH>
            <wp:positionV relativeFrom="paragraph">
              <wp:posOffset>146050</wp:posOffset>
            </wp:positionV>
            <wp:extent cx="386080" cy="459105"/>
            <wp:effectExtent l="0" t="0" r="0" b="1778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86080" cy="459105"/>
                    </a:xfrm>
                    <a:prstGeom prst="rect">
                      <a:avLst/>
                    </a:prstGeom>
                    <a:noFill/>
                    <a:ln>
                      <a:noFill/>
                    </a:ln>
                  </pic:spPr>
                </pic:pic>
              </a:graphicData>
            </a:graphic>
          </wp:anchor>
        </w:drawing>
      </w:r>
      <w:r>
        <w:rPr>
          <w:rFonts w:cs="Times New Roman"/>
          <w:bCs/>
          <w:lang w:val="zh-CN"/>
        </w:rPr>
        <w:t>定</w:t>
      </w:r>
      <w:r>
        <w:rPr>
          <w:rFonts w:cs="Times New Roman" w:hint="eastAsia"/>
          <w:bCs/>
        </w:rPr>
        <w:t>性</w:t>
      </w:r>
      <w:r>
        <w:rPr>
          <w:rFonts w:cs="Times New Roman"/>
          <w:bCs/>
          <w:lang w:val="zh-CN"/>
        </w:rPr>
        <w:t>评价指标的考核</w:t>
      </w:r>
      <w:r>
        <w:rPr>
          <w:rFonts w:cs="Times New Roman" w:hint="eastAsia"/>
          <w:bCs/>
        </w:rPr>
        <w:t>总分值的</w:t>
      </w:r>
      <w:r>
        <w:rPr>
          <w:rFonts w:cs="Times New Roman" w:hint="eastAsia"/>
          <w:bCs/>
        </w:rPr>
        <w:t>计算公式</w:t>
      </w:r>
      <w:r>
        <w:rPr>
          <w:rFonts w:cs="Times New Roman" w:hint="eastAsia"/>
          <w:bCs/>
        </w:rPr>
        <w:t>为</w:t>
      </w:r>
      <w:r>
        <w:rPr>
          <w:rFonts w:cs="Times New Roman" w:hint="eastAsia"/>
          <w:bCs/>
          <w:lang w:val="zh-CN"/>
        </w:rPr>
        <w:t>：</w:t>
      </w:r>
    </w:p>
    <w:p w:rsidR="00C645C9" w:rsidRDefault="00F955D9">
      <w:pPr>
        <w:adjustRightInd w:val="0"/>
        <w:snapToGrid w:val="0"/>
        <w:spacing w:line="360" w:lineRule="auto"/>
        <w:jc w:val="center"/>
        <w:rPr>
          <w:rFonts w:cs="Times New Roman"/>
          <w:bCs/>
          <w:lang w:val="zh-CN"/>
        </w:rPr>
      </w:pPr>
      <w:r>
        <w:rPr>
          <w:rFonts w:cs="Times New Roman"/>
          <w:bCs/>
          <w:lang w:val="zh-CN"/>
        </w:rPr>
        <w:t>P</w:t>
      </w:r>
      <w:r>
        <w:rPr>
          <w:rFonts w:cs="Times New Roman"/>
          <w:bCs/>
          <w:vertAlign w:val="subscript"/>
          <w:lang w:val="zh-CN"/>
        </w:rPr>
        <w:t>2</w:t>
      </w:r>
      <w:r>
        <w:rPr>
          <w:rFonts w:cs="Times New Roman"/>
          <w:bCs/>
          <w:lang w:val="zh-CN"/>
        </w:rPr>
        <w:t>=</w:t>
      </w:r>
    </w:p>
    <w:p w:rsidR="00C645C9" w:rsidRDefault="00F955D9">
      <w:pPr>
        <w:adjustRightInd w:val="0"/>
        <w:snapToGrid w:val="0"/>
        <w:spacing w:line="360" w:lineRule="auto"/>
        <w:ind w:firstLine="480"/>
        <w:rPr>
          <w:rFonts w:cs="Times New Roman"/>
          <w:bCs/>
          <w:lang w:val="zh-CN"/>
        </w:rPr>
      </w:pPr>
      <w:r>
        <w:rPr>
          <w:rFonts w:cs="Times New Roman"/>
          <w:bCs/>
          <w:lang w:val="zh-CN"/>
        </w:rPr>
        <w:t>式中：</w:t>
      </w:r>
      <w:r>
        <w:rPr>
          <w:rFonts w:cs="Times New Roman"/>
          <w:bCs/>
          <w:lang w:val="zh-CN"/>
        </w:rPr>
        <w:t>P</w:t>
      </w:r>
      <w:r>
        <w:rPr>
          <w:rFonts w:cs="Times New Roman"/>
          <w:bCs/>
          <w:vertAlign w:val="subscript"/>
          <w:lang w:val="zh-CN"/>
        </w:rPr>
        <w:t>2</w:t>
      </w:r>
      <w:r>
        <w:rPr>
          <w:rFonts w:cs="Times New Roman"/>
          <w:bCs/>
          <w:lang w:val="zh-CN"/>
        </w:rPr>
        <w:t>——</w:t>
      </w:r>
      <w:r>
        <w:rPr>
          <w:rFonts w:cs="Times New Roman"/>
          <w:bCs/>
          <w:lang w:val="zh-CN"/>
        </w:rPr>
        <w:t>定性评价二级指标考核总分值；</w:t>
      </w:r>
    </w:p>
    <w:p w:rsidR="00C645C9" w:rsidRDefault="00F955D9">
      <w:pPr>
        <w:adjustRightInd w:val="0"/>
        <w:snapToGrid w:val="0"/>
        <w:spacing w:line="360" w:lineRule="auto"/>
        <w:ind w:firstLineChars="500" w:firstLine="1200"/>
        <w:rPr>
          <w:rFonts w:cs="Times New Roman"/>
          <w:bCs/>
          <w:lang w:val="zh-CN"/>
        </w:rPr>
      </w:pPr>
      <w:r>
        <w:rPr>
          <w:rFonts w:cs="Times New Roman"/>
          <w:bCs/>
          <w:i/>
          <w:iCs/>
          <w:lang w:val="zh-CN"/>
        </w:rPr>
        <w:t>F</w:t>
      </w:r>
      <w:r>
        <w:rPr>
          <w:rFonts w:cs="Times New Roman"/>
          <w:bCs/>
          <w:i/>
          <w:iCs/>
          <w:vertAlign w:val="subscript"/>
          <w:lang w:val="zh-CN"/>
        </w:rPr>
        <w:t>i</w:t>
      </w:r>
      <w:r>
        <w:rPr>
          <w:rFonts w:cs="Times New Roman"/>
          <w:bCs/>
          <w:lang w:val="zh-CN"/>
        </w:rPr>
        <w:t>——</w:t>
      </w:r>
      <w:r>
        <w:rPr>
          <w:rFonts w:cs="Times New Roman"/>
          <w:bCs/>
          <w:lang w:val="zh-CN"/>
        </w:rPr>
        <w:t>定性评价指标体系中第</w:t>
      </w:r>
      <w:r>
        <w:rPr>
          <w:rFonts w:cs="Times New Roman"/>
          <w:bCs/>
          <w:lang w:val="zh-CN"/>
        </w:rPr>
        <w:t>i</w:t>
      </w:r>
      <w:r>
        <w:rPr>
          <w:rFonts w:cs="Times New Roman"/>
          <w:bCs/>
          <w:lang w:val="zh-CN"/>
        </w:rPr>
        <w:t>项二级指标的得分值；</w:t>
      </w:r>
    </w:p>
    <w:p w:rsidR="00C645C9" w:rsidRDefault="00F955D9">
      <w:pPr>
        <w:adjustRightInd w:val="0"/>
        <w:snapToGrid w:val="0"/>
        <w:spacing w:line="360" w:lineRule="auto"/>
        <w:ind w:firstLineChars="500" w:firstLine="1200"/>
        <w:rPr>
          <w:rFonts w:cs="Times New Roman"/>
          <w:bCs/>
          <w:lang w:val="zh-CN"/>
        </w:rPr>
      </w:pPr>
      <w:r>
        <w:rPr>
          <w:rFonts w:cs="Times New Roman" w:hint="eastAsia"/>
          <w:bCs/>
        </w:rPr>
        <w:t>n</w:t>
      </w:r>
      <w:r>
        <w:rPr>
          <w:rFonts w:cs="Times New Roman"/>
          <w:bCs/>
          <w:lang w:val="zh-CN"/>
        </w:rPr>
        <w:t>——</w:t>
      </w:r>
      <w:r>
        <w:rPr>
          <w:rFonts w:cs="Times New Roman"/>
          <w:bCs/>
          <w:lang w:val="zh-CN"/>
        </w:rPr>
        <w:t>参与考核的定性评价二级指标的项目总数。</w:t>
      </w:r>
    </w:p>
    <w:p w:rsidR="00C645C9" w:rsidRDefault="00F955D9">
      <w:pPr>
        <w:adjustRightInd w:val="0"/>
        <w:snapToGrid w:val="0"/>
        <w:spacing w:line="360" w:lineRule="auto"/>
        <w:ind w:firstLine="480"/>
        <w:rPr>
          <w:rFonts w:cs="Times New Roman"/>
          <w:bCs/>
          <w:lang w:val="zh-CN"/>
        </w:rPr>
      </w:pPr>
      <w:r>
        <w:rPr>
          <w:rFonts w:cs="Times New Roman" w:hint="eastAsia"/>
          <w:bCs/>
          <w:lang w:val="zh-CN"/>
        </w:rPr>
        <w:fldChar w:fldCharType="begin"/>
      </w:r>
      <w:r>
        <w:rPr>
          <w:rFonts w:cs="Times New Roman" w:hint="eastAsia"/>
          <w:bCs/>
          <w:lang w:val="zh-CN"/>
        </w:rPr>
        <w:instrText xml:space="preserve"> = 3 \* GB3 \* MERGEFORMAT </w:instrText>
      </w:r>
      <w:r>
        <w:rPr>
          <w:rFonts w:cs="Times New Roman" w:hint="eastAsia"/>
          <w:bCs/>
          <w:lang w:val="zh-CN"/>
        </w:rPr>
        <w:fldChar w:fldCharType="separate"/>
      </w:r>
      <w:r>
        <w:t>③</w:t>
      </w:r>
      <w:r>
        <w:rPr>
          <w:rFonts w:cs="Times New Roman" w:hint="eastAsia"/>
          <w:bCs/>
          <w:lang w:val="zh-CN"/>
        </w:rPr>
        <w:fldChar w:fldCharType="end"/>
      </w:r>
      <w:r>
        <w:rPr>
          <w:rFonts w:cs="Times New Roman"/>
          <w:bCs/>
          <w:lang w:val="zh-CN"/>
        </w:rPr>
        <w:t>综合评价指数考核评分计算</w:t>
      </w:r>
    </w:p>
    <w:p w:rsidR="00C645C9" w:rsidRDefault="00F955D9">
      <w:pPr>
        <w:adjustRightInd w:val="0"/>
        <w:snapToGrid w:val="0"/>
        <w:spacing w:line="360" w:lineRule="auto"/>
        <w:ind w:firstLine="480"/>
        <w:rPr>
          <w:rFonts w:cs="Times New Roman"/>
          <w:bCs/>
          <w:lang w:val="zh-CN"/>
        </w:rPr>
      </w:pPr>
      <w:r>
        <w:rPr>
          <w:rFonts w:cs="Times New Roman"/>
          <w:bCs/>
          <w:lang w:val="zh-CN"/>
        </w:rPr>
        <w:t>综合评价指数计算公式为：</w:t>
      </w:r>
    </w:p>
    <w:p w:rsidR="00C645C9" w:rsidRDefault="00F955D9">
      <w:pPr>
        <w:adjustRightInd w:val="0"/>
        <w:snapToGrid w:val="0"/>
        <w:spacing w:line="360" w:lineRule="auto"/>
        <w:jc w:val="center"/>
        <w:rPr>
          <w:rFonts w:cs="Times New Roman"/>
          <w:bCs/>
          <w:lang w:val="zh-CN"/>
        </w:rPr>
      </w:pPr>
      <w:r>
        <w:rPr>
          <w:rFonts w:cs="Times New Roman"/>
          <w:bCs/>
          <w:lang w:val="zh-CN"/>
        </w:rPr>
        <w:t>P=0.6P</w:t>
      </w:r>
      <w:r>
        <w:rPr>
          <w:rFonts w:cs="Times New Roman"/>
          <w:bCs/>
          <w:vertAlign w:val="subscript"/>
          <w:lang w:val="zh-CN"/>
        </w:rPr>
        <w:t>1</w:t>
      </w:r>
      <w:r>
        <w:rPr>
          <w:rFonts w:cs="Times New Roman"/>
          <w:bCs/>
          <w:lang w:val="zh-CN"/>
        </w:rPr>
        <w:t>+0.4P</w:t>
      </w:r>
      <w:r>
        <w:rPr>
          <w:rFonts w:cs="Times New Roman"/>
          <w:bCs/>
          <w:vertAlign w:val="subscript"/>
          <w:lang w:val="zh-CN"/>
        </w:rPr>
        <w:t>2</w:t>
      </w:r>
    </w:p>
    <w:p w:rsidR="00C645C9" w:rsidRDefault="00F955D9">
      <w:pPr>
        <w:adjustRightInd w:val="0"/>
        <w:snapToGrid w:val="0"/>
        <w:spacing w:line="360" w:lineRule="auto"/>
        <w:ind w:firstLine="480"/>
        <w:rPr>
          <w:rFonts w:cs="Times New Roman"/>
          <w:bCs/>
          <w:lang w:val="zh-CN"/>
        </w:rPr>
      </w:pPr>
      <w:r>
        <w:rPr>
          <w:rFonts w:cs="Times New Roman"/>
          <w:bCs/>
          <w:lang w:val="zh-CN"/>
        </w:rPr>
        <w:t>式中：</w:t>
      </w:r>
      <w:r>
        <w:rPr>
          <w:rFonts w:cs="Times New Roman"/>
          <w:bCs/>
          <w:lang w:val="zh-CN"/>
        </w:rPr>
        <w:t>P——</w:t>
      </w:r>
      <w:r>
        <w:rPr>
          <w:rFonts w:cs="Times New Roman"/>
          <w:bCs/>
          <w:lang w:val="zh-CN"/>
        </w:rPr>
        <w:t>清洁生产综合评价指数；</w:t>
      </w:r>
    </w:p>
    <w:p w:rsidR="00C645C9" w:rsidRDefault="00F955D9">
      <w:pPr>
        <w:adjustRightInd w:val="0"/>
        <w:snapToGrid w:val="0"/>
        <w:spacing w:line="360" w:lineRule="auto"/>
        <w:ind w:firstLineChars="500" w:firstLine="1200"/>
        <w:rPr>
          <w:rFonts w:cs="Times New Roman"/>
          <w:bCs/>
          <w:lang w:val="zh-CN"/>
        </w:rPr>
      </w:pPr>
      <w:r>
        <w:rPr>
          <w:rFonts w:cs="Times New Roman"/>
          <w:bCs/>
          <w:lang w:val="zh-CN"/>
        </w:rPr>
        <w:lastRenderedPageBreak/>
        <w:t>P</w:t>
      </w:r>
      <w:r>
        <w:rPr>
          <w:rFonts w:cs="Times New Roman"/>
          <w:bCs/>
          <w:vertAlign w:val="subscript"/>
          <w:lang w:val="zh-CN"/>
        </w:rPr>
        <w:t>1</w:t>
      </w:r>
      <w:r>
        <w:rPr>
          <w:rFonts w:cs="Times New Roman"/>
          <w:bCs/>
          <w:lang w:val="zh-CN"/>
        </w:rPr>
        <w:t>——</w:t>
      </w:r>
      <w:r>
        <w:rPr>
          <w:rFonts w:cs="Times New Roman"/>
          <w:bCs/>
          <w:lang w:val="zh-CN"/>
        </w:rPr>
        <w:t>定量评价指标考核总分值；</w:t>
      </w:r>
    </w:p>
    <w:p w:rsidR="00C645C9" w:rsidRDefault="00F955D9">
      <w:pPr>
        <w:adjustRightInd w:val="0"/>
        <w:snapToGrid w:val="0"/>
        <w:spacing w:line="360" w:lineRule="auto"/>
        <w:ind w:firstLineChars="500" w:firstLine="1200"/>
        <w:rPr>
          <w:rFonts w:cs="Times New Roman"/>
          <w:bCs/>
          <w:lang w:val="zh-CN"/>
        </w:rPr>
      </w:pPr>
      <w:r>
        <w:rPr>
          <w:rFonts w:cs="Times New Roman"/>
          <w:bCs/>
          <w:lang w:val="zh-CN"/>
        </w:rPr>
        <w:t>P</w:t>
      </w:r>
      <w:r>
        <w:rPr>
          <w:rFonts w:cs="Times New Roman"/>
          <w:bCs/>
          <w:vertAlign w:val="subscript"/>
          <w:lang w:val="zh-CN"/>
        </w:rPr>
        <w:t>2</w:t>
      </w:r>
      <w:r>
        <w:rPr>
          <w:rFonts w:cs="Times New Roman"/>
          <w:bCs/>
          <w:lang w:val="zh-CN"/>
        </w:rPr>
        <w:t>——</w:t>
      </w:r>
      <w:r>
        <w:rPr>
          <w:rFonts w:cs="Times New Roman"/>
          <w:bCs/>
          <w:lang w:val="zh-CN"/>
        </w:rPr>
        <w:t>定性评价指标考核总分值。</w:t>
      </w:r>
    </w:p>
    <w:p w:rsidR="00C645C9" w:rsidRDefault="00F955D9">
      <w:pPr>
        <w:adjustRightInd w:val="0"/>
        <w:snapToGrid w:val="0"/>
        <w:spacing w:line="360" w:lineRule="auto"/>
        <w:ind w:firstLineChars="200" w:firstLine="480"/>
        <w:rPr>
          <w:rFonts w:cs="Times New Roman"/>
        </w:rPr>
      </w:pPr>
      <w:r>
        <w:rPr>
          <w:rFonts w:cs="Times New Roman"/>
        </w:rPr>
        <w:t>根据目前我国石油和天然气开采行业的实际情况，不同等级的清洁生产企业的综合评价指标见表</w:t>
      </w:r>
      <w:r>
        <w:rPr>
          <w:rFonts w:cs="Times New Roman" w:hint="eastAsia"/>
        </w:rPr>
        <w:t>3.</w:t>
      </w:r>
      <w:r>
        <w:rPr>
          <w:rFonts w:cs="Times New Roman" w:hint="eastAsia"/>
        </w:rPr>
        <w:t>3-22</w:t>
      </w:r>
      <w:r>
        <w:rPr>
          <w:rFonts w:cs="Times New Roman"/>
        </w:rPr>
        <w:t>。</w:t>
      </w:r>
    </w:p>
    <w:p w:rsidR="00C645C9" w:rsidRDefault="00F955D9">
      <w:pPr>
        <w:topLinePunct/>
        <w:autoSpaceDE w:val="0"/>
        <w:adjustRightInd w:val="0"/>
        <w:snapToGrid w:val="0"/>
        <w:ind w:firstLineChars="400" w:firstLine="840"/>
        <w:rPr>
          <w:rFonts w:eastAsia="黑体" w:cs="Times New Roman"/>
          <w:sz w:val="21"/>
          <w:szCs w:val="21"/>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3-22</w:t>
      </w:r>
      <w:r>
        <w:rPr>
          <w:rFonts w:eastAsia="黑体" w:cs="Times New Roman"/>
          <w:sz w:val="21"/>
          <w:szCs w:val="21"/>
        </w:rPr>
        <w:t xml:space="preserve">   </w:t>
      </w:r>
      <w:r>
        <w:rPr>
          <w:rFonts w:eastAsia="黑体" w:cs="Times New Roman"/>
          <w:sz w:val="21"/>
          <w:szCs w:val="21"/>
        </w:rPr>
        <w:t>石油和天然气开采行业不同等级</w:t>
      </w:r>
      <w:bookmarkStart w:id="1049" w:name="OLE_LINK427"/>
      <w:r>
        <w:rPr>
          <w:rFonts w:eastAsia="黑体" w:cs="Times New Roman"/>
          <w:sz w:val="21"/>
          <w:szCs w:val="21"/>
        </w:rPr>
        <w:t>清洁生产企业综合评价指数</w:t>
      </w:r>
      <w:bookmarkEnd w:id="1049"/>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1"/>
        <w:gridCol w:w="4232"/>
      </w:tblGrid>
      <w:tr w:rsidR="00C645C9">
        <w:trPr>
          <w:trHeight w:val="397"/>
          <w:jc w:val="center"/>
        </w:trPr>
        <w:tc>
          <w:tcPr>
            <w:tcW w:w="2500" w:type="pct"/>
            <w:tcBorders>
              <w:top w:val="single" w:sz="4" w:space="0" w:color="auto"/>
              <w:left w:val="single" w:sz="4" w:space="0" w:color="auto"/>
              <w:bottom w:val="single" w:sz="4" w:space="0" w:color="auto"/>
            </w:tcBorders>
            <w:vAlign w:val="center"/>
          </w:tcPr>
          <w:p w:rsidR="00C645C9" w:rsidRDefault="00F955D9">
            <w:pPr>
              <w:adjustRightInd w:val="0"/>
              <w:snapToGrid w:val="0"/>
              <w:jc w:val="center"/>
              <w:rPr>
                <w:rFonts w:cs="Times New Roman"/>
                <w:b/>
                <w:bCs/>
                <w:spacing w:val="-10"/>
                <w:sz w:val="21"/>
                <w:szCs w:val="21"/>
              </w:rPr>
            </w:pPr>
            <w:r>
              <w:rPr>
                <w:rFonts w:cs="Times New Roman"/>
                <w:b/>
                <w:bCs/>
                <w:spacing w:val="-10"/>
                <w:sz w:val="21"/>
                <w:szCs w:val="21"/>
              </w:rPr>
              <w:t>清洁生产企业等级</w:t>
            </w:r>
          </w:p>
        </w:tc>
        <w:tc>
          <w:tcPr>
            <w:tcW w:w="2500" w:type="pct"/>
            <w:tcBorders>
              <w:top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b/>
                <w:bCs/>
                <w:spacing w:val="-10"/>
                <w:sz w:val="21"/>
                <w:szCs w:val="21"/>
              </w:rPr>
            </w:pPr>
            <w:r>
              <w:rPr>
                <w:rFonts w:cs="Times New Roman"/>
                <w:b/>
                <w:bCs/>
                <w:spacing w:val="-10"/>
                <w:sz w:val="21"/>
                <w:szCs w:val="21"/>
              </w:rPr>
              <w:t>清洁生产综合评价指数</w:t>
            </w:r>
          </w:p>
        </w:tc>
      </w:tr>
      <w:tr w:rsidR="00C645C9">
        <w:trPr>
          <w:trHeight w:val="397"/>
          <w:jc w:val="center"/>
        </w:trPr>
        <w:tc>
          <w:tcPr>
            <w:tcW w:w="2500" w:type="pct"/>
            <w:tcBorders>
              <w:top w:val="single" w:sz="4" w:space="0" w:color="auto"/>
              <w:left w:val="single" w:sz="4" w:space="0" w:color="auto"/>
              <w:bottom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清洁生产先进企业</w:t>
            </w:r>
          </w:p>
        </w:tc>
        <w:tc>
          <w:tcPr>
            <w:tcW w:w="2500" w:type="pct"/>
            <w:tcBorders>
              <w:top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P</w:t>
            </w:r>
            <w:bookmarkStart w:id="1050" w:name="OLE_LINK432"/>
            <w:r>
              <w:rPr>
                <w:rFonts w:ascii="宋体" w:hAnsi="宋体" w:hint="eastAsia"/>
                <w:sz w:val="21"/>
                <w:szCs w:val="21"/>
              </w:rPr>
              <w:t>≥</w:t>
            </w:r>
            <w:bookmarkEnd w:id="1050"/>
            <w:r>
              <w:rPr>
                <w:rFonts w:cs="Times New Roman"/>
                <w:spacing w:val="-10"/>
                <w:sz w:val="21"/>
                <w:szCs w:val="21"/>
              </w:rPr>
              <w:t>90</w:t>
            </w:r>
          </w:p>
        </w:tc>
      </w:tr>
      <w:tr w:rsidR="00C645C9">
        <w:trPr>
          <w:trHeight w:val="397"/>
          <w:jc w:val="center"/>
        </w:trPr>
        <w:tc>
          <w:tcPr>
            <w:tcW w:w="2500" w:type="pct"/>
            <w:tcBorders>
              <w:top w:val="single" w:sz="4" w:space="0" w:color="auto"/>
              <w:left w:val="single" w:sz="4" w:space="0" w:color="auto"/>
              <w:bottom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清洁生产企业</w:t>
            </w:r>
          </w:p>
        </w:tc>
        <w:tc>
          <w:tcPr>
            <w:tcW w:w="2500" w:type="pct"/>
            <w:tcBorders>
              <w:top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75</w:t>
            </w:r>
            <w:bookmarkStart w:id="1051" w:name="OLE_LINK429"/>
            <w:r>
              <w:rPr>
                <w:rFonts w:ascii="宋体" w:hAnsi="宋体" w:hint="eastAsia"/>
                <w:sz w:val="21"/>
                <w:szCs w:val="21"/>
              </w:rPr>
              <w:t>≤</w:t>
            </w:r>
            <w:bookmarkEnd w:id="1051"/>
            <w:r>
              <w:rPr>
                <w:rFonts w:cs="Times New Roman"/>
                <w:spacing w:val="-10"/>
                <w:sz w:val="21"/>
                <w:szCs w:val="21"/>
              </w:rPr>
              <w:t>P</w:t>
            </w:r>
            <w:r>
              <w:rPr>
                <w:rFonts w:cs="Times New Roman" w:hint="eastAsia"/>
                <w:spacing w:val="-10"/>
                <w:sz w:val="21"/>
                <w:szCs w:val="21"/>
              </w:rPr>
              <w:t>&lt;</w:t>
            </w:r>
            <w:r>
              <w:rPr>
                <w:rFonts w:cs="Times New Roman"/>
                <w:spacing w:val="-10"/>
                <w:sz w:val="21"/>
                <w:szCs w:val="21"/>
              </w:rPr>
              <w:t>90</w:t>
            </w:r>
          </w:p>
        </w:tc>
      </w:tr>
    </w:tbl>
    <w:p w:rsidR="00C645C9" w:rsidRDefault="00F955D9">
      <w:pPr>
        <w:pStyle w:val="11"/>
        <w:adjustRightInd w:val="0"/>
        <w:snapToGrid w:val="0"/>
        <w:spacing w:line="360" w:lineRule="auto"/>
        <w:ind w:firstLineChars="200" w:firstLine="480"/>
        <w:rPr>
          <w:b w:val="0"/>
          <w:bCs/>
          <w:kern w:val="0"/>
          <w:sz w:val="24"/>
          <w:szCs w:val="24"/>
        </w:rPr>
      </w:pPr>
      <w:r>
        <w:rPr>
          <w:b w:val="0"/>
          <w:bCs/>
          <w:kern w:val="0"/>
          <w:sz w:val="24"/>
          <w:szCs w:val="24"/>
        </w:rPr>
        <w:t>由表</w:t>
      </w:r>
      <w:r>
        <w:rPr>
          <w:b w:val="0"/>
          <w:bCs/>
          <w:kern w:val="0"/>
          <w:sz w:val="24"/>
          <w:szCs w:val="24"/>
        </w:rPr>
        <w:t>3.</w:t>
      </w:r>
      <w:r>
        <w:rPr>
          <w:rFonts w:hint="eastAsia"/>
          <w:b w:val="0"/>
          <w:bCs/>
          <w:kern w:val="0"/>
          <w:sz w:val="24"/>
          <w:szCs w:val="24"/>
        </w:rPr>
        <w:t>3-19~21</w:t>
      </w:r>
      <w:r>
        <w:rPr>
          <w:b w:val="0"/>
          <w:bCs/>
          <w:kern w:val="0"/>
          <w:sz w:val="24"/>
          <w:szCs w:val="24"/>
        </w:rPr>
        <w:t>计算得出：</w:t>
      </w:r>
      <w:r>
        <w:rPr>
          <w:b w:val="0"/>
          <w:bCs/>
          <w:kern w:val="0"/>
          <w:sz w:val="24"/>
          <w:szCs w:val="24"/>
        </w:rPr>
        <w:t>本</w:t>
      </w:r>
      <w:r>
        <w:rPr>
          <w:rFonts w:hint="eastAsia"/>
          <w:b w:val="0"/>
          <w:bCs/>
          <w:kern w:val="0"/>
          <w:sz w:val="24"/>
          <w:szCs w:val="24"/>
        </w:rPr>
        <w:t>工程钻井作业</w:t>
      </w:r>
      <w:r>
        <w:rPr>
          <w:b w:val="0"/>
          <w:bCs/>
          <w:kern w:val="0"/>
          <w:sz w:val="24"/>
          <w:szCs w:val="24"/>
        </w:rPr>
        <w:t>定量指标</w:t>
      </w:r>
      <w:r>
        <w:rPr>
          <w:rFonts w:hint="eastAsia"/>
          <w:b w:val="0"/>
          <w:bCs/>
          <w:kern w:val="0"/>
          <w:sz w:val="24"/>
          <w:szCs w:val="24"/>
        </w:rPr>
        <w:t>85</w:t>
      </w:r>
      <w:r>
        <w:rPr>
          <w:b w:val="0"/>
          <w:bCs/>
          <w:kern w:val="0"/>
          <w:sz w:val="24"/>
          <w:szCs w:val="24"/>
        </w:rPr>
        <w:t>分，定性指标</w:t>
      </w:r>
      <w:r>
        <w:rPr>
          <w:rFonts w:hint="eastAsia"/>
          <w:b w:val="0"/>
          <w:bCs/>
          <w:kern w:val="0"/>
          <w:sz w:val="24"/>
          <w:szCs w:val="24"/>
        </w:rPr>
        <w:t>100</w:t>
      </w:r>
      <w:r>
        <w:rPr>
          <w:b w:val="0"/>
          <w:bCs/>
          <w:kern w:val="0"/>
          <w:sz w:val="24"/>
          <w:szCs w:val="24"/>
        </w:rPr>
        <w:t>分</w:t>
      </w:r>
      <w:r>
        <w:rPr>
          <w:rFonts w:hint="eastAsia"/>
          <w:b w:val="0"/>
          <w:bCs/>
          <w:kern w:val="0"/>
          <w:sz w:val="24"/>
          <w:szCs w:val="24"/>
        </w:rPr>
        <w:t>，综合评价</w:t>
      </w:r>
      <w:r>
        <w:rPr>
          <w:rFonts w:hint="eastAsia"/>
          <w:b w:val="0"/>
          <w:bCs/>
          <w:kern w:val="0"/>
          <w:sz w:val="24"/>
          <w:szCs w:val="24"/>
        </w:rPr>
        <w:t>9</w:t>
      </w:r>
      <w:r>
        <w:rPr>
          <w:rFonts w:hint="eastAsia"/>
          <w:b w:val="0"/>
          <w:bCs/>
          <w:kern w:val="0"/>
          <w:sz w:val="24"/>
          <w:szCs w:val="24"/>
        </w:rPr>
        <w:t>2.5</w:t>
      </w:r>
      <w:r>
        <w:rPr>
          <w:rFonts w:hint="eastAsia"/>
          <w:b w:val="0"/>
          <w:bCs/>
          <w:kern w:val="0"/>
          <w:sz w:val="24"/>
          <w:szCs w:val="24"/>
        </w:rPr>
        <w:t>分</w:t>
      </w:r>
      <w:r>
        <w:rPr>
          <w:rFonts w:hint="eastAsia"/>
          <w:b w:val="0"/>
          <w:bCs/>
          <w:kern w:val="0"/>
          <w:sz w:val="24"/>
          <w:szCs w:val="24"/>
        </w:rPr>
        <w:t>；</w:t>
      </w:r>
      <w:r>
        <w:rPr>
          <w:b w:val="0"/>
          <w:bCs/>
          <w:kern w:val="0"/>
          <w:sz w:val="24"/>
          <w:szCs w:val="24"/>
        </w:rPr>
        <w:t>井下作业</w:t>
      </w:r>
      <w:bookmarkStart w:id="1052" w:name="OLE_LINK839"/>
      <w:r>
        <w:rPr>
          <w:b w:val="0"/>
          <w:bCs/>
          <w:kern w:val="0"/>
          <w:sz w:val="24"/>
          <w:szCs w:val="24"/>
        </w:rPr>
        <w:t>定量指标</w:t>
      </w:r>
      <w:r>
        <w:rPr>
          <w:b w:val="0"/>
          <w:bCs/>
          <w:kern w:val="0"/>
          <w:sz w:val="24"/>
          <w:szCs w:val="24"/>
        </w:rPr>
        <w:t>100</w:t>
      </w:r>
      <w:r>
        <w:rPr>
          <w:b w:val="0"/>
          <w:bCs/>
          <w:kern w:val="0"/>
          <w:sz w:val="24"/>
          <w:szCs w:val="24"/>
        </w:rPr>
        <w:t>分，定性指标</w:t>
      </w:r>
      <w:r>
        <w:rPr>
          <w:b w:val="0"/>
          <w:bCs/>
          <w:kern w:val="0"/>
          <w:sz w:val="24"/>
          <w:szCs w:val="24"/>
        </w:rPr>
        <w:t>80</w:t>
      </w:r>
      <w:r>
        <w:rPr>
          <w:b w:val="0"/>
          <w:bCs/>
          <w:kern w:val="0"/>
          <w:sz w:val="24"/>
          <w:szCs w:val="24"/>
        </w:rPr>
        <w:t>分</w:t>
      </w:r>
      <w:r>
        <w:rPr>
          <w:rFonts w:hint="eastAsia"/>
          <w:b w:val="0"/>
          <w:bCs/>
          <w:kern w:val="0"/>
          <w:sz w:val="24"/>
          <w:szCs w:val="24"/>
        </w:rPr>
        <w:t>，综合评价</w:t>
      </w:r>
      <w:r>
        <w:rPr>
          <w:rFonts w:hint="eastAsia"/>
          <w:b w:val="0"/>
          <w:bCs/>
          <w:kern w:val="0"/>
          <w:sz w:val="24"/>
          <w:szCs w:val="24"/>
        </w:rPr>
        <w:t>92</w:t>
      </w:r>
      <w:r>
        <w:rPr>
          <w:rFonts w:hint="eastAsia"/>
          <w:b w:val="0"/>
          <w:bCs/>
          <w:kern w:val="0"/>
          <w:sz w:val="24"/>
          <w:szCs w:val="24"/>
        </w:rPr>
        <w:t>分</w:t>
      </w:r>
      <w:bookmarkEnd w:id="1052"/>
      <w:r>
        <w:rPr>
          <w:rFonts w:hint="eastAsia"/>
          <w:b w:val="0"/>
          <w:bCs/>
          <w:kern w:val="0"/>
          <w:sz w:val="24"/>
          <w:szCs w:val="24"/>
        </w:rPr>
        <w:t>；采</w:t>
      </w:r>
      <w:r>
        <w:rPr>
          <w:rFonts w:hint="eastAsia"/>
          <w:b w:val="0"/>
          <w:bCs/>
          <w:kern w:val="0"/>
          <w:sz w:val="24"/>
          <w:szCs w:val="24"/>
        </w:rPr>
        <w:t>气</w:t>
      </w:r>
      <w:r>
        <w:rPr>
          <w:rFonts w:hint="eastAsia"/>
          <w:b w:val="0"/>
          <w:bCs/>
          <w:kern w:val="0"/>
          <w:sz w:val="24"/>
          <w:szCs w:val="24"/>
        </w:rPr>
        <w:t>和</w:t>
      </w:r>
      <w:r>
        <w:rPr>
          <w:rFonts w:hint="eastAsia"/>
          <w:b w:val="0"/>
          <w:bCs/>
          <w:kern w:val="0"/>
          <w:sz w:val="24"/>
          <w:szCs w:val="24"/>
        </w:rPr>
        <w:t>拉运</w:t>
      </w:r>
      <w:r>
        <w:rPr>
          <w:rFonts w:hint="eastAsia"/>
          <w:b w:val="0"/>
          <w:bCs/>
          <w:kern w:val="0"/>
          <w:sz w:val="24"/>
          <w:szCs w:val="24"/>
        </w:rPr>
        <w:t>定量指标</w:t>
      </w:r>
      <w:r>
        <w:rPr>
          <w:rFonts w:hint="eastAsia"/>
          <w:b w:val="0"/>
          <w:bCs/>
          <w:kern w:val="0"/>
          <w:sz w:val="24"/>
          <w:szCs w:val="24"/>
        </w:rPr>
        <w:t>80</w:t>
      </w:r>
      <w:r>
        <w:rPr>
          <w:rFonts w:hint="eastAsia"/>
          <w:b w:val="0"/>
          <w:bCs/>
          <w:kern w:val="0"/>
          <w:sz w:val="24"/>
          <w:szCs w:val="24"/>
        </w:rPr>
        <w:t>分，定性指标</w:t>
      </w:r>
      <w:r>
        <w:rPr>
          <w:rFonts w:hint="eastAsia"/>
          <w:b w:val="0"/>
          <w:bCs/>
          <w:kern w:val="0"/>
          <w:sz w:val="24"/>
          <w:szCs w:val="24"/>
        </w:rPr>
        <w:t>80</w:t>
      </w:r>
      <w:r>
        <w:rPr>
          <w:rFonts w:hint="eastAsia"/>
          <w:b w:val="0"/>
          <w:bCs/>
          <w:kern w:val="0"/>
          <w:sz w:val="24"/>
          <w:szCs w:val="24"/>
        </w:rPr>
        <w:t>分，</w:t>
      </w:r>
      <w:bookmarkStart w:id="1053" w:name="OLE_LINK428"/>
      <w:r>
        <w:rPr>
          <w:rFonts w:hint="eastAsia"/>
          <w:b w:val="0"/>
          <w:bCs/>
          <w:kern w:val="0"/>
          <w:sz w:val="24"/>
          <w:szCs w:val="24"/>
        </w:rPr>
        <w:t>综合评价</w:t>
      </w:r>
      <w:r>
        <w:rPr>
          <w:rFonts w:hint="eastAsia"/>
          <w:b w:val="0"/>
          <w:bCs/>
          <w:kern w:val="0"/>
          <w:sz w:val="24"/>
          <w:szCs w:val="24"/>
        </w:rPr>
        <w:t>80</w:t>
      </w:r>
      <w:r>
        <w:rPr>
          <w:rFonts w:hint="eastAsia"/>
          <w:b w:val="0"/>
          <w:bCs/>
          <w:kern w:val="0"/>
          <w:sz w:val="24"/>
          <w:szCs w:val="24"/>
        </w:rPr>
        <w:t>分</w:t>
      </w:r>
      <w:bookmarkEnd w:id="1053"/>
      <w:r>
        <w:rPr>
          <w:rFonts w:hint="eastAsia"/>
          <w:b w:val="0"/>
          <w:bCs/>
          <w:kern w:val="0"/>
          <w:sz w:val="24"/>
          <w:szCs w:val="24"/>
        </w:rPr>
        <w:t>。</w:t>
      </w:r>
      <w:r>
        <w:rPr>
          <w:rFonts w:hint="eastAsia"/>
          <w:b w:val="0"/>
          <w:bCs/>
          <w:kern w:val="0"/>
          <w:sz w:val="24"/>
          <w:szCs w:val="24"/>
        </w:rPr>
        <w:t>本工程清洁生产企业综合评价指数</w:t>
      </w:r>
      <w:r>
        <w:rPr>
          <w:b w:val="0"/>
          <w:bCs/>
          <w:kern w:val="0"/>
          <w:sz w:val="24"/>
          <w:szCs w:val="24"/>
        </w:rPr>
        <w:t>介于</w:t>
      </w:r>
      <w:r>
        <w:rPr>
          <w:b w:val="0"/>
          <w:bCs/>
          <w:kern w:val="0"/>
          <w:sz w:val="24"/>
          <w:szCs w:val="24"/>
        </w:rPr>
        <w:t>75</w:t>
      </w:r>
      <w:r>
        <w:rPr>
          <w:rFonts w:ascii="宋体" w:hAnsi="宋体" w:hint="eastAsia"/>
          <w:sz w:val="24"/>
          <w:szCs w:val="24"/>
        </w:rPr>
        <w:t>≤</w:t>
      </w:r>
      <w:r>
        <w:rPr>
          <w:b w:val="0"/>
          <w:bCs/>
          <w:kern w:val="0"/>
          <w:sz w:val="24"/>
          <w:szCs w:val="24"/>
        </w:rPr>
        <w:t>P</w:t>
      </w:r>
      <w:r>
        <w:rPr>
          <w:b w:val="0"/>
          <w:bCs/>
          <w:kern w:val="0"/>
          <w:sz w:val="24"/>
          <w:szCs w:val="24"/>
        </w:rPr>
        <w:t>＜</w:t>
      </w:r>
      <w:r>
        <w:rPr>
          <w:b w:val="0"/>
          <w:bCs/>
          <w:kern w:val="0"/>
          <w:sz w:val="24"/>
          <w:szCs w:val="24"/>
        </w:rPr>
        <w:t>90</w:t>
      </w:r>
      <w:r>
        <w:rPr>
          <w:b w:val="0"/>
          <w:bCs/>
          <w:kern w:val="0"/>
          <w:sz w:val="24"/>
          <w:szCs w:val="24"/>
        </w:rPr>
        <w:t>之间，属于清洁生产企业。</w:t>
      </w:r>
    </w:p>
    <w:p w:rsidR="00C645C9" w:rsidRDefault="00C645C9">
      <w:pPr>
        <w:adjustRightInd w:val="0"/>
        <w:snapToGrid w:val="0"/>
        <w:spacing w:line="360" w:lineRule="auto"/>
        <w:rPr>
          <w:rFonts w:cs="Times New Roman"/>
          <w:bCs/>
          <w:lang w:val="zh-CN"/>
        </w:rPr>
        <w:sectPr w:rsidR="00C645C9">
          <w:pgSz w:w="11905" w:h="16838"/>
          <w:pgMar w:top="1389" w:right="1729" w:bottom="1202" w:left="1769" w:header="935" w:footer="1134" w:gutter="0"/>
          <w:cols w:space="0"/>
          <w:docGrid w:linePitch="312"/>
        </w:sectPr>
      </w:pPr>
    </w:p>
    <w:p w:rsidR="00C645C9" w:rsidRDefault="00F955D9">
      <w:pPr>
        <w:adjustRightInd w:val="0"/>
        <w:snapToGrid w:val="0"/>
        <w:jc w:val="center"/>
        <w:rPr>
          <w:rFonts w:eastAsia="黑体" w:cs="Times New Roman"/>
          <w:sz w:val="21"/>
          <w:szCs w:val="21"/>
        </w:rPr>
      </w:pPr>
      <w:r>
        <w:rPr>
          <w:rFonts w:eastAsia="黑体" w:cs="Times New Roman"/>
          <w:sz w:val="21"/>
          <w:szCs w:val="21"/>
        </w:rPr>
        <w:lastRenderedPageBreak/>
        <w:t>表</w:t>
      </w:r>
      <w:r>
        <w:rPr>
          <w:rFonts w:eastAsia="黑体" w:cs="Times New Roman"/>
          <w:sz w:val="21"/>
          <w:szCs w:val="21"/>
        </w:rPr>
        <w:t>3.</w:t>
      </w:r>
      <w:r>
        <w:rPr>
          <w:rFonts w:eastAsia="黑体" w:cs="Times New Roman" w:hint="eastAsia"/>
          <w:sz w:val="21"/>
          <w:szCs w:val="21"/>
        </w:rPr>
        <w:t>3-</w:t>
      </w:r>
      <w:r>
        <w:rPr>
          <w:rFonts w:eastAsia="黑体" w:cs="Times New Roman" w:hint="eastAsia"/>
          <w:sz w:val="21"/>
          <w:szCs w:val="21"/>
        </w:rPr>
        <w:t>19</w:t>
      </w:r>
      <w:r>
        <w:rPr>
          <w:rFonts w:eastAsia="黑体" w:cs="Times New Roman"/>
          <w:sz w:val="21"/>
          <w:szCs w:val="21"/>
        </w:rPr>
        <w:t xml:space="preserve">   </w:t>
      </w:r>
      <w:bookmarkStart w:id="1054" w:name="OLE_LINK838"/>
      <w:r>
        <w:rPr>
          <w:rFonts w:eastAsia="黑体" w:cs="Times New Roman"/>
          <w:sz w:val="21"/>
          <w:szCs w:val="21"/>
        </w:rPr>
        <w:t>钻井作业</w:t>
      </w:r>
      <w:bookmarkEnd w:id="1054"/>
      <w:r>
        <w:rPr>
          <w:rFonts w:eastAsia="黑体" w:cs="Times New Roman"/>
          <w:sz w:val="21"/>
          <w:szCs w:val="21"/>
        </w:rPr>
        <w:t>定量和定性评价指标项目、权重及基准值</w:t>
      </w:r>
    </w:p>
    <w:tbl>
      <w:tblPr>
        <w:tblW w:w="5046"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20"/>
        <w:gridCol w:w="1097"/>
        <w:gridCol w:w="1498"/>
        <w:gridCol w:w="1654"/>
        <w:gridCol w:w="2229"/>
        <w:gridCol w:w="1270"/>
        <w:gridCol w:w="1244"/>
        <w:gridCol w:w="1247"/>
        <w:gridCol w:w="976"/>
      </w:tblGrid>
      <w:tr w:rsidR="00C645C9">
        <w:trPr>
          <w:trHeight w:val="369"/>
          <w:jc w:val="center"/>
        </w:trPr>
        <w:tc>
          <w:tcPr>
            <w:tcW w:w="5000" w:type="pct"/>
            <w:gridSpan w:val="9"/>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b/>
                <w:bCs/>
                <w:spacing w:val="-10"/>
                <w:sz w:val="21"/>
                <w:szCs w:val="21"/>
              </w:rPr>
            </w:pPr>
            <w:bookmarkStart w:id="1055" w:name="OLE_LINK830"/>
            <w:r>
              <w:rPr>
                <w:rFonts w:cs="Times New Roman"/>
                <w:b/>
                <w:bCs/>
                <w:spacing w:val="-10"/>
                <w:sz w:val="21"/>
                <w:szCs w:val="21"/>
              </w:rPr>
              <w:t>定量指标</w:t>
            </w:r>
          </w:p>
        </w:tc>
      </w:tr>
      <w:tr w:rsidR="00C645C9">
        <w:trPr>
          <w:trHeight w:val="369"/>
          <w:jc w:val="center"/>
        </w:trPr>
        <w:tc>
          <w:tcPr>
            <w:tcW w:w="1115" w:type="pc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一级指标</w:t>
            </w:r>
          </w:p>
        </w:tc>
        <w:tc>
          <w:tcPr>
            <w:tcW w:w="38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权重值</w:t>
            </w: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二级指标</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单位</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权重分值</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评价基准值</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估算值</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得分</w:t>
            </w:r>
          </w:p>
        </w:tc>
      </w:tr>
      <w:tr w:rsidR="00C645C9">
        <w:trPr>
          <w:trHeight w:val="436"/>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bookmarkStart w:id="1056" w:name="OLE_LINK840" w:colFirst="7" w:colLast="7"/>
            <w:r>
              <w:rPr>
                <w:rFonts w:cs="Times New Roman"/>
                <w:spacing w:val="-10"/>
                <w:sz w:val="21"/>
                <w:szCs w:val="21"/>
              </w:rPr>
              <w:t>（</w:t>
            </w:r>
            <w:r>
              <w:rPr>
                <w:rFonts w:cs="Times New Roman"/>
                <w:spacing w:val="-10"/>
                <w:sz w:val="21"/>
                <w:szCs w:val="21"/>
              </w:rPr>
              <w:t>1</w:t>
            </w:r>
            <w:r>
              <w:rPr>
                <w:rFonts w:cs="Times New Roman"/>
                <w:spacing w:val="-10"/>
                <w:sz w:val="21"/>
                <w:szCs w:val="21"/>
              </w:rPr>
              <w:t>）</w:t>
            </w:r>
            <w:r>
              <w:rPr>
                <w:rFonts w:cs="Times New Roman"/>
                <w:spacing w:val="-10"/>
                <w:sz w:val="21"/>
                <w:szCs w:val="21"/>
              </w:rPr>
              <w:t>资源和能源消耗指标</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30</w:t>
            </w: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占地面积</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hm</w:t>
            </w:r>
            <w:r>
              <w:rPr>
                <w:rFonts w:cs="Times New Roman"/>
                <w:spacing w:val="-10"/>
                <w:sz w:val="21"/>
                <w:szCs w:val="21"/>
                <w:vertAlign w:val="superscript"/>
              </w:rPr>
              <w:t>2</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符合行业标准要求</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6.54</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w:t>
            </w:r>
          </w:p>
        </w:tc>
      </w:tr>
      <w:tr w:rsidR="00C645C9">
        <w:trPr>
          <w:trHeight w:val="30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新鲜水消耗</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t/100m</w:t>
            </w:r>
            <w:r>
              <w:rPr>
                <w:rFonts w:cs="Times New Roman"/>
                <w:spacing w:val="-10"/>
                <w:sz w:val="21"/>
                <w:szCs w:val="21"/>
              </w:rPr>
              <w:t>标准进尺</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≤25</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453"/>
          <w:jc w:val="center"/>
        </w:trPr>
        <w:tc>
          <w:tcPr>
            <w:tcW w:w="1115" w:type="pc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2</w:t>
            </w:r>
            <w:r>
              <w:rPr>
                <w:rFonts w:cs="Times New Roman"/>
                <w:spacing w:val="-10"/>
                <w:sz w:val="21"/>
                <w:szCs w:val="21"/>
              </w:rPr>
              <w:t>）</w:t>
            </w:r>
            <w:r>
              <w:rPr>
                <w:rFonts w:cs="Times New Roman"/>
                <w:spacing w:val="-10"/>
                <w:sz w:val="21"/>
                <w:szCs w:val="21"/>
              </w:rPr>
              <w:t>生产技术特征指标</w:t>
            </w:r>
          </w:p>
        </w:tc>
        <w:tc>
          <w:tcPr>
            <w:tcW w:w="38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固井质量合格率</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≥95</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453"/>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3</w:t>
            </w:r>
            <w:r>
              <w:rPr>
                <w:rFonts w:cs="Times New Roman"/>
                <w:spacing w:val="-10"/>
                <w:sz w:val="21"/>
                <w:szCs w:val="21"/>
              </w:rPr>
              <w:t>）</w:t>
            </w:r>
            <w:r>
              <w:rPr>
                <w:rFonts w:cs="Times New Roman"/>
                <w:spacing w:val="-10"/>
                <w:sz w:val="21"/>
                <w:szCs w:val="21"/>
              </w:rPr>
              <w:t>资源综合利用指标</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30</w:t>
            </w:r>
          </w:p>
        </w:tc>
        <w:tc>
          <w:tcPr>
            <w:tcW w:w="1092" w:type="pct"/>
            <w:gridSpan w:val="2"/>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钻井液循环率</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井深</w:t>
            </w:r>
            <w:r>
              <w:rPr>
                <w:rFonts w:cs="Times New Roman"/>
                <w:spacing w:val="-10"/>
                <w:sz w:val="21"/>
                <w:szCs w:val="21"/>
              </w:rPr>
              <w:t>2000m</w:t>
            </w:r>
            <w:r>
              <w:rPr>
                <w:rFonts w:cs="Times New Roman"/>
                <w:spacing w:val="-10"/>
                <w:sz w:val="21"/>
                <w:szCs w:val="21"/>
              </w:rPr>
              <w:t>以下</w:t>
            </w:r>
          </w:p>
        </w:tc>
        <w:tc>
          <w:tcPr>
            <w:tcW w:w="44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≥40</w:t>
            </w:r>
            <w:r>
              <w:rPr>
                <w:rFonts w:cs="Times New Roman" w:hint="eastAsia"/>
                <w:spacing w:val="-10"/>
                <w:sz w:val="21"/>
                <w:szCs w:val="21"/>
              </w:rPr>
              <w:t>%</w:t>
            </w:r>
          </w:p>
        </w:tc>
        <w:tc>
          <w:tcPr>
            <w:tcW w:w="432" w:type="pct"/>
            <w:vAlign w:val="center"/>
          </w:tcPr>
          <w:p w:rsidR="00C645C9" w:rsidRDefault="00C645C9">
            <w:pPr>
              <w:adjustRightInd w:val="0"/>
              <w:snapToGrid w:val="0"/>
              <w:jc w:val="center"/>
              <w:rPr>
                <w:rFonts w:cs="Times New Roman"/>
                <w:spacing w:val="-10"/>
                <w:sz w:val="21"/>
                <w:szCs w:val="21"/>
              </w:rPr>
            </w:pPr>
          </w:p>
        </w:tc>
        <w:tc>
          <w:tcPr>
            <w:tcW w:w="334" w:type="pct"/>
            <w:tcBorders>
              <w:right w:val="single" w:sz="4" w:space="0" w:color="auto"/>
            </w:tcBorders>
            <w:vAlign w:val="center"/>
          </w:tcPr>
          <w:p w:rsidR="00C645C9" w:rsidRDefault="00C645C9">
            <w:pPr>
              <w:adjustRightInd w:val="0"/>
              <w:snapToGrid w:val="0"/>
              <w:jc w:val="center"/>
              <w:rPr>
                <w:rFonts w:cs="Times New Roman"/>
                <w:spacing w:val="-10"/>
                <w:sz w:val="21"/>
                <w:szCs w:val="21"/>
              </w:rPr>
            </w:pPr>
          </w:p>
        </w:tc>
      </w:tr>
      <w:tr w:rsidR="00C645C9">
        <w:trPr>
          <w:trHeight w:val="453"/>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Merge/>
            <w:vAlign w:val="center"/>
          </w:tcPr>
          <w:p w:rsidR="00C645C9" w:rsidRDefault="00C645C9">
            <w:pPr>
              <w:adjustRightInd w:val="0"/>
              <w:snapToGrid w:val="0"/>
              <w:jc w:val="center"/>
              <w:rPr>
                <w:rFonts w:cs="Times New Roman"/>
                <w:spacing w:val="-10"/>
                <w:sz w:val="21"/>
                <w:szCs w:val="21"/>
              </w:rPr>
            </w:pP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井深</w:t>
            </w:r>
            <w:r>
              <w:rPr>
                <w:rFonts w:cs="Times New Roman"/>
                <w:spacing w:val="-10"/>
                <w:sz w:val="21"/>
                <w:szCs w:val="21"/>
              </w:rPr>
              <w:t>2000</w:t>
            </w:r>
            <w:r>
              <w:rPr>
                <w:rFonts w:cs="Times New Roman" w:hint="eastAsia"/>
                <w:spacing w:val="-10"/>
                <w:sz w:val="21"/>
                <w:szCs w:val="21"/>
              </w:rPr>
              <w:t>-</w:t>
            </w:r>
            <w:r>
              <w:rPr>
                <w:rFonts w:cs="Times New Roman"/>
                <w:spacing w:val="-10"/>
                <w:sz w:val="21"/>
                <w:szCs w:val="21"/>
              </w:rPr>
              <w:t>3000m</w:t>
            </w:r>
          </w:p>
        </w:tc>
        <w:tc>
          <w:tcPr>
            <w:tcW w:w="440" w:type="pct"/>
            <w:vMerge/>
            <w:vAlign w:val="center"/>
          </w:tcPr>
          <w:p w:rsidR="00C645C9" w:rsidRDefault="00C645C9">
            <w:pPr>
              <w:adjustRightInd w:val="0"/>
              <w:snapToGrid w:val="0"/>
              <w:jc w:val="center"/>
              <w:rPr>
                <w:rFonts w:cs="Times New Roman"/>
                <w:spacing w:val="-10"/>
                <w:sz w:val="21"/>
                <w:szCs w:val="21"/>
              </w:rPr>
            </w:pP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≥50</w:t>
            </w:r>
            <w:r>
              <w:rPr>
                <w:rFonts w:cs="Times New Roman" w:hint="eastAsia"/>
                <w:spacing w:val="-10"/>
                <w:sz w:val="21"/>
                <w:szCs w:val="21"/>
              </w:rPr>
              <w:t>%</w:t>
            </w:r>
          </w:p>
        </w:tc>
        <w:tc>
          <w:tcPr>
            <w:tcW w:w="432" w:type="pct"/>
            <w:vAlign w:val="center"/>
          </w:tcPr>
          <w:p w:rsidR="00C645C9" w:rsidRDefault="00C645C9">
            <w:pPr>
              <w:adjustRightInd w:val="0"/>
              <w:snapToGrid w:val="0"/>
              <w:jc w:val="center"/>
              <w:rPr>
                <w:rFonts w:cs="Times New Roman"/>
                <w:spacing w:val="-10"/>
                <w:sz w:val="21"/>
                <w:szCs w:val="21"/>
              </w:rPr>
            </w:pPr>
          </w:p>
        </w:tc>
        <w:tc>
          <w:tcPr>
            <w:tcW w:w="334" w:type="pct"/>
            <w:tcBorders>
              <w:right w:val="single" w:sz="4" w:space="0" w:color="auto"/>
            </w:tcBorders>
            <w:vAlign w:val="center"/>
          </w:tcPr>
          <w:p w:rsidR="00C645C9" w:rsidRDefault="00C645C9">
            <w:pPr>
              <w:adjustRightInd w:val="0"/>
              <w:snapToGrid w:val="0"/>
              <w:jc w:val="center"/>
              <w:rPr>
                <w:rFonts w:cs="Times New Roman"/>
                <w:spacing w:val="-10"/>
                <w:sz w:val="21"/>
                <w:szCs w:val="21"/>
              </w:rPr>
            </w:pPr>
          </w:p>
        </w:tc>
      </w:tr>
      <w:tr w:rsidR="00C645C9">
        <w:trPr>
          <w:trHeight w:val="453"/>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Merge/>
            <w:vAlign w:val="center"/>
          </w:tcPr>
          <w:p w:rsidR="00C645C9" w:rsidRDefault="00C645C9">
            <w:pPr>
              <w:adjustRightInd w:val="0"/>
              <w:snapToGrid w:val="0"/>
              <w:jc w:val="center"/>
              <w:rPr>
                <w:rFonts w:cs="Times New Roman"/>
                <w:spacing w:val="-10"/>
                <w:sz w:val="21"/>
                <w:szCs w:val="21"/>
              </w:rPr>
            </w:pP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井深</w:t>
            </w:r>
            <w:r>
              <w:rPr>
                <w:rFonts w:cs="Times New Roman"/>
                <w:spacing w:val="-10"/>
                <w:sz w:val="21"/>
                <w:szCs w:val="21"/>
              </w:rPr>
              <w:t>3000</w:t>
            </w:r>
            <w:r>
              <w:rPr>
                <w:rFonts w:cs="Times New Roman"/>
                <w:spacing w:val="-10"/>
                <w:sz w:val="21"/>
                <w:szCs w:val="21"/>
              </w:rPr>
              <w:t>以上</w:t>
            </w:r>
          </w:p>
        </w:tc>
        <w:tc>
          <w:tcPr>
            <w:tcW w:w="440" w:type="pct"/>
            <w:vMerge/>
            <w:vAlign w:val="center"/>
          </w:tcPr>
          <w:p w:rsidR="00C645C9" w:rsidRDefault="00C645C9">
            <w:pPr>
              <w:adjustRightInd w:val="0"/>
              <w:snapToGrid w:val="0"/>
              <w:jc w:val="center"/>
              <w:rPr>
                <w:rFonts w:cs="Times New Roman"/>
                <w:spacing w:val="-10"/>
                <w:sz w:val="21"/>
                <w:szCs w:val="21"/>
              </w:rPr>
            </w:pP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≥60</w:t>
            </w:r>
            <w:r>
              <w:rPr>
                <w:rFonts w:cs="Times New Roman" w:hint="eastAsia"/>
                <w:spacing w:val="-10"/>
                <w:sz w:val="21"/>
                <w:szCs w:val="21"/>
              </w:rPr>
              <w:t>%</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95%</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1578"/>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柴油机效率</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≥80</w:t>
            </w:r>
            <w:r>
              <w:rPr>
                <w:rFonts w:cs="Times New Roman" w:hint="eastAsia"/>
                <w:spacing w:val="-10"/>
                <w:sz w:val="21"/>
                <w:szCs w:val="21"/>
              </w:rPr>
              <w:t>%</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r>
              <w:rPr>
                <w:rFonts w:cs="Times New Roman"/>
                <w:spacing w:val="-10"/>
                <w:sz w:val="21"/>
                <w:szCs w:val="21"/>
              </w:rPr>
              <w:t>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25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污油回收率</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≥90</w:t>
            </w:r>
            <w:r>
              <w:rPr>
                <w:rFonts w:cs="Times New Roman" w:hint="eastAsia"/>
                <w:spacing w:val="-10"/>
                <w:sz w:val="21"/>
                <w:szCs w:val="21"/>
              </w:rPr>
              <w:t>%</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369"/>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4</w:t>
            </w:r>
            <w:r>
              <w:rPr>
                <w:rFonts w:cs="Times New Roman"/>
                <w:spacing w:val="-10"/>
                <w:sz w:val="21"/>
                <w:szCs w:val="21"/>
              </w:rPr>
              <w:t>）</w:t>
            </w:r>
            <w:r>
              <w:rPr>
                <w:rFonts w:cs="Times New Roman"/>
                <w:spacing w:val="-10"/>
                <w:sz w:val="21"/>
                <w:szCs w:val="21"/>
              </w:rPr>
              <w:t>污染物指标</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35</w:t>
            </w: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钻井废水产生量</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t/100m</w:t>
            </w:r>
            <w:r>
              <w:rPr>
                <w:rFonts w:cs="Times New Roman"/>
                <w:spacing w:val="-10"/>
                <w:sz w:val="21"/>
                <w:szCs w:val="21"/>
              </w:rPr>
              <w:t>标准进尺</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甲类区：</w:t>
            </w:r>
            <w:r>
              <w:rPr>
                <w:rFonts w:cs="Times New Roman"/>
                <w:spacing w:val="-10"/>
                <w:sz w:val="21"/>
                <w:szCs w:val="21"/>
              </w:rPr>
              <w:t>≤30</w:t>
            </w:r>
            <w:r>
              <w:rPr>
                <w:rFonts w:cs="Times New Roman"/>
                <w:spacing w:val="-10"/>
                <w:sz w:val="21"/>
                <w:szCs w:val="21"/>
              </w:rPr>
              <w:t>；</w:t>
            </w:r>
          </w:p>
          <w:p w:rsidR="00C645C9" w:rsidRDefault="00F955D9">
            <w:pPr>
              <w:adjustRightInd w:val="0"/>
              <w:snapToGrid w:val="0"/>
              <w:jc w:val="center"/>
              <w:rPr>
                <w:rFonts w:cs="Times New Roman"/>
                <w:spacing w:val="-10"/>
                <w:sz w:val="21"/>
                <w:szCs w:val="21"/>
              </w:rPr>
            </w:pPr>
            <w:r>
              <w:rPr>
                <w:rFonts w:cs="Times New Roman"/>
                <w:spacing w:val="-10"/>
                <w:sz w:val="21"/>
                <w:szCs w:val="21"/>
              </w:rPr>
              <w:t>乙类区：</w:t>
            </w:r>
            <w:r>
              <w:rPr>
                <w:rFonts w:cs="Times New Roman"/>
                <w:spacing w:val="-10"/>
                <w:sz w:val="21"/>
                <w:szCs w:val="21"/>
              </w:rPr>
              <w:t>≤35</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36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废弃钻井液产生量</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m</w:t>
            </w:r>
            <w:r>
              <w:rPr>
                <w:rFonts w:cs="Times New Roman"/>
                <w:spacing w:val="-10"/>
                <w:sz w:val="21"/>
                <w:szCs w:val="21"/>
                <w:vertAlign w:val="superscript"/>
              </w:rPr>
              <w:t>3</w:t>
            </w:r>
            <w:r>
              <w:rPr>
                <w:rFonts w:cs="Times New Roman"/>
                <w:spacing w:val="-10"/>
                <w:sz w:val="21"/>
                <w:szCs w:val="21"/>
              </w:rPr>
              <w:t>/100m</w:t>
            </w:r>
            <w:r>
              <w:rPr>
                <w:rFonts w:cs="Times New Roman"/>
                <w:spacing w:val="-10"/>
                <w:sz w:val="21"/>
                <w:szCs w:val="21"/>
              </w:rPr>
              <w:t>标准进尺</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w:t>
            </w:r>
            <w:r>
              <w:rPr>
                <w:rFonts w:cs="Times New Roman"/>
                <w:spacing w:val="-10"/>
                <w:sz w:val="21"/>
                <w:szCs w:val="21"/>
              </w:rPr>
              <w:t>5</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6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石油类</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mg/L</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6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COD</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mg/L</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甲类区：</w:t>
            </w:r>
            <w:r>
              <w:rPr>
                <w:rFonts w:cs="Times New Roman"/>
                <w:spacing w:val="-10"/>
                <w:sz w:val="21"/>
                <w:szCs w:val="21"/>
              </w:rPr>
              <w:t>≤100</w:t>
            </w:r>
            <w:r>
              <w:rPr>
                <w:rFonts w:cs="Times New Roman"/>
                <w:spacing w:val="-10"/>
                <w:sz w:val="21"/>
                <w:szCs w:val="21"/>
              </w:rPr>
              <w:t>；</w:t>
            </w:r>
          </w:p>
          <w:p w:rsidR="00C645C9" w:rsidRDefault="00F955D9">
            <w:pPr>
              <w:adjustRightInd w:val="0"/>
              <w:snapToGrid w:val="0"/>
              <w:jc w:val="center"/>
              <w:rPr>
                <w:rFonts w:cs="Times New Roman"/>
                <w:spacing w:val="-10"/>
                <w:sz w:val="21"/>
                <w:szCs w:val="21"/>
              </w:rPr>
            </w:pPr>
            <w:r>
              <w:rPr>
                <w:rFonts w:cs="Times New Roman"/>
                <w:spacing w:val="-10"/>
                <w:sz w:val="21"/>
                <w:szCs w:val="21"/>
              </w:rPr>
              <w:t>乙类区：</w:t>
            </w:r>
            <w:r>
              <w:rPr>
                <w:rFonts w:cs="Times New Roman"/>
                <w:spacing w:val="-10"/>
                <w:sz w:val="21"/>
                <w:szCs w:val="21"/>
              </w:rPr>
              <w:t>≤150</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≤150</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69"/>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092"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柴油机烟气排放</w:t>
            </w:r>
          </w:p>
          <w:p w:rsidR="00C645C9" w:rsidRDefault="00F955D9">
            <w:pPr>
              <w:adjustRightInd w:val="0"/>
              <w:snapToGrid w:val="0"/>
              <w:jc w:val="center"/>
              <w:rPr>
                <w:rFonts w:cs="Times New Roman"/>
                <w:spacing w:val="-10"/>
                <w:sz w:val="21"/>
                <w:szCs w:val="21"/>
              </w:rPr>
            </w:pPr>
            <w:r>
              <w:rPr>
                <w:rFonts w:cs="Times New Roman"/>
                <w:spacing w:val="-10"/>
                <w:sz w:val="21"/>
                <w:szCs w:val="21"/>
              </w:rPr>
              <w:t>浓度</w:t>
            </w:r>
          </w:p>
        </w:tc>
        <w:tc>
          <w:tcPr>
            <w:tcW w:w="77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44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43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符合排放标准要求</w:t>
            </w:r>
          </w:p>
        </w:tc>
        <w:tc>
          <w:tcPr>
            <w:tcW w:w="43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符合</w:t>
            </w:r>
          </w:p>
        </w:tc>
        <w:tc>
          <w:tcPr>
            <w:tcW w:w="334" w:type="pct"/>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bookmarkEnd w:id="1056"/>
      <w:tr w:rsidR="00C645C9">
        <w:trPr>
          <w:trHeight w:val="199"/>
          <w:jc w:val="center"/>
        </w:trPr>
        <w:tc>
          <w:tcPr>
            <w:tcW w:w="5000" w:type="pct"/>
            <w:gridSpan w:val="9"/>
            <w:tcBorders>
              <w:left w:val="single" w:sz="4" w:space="0" w:color="auto"/>
              <w:right w:val="single" w:sz="4" w:space="0" w:color="auto"/>
            </w:tcBorders>
            <w:vAlign w:val="center"/>
          </w:tcPr>
          <w:p w:rsidR="00C645C9" w:rsidRDefault="00F955D9">
            <w:pPr>
              <w:adjustRightInd w:val="0"/>
              <w:snapToGrid w:val="0"/>
              <w:jc w:val="center"/>
              <w:rPr>
                <w:rFonts w:cs="Times New Roman"/>
                <w:b/>
                <w:bCs/>
                <w:spacing w:val="-10"/>
                <w:sz w:val="21"/>
                <w:szCs w:val="21"/>
              </w:rPr>
            </w:pPr>
            <w:r>
              <w:rPr>
                <w:rFonts w:cs="Times New Roman"/>
                <w:b/>
                <w:bCs/>
                <w:spacing w:val="-10"/>
                <w:sz w:val="21"/>
                <w:szCs w:val="21"/>
              </w:rPr>
              <w:t>定性指标</w:t>
            </w:r>
          </w:p>
        </w:tc>
      </w:tr>
      <w:tr w:rsidR="00C645C9">
        <w:trPr>
          <w:trHeight w:val="215"/>
          <w:jc w:val="center"/>
        </w:trPr>
        <w:tc>
          <w:tcPr>
            <w:tcW w:w="1115" w:type="pc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lastRenderedPageBreak/>
              <w:t>一级指标</w:t>
            </w:r>
          </w:p>
        </w:tc>
        <w:tc>
          <w:tcPr>
            <w:tcW w:w="38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权重值</w:t>
            </w: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二级指标</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指标分值</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本</w:t>
            </w:r>
            <w:r>
              <w:rPr>
                <w:rFonts w:cs="Times New Roman" w:hint="eastAsia"/>
                <w:spacing w:val="-10"/>
                <w:sz w:val="21"/>
                <w:szCs w:val="21"/>
              </w:rPr>
              <w:t>工程</w:t>
            </w:r>
          </w:p>
        </w:tc>
      </w:tr>
      <w:tr w:rsidR="00C645C9">
        <w:trPr>
          <w:trHeight w:val="370"/>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bookmarkStart w:id="1057" w:name="OLE_LINK841" w:colFirst="5" w:colLast="5"/>
            <w:r>
              <w:rPr>
                <w:rFonts w:cs="Times New Roman"/>
                <w:spacing w:val="-10"/>
                <w:sz w:val="21"/>
                <w:szCs w:val="21"/>
              </w:rPr>
              <w:t>（</w:t>
            </w:r>
            <w:r>
              <w:rPr>
                <w:rFonts w:cs="Times New Roman"/>
                <w:spacing w:val="-10"/>
                <w:sz w:val="21"/>
                <w:szCs w:val="21"/>
              </w:rPr>
              <w:t>1</w:t>
            </w:r>
            <w:r>
              <w:rPr>
                <w:rFonts w:cs="Times New Roman"/>
                <w:spacing w:val="-10"/>
                <w:sz w:val="21"/>
                <w:szCs w:val="21"/>
              </w:rPr>
              <w:t>）</w:t>
            </w:r>
            <w:r>
              <w:rPr>
                <w:rFonts w:cs="Times New Roman"/>
                <w:spacing w:val="-10"/>
                <w:sz w:val="21"/>
                <w:szCs w:val="21"/>
              </w:rPr>
              <w:t>资源和能源消耗</w:t>
            </w:r>
          </w:p>
          <w:p w:rsidR="00C645C9" w:rsidRDefault="00F955D9">
            <w:pPr>
              <w:adjustRightInd w:val="0"/>
              <w:snapToGrid w:val="0"/>
              <w:jc w:val="center"/>
              <w:rPr>
                <w:rFonts w:cs="Times New Roman"/>
                <w:spacing w:val="-10"/>
                <w:sz w:val="21"/>
                <w:szCs w:val="21"/>
              </w:rPr>
            </w:pPr>
            <w:r>
              <w:rPr>
                <w:rFonts w:cs="Times New Roman"/>
                <w:spacing w:val="-10"/>
                <w:sz w:val="21"/>
                <w:szCs w:val="21"/>
              </w:rPr>
              <w:t>指标</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15</w:t>
            </w: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钻井液毒性</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可生物降解或无毒钻井液</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370"/>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柴油消耗</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具有节油措施</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425"/>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2</w:t>
            </w:r>
            <w:r>
              <w:rPr>
                <w:rFonts w:cs="Times New Roman"/>
                <w:spacing w:val="-10"/>
                <w:sz w:val="21"/>
                <w:szCs w:val="21"/>
              </w:rPr>
              <w:t>）</w:t>
            </w:r>
            <w:r>
              <w:rPr>
                <w:rFonts w:cs="Times New Roman"/>
                <w:spacing w:val="-10"/>
                <w:sz w:val="21"/>
                <w:szCs w:val="21"/>
              </w:rPr>
              <w:t>生产技术特征指标</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30</w:t>
            </w: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钻井设备</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国内领先</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425"/>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压力平衡技术</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具备欠平衡技术</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9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钻井液收集设施</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配有收集设施，且使钻井液不落地</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74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固控设备</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配备振动筛、除气器、除泥器、除砂器、离心机等固控设备</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74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井控措施</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具备</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74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51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有无防噪措施</w:t>
            </w:r>
          </w:p>
        </w:tc>
        <w:tc>
          <w:tcPr>
            <w:tcW w:w="1344"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有</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97"/>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3</w:t>
            </w:r>
            <w:r>
              <w:rPr>
                <w:rFonts w:cs="Times New Roman"/>
                <w:spacing w:val="-10"/>
                <w:sz w:val="21"/>
                <w:szCs w:val="21"/>
              </w:rPr>
              <w:t>）</w:t>
            </w:r>
            <w:r>
              <w:rPr>
                <w:rFonts w:cs="Times New Roman"/>
                <w:spacing w:val="-10"/>
                <w:sz w:val="21"/>
                <w:szCs w:val="21"/>
              </w:rPr>
              <w:t>管理体系建设及清洁生产审核</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35</w:t>
            </w: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建立</w:t>
            </w:r>
            <w:r>
              <w:rPr>
                <w:rFonts w:cs="Times New Roman"/>
                <w:spacing w:val="-10"/>
                <w:sz w:val="21"/>
                <w:szCs w:val="21"/>
              </w:rPr>
              <w:t>HSE</w:t>
            </w:r>
            <w:r>
              <w:rPr>
                <w:rFonts w:cs="Times New Roman"/>
                <w:spacing w:val="-10"/>
                <w:sz w:val="21"/>
                <w:szCs w:val="21"/>
              </w:rPr>
              <w:t>管理体系</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39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开展清洁生产审核，并通过验收</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w:t>
            </w:r>
          </w:p>
        </w:tc>
      </w:tr>
      <w:tr w:rsidR="00C645C9">
        <w:trPr>
          <w:trHeight w:val="39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制定节能减排工作计划</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97"/>
          <w:jc w:val="center"/>
        </w:trPr>
        <w:tc>
          <w:tcPr>
            <w:tcW w:w="1115" w:type="pct"/>
            <w:vMerge w:val="restart"/>
            <w:tcBorders>
              <w:lef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4</w:t>
            </w:r>
            <w:r>
              <w:rPr>
                <w:rFonts w:cs="Times New Roman"/>
                <w:spacing w:val="-10"/>
                <w:sz w:val="21"/>
                <w:szCs w:val="21"/>
              </w:rPr>
              <w:t>）</w:t>
            </w:r>
            <w:r>
              <w:rPr>
                <w:rFonts w:cs="Times New Roman"/>
                <w:spacing w:val="-10"/>
                <w:sz w:val="21"/>
                <w:szCs w:val="21"/>
              </w:rPr>
              <w:t>贯彻执行环境保护法规符合性</w:t>
            </w:r>
          </w:p>
        </w:tc>
        <w:tc>
          <w:tcPr>
            <w:tcW w:w="380" w:type="pct"/>
            <w:vMerge w:val="restar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w:t>
            </w: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废弃钻井泥浆处置措施满足法规要求</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w:t>
            </w:r>
          </w:p>
        </w:tc>
      </w:tr>
      <w:tr w:rsidR="00C645C9">
        <w:trPr>
          <w:trHeight w:val="397"/>
          <w:jc w:val="center"/>
        </w:trPr>
        <w:tc>
          <w:tcPr>
            <w:tcW w:w="1115" w:type="pct"/>
            <w:vMerge/>
            <w:tcBorders>
              <w:left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vAlign w:val="center"/>
          </w:tcPr>
          <w:p w:rsidR="00C645C9" w:rsidRDefault="00C645C9">
            <w:pPr>
              <w:adjustRightInd w:val="0"/>
              <w:snapToGrid w:val="0"/>
              <w:jc w:val="center"/>
              <w:rPr>
                <w:rFonts w:cs="Times New Roman"/>
                <w:spacing w:val="-10"/>
                <w:sz w:val="21"/>
                <w:szCs w:val="21"/>
              </w:rPr>
            </w:pPr>
          </w:p>
        </w:tc>
        <w:tc>
          <w:tcPr>
            <w:tcW w:w="1864" w:type="pct"/>
            <w:gridSpan w:val="3"/>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污染物排放总量控制与减排措施情况</w:t>
            </w:r>
          </w:p>
        </w:tc>
        <w:tc>
          <w:tcPr>
            <w:tcW w:w="871" w:type="pct"/>
            <w:gridSpan w:val="2"/>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tr w:rsidR="00C645C9">
        <w:trPr>
          <w:trHeight w:val="397"/>
          <w:jc w:val="center"/>
        </w:trPr>
        <w:tc>
          <w:tcPr>
            <w:tcW w:w="1115" w:type="pct"/>
            <w:vMerge/>
            <w:tcBorders>
              <w:left w:val="single" w:sz="4" w:space="0" w:color="auto"/>
              <w:bottom w:val="single" w:sz="4" w:space="0" w:color="auto"/>
            </w:tcBorders>
            <w:vAlign w:val="center"/>
          </w:tcPr>
          <w:p w:rsidR="00C645C9" w:rsidRDefault="00C645C9">
            <w:pPr>
              <w:adjustRightInd w:val="0"/>
              <w:snapToGrid w:val="0"/>
              <w:jc w:val="center"/>
              <w:rPr>
                <w:rFonts w:cs="Times New Roman"/>
                <w:spacing w:val="-10"/>
                <w:sz w:val="21"/>
                <w:szCs w:val="21"/>
              </w:rPr>
            </w:pPr>
          </w:p>
        </w:tc>
        <w:tc>
          <w:tcPr>
            <w:tcW w:w="380" w:type="pct"/>
            <w:vMerge/>
            <w:tcBorders>
              <w:bottom w:val="single" w:sz="4" w:space="0" w:color="auto"/>
            </w:tcBorders>
            <w:vAlign w:val="center"/>
          </w:tcPr>
          <w:p w:rsidR="00C645C9" w:rsidRDefault="00C645C9">
            <w:pPr>
              <w:adjustRightInd w:val="0"/>
              <w:snapToGrid w:val="0"/>
              <w:jc w:val="center"/>
              <w:rPr>
                <w:rFonts w:cs="Times New Roman"/>
                <w:spacing w:val="-10"/>
                <w:sz w:val="21"/>
                <w:szCs w:val="21"/>
              </w:rPr>
            </w:pPr>
          </w:p>
        </w:tc>
        <w:tc>
          <w:tcPr>
            <w:tcW w:w="1864" w:type="pct"/>
            <w:gridSpan w:val="3"/>
            <w:tcBorders>
              <w:bottom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满足其他法律法规要求</w:t>
            </w:r>
          </w:p>
        </w:tc>
        <w:tc>
          <w:tcPr>
            <w:tcW w:w="871" w:type="pct"/>
            <w:gridSpan w:val="2"/>
            <w:tcBorders>
              <w:bottom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c>
          <w:tcPr>
            <w:tcW w:w="767" w:type="pct"/>
            <w:gridSpan w:val="2"/>
            <w:tcBorders>
              <w:bottom w:val="single" w:sz="4" w:space="0" w:color="auto"/>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w:t>
            </w:r>
          </w:p>
        </w:tc>
      </w:tr>
      <w:bookmarkEnd w:id="1057"/>
    </w:tbl>
    <w:p w:rsidR="00C645C9" w:rsidRDefault="00C645C9">
      <w:pPr>
        <w:adjustRightInd w:val="0"/>
        <w:snapToGrid w:val="0"/>
        <w:jc w:val="center"/>
        <w:rPr>
          <w:rFonts w:eastAsia="黑体" w:cs="Times New Roman"/>
          <w:sz w:val="21"/>
          <w:szCs w:val="21"/>
        </w:rPr>
      </w:pPr>
    </w:p>
    <w:p w:rsidR="00C645C9" w:rsidRDefault="00C645C9">
      <w:pPr>
        <w:adjustRightInd w:val="0"/>
        <w:snapToGrid w:val="0"/>
        <w:jc w:val="center"/>
        <w:rPr>
          <w:rFonts w:eastAsia="黑体" w:cs="Times New Roman"/>
          <w:sz w:val="21"/>
          <w:szCs w:val="21"/>
        </w:rPr>
      </w:pPr>
    </w:p>
    <w:p w:rsidR="00C645C9" w:rsidRDefault="00C645C9" w:rsidP="005718BB">
      <w:pPr>
        <w:pStyle w:val="24"/>
        <w:ind w:left="480" w:firstLine="883"/>
      </w:pPr>
    </w:p>
    <w:p w:rsidR="00C645C9" w:rsidRDefault="00F955D9">
      <w:pPr>
        <w:adjustRightInd w:val="0"/>
        <w:snapToGrid w:val="0"/>
        <w:jc w:val="center"/>
        <w:rPr>
          <w:rFonts w:eastAsia="黑体" w:cs="Times New Roman"/>
          <w:sz w:val="21"/>
          <w:szCs w:val="21"/>
        </w:rPr>
      </w:pPr>
      <w:r>
        <w:rPr>
          <w:rFonts w:eastAsia="黑体" w:cs="Times New Roman"/>
          <w:sz w:val="21"/>
          <w:szCs w:val="21"/>
        </w:rPr>
        <w:lastRenderedPageBreak/>
        <w:t>表</w:t>
      </w:r>
      <w:r>
        <w:rPr>
          <w:rFonts w:eastAsia="黑体" w:cs="Times New Roman"/>
          <w:sz w:val="21"/>
          <w:szCs w:val="21"/>
        </w:rPr>
        <w:t>3.</w:t>
      </w:r>
      <w:r>
        <w:rPr>
          <w:rFonts w:eastAsia="黑体" w:cs="Times New Roman" w:hint="eastAsia"/>
          <w:sz w:val="21"/>
          <w:szCs w:val="21"/>
        </w:rPr>
        <w:t>3-20</w:t>
      </w:r>
      <w:r>
        <w:rPr>
          <w:rFonts w:eastAsia="黑体" w:cs="Times New Roman"/>
          <w:sz w:val="21"/>
          <w:szCs w:val="21"/>
        </w:rPr>
        <w:t xml:space="preserve">   </w:t>
      </w:r>
      <w:r>
        <w:rPr>
          <w:rFonts w:eastAsia="黑体" w:cs="Times New Roman"/>
          <w:sz w:val="21"/>
          <w:szCs w:val="21"/>
        </w:rPr>
        <w:t>井下作业定量和定性评价指标项目、权重及基准值</w:t>
      </w:r>
      <w:bookmarkEnd w:id="1055"/>
    </w:p>
    <w:tbl>
      <w:tblPr>
        <w:tblW w:w="493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8"/>
        <w:gridCol w:w="1109"/>
        <w:gridCol w:w="3049"/>
        <w:gridCol w:w="2272"/>
        <w:gridCol w:w="1034"/>
        <w:gridCol w:w="1554"/>
        <w:gridCol w:w="280"/>
        <w:gridCol w:w="932"/>
        <w:gridCol w:w="909"/>
      </w:tblGrid>
      <w:tr w:rsidR="00C645C9">
        <w:trPr>
          <w:trHeight w:val="360"/>
          <w:jc w:val="center"/>
        </w:trPr>
        <w:tc>
          <w:tcPr>
            <w:tcW w:w="5000" w:type="pct"/>
            <w:gridSpan w:val="9"/>
            <w:tcBorders>
              <w:top w:val="single" w:sz="4" w:space="0" w:color="auto"/>
              <w:left w:val="single" w:sz="4"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定量指标</w:t>
            </w:r>
          </w:p>
        </w:tc>
      </w:tr>
      <w:tr w:rsidR="00C645C9">
        <w:trPr>
          <w:trHeight w:val="730"/>
          <w:jc w:val="center"/>
        </w:trPr>
        <w:tc>
          <w:tcPr>
            <w:tcW w:w="1102" w:type="pc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一级指标</w:t>
            </w:r>
          </w:p>
        </w:tc>
        <w:tc>
          <w:tcPr>
            <w:tcW w:w="388"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二级指标</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单位</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评价基准值</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实际值</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得分</w:t>
            </w:r>
          </w:p>
        </w:tc>
      </w:tr>
      <w:tr w:rsidR="00C645C9">
        <w:trPr>
          <w:trHeight w:val="360"/>
          <w:jc w:val="center"/>
        </w:trPr>
        <w:tc>
          <w:tcPr>
            <w:tcW w:w="1102" w:type="pct"/>
            <w:vMerge w:val="restar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1</w:t>
            </w:r>
            <w:r>
              <w:rPr>
                <w:szCs w:val="21"/>
              </w:rPr>
              <w:t>）资源与能源消耗指标</w:t>
            </w:r>
          </w:p>
        </w:tc>
        <w:tc>
          <w:tcPr>
            <w:tcW w:w="388"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30</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作业液消耗</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m</w:t>
            </w:r>
            <w:r>
              <w:rPr>
                <w:szCs w:val="21"/>
                <w:vertAlign w:val="superscript"/>
              </w:rPr>
              <w:t>3</w:t>
            </w:r>
            <w:r>
              <w:rPr>
                <w:szCs w:val="21"/>
              </w:rPr>
              <w:t>/</w:t>
            </w:r>
            <w:r>
              <w:rPr>
                <w:szCs w:val="21"/>
              </w:rPr>
              <w:t>井次</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新鲜水消耗</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m</w:t>
            </w:r>
            <w:r>
              <w:rPr>
                <w:szCs w:val="21"/>
                <w:vertAlign w:val="superscript"/>
              </w:rPr>
              <w:t>3</w:t>
            </w:r>
            <w:r>
              <w:rPr>
                <w:szCs w:val="21"/>
              </w:rPr>
              <w:t>/</w:t>
            </w:r>
            <w:r>
              <w:rPr>
                <w:szCs w:val="21"/>
              </w:rPr>
              <w:t>井次</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单位能耗</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szCs w:val="21"/>
              </w:rPr>
            </w:pP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行业基本水平</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基本水平</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2</w:t>
            </w:r>
            <w:r>
              <w:rPr>
                <w:szCs w:val="21"/>
              </w:rPr>
              <w:t>）生产技术特征指标</w:t>
            </w:r>
          </w:p>
        </w:tc>
        <w:tc>
          <w:tcPr>
            <w:tcW w:w="388"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压裂放喷返排入罐率</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20</w:t>
            </w:r>
          </w:p>
        </w:tc>
      </w:tr>
      <w:tr w:rsidR="00C645C9">
        <w:trPr>
          <w:trHeight w:val="360"/>
          <w:jc w:val="center"/>
        </w:trPr>
        <w:tc>
          <w:tcPr>
            <w:tcW w:w="1102" w:type="pct"/>
            <w:vMerge w:val="restar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3</w:t>
            </w:r>
            <w:r>
              <w:rPr>
                <w:szCs w:val="21"/>
              </w:rPr>
              <w:t>）资源综合利用指标</w:t>
            </w:r>
          </w:p>
        </w:tc>
        <w:tc>
          <w:tcPr>
            <w:tcW w:w="388"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落地原油回收率</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生产过程排出物利用率</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val="restar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4</w:t>
            </w:r>
            <w:r>
              <w:rPr>
                <w:szCs w:val="21"/>
              </w:rPr>
              <w:t>）污染物产生指标</w:t>
            </w:r>
          </w:p>
        </w:tc>
        <w:tc>
          <w:tcPr>
            <w:tcW w:w="388"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30</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作业废液量</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m</w:t>
            </w:r>
            <w:r>
              <w:rPr>
                <w:szCs w:val="21"/>
                <w:vertAlign w:val="superscript"/>
              </w:rPr>
              <w:t>3</w:t>
            </w:r>
            <w:r>
              <w:rPr>
                <w:szCs w:val="21"/>
              </w:rPr>
              <w:t>/</w:t>
            </w:r>
            <w:r>
              <w:rPr>
                <w:szCs w:val="21"/>
              </w:rPr>
              <w:t>井次</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3.0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3.0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石油类</w:t>
            </w:r>
          </w:p>
        </w:tc>
        <w:tc>
          <w:tcPr>
            <w:tcW w:w="795"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mg/L</w:t>
            </w:r>
          </w:p>
        </w:tc>
        <w:tc>
          <w:tcPr>
            <w:tcW w:w="361"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bookmarkStart w:id="1058" w:name="OLE_LINK430"/>
            <w:r>
              <w:rPr>
                <w:rFonts w:ascii="宋体" w:hAnsi="宋体" w:hint="eastAsia"/>
                <w:szCs w:val="21"/>
              </w:rPr>
              <w:t>≤</w:t>
            </w:r>
            <w:bookmarkEnd w:id="1058"/>
            <w:r>
              <w:rPr>
                <w:szCs w:val="21"/>
              </w:rPr>
              <w:t>10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0</w:t>
            </w:r>
          </w:p>
        </w:tc>
        <w:tc>
          <w:tcPr>
            <w:tcW w:w="316" w:type="pct"/>
            <w:vMerge w:val="restar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795"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61"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0</w:t>
            </w:r>
          </w:p>
        </w:tc>
        <w:tc>
          <w:tcPr>
            <w:tcW w:w="316" w:type="pct"/>
            <w:vMerge/>
            <w:tcBorders>
              <w:top w:val="single" w:sz="6" w:space="0" w:color="auto"/>
              <w:left w:val="single" w:sz="6" w:space="0" w:color="auto"/>
              <w:bottom w:val="single" w:sz="6"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COD</w:t>
            </w:r>
          </w:p>
        </w:tc>
        <w:tc>
          <w:tcPr>
            <w:tcW w:w="795"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mg/L</w:t>
            </w:r>
          </w:p>
        </w:tc>
        <w:tc>
          <w:tcPr>
            <w:tcW w:w="361"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0</w:t>
            </w:r>
          </w:p>
        </w:tc>
        <w:tc>
          <w:tcPr>
            <w:tcW w:w="316" w:type="pct"/>
            <w:vMerge w:val="restar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795"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61"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150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0</w:t>
            </w:r>
          </w:p>
        </w:tc>
        <w:tc>
          <w:tcPr>
            <w:tcW w:w="316" w:type="pct"/>
            <w:vMerge/>
            <w:tcBorders>
              <w:top w:val="single" w:sz="6" w:space="0" w:color="auto"/>
              <w:left w:val="single" w:sz="6" w:space="0" w:color="auto"/>
              <w:bottom w:val="single" w:sz="6"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含油污泥</w:t>
            </w:r>
          </w:p>
        </w:tc>
        <w:tc>
          <w:tcPr>
            <w:tcW w:w="795"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kg/</w:t>
            </w:r>
            <w:r>
              <w:rPr>
                <w:szCs w:val="21"/>
              </w:rPr>
              <w:t>井次</w:t>
            </w:r>
          </w:p>
        </w:tc>
        <w:tc>
          <w:tcPr>
            <w:tcW w:w="361"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50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316" w:type="pct"/>
            <w:vMerge w:val="restar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795"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61"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bookmarkStart w:id="1059" w:name="OLE_LINK431"/>
            <w:r>
              <w:rPr>
                <w:rFonts w:ascii="宋体" w:hAnsi="宋体" w:hint="eastAsia"/>
                <w:szCs w:val="21"/>
              </w:rPr>
              <w:t>≤</w:t>
            </w:r>
            <w:bookmarkEnd w:id="1059"/>
            <w:r>
              <w:rPr>
                <w:szCs w:val="21"/>
              </w:rPr>
              <w:t>70</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316" w:type="pct"/>
            <w:vMerge/>
            <w:tcBorders>
              <w:top w:val="single" w:sz="6" w:space="0" w:color="auto"/>
              <w:left w:val="single" w:sz="6" w:space="0" w:color="auto"/>
              <w:bottom w:val="single" w:sz="6"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一般固体废物（生活垃圾）</w:t>
            </w:r>
          </w:p>
        </w:tc>
        <w:tc>
          <w:tcPr>
            <w:tcW w:w="795"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kg/</w:t>
            </w:r>
            <w:r>
              <w:rPr>
                <w:szCs w:val="21"/>
              </w:rPr>
              <w:t>井次</w:t>
            </w:r>
          </w:p>
        </w:tc>
        <w:tc>
          <w:tcPr>
            <w:tcW w:w="361"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544"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p>
        </w:tc>
        <w:tc>
          <w:tcPr>
            <w:tcW w:w="424"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0</w:t>
            </w:r>
          </w:p>
        </w:tc>
        <w:tc>
          <w:tcPr>
            <w:tcW w:w="316" w:type="pct"/>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5000" w:type="pct"/>
            <w:gridSpan w:val="9"/>
            <w:tcBorders>
              <w:top w:val="single" w:sz="6" w:space="0" w:color="auto"/>
              <w:left w:val="single" w:sz="4"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定性指标</w:t>
            </w:r>
          </w:p>
        </w:tc>
      </w:tr>
      <w:tr w:rsidR="00C645C9">
        <w:trPr>
          <w:trHeight w:val="360"/>
          <w:jc w:val="center"/>
        </w:trPr>
        <w:tc>
          <w:tcPr>
            <w:tcW w:w="1102" w:type="pc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一级指标</w:t>
            </w:r>
          </w:p>
        </w:tc>
        <w:tc>
          <w:tcPr>
            <w:tcW w:w="388"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2224" w:type="pct"/>
            <w:gridSpan w:val="3"/>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二级指标</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指标分值</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C645C9">
            <w:pPr>
              <w:pStyle w:val="afb"/>
              <w:adjustRightInd w:val="0"/>
              <w:snapToGrid w:val="0"/>
              <w:spacing w:line="240" w:lineRule="auto"/>
              <w:rPr>
                <w:szCs w:val="21"/>
              </w:rPr>
            </w:pPr>
          </w:p>
        </w:tc>
      </w:tr>
      <w:tr w:rsidR="00C645C9">
        <w:trPr>
          <w:trHeight w:val="360"/>
          <w:jc w:val="center"/>
        </w:trPr>
        <w:tc>
          <w:tcPr>
            <w:tcW w:w="1102" w:type="pct"/>
            <w:vMerge w:val="restar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1</w:t>
            </w:r>
            <w:r>
              <w:rPr>
                <w:szCs w:val="21"/>
              </w:rPr>
              <w:t>）生产工艺及设备要求</w:t>
            </w:r>
          </w:p>
        </w:tc>
        <w:tc>
          <w:tcPr>
            <w:tcW w:w="388"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40</w:t>
            </w: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防喷措施</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具备</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地面管线防刺防漏措施</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按标准试压</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防溢设备（防溢池设置）</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具备</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防渗范围</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废水、使用液、原油等可能落地处</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作业废液污染控制措施</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集中回收处理</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1067" w:type="pc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防止落地原油产生措施</w:t>
            </w:r>
          </w:p>
        </w:tc>
        <w:tc>
          <w:tcPr>
            <w:tcW w:w="1156"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具备原油回收设施</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10</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60"/>
          <w:jc w:val="center"/>
        </w:trPr>
        <w:tc>
          <w:tcPr>
            <w:tcW w:w="1102" w:type="pct"/>
            <w:vMerge w:val="restart"/>
            <w:tcBorders>
              <w:top w:val="single" w:sz="6" w:space="0" w:color="auto"/>
              <w:left w:val="single" w:sz="4"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2</w:t>
            </w:r>
            <w:r>
              <w:rPr>
                <w:szCs w:val="21"/>
              </w:rPr>
              <w:t>）</w:t>
            </w:r>
            <w:r>
              <w:rPr>
                <w:szCs w:val="21"/>
              </w:rPr>
              <w:t>环境管理体系建设及清洁生产审核</w:t>
            </w:r>
          </w:p>
        </w:tc>
        <w:tc>
          <w:tcPr>
            <w:tcW w:w="388" w:type="pct"/>
            <w:vMerge w:val="restart"/>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40</w:t>
            </w:r>
          </w:p>
        </w:tc>
        <w:tc>
          <w:tcPr>
            <w:tcW w:w="2224" w:type="pct"/>
            <w:gridSpan w:val="3"/>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建立</w:t>
            </w:r>
            <w:r>
              <w:rPr>
                <w:szCs w:val="21"/>
              </w:rPr>
              <w:t>HSE</w:t>
            </w:r>
            <w:r>
              <w:rPr>
                <w:szCs w:val="21"/>
              </w:rPr>
              <w:t>管理体系并通过认证</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15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15</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2224" w:type="pct"/>
            <w:gridSpan w:val="3"/>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开展清洁生产审核</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r>
      <w:tr w:rsidR="00C645C9">
        <w:trPr>
          <w:trHeight w:val="360"/>
          <w:jc w:val="center"/>
        </w:trPr>
        <w:tc>
          <w:tcPr>
            <w:tcW w:w="1102" w:type="pct"/>
            <w:vMerge/>
            <w:tcBorders>
              <w:top w:val="single" w:sz="6" w:space="0" w:color="auto"/>
              <w:left w:val="single" w:sz="4"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C645C9" w:rsidRDefault="00C645C9">
            <w:pPr>
              <w:pStyle w:val="afb"/>
              <w:adjustRightInd w:val="0"/>
              <w:snapToGrid w:val="0"/>
              <w:spacing w:line="240" w:lineRule="auto"/>
              <w:rPr>
                <w:kern w:val="2"/>
                <w:szCs w:val="21"/>
              </w:rPr>
            </w:pPr>
          </w:p>
        </w:tc>
        <w:tc>
          <w:tcPr>
            <w:tcW w:w="2224" w:type="pct"/>
            <w:gridSpan w:val="3"/>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制订节能减排工作计划</w:t>
            </w:r>
          </w:p>
        </w:tc>
        <w:tc>
          <w:tcPr>
            <w:tcW w:w="642" w:type="pct"/>
            <w:gridSpan w:val="2"/>
            <w:tcBorders>
              <w:top w:val="single" w:sz="6" w:space="0" w:color="auto"/>
              <w:left w:val="single" w:sz="6" w:space="0" w:color="auto"/>
              <w:bottom w:val="single" w:sz="6"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5</w:t>
            </w:r>
          </w:p>
        </w:tc>
        <w:tc>
          <w:tcPr>
            <w:tcW w:w="642" w:type="pct"/>
            <w:gridSpan w:val="2"/>
            <w:tcBorders>
              <w:top w:val="single" w:sz="6" w:space="0" w:color="auto"/>
              <w:left w:val="single" w:sz="6" w:space="0" w:color="auto"/>
              <w:bottom w:val="single" w:sz="6"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60"/>
          <w:jc w:val="center"/>
        </w:trPr>
        <w:tc>
          <w:tcPr>
            <w:tcW w:w="1102" w:type="pct"/>
            <w:tcBorders>
              <w:top w:val="single" w:sz="6" w:space="0" w:color="auto"/>
              <w:left w:val="single" w:sz="4" w:space="0" w:color="auto"/>
              <w:bottom w:val="single" w:sz="4"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w:t>
            </w:r>
            <w:r>
              <w:rPr>
                <w:szCs w:val="21"/>
              </w:rPr>
              <w:t>3</w:t>
            </w:r>
            <w:r>
              <w:rPr>
                <w:szCs w:val="21"/>
              </w:rPr>
              <w:t>）</w:t>
            </w:r>
            <w:r>
              <w:rPr>
                <w:szCs w:val="21"/>
              </w:rPr>
              <w:t>贯彻执行环境保护法规的符合性</w:t>
            </w:r>
          </w:p>
        </w:tc>
        <w:tc>
          <w:tcPr>
            <w:tcW w:w="388" w:type="pct"/>
            <w:tcBorders>
              <w:top w:val="single" w:sz="6" w:space="0" w:color="auto"/>
              <w:left w:val="single" w:sz="6" w:space="0" w:color="auto"/>
              <w:bottom w:val="single" w:sz="4"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2224" w:type="pct"/>
            <w:gridSpan w:val="3"/>
            <w:tcBorders>
              <w:top w:val="single" w:sz="6" w:space="0" w:color="auto"/>
              <w:left w:val="single" w:sz="6" w:space="0" w:color="auto"/>
              <w:bottom w:val="single" w:sz="4"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满足</w:t>
            </w:r>
            <w:r>
              <w:rPr>
                <w:rFonts w:hint="eastAsia"/>
                <w:szCs w:val="21"/>
              </w:rPr>
              <w:t>其他</w:t>
            </w:r>
            <w:r>
              <w:rPr>
                <w:szCs w:val="21"/>
              </w:rPr>
              <w:t>法律法规要求</w:t>
            </w:r>
          </w:p>
        </w:tc>
        <w:tc>
          <w:tcPr>
            <w:tcW w:w="642" w:type="pct"/>
            <w:gridSpan w:val="2"/>
            <w:tcBorders>
              <w:top w:val="single" w:sz="6" w:space="0" w:color="auto"/>
              <w:left w:val="single" w:sz="6" w:space="0" w:color="auto"/>
              <w:bottom w:val="single" w:sz="4" w:space="0" w:color="auto"/>
              <w:right w:val="single" w:sz="6" w:space="0" w:color="auto"/>
            </w:tcBorders>
            <w:vAlign w:val="center"/>
          </w:tcPr>
          <w:p w:rsidR="00C645C9" w:rsidRDefault="00F955D9">
            <w:pPr>
              <w:pStyle w:val="afb"/>
              <w:adjustRightInd w:val="0"/>
              <w:snapToGrid w:val="0"/>
              <w:spacing w:line="240" w:lineRule="auto"/>
              <w:rPr>
                <w:szCs w:val="21"/>
              </w:rPr>
            </w:pPr>
            <w:r>
              <w:rPr>
                <w:szCs w:val="21"/>
              </w:rPr>
              <w:t>20</w:t>
            </w:r>
          </w:p>
        </w:tc>
        <w:tc>
          <w:tcPr>
            <w:tcW w:w="642" w:type="pct"/>
            <w:gridSpan w:val="2"/>
            <w:tcBorders>
              <w:top w:val="single" w:sz="6" w:space="0" w:color="auto"/>
              <w:left w:val="single" w:sz="6"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20</w:t>
            </w:r>
          </w:p>
        </w:tc>
      </w:tr>
    </w:tbl>
    <w:p w:rsidR="00C645C9" w:rsidRDefault="00F955D9">
      <w:pPr>
        <w:adjustRightInd w:val="0"/>
        <w:snapToGrid w:val="0"/>
        <w:jc w:val="center"/>
        <w:rPr>
          <w:rFonts w:cs="Times New Roman"/>
          <w:bCs/>
          <w:sz w:val="21"/>
          <w:szCs w:val="21"/>
          <w:lang w:val="zh-CN"/>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3-21</w:t>
      </w:r>
      <w:r>
        <w:rPr>
          <w:rFonts w:eastAsia="黑体" w:cs="Times New Roman"/>
          <w:sz w:val="21"/>
          <w:szCs w:val="21"/>
        </w:rPr>
        <w:t xml:space="preserve">   </w:t>
      </w:r>
      <w:r>
        <w:rPr>
          <w:rFonts w:eastAsia="黑体" w:cs="Times New Roman"/>
          <w:sz w:val="21"/>
          <w:szCs w:val="21"/>
        </w:rPr>
        <w:t>采油</w:t>
      </w:r>
      <w:r>
        <w:rPr>
          <w:rFonts w:eastAsia="黑体" w:cs="Times New Roman"/>
          <w:sz w:val="21"/>
          <w:szCs w:val="21"/>
        </w:rPr>
        <w:t>（</w:t>
      </w:r>
      <w:r>
        <w:rPr>
          <w:rFonts w:eastAsia="黑体" w:cs="Times New Roman"/>
          <w:sz w:val="21"/>
          <w:szCs w:val="21"/>
        </w:rPr>
        <w:t>气</w:t>
      </w:r>
      <w:r>
        <w:rPr>
          <w:rFonts w:eastAsia="黑体" w:cs="Times New Roman"/>
          <w:sz w:val="21"/>
          <w:szCs w:val="21"/>
        </w:rPr>
        <w:t>）</w:t>
      </w:r>
      <w:r>
        <w:rPr>
          <w:rFonts w:eastAsia="黑体" w:cs="Times New Roman"/>
          <w:sz w:val="21"/>
          <w:szCs w:val="21"/>
        </w:rPr>
        <w:t>作业定量和定性评价指标项目、权重及基准值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2"/>
        <w:gridCol w:w="1090"/>
        <w:gridCol w:w="312"/>
        <w:gridCol w:w="1756"/>
        <w:gridCol w:w="575"/>
        <w:gridCol w:w="423"/>
        <w:gridCol w:w="80"/>
        <w:gridCol w:w="2182"/>
        <w:gridCol w:w="1021"/>
        <w:gridCol w:w="1584"/>
        <w:gridCol w:w="1267"/>
        <w:gridCol w:w="838"/>
      </w:tblGrid>
      <w:tr w:rsidR="00C645C9">
        <w:trPr>
          <w:trHeight w:val="369"/>
        </w:trPr>
        <w:tc>
          <w:tcPr>
            <w:tcW w:w="5000" w:type="pct"/>
            <w:gridSpan w:val="1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定量指标</w:t>
            </w:r>
          </w:p>
        </w:tc>
      </w:tr>
      <w:tr w:rsidR="00C645C9">
        <w:trPr>
          <w:trHeight w:val="531"/>
        </w:trPr>
        <w:tc>
          <w:tcPr>
            <w:tcW w:w="110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一级指标</w:t>
            </w:r>
          </w:p>
        </w:tc>
        <w:tc>
          <w:tcPr>
            <w:tcW w:w="38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二级指标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单位</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评价基准值</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实际值</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得分</w:t>
            </w:r>
          </w:p>
        </w:tc>
      </w:tr>
      <w:tr w:rsidR="00C645C9">
        <w:trPr>
          <w:trHeight w:val="570"/>
        </w:trPr>
        <w:tc>
          <w:tcPr>
            <w:tcW w:w="110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pacing w:val="-8"/>
                <w:szCs w:val="21"/>
              </w:rPr>
            </w:pPr>
            <w:r>
              <w:rPr>
                <w:szCs w:val="21"/>
              </w:rPr>
              <w:t>（</w:t>
            </w:r>
            <w:r>
              <w:rPr>
                <w:szCs w:val="21"/>
              </w:rPr>
              <w:t>1</w:t>
            </w:r>
            <w:r>
              <w:rPr>
                <w:szCs w:val="21"/>
              </w:rPr>
              <w:t>）资源和能源消耗指标</w:t>
            </w:r>
          </w:p>
        </w:tc>
        <w:tc>
          <w:tcPr>
            <w:tcW w:w="38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30</w:t>
            </w: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综合能耗</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kg</w:t>
            </w:r>
            <w:r>
              <w:rPr>
                <w:szCs w:val="21"/>
              </w:rPr>
              <w:t>标煤</w:t>
            </w:r>
            <w:r>
              <w:rPr>
                <w:szCs w:val="21"/>
              </w:rPr>
              <w:t>/t</w:t>
            </w:r>
            <w:r>
              <w:rPr>
                <w:szCs w:val="21"/>
              </w:rPr>
              <w:t>天然气</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30</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天然气：</w:t>
            </w:r>
            <w:bookmarkStart w:id="1060" w:name="OLE_LINK433"/>
            <w:r>
              <w:rPr>
                <w:rFonts w:ascii="宋体" w:hAnsi="宋体" w:hint="eastAsia"/>
                <w:szCs w:val="21"/>
              </w:rPr>
              <w:t>≤</w:t>
            </w:r>
            <w:bookmarkEnd w:id="1060"/>
            <w:r>
              <w:rPr>
                <w:szCs w:val="21"/>
              </w:rPr>
              <w:t>50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34.32</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30</w:t>
            </w:r>
          </w:p>
        </w:tc>
      </w:tr>
      <w:tr w:rsidR="00C645C9">
        <w:trPr>
          <w:trHeight w:val="340"/>
        </w:trPr>
        <w:tc>
          <w:tcPr>
            <w:tcW w:w="1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r>
              <w:rPr>
                <w:szCs w:val="21"/>
              </w:rPr>
              <w:t>2</w:t>
            </w:r>
            <w:r>
              <w:rPr>
                <w:szCs w:val="21"/>
              </w:rPr>
              <w:t>）资源综合利用指标</w:t>
            </w:r>
          </w:p>
        </w:tc>
        <w:tc>
          <w:tcPr>
            <w:tcW w:w="381"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30</w:t>
            </w: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余热余能利用率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60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无</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油井伴生气回收利用率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80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含油污泥资源化利用率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bookmarkStart w:id="1061" w:name="OLE_LINK434"/>
            <w:r>
              <w:rPr>
                <w:rFonts w:ascii="宋体" w:hAnsi="宋体" w:hint="eastAsia"/>
                <w:szCs w:val="21"/>
              </w:rPr>
              <w:t>≥</w:t>
            </w:r>
            <w:bookmarkEnd w:id="1061"/>
            <w:r>
              <w:rPr>
                <w:szCs w:val="21"/>
              </w:rPr>
              <w:t>90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r>
      <w:tr w:rsidR="00C645C9">
        <w:trPr>
          <w:trHeight w:val="510"/>
        </w:trPr>
        <w:tc>
          <w:tcPr>
            <w:tcW w:w="1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r>
              <w:rPr>
                <w:szCs w:val="21"/>
              </w:rPr>
              <w:t>3</w:t>
            </w:r>
            <w:r>
              <w:rPr>
                <w:szCs w:val="21"/>
              </w:rPr>
              <w:t>）污染物产生指标</w:t>
            </w:r>
          </w:p>
        </w:tc>
        <w:tc>
          <w:tcPr>
            <w:tcW w:w="381"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40</w:t>
            </w: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石油类</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mg/l</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COD</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mg/l</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150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落地原油回收率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采油废水回用率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60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油井伴生气</w:t>
            </w:r>
          </w:p>
          <w:p w:rsidR="00C645C9" w:rsidRDefault="00F955D9">
            <w:pPr>
              <w:pStyle w:val="afb"/>
              <w:adjustRightInd w:val="0"/>
              <w:snapToGrid w:val="0"/>
              <w:spacing w:line="240" w:lineRule="auto"/>
              <w:rPr>
                <w:szCs w:val="21"/>
              </w:rPr>
            </w:pPr>
            <w:r>
              <w:rPr>
                <w:szCs w:val="21"/>
              </w:rPr>
              <w:t>外排率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20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r>
      <w:tr w:rsidR="00C645C9">
        <w:trPr>
          <w:trHeight w:val="51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72" w:type="pct"/>
            <w:gridSpan w:val="4"/>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采出废水</w:t>
            </w:r>
          </w:p>
          <w:p w:rsidR="00C645C9" w:rsidRDefault="00F955D9">
            <w:pPr>
              <w:pStyle w:val="afb"/>
              <w:adjustRightInd w:val="0"/>
              <w:snapToGrid w:val="0"/>
              <w:spacing w:line="240" w:lineRule="auto"/>
              <w:rPr>
                <w:szCs w:val="21"/>
              </w:rPr>
            </w:pPr>
            <w:r>
              <w:rPr>
                <w:szCs w:val="21"/>
              </w:rPr>
              <w:t>达标排放率</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p>
        </w:tc>
        <w:tc>
          <w:tcPr>
            <w:tcW w:w="35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c>
          <w:tcPr>
            <w:tcW w:w="55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ascii="宋体" w:hAnsi="宋体" w:hint="eastAsia"/>
                <w:szCs w:val="21"/>
              </w:rPr>
              <w:t>≥</w:t>
            </w:r>
            <w:r>
              <w:rPr>
                <w:szCs w:val="21"/>
              </w:rPr>
              <w:t>80</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7.5</w:t>
            </w:r>
          </w:p>
        </w:tc>
      </w:tr>
      <w:tr w:rsidR="00C645C9">
        <w:trPr>
          <w:trHeight w:val="58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定性指标</w:t>
            </w:r>
          </w:p>
        </w:tc>
      </w:tr>
      <w:tr w:rsidR="00C645C9">
        <w:trPr>
          <w:trHeight w:val="490"/>
        </w:trPr>
        <w:tc>
          <w:tcPr>
            <w:tcW w:w="110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一级指标</w:t>
            </w:r>
          </w:p>
        </w:tc>
        <w:tc>
          <w:tcPr>
            <w:tcW w:w="38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权重值</w:t>
            </w: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二级指标</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指标分值</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得分</w:t>
            </w:r>
          </w:p>
        </w:tc>
      </w:tr>
      <w:tr w:rsidR="00C645C9">
        <w:trPr>
          <w:trHeight w:val="480"/>
        </w:trPr>
        <w:tc>
          <w:tcPr>
            <w:tcW w:w="1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w:t>
            </w:r>
            <w:r>
              <w:rPr>
                <w:szCs w:val="21"/>
              </w:rPr>
              <w:t>1</w:t>
            </w:r>
            <w:r>
              <w:rPr>
                <w:szCs w:val="21"/>
              </w:rPr>
              <w:t>）生产工艺及设备要求</w:t>
            </w:r>
          </w:p>
        </w:tc>
        <w:tc>
          <w:tcPr>
            <w:tcW w:w="381"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45</w:t>
            </w:r>
          </w:p>
        </w:tc>
        <w:tc>
          <w:tcPr>
            <w:tcW w:w="924"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井筒质量</w:t>
            </w:r>
          </w:p>
        </w:tc>
        <w:tc>
          <w:tcPr>
            <w:tcW w:w="1849" w:type="pct"/>
            <w:gridSpan w:val="5"/>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井筒设施完好</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48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采气</w:t>
            </w:r>
          </w:p>
        </w:tc>
        <w:tc>
          <w:tcPr>
            <w:tcW w:w="61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采气过程回收设施</w:t>
            </w:r>
          </w:p>
        </w:tc>
        <w:tc>
          <w:tcPr>
            <w:tcW w:w="19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176" w:type="pct"/>
            <w:gridSpan w:val="2"/>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采油</w:t>
            </w:r>
          </w:p>
        </w:tc>
        <w:tc>
          <w:tcPr>
            <w:tcW w:w="1673"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套管气回收装置</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48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61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天然气净化设施先进、净化效率高</w:t>
            </w:r>
          </w:p>
        </w:tc>
        <w:tc>
          <w:tcPr>
            <w:tcW w:w="19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176" w:type="pct"/>
            <w:gridSpan w:val="2"/>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1673"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防止落地原油产生措施</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48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924"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采油方式</w:t>
            </w:r>
          </w:p>
        </w:tc>
        <w:tc>
          <w:tcPr>
            <w:tcW w:w="1849" w:type="pct"/>
            <w:gridSpan w:val="5"/>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采油方式经过综合评价确定</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480"/>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924"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hint="eastAsia"/>
                <w:szCs w:val="21"/>
              </w:rPr>
              <w:t>拉油</w:t>
            </w:r>
            <w:r>
              <w:rPr>
                <w:szCs w:val="21"/>
              </w:rPr>
              <w:t>流程</w:t>
            </w:r>
          </w:p>
        </w:tc>
        <w:tc>
          <w:tcPr>
            <w:tcW w:w="1849" w:type="pct"/>
            <w:gridSpan w:val="5"/>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具有油气回收装置</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47"/>
        </w:trPr>
        <w:tc>
          <w:tcPr>
            <w:tcW w:w="1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hint="eastAsia"/>
                <w:szCs w:val="21"/>
              </w:rPr>
              <w:t>（</w:t>
            </w:r>
            <w:r>
              <w:rPr>
                <w:szCs w:val="21"/>
              </w:rPr>
              <w:t>2</w:t>
            </w:r>
            <w:r>
              <w:rPr>
                <w:rFonts w:hint="eastAsia"/>
                <w:szCs w:val="21"/>
              </w:rPr>
              <w:t>）</w:t>
            </w:r>
            <w:r>
              <w:rPr>
                <w:szCs w:val="21"/>
              </w:rPr>
              <w:t>环境管理体系建设及清洁生产审核</w:t>
            </w:r>
          </w:p>
        </w:tc>
        <w:tc>
          <w:tcPr>
            <w:tcW w:w="381"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35</w:t>
            </w: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建立</w:t>
            </w:r>
            <w:r>
              <w:rPr>
                <w:szCs w:val="21"/>
              </w:rPr>
              <w:t>HSE</w:t>
            </w:r>
            <w:r>
              <w:rPr>
                <w:szCs w:val="21"/>
              </w:rPr>
              <w:t>管理体系并通过认证</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10</w:t>
            </w:r>
          </w:p>
        </w:tc>
      </w:tr>
      <w:tr w:rsidR="00C645C9">
        <w:trPr>
          <w:trHeight w:val="389"/>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开展清洁生产审核，并通过验收</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20</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0</w:t>
            </w:r>
          </w:p>
        </w:tc>
      </w:tr>
      <w:tr w:rsidR="00C645C9">
        <w:trPr>
          <w:trHeight w:val="361"/>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制定节能减排工作计划</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33"/>
        </w:trPr>
        <w:tc>
          <w:tcPr>
            <w:tcW w:w="1109"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rFonts w:hint="eastAsia"/>
                <w:szCs w:val="21"/>
              </w:rPr>
              <w:t>（</w:t>
            </w:r>
            <w:r>
              <w:rPr>
                <w:szCs w:val="21"/>
              </w:rPr>
              <w:t>3</w:t>
            </w:r>
            <w:r>
              <w:rPr>
                <w:rFonts w:hint="eastAsia"/>
                <w:szCs w:val="21"/>
              </w:rPr>
              <w:t>）</w:t>
            </w:r>
            <w:r>
              <w:rPr>
                <w:szCs w:val="21"/>
              </w:rPr>
              <w:t>贯彻执行环境保护政策法规的执行情况</w:t>
            </w:r>
          </w:p>
        </w:tc>
        <w:tc>
          <w:tcPr>
            <w:tcW w:w="381" w:type="pct"/>
            <w:vMerge w:val="restart"/>
            <w:tcBorders>
              <w:top w:val="nil"/>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20</w:t>
            </w: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建设项目环保</w:t>
            </w:r>
            <w:r>
              <w:rPr>
                <w:szCs w:val="21"/>
              </w:rPr>
              <w:t>“</w:t>
            </w:r>
            <w:r>
              <w:rPr>
                <w:szCs w:val="21"/>
              </w:rPr>
              <w:t>三同时</w:t>
            </w:r>
            <w:r>
              <w:rPr>
                <w:szCs w:val="21"/>
              </w:rPr>
              <w:t>”</w:t>
            </w:r>
            <w:r>
              <w:rPr>
                <w:szCs w:val="21"/>
              </w:rPr>
              <w:t>制度执行情况</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19"/>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建设项目环境影响评价制度执行情况</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19"/>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老污染源限期治理项目完成情况</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r w:rsidR="00C645C9">
        <w:trPr>
          <w:trHeight w:val="347"/>
        </w:trPr>
        <w:tc>
          <w:tcPr>
            <w:tcW w:w="1109"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381" w:type="pct"/>
            <w:vMerge/>
            <w:tcBorders>
              <w:top w:val="nil"/>
              <w:left w:val="single" w:sz="4" w:space="0" w:color="auto"/>
              <w:bottom w:val="single" w:sz="4" w:space="0" w:color="auto"/>
              <w:right w:val="single" w:sz="4" w:space="0" w:color="auto"/>
            </w:tcBorders>
            <w:vAlign w:val="center"/>
          </w:tcPr>
          <w:p w:rsidR="00C645C9" w:rsidRDefault="00C645C9">
            <w:pPr>
              <w:pStyle w:val="afb"/>
              <w:adjustRightInd w:val="0"/>
              <w:snapToGrid w:val="0"/>
              <w:spacing w:line="240" w:lineRule="auto"/>
              <w:rPr>
                <w:kern w:val="2"/>
                <w:szCs w:val="21"/>
              </w:rPr>
            </w:pPr>
          </w:p>
        </w:tc>
        <w:tc>
          <w:tcPr>
            <w:tcW w:w="2774" w:type="pct"/>
            <w:gridSpan w:val="8"/>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污染物排放总量控制与减排指标完成情况</w:t>
            </w:r>
          </w:p>
        </w:tc>
        <w:tc>
          <w:tcPr>
            <w:tcW w:w="443"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c>
          <w:tcPr>
            <w:tcW w:w="291"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adjustRightInd w:val="0"/>
              <w:snapToGrid w:val="0"/>
              <w:spacing w:line="240" w:lineRule="auto"/>
              <w:rPr>
                <w:szCs w:val="21"/>
              </w:rPr>
            </w:pPr>
            <w:r>
              <w:rPr>
                <w:szCs w:val="21"/>
              </w:rPr>
              <w:t>5</w:t>
            </w:r>
          </w:p>
        </w:tc>
      </w:tr>
    </w:tbl>
    <w:p w:rsidR="00C645C9" w:rsidRDefault="00C645C9">
      <w:pPr>
        <w:adjustRightInd w:val="0"/>
        <w:snapToGrid w:val="0"/>
        <w:spacing w:line="360" w:lineRule="auto"/>
        <w:rPr>
          <w:rFonts w:cs="Times New Roman"/>
          <w:bCs/>
          <w:lang w:val="zh-CN"/>
        </w:rPr>
        <w:sectPr w:rsidR="00C645C9">
          <w:pgSz w:w="16838" w:h="11905" w:orient="landscape"/>
          <w:pgMar w:top="1769" w:right="1389" w:bottom="1729" w:left="1202" w:header="935" w:footer="1134" w:gutter="0"/>
          <w:cols w:space="0"/>
          <w:docGrid w:linePitch="312"/>
        </w:sectPr>
      </w:pPr>
    </w:p>
    <w:p w:rsidR="00C645C9" w:rsidRDefault="00F955D9">
      <w:pPr>
        <w:pStyle w:val="3"/>
        <w:widowControl w:val="0"/>
        <w:adjustRightInd w:val="0"/>
        <w:snapToGrid w:val="0"/>
        <w:spacing w:before="0" w:after="0" w:line="360" w:lineRule="auto"/>
        <w:rPr>
          <w:rFonts w:ascii="Times New Roman" w:hAnsi="Times New Roman" w:cs="Times New Roman"/>
          <w:color w:val="auto"/>
          <w:szCs w:val="28"/>
        </w:rPr>
      </w:pPr>
      <w:bookmarkStart w:id="1062" w:name="bookmark20"/>
      <w:bookmarkStart w:id="1063" w:name="_Toc11968"/>
      <w:bookmarkEnd w:id="1062"/>
      <w:r>
        <w:rPr>
          <w:rFonts w:ascii="Times New Roman" w:hAnsi="Times New Roman" w:cs="Times New Roman"/>
          <w:color w:val="auto"/>
          <w:szCs w:val="28"/>
        </w:rPr>
        <w:lastRenderedPageBreak/>
        <w:t>3.</w:t>
      </w:r>
      <w:r>
        <w:rPr>
          <w:rFonts w:ascii="Times New Roman" w:hAnsi="Times New Roman" w:cs="Times New Roman" w:hint="eastAsia"/>
          <w:color w:val="auto"/>
          <w:szCs w:val="28"/>
          <w:lang w:eastAsia="zh-CN"/>
        </w:rPr>
        <w:t>3.7</w:t>
      </w:r>
      <w:r>
        <w:rPr>
          <w:rFonts w:ascii="Times New Roman" w:hAnsi="Times New Roman" w:cs="Times New Roman"/>
          <w:color w:val="auto"/>
          <w:szCs w:val="28"/>
        </w:rPr>
        <w:t>污染物排放</w:t>
      </w:r>
      <w:r>
        <w:rPr>
          <w:rFonts w:ascii="Times New Roman" w:hAnsi="Times New Roman" w:cs="Times New Roman"/>
          <w:color w:val="auto"/>
          <w:szCs w:val="28"/>
        </w:rPr>
        <w:t>“</w:t>
      </w:r>
      <w:r>
        <w:rPr>
          <w:rFonts w:ascii="Times New Roman" w:hAnsi="Times New Roman" w:cs="Times New Roman"/>
          <w:color w:val="auto"/>
          <w:szCs w:val="28"/>
        </w:rPr>
        <w:t>三本账</w:t>
      </w:r>
      <w:r>
        <w:rPr>
          <w:rFonts w:ascii="Times New Roman" w:hAnsi="Times New Roman" w:cs="Times New Roman"/>
          <w:color w:val="auto"/>
          <w:szCs w:val="28"/>
        </w:rPr>
        <w:t>”</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建成后污染物排放变化情况见表</w:t>
      </w:r>
      <w:r>
        <w:rPr>
          <w:rFonts w:ascii="Times New Roman" w:hAnsi="Times New Roman" w:cs="Times New Roman"/>
        </w:rPr>
        <w:t xml:space="preserve"> 3.</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rPr>
        <w:t>2</w:t>
      </w:r>
      <w:r>
        <w:rPr>
          <w:rFonts w:ascii="Times New Roman" w:hAnsi="Times New Roman" w:cs="Times New Roman" w:hint="eastAsia"/>
        </w:rPr>
        <w:t>3</w:t>
      </w:r>
      <w:r>
        <w:rPr>
          <w:rFonts w:ascii="Times New Roman" w:hAnsi="Times New Roman" w:cs="Times New Roman"/>
        </w:rPr>
        <w:t>。</w:t>
      </w:r>
    </w:p>
    <w:p w:rsidR="00C645C9" w:rsidRDefault="00F955D9">
      <w:pPr>
        <w:pStyle w:val="a5"/>
        <w:spacing w:line="240" w:lineRule="auto"/>
        <w:jc w:val="center"/>
        <w:rPr>
          <w:rFonts w:ascii="Times New Roman" w:eastAsia="黑体" w:hAnsi="Times New Roman" w:cs="Times New Roman"/>
          <w:bCs/>
          <w:sz w:val="21"/>
          <w:szCs w:val="21"/>
        </w:rPr>
      </w:pPr>
      <w:bookmarkStart w:id="1064" w:name="bookmark19"/>
      <w:bookmarkEnd w:id="1064"/>
      <w:r>
        <w:rPr>
          <w:rFonts w:ascii="Times New Roman" w:eastAsia="黑体" w:hAnsi="Times New Roman" w:cs="Times New Roman"/>
          <w:kern w:val="2"/>
          <w:sz w:val="21"/>
          <w:szCs w:val="21"/>
          <w:lang w:bidi="ar"/>
        </w:rPr>
        <w:t>表</w:t>
      </w:r>
      <w:r>
        <w:rPr>
          <w:rFonts w:ascii="Times New Roman" w:eastAsia="黑体" w:hAnsi="Times New Roman" w:cs="Times New Roman"/>
          <w:kern w:val="2"/>
          <w:sz w:val="21"/>
          <w:szCs w:val="21"/>
          <w:lang w:bidi="ar"/>
        </w:rPr>
        <w:t>3.</w:t>
      </w:r>
      <w:r>
        <w:rPr>
          <w:rFonts w:ascii="Times New Roman" w:eastAsia="黑体" w:hAnsi="Times New Roman" w:cs="Times New Roman" w:hint="eastAsia"/>
          <w:kern w:val="2"/>
          <w:sz w:val="21"/>
          <w:szCs w:val="21"/>
          <w:lang w:bidi="ar"/>
        </w:rPr>
        <w:t>3</w:t>
      </w:r>
      <w:r>
        <w:rPr>
          <w:rFonts w:ascii="Times New Roman" w:eastAsia="黑体" w:hAnsi="Times New Roman" w:cs="Times New Roman"/>
          <w:kern w:val="2"/>
          <w:sz w:val="21"/>
          <w:szCs w:val="21"/>
          <w:lang w:bidi="ar"/>
        </w:rPr>
        <w:t>-2</w:t>
      </w:r>
      <w:r>
        <w:rPr>
          <w:rFonts w:ascii="Times New Roman" w:eastAsia="黑体" w:hAnsi="Times New Roman" w:cs="Times New Roman" w:hint="eastAsia"/>
          <w:kern w:val="2"/>
          <w:sz w:val="21"/>
          <w:szCs w:val="21"/>
          <w:lang w:bidi="ar"/>
        </w:rPr>
        <w:t>3</w:t>
      </w:r>
      <w:r>
        <w:rPr>
          <w:rFonts w:ascii="Times New Roman" w:eastAsia="黑体" w:hAnsi="Times New Roman" w:cs="Times New Roman"/>
          <w:kern w:val="2"/>
          <w:sz w:val="21"/>
          <w:szCs w:val="21"/>
          <w:lang w:bidi="ar"/>
        </w:rPr>
        <w:t xml:space="preserve">   </w:t>
      </w:r>
      <w:r>
        <w:rPr>
          <w:rFonts w:ascii="Times New Roman" w:eastAsia="黑体" w:hAnsi="Times New Roman" w:cs="Times New Roman"/>
          <w:kern w:val="2"/>
          <w:sz w:val="21"/>
          <w:szCs w:val="21"/>
          <w:lang w:bidi="ar"/>
        </w:rPr>
        <w:t>主</w:t>
      </w:r>
      <w:r>
        <w:rPr>
          <w:rFonts w:ascii="Times New Roman" w:eastAsia="黑体" w:hAnsi="Times New Roman" w:cs="Times New Roman"/>
          <w:bCs/>
          <w:sz w:val="21"/>
          <w:szCs w:val="21"/>
          <w:lang w:bidi="ar"/>
        </w:rPr>
        <w:t>要污染物排放变化情况表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931"/>
        <w:gridCol w:w="1129"/>
        <w:gridCol w:w="1131"/>
        <w:gridCol w:w="1262"/>
        <w:gridCol w:w="1318"/>
        <w:gridCol w:w="1259"/>
      </w:tblGrid>
      <w:tr w:rsidR="00C645C9">
        <w:trPr>
          <w:trHeight w:val="616"/>
          <w:tblHeader/>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类别</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单位</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现有工程排放量</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本</w:t>
            </w:r>
            <w:r>
              <w:rPr>
                <w:rFonts w:hint="eastAsia"/>
                <w:szCs w:val="21"/>
              </w:rPr>
              <w:t>工程</w:t>
            </w:r>
            <w:r>
              <w:rPr>
                <w:szCs w:val="21"/>
              </w:rPr>
              <w:t>排放量</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w:t>
            </w:r>
            <w:r>
              <w:rPr>
                <w:szCs w:val="21"/>
              </w:rPr>
              <w:t>以新带老</w:t>
            </w:r>
            <w:r>
              <w:rPr>
                <w:szCs w:val="21"/>
              </w:rPr>
              <w:t>”</w:t>
            </w:r>
            <w:r>
              <w:rPr>
                <w:szCs w:val="21"/>
              </w:rPr>
              <w:t>消减量</w:t>
            </w:r>
          </w:p>
        </w:tc>
        <w:tc>
          <w:tcPr>
            <w:tcW w:w="76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本</w:t>
            </w:r>
            <w:r>
              <w:rPr>
                <w:rFonts w:hint="eastAsia"/>
                <w:szCs w:val="21"/>
              </w:rPr>
              <w:t>工程</w:t>
            </w:r>
            <w:r>
              <w:rPr>
                <w:szCs w:val="21"/>
              </w:rPr>
              <w:t>实施后排放量</w:t>
            </w:r>
          </w:p>
        </w:tc>
        <w:tc>
          <w:tcPr>
            <w:tcW w:w="73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增减量</w:t>
            </w: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一、废气</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764"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730"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bookmarkStart w:id="1065" w:name="OLE_LINK1163" w:colFirst="2" w:colLast="2"/>
            <w:bookmarkStart w:id="1066" w:name="OLE_LINK1164" w:colFirst="3" w:colLast="3"/>
            <w:bookmarkStart w:id="1067" w:name="OLE_LINK817" w:colFirst="3" w:colLast="3"/>
            <w:bookmarkStart w:id="1068" w:name="OLE_LINK265" w:colFirst="3" w:colLast="3"/>
            <w:bookmarkStart w:id="1069" w:name="OLE_LINK267" w:colFirst="3" w:colLast="3"/>
            <w:r>
              <w:rPr>
                <w:szCs w:val="21"/>
              </w:rPr>
              <w:t>SO</w:t>
            </w:r>
            <w:r>
              <w:rPr>
                <w:szCs w:val="21"/>
                <w:vertAlign w:val="subscript"/>
              </w:rPr>
              <w:t>2</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kern w:val="0"/>
                <w:szCs w:val="21"/>
                <w:lang w:bidi="ar"/>
              </w:rPr>
              <w:t>0.00</w:t>
            </w:r>
            <w:r>
              <w:rPr>
                <w:rFonts w:hint="eastAsia"/>
                <w:kern w:val="0"/>
                <w:szCs w:val="21"/>
                <w:lang w:bidi="ar"/>
              </w:rPr>
              <w:t>1</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0.0</w:t>
            </w:r>
            <w:r>
              <w:rPr>
                <w:rFonts w:hint="eastAsia"/>
                <w:kern w:val="0"/>
                <w:szCs w:val="21"/>
                <w:lang w:bidi="ar"/>
              </w:rPr>
              <w:t>8</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0.0</w:t>
            </w:r>
            <w:r>
              <w:rPr>
                <w:rFonts w:hint="eastAsia"/>
                <w:kern w:val="0"/>
                <w:szCs w:val="21"/>
                <w:lang w:bidi="ar"/>
              </w:rPr>
              <w:t>81</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szCs w:val="21"/>
              </w:rPr>
            </w:pPr>
            <w:r>
              <w:rPr>
                <w:szCs w:val="21"/>
              </w:rPr>
              <w:t>+</w:t>
            </w:r>
            <w:r>
              <w:rPr>
                <w:kern w:val="0"/>
                <w:szCs w:val="21"/>
                <w:lang w:bidi="ar"/>
              </w:rPr>
              <w:t>0.0</w:t>
            </w:r>
            <w:r>
              <w:rPr>
                <w:rFonts w:hint="eastAsia"/>
                <w:kern w:val="0"/>
                <w:szCs w:val="21"/>
                <w:lang w:bidi="ar"/>
              </w:rPr>
              <w:t>8</w:t>
            </w: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NOx</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kern w:val="0"/>
                <w:szCs w:val="21"/>
                <w:lang w:bidi="ar"/>
              </w:rPr>
              <w:t>0.1</w:t>
            </w:r>
            <w:r>
              <w:rPr>
                <w:rFonts w:hint="eastAsia"/>
                <w:kern w:val="0"/>
                <w:szCs w:val="21"/>
                <w:lang w:bidi="ar"/>
              </w:rPr>
              <w:t>571</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w:t>
            </w:r>
            <w:r>
              <w:rPr>
                <w:rFonts w:hint="eastAsia"/>
                <w:kern w:val="0"/>
                <w:szCs w:val="21"/>
                <w:lang w:bidi="ar"/>
              </w:rPr>
              <w:t>6</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w:t>
            </w:r>
            <w:r>
              <w:rPr>
                <w:rFonts w:hint="eastAsia"/>
                <w:kern w:val="0"/>
                <w:szCs w:val="21"/>
                <w:lang w:bidi="ar"/>
              </w:rPr>
              <w:t>7571</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szCs w:val="21"/>
              </w:rPr>
            </w:pPr>
            <w:r>
              <w:rPr>
                <w:szCs w:val="21"/>
              </w:rPr>
              <w:t>+</w:t>
            </w:r>
            <w:r>
              <w:rPr>
                <w:kern w:val="0"/>
                <w:szCs w:val="21"/>
                <w:lang w:bidi="ar"/>
              </w:rPr>
              <w:t>0.</w:t>
            </w:r>
            <w:r>
              <w:rPr>
                <w:rFonts w:hint="eastAsia"/>
                <w:kern w:val="0"/>
                <w:szCs w:val="21"/>
                <w:lang w:bidi="ar"/>
              </w:rPr>
              <w:t>6</w:t>
            </w: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颗粒物</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rFonts w:hint="eastAsia"/>
                <w:kern w:val="0"/>
                <w:szCs w:val="21"/>
                <w:lang w:bidi="ar"/>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w:t>
            </w:r>
            <w:r>
              <w:rPr>
                <w:rFonts w:hint="eastAsia"/>
                <w:kern w:val="0"/>
                <w:szCs w:val="21"/>
                <w:lang w:bidi="ar"/>
              </w:rPr>
              <w:t>0</w:t>
            </w:r>
            <w:r>
              <w:rPr>
                <w:rFonts w:hint="eastAsia"/>
                <w:kern w:val="0"/>
                <w:szCs w:val="21"/>
                <w:lang w:bidi="ar"/>
              </w:rPr>
              <w:t>8</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kern w:val="0"/>
                <w:szCs w:val="21"/>
                <w:lang w:bidi="ar"/>
              </w:rPr>
            </w:pPr>
            <w:r>
              <w:rPr>
                <w:kern w:val="0"/>
                <w:szCs w:val="21"/>
                <w:lang w:bidi="ar"/>
              </w:rPr>
              <w:t>0.</w:t>
            </w:r>
            <w:r>
              <w:rPr>
                <w:rFonts w:hint="eastAsia"/>
                <w:kern w:val="0"/>
                <w:szCs w:val="21"/>
                <w:lang w:bidi="ar"/>
              </w:rPr>
              <w:t>0</w:t>
            </w:r>
            <w:r>
              <w:rPr>
                <w:rFonts w:hint="eastAsia"/>
                <w:kern w:val="0"/>
                <w:szCs w:val="21"/>
                <w:lang w:bidi="ar"/>
              </w:rPr>
              <w:t>8</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rPr>
                <w:szCs w:val="21"/>
              </w:rPr>
            </w:pPr>
            <w:r>
              <w:rPr>
                <w:szCs w:val="21"/>
              </w:rPr>
              <w:t>+</w:t>
            </w:r>
            <w:r>
              <w:rPr>
                <w:kern w:val="0"/>
                <w:szCs w:val="21"/>
                <w:lang w:bidi="ar"/>
              </w:rPr>
              <w:t>0.</w:t>
            </w:r>
            <w:r>
              <w:rPr>
                <w:rFonts w:hint="eastAsia"/>
                <w:kern w:val="0"/>
                <w:szCs w:val="21"/>
                <w:lang w:bidi="ar"/>
              </w:rPr>
              <w:t>0</w:t>
            </w:r>
            <w:r>
              <w:rPr>
                <w:rFonts w:hint="eastAsia"/>
                <w:kern w:val="0"/>
                <w:szCs w:val="21"/>
                <w:lang w:bidi="ar"/>
              </w:rPr>
              <w:t>8</w:t>
            </w: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bookmarkStart w:id="1070" w:name="OLE_LINK816"/>
            <w:r>
              <w:rPr>
                <w:szCs w:val="21"/>
              </w:rPr>
              <w:t>非甲烷总烃</w:t>
            </w:r>
            <w:bookmarkEnd w:id="1070"/>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rFonts w:hint="eastAsia"/>
                <w:szCs w:val="21"/>
              </w:rPr>
              <w:t>0.9056</w:t>
            </w:r>
          </w:p>
        </w:tc>
        <w:tc>
          <w:tcPr>
            <w:tcW w:w="656"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bookmarkStart w:id="1071" w:name="OLE_LINK1105"/>
            <w:r>
              <w:rPr>
                <w:rFonts w:hint="eastAsia"/>
                <w:kern w:val="0"/>
                <w:szCs w:val="21"/>
                <w:lang w:bidi="ar"/>
              </w:rPr>
              <w:t>8.462</w:t>
            </w:r>
            <w:bookmarkEnd w:id="1071"/>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rFonts w:hint="eastAsia"/>
                <w:kern w:val="0"/>
                <w:szCs w:val="21"/>
                <w:lang w:bidi="ar"/>
              </w:rPr>
              <w:t>9.3676</w:t>
            </w:r>
          </w:p>
        </w:tc>
        <w:tc>
          <w:tcPr>
            <w:tcW w:w="1260" w:type="dxa"/>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szCs w:val="21"/>
              </w:rPr>
              <w:t>+</w:t>
            </w:r>
            <w:r>
              <w:rPr>
                <w:rFonts w:hint="eastAsia"/>
                <w:kern w:val="0"/>
                <w:szCs w:val="21"/>
                <w:lang w:bidi="ar"/>
              </w:rPr>
              <w:t>8.462</w:t>
            </w:r>
          </w:p>
        </w:tc>
      </w:tr>
      <w:bookmarkEnd w:id="1065"/>
      <w:bookmarkEnd w:id="1066"/>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H</w:t>
            </w:r>
            <w:r>
              <w:rPr>
                <w:szCs w:val="21"/>
                <w:vertAlign w:val="subscript"/>
              </w:rPr>
              <w:t>2</w:t>
            </w:r>
            <w:r>
              <w:rPr>
                <w:szCs w:val="21"/>
              </w:rPr>
              <w:t>S</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rFonts w:hint="eastAsia"/>
                <w:szCs w:val="21"/>
              </w:rPr>
              <w:t>0.002</w:t>
            </w:r>
          </w:p>
        </w:tc>
        <w:tc>
          <w:tcPr>
            <w:tcW w:w="656" w:type="pct"/>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bookmarkStart w:id="1072" w:name="OLE_LINK404"/>
            <w:r>
              <w:rPr>
                <w:rFonts w:hint="eastAsia"/>
                <w:szCs w:val="21"/>
              </w:rPr>
              <w:t>2</w:t>
            </w:r>
            <w:r>
              <w:rPr>
                <w:szCs w:val="21"/>
              </w:rPr>
              <w:t>×</w:t>
            </w:r>
            <w:r>
              <w:rPr>
                <w:rFonts w:hint="eastAsia"/>
                <w:szCs w:val="21"/>
              </w:rPr>
              <w:t>10</w:t>
            </w:r>
            <w:r>
              <w:rPr>
                <w:rFonts w:hint="eastAsia"/>
                <w:szCs w:val="21"/>
                <w:vertAlign w:val="superscript"/>
              </w:rPr>
              <w:t>-4</w:t>
            </w:r>
            <w:bookmarkEnd w:id="1072"/>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rFonts w:hint="eastAsia"/>
                <w:szCs w:val="21"/>
              </w:rPr>
              <w:t>0.0022</w:t>
            </w:r>
          </w:p>
        </w:tc>
        <w:tc>
          <w:tcPr>
            <w:tcW w:w="1260" w:type="dxa"/>
            <w:tcBorders>
              <w:top w:val="single" w:sz="4" w:space="0" w:color="auto"/>
              <w:left w:val="single" w:sz="4" w:space="0" w:color="auto"/>
              <w:bottom w:val="single" w:sz="4" w:space="0" w:color="auto"/>
              <w:right w:val="single" w:sz="4" w:space="0" w:color="auto"/>
            </w:tcBorders>
          </w:tcPr>
          <w:p w:rsidR="00C645C9" w:rsidRDefault="00F955D9">
            <w:pPr>
              <w:pStyle w:val="afa"/>
              <w:shd w:val="clear" w:color="auto" w:fill="auto"/>
              <w:rPr>
                <w:szCs w:val="21"/>
              </w:rPr>
            </w:pPr>
            <w:r>
              <w:rPr>
                <w:szCs w:val="21"/>
              </w:rPr>
              <w:t>+</w:t>
            </w:r>
            <w:r>
              <w:rPr>
                <w:rFonts w:hint="eastAsia"/>
                <w:szCs w:val="21"/>
              </w:rPr>
              <w:t>2</w:t>
            </w:r>
            <w:r>
              <w:rPr>
                <w:szCs w:val="21"/>
              </w:rPr>
              <w:t>×</w:t>
            </w:r>
            <w:r>
              <w:rPr>
                <w:rFonts w:hint="eastAsia"/>
                <w:szCs w:val="21"/>
              </w:rPr>
              <w:t>10</w:t>
            </w:r>
            <w:r>
              <w:rPr>
                <w:rFonts w:hint="eastAsia"/>
                <w:szCs w:val="21"/>
                <w:vertAlign w:val="superscript"/>
              </w:rPr>
              <w:t>-4</w:t>
            </w:r>
          </w:p>
        </w:tc>
      </w:tr>
      <w:bookmarkEnd w:id="1067"/>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二、废水</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r>
      <w:tr w:rsidR="00C645C9">
        <w:trPr>
          <w:trHeight w:val="23"/>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生产废水</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w:t>
            </w:r>
            <w:r>
              <w:rPr>
                <w:rFonts w:hint="eastAsia"/>
                <w:szCs w:val="21"/>
              </w:rPr>
              <w:t>d</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cs="Times New Roman"/>
                <w:sz w:val="21"/>
                <w:szCs w:val="21"/>
              </w:rPr>
            </w:pPr>
            <w:r>
              <w:rPr>
                <w:rFonts w:cs="Times New Roman"/>
                <w:sz w:val="21"/>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pacing w:val="4"/>
                <w:kern w:val="24"/>
                <w:szCs w:val="21"/>
              </w:rPr>
              <w:t>0.5</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pacing w:val="4"/>
                <w:kern w:val="24"/>
                <w:szCs w:val="21"/>
              </w:rPr>
              <w:t>0.5</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bookmarkStart w:id="1073" w:name="OLE_LINK818"/>
            <w:r>
              <w:rPr>
                <w:szCs w:val="21"/>
              </w:rPr>
              <w:t>+</w:t>
            </w:r>
            <w:bookmarkEnd w:id="1073"/>
            <w:r>
              <w:rPr>
                <w:spacing w:val="4"/>
                <w:kern w:val="24"/>
                <w:szCs w:val="21"/>
              </w:rPr>
              <w:t>0.5</w:t>
            </w:r>
          </w:p>
        </w:tc>
      </w:tr>
      <w:tr w:rsidR="00C645C9">
        <w:trPr>
          <w:trHeight w:val="131"/>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井下作业废水</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w:t>
            </w:r>
            <w:r>
              <w:rPr>
                <w:szCs w:val="21"/>
              </w:rPr>
              <w:t>/a</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cs="Times New Roman"/>
                <w:sz w:val="21"/>
                <w:szCs w:val="21"/>
              </w:rPr>
            </w:pPr>
            <w:r>
              <w:rPr>
                <w:rFonts w:cs="Times New Roman"/>
                <w:sz w:val="21"/>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13.565</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13.565</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+13.565</w:t>
            </w:r>
          </w:p>
        </w:tc>
      </w:tr>
      <w:tr w:rsidR="00C645C9">
        <w:trPr>
          <w:trHeight w:val="227"/>
          <w:jc w:val="center"/>
        </w:trPr>
        <w:tc>
          <w:tcPr>
            <w:tcW w:w="92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三、固废</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C645C9">
            <w:pPr>
              <w:pStyle w:val="afa"/>
              <w:shd w:val="clear" w:color="auto" w:fill="auto"/>
              <w:rPr>
                <w:szCs w:val="21"/>
              </w:rPr>
            </w:pPr>
          </w:p>
        </w:tc>
      </w:tr>
      <w:tr w:rsidR="00C645C9">
        <w:trPr>
          <w:trHeight w:val="226"/>
          <w:jc w:val="center"/>
        </w:trPr>
        <w:tc>
          <w:tcPr>
            <w:tcW w:w="159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落地油</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rFonts w:hint="eastAsia"/>
                <w:szCs w:val="21"/>
              </w:rPr>
              <w:t>0.1</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rFonts w:hint="eastAsia"/>
                <w:szCs w:val="21"/>
              </w:rPr>
              <w:t>0.1</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w:t>
            </w:r>
            <w:r>
              <w:rPr>
                <w:rFonts w:hint="eastAsia"/>
                <w:szCs w:val="21"/>
              </w:rPr>
              <w:t>0.1</w:t>
            </w:r>
          </w:p>
        </w:tc>
      </w:tr>
      <w:tr w:rsidR="00C645C9">
        <w:trPr>
          <w:trHeight w:val="226"/>
          <w:jc w:val="center"/>
        </w:trPr>
        <w:tc>
          <w:tcPr>
            <w:tcW w:w="159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废防渗材料</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r>
              <w:rPr>
                <w:rFonts w:hint="eastAsia"/>
                <w:szCs w:val="21"/>
              </w:rPr>
              <w:t>25</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r>
              <w:rPr>
                <w:rFonts w:hint="eastAsia"/>
                <w:szCs w:val="21"/>
              </w:rPr>
              <w:t>25</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r>
              <w:rPr>
                <w:rFonts w:hint="eastAsia"/>
                <w:szCs w:val="21"/>
              </w:rPr>
              <w:t>25</w:t>
            </w:r>
          </w:p>
        </w:tc>
      </w:tr>
      <w:tr w:rsidR="00C645C9">
        <w:trPr>
          <w:trHeight w:val="226"/>
          <w:jc w:val="center"/>
        </w:trPr>
        <w:tc>
          <w:tcPr>
            <w:tcW w:w="159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bookmarkStart w:id="1074" w:name="OLE_LINK269" w:colFirst="1" w:colLast="2"/>
            <w:r>
              <w:rPr>
                <w:szCs w:val="21"/>
              </w:rPr>
              <w:t>清罐底泥</w:t>
            </w:r>
          </w:p>
        </w:tc>
        <w:tc>
          <w:tcPr>
            <w:tcW w:w="539"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654"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0.1</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0.1</w:t>
            </w:r>
          </w:p>
        </w:tc>
        <w:tc>
          <w:tcPr>
            <w:tcW w:w="126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+0.1</w:t>
            </w:r>
          </w:p>
        </w:tc>
      </w:tr>
      <w:bookmarkEnd w:id="1068"/>
      <w:bookmarkEnd w:id="1074"/>
      <w:tr w:rsidR="00C645C9">
        <w:trPr>
          <w:trHeight w:val="226"/>
          <w:jc w:val="center"/>
        </w:trPr>
        <w:tc>
          <w:tcPr>
            <w:tcW w:w="1591"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废润滑油</w:t>
            </w:r>
          </w:p>
        </w:tc>
        <w:tc>
          <w:tcPr>
            <w:tcW w:w="930"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t/a</w:t>
            </w:r>
          </w:p>
        </w:tc>
        <w:tc>
          <w:tcPr>
            <w:tcW w:w="1129"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szCs w:val="21"/>
              </w:rPr>
              <w:t>0</w:t>
            </w:r>
          </w:p>
        </w:tc>
        <w:tc>
          <w:tcPr>
            <w:tcW w:w="65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rFonts w:hint="eastAsia"/>
                <w:szCs w:val="21"/>
              </w:rPr>
              <w:t>0.5</w:t>
            </w:r>
          </w:p>
        </w:tc>
        <w:tc>
          <w:tcPr>
            <w:tcW w:w="732"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rFonts w:hint="eastAsia"/>
                <w:szCs w:val="21"/>
              </w:rPr>
              <w:t>0</w:t>
            </w:r>
          </w:p>
        </w:tc>
        <w:tc>
          <w:tcPr>
            <w:tcW w:w="1318" w:type="dxa"/>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r>
              <w:rPr>
                <w:rFonts w:hint="eastAsia"/>
                <w:szCs w:val="21"/>
              </w:rPr>
              <w:t>0.5</w:t>
            </w:r>
          </w:p>
        </w:tc>
        <w:tc>
          <w:tcPr>
            <w:tcW w:w="73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a"/>
              <w:shd w:val="clear" w:color="auto" w:fill="auto"/>
              <w:rPr>
                <w:szCs w:val="21"/>
              </w:rPr>
            </w:pPr>
            <w:bookmarkStart w:id="1075" w:name="OLE_LINK266"/>
            <w:r>
              <w:rPr>
                <w:szCs w:val="21"/>
              </w:rPr>
              <w:t>+</w:t>
            </w:r>
            <w:bookmarkEnd w:id="1075"/>
            <w:r>
              <w:rPr>
                <w:rFonts w:hint="eastAsia"/>
                <w:szCs w:val="21"/>
              </w:rPr>
              <w:t>0.5</w:t>
            </w:r>
          </w:p>
        </w:tc>
      </w:tr>
    </w:tbl>
    <w:bookmarkEnd w:id="1069"/>
    <w:p w:rsidR="00C645C9" w:rsidRDefault="00F955D9">
      <w:pPr>
        <w:pStyle w:val="3"/>
        <w:widowControl w:val="0"/>
        <w:adjustRightInd w:val="0"/>
        <w:snapToGrid w:val="0"/>
        <w:spacing w:after="0" w:line="360" w:lineRule="auto"/>
        <w:rPr>
          <w:rFonts w:ascii="Times New Roman" w:hAnsi="Times New Roman" w:cs="Times New Roman"/>
          <w:color w:val="auto"/>
          <w:szCs w:val="28"/>
        </w:rPr>
      </w:pPr>
      <w:r>
        <w:rPr>
          <w:rFonts w:ascii="Times New Roman" w:hAnsi="Times New Roman" w:cs="Times New Roman"/>
          <w:color w:val="auto"/>
          <w:szCs w:val="28"/>
        </w:rPr>
        <w:t>3.</w:t>
      </w:r>
      <w:bookmarkEnd w:id="1063"/>
      <w:r>
        <w:rPr>
          <w:rFonts w:ascii="Times New Roman" w:hAnsi="Times New Roman" w:cs="Times New Roman" w:hint="eastAsia"/>
          <w:color w:val="auto"/>
          <w:szCs w:val="28"/>
          <w:lang w:eastAsia="zh-CN"/>
        </w:rPr>
        <w:t>3.8</w:t>
      </w:r>
      <w:r>
        <w:rPr>
          <w:rFonts w:ascii="Times New Roman" w:hAnsi="Times New Roman" w:cs="Times New Roman"/>
          <w:color w:val="auto"/>
          <w:szCs w:val="28"/>
        </w:rPr>
        <w:t>污染物总量控制分析</w:t>
      </w:r>
    </w:p>
    <w:p w:rsidR="00C645C9" w:rsidRDefault="00F955D9">
      <w:pPr>
        <w:pStyle w:val="4"/>
        <w:widowControl w:val="0"/>
        <w:adjustRightInd w:val="0"/>
        <w:snapToGrid w:val="0"/>
        <w:rPr>
          <w:rFonts w:ascii="Times New Roman" w:hAnsi="Times New Roman" w:cs="Times New Roman"/>
          <w:color w:val="auto"/>
        </w:rPr>
      </w:pPr>
      <w:bookmarkStart w:id="1076" w:name="_Toc22022"/>
      <w:bookmarkStart w:id="1077" w:name="_Toc14728"/>
      <w:bookmarkStart w:id="1078" w:name="_Toc3640"/>
      <w:r>
        <w:rPr>
          <w:rFonts w:ascii="Times New Roman" w:hAnsi="Times New Roman" w:cs="Times New Roman"/>
          <w:color w:val="auto"/>
        </w:rPr>
        <w:t>3.</w:t>
      </w:r>
      <w:r>
        <w:rPr>
          <w:rFonts w:ascii="Times New Roman" w:hAnsi="Times New Roman" w:cs="Times New Roman" w:hint="eastAsia"/>
          <w:color w:val="auto"/>
          <w:lang w:eastAsia="zh-CN"/>
        </w:rPr>
        <w:t>3.8.1</w:t>
      </w:r>
      <w:r>
        <w:rPr>
          <w:rFonts w:ascii="Times New Roman" w:hAnsi="Times New Roman" w:cs="Times New Roman"/>
          <w:color w:val="auto"/>
        </w:rPr>
        <w:t>总量控制原则</w:t>
      </w:r>
      <w:bookmarkEnd w:id="1076"/>
      <w:bookmarkEnd w:id="1077"/>
      <w:bookmarkEnd w:id="1078"/>
    </w:p>
    <w:p w:rsidR="00C645C9" w:rsidRDefault="00F955D9">
      <w:pPr>
        <w:pStyle w:val="a5"/>
        <w:widowControl w:val="0"/>
        <w:snapToGrid w:val="0"/>
        <w:ind w:firstLineChars="200" w:firstLine="480"/>
        <w:rPr>
          <w:rFonts w:ascii="Times New Roman" w:hAnsi="Times New Roman" w:cs="Times New Roman"/>
        </w:rPr>
      </w:pPr>
      <w:bookmarkStart w:id="1079" w:name="OLE_LINK263"/>
      <w:r>
        <w:rPr>
          <w:rFonts w:ascii="Times New Roman" w:hAnsi="Times New Roman" w:cs="Times New Roman"/>
        </w:rPr>
        <w:t>对污</w:t>
      </w:r>
      <w:bookmarkEnd w:id="1079"/>
      <w:r>
        <w:rPr>
          <w:rFonts w:ascii="Times New Roman" w:hAnsi="Times New Roman" w:cs="Times New Roman"/>
        </w:rPr>
        <w:t>染物排放总量进行控制的原则是：</w:t>
      </w:r>
      <w:r>
        <w:rPr>
          <w:rFonts w:ascii="Times New Roman" w:hAnsi="Times New Roman" w:cs="Times New Roman"/>
        </w:rPr>
        <w:t xml:space="preserve"> </w:t>
      </w:r>
      <w:r>
        <w:rPr>
          <w:rFonts w:ascii="Times New Roman" w:hAnsi="Times New Roman" w:cs="Times New Roman"/>
        </w:rPr>
        <w:t>将给定区域内污染源的污染物排放负</w:t>
      </w:r>
      <w:r>
        <w:rPr>
          <w:rFonts w:ascii="Times New Roman" w:hAnsi="Times New Roman" w:cs="Times New Roman"/>
        </w:rPr>
        <w:t xml:space="preserve"> </w:t>
      </w:r>
      <w:r>
        <w:rPr>
          <w:rFonts w:ascii="Times New Roman" w:hAnsi="Times New Roman" w:cs="Times New Roman"/>
        </w:rPr>
        <w:t>荷控制在一定数量之内，</w:t>
      </w:r>
      <w:r>
        <w:rPr>
          <w:rFonts w:ascii="Times New Roman" w:hAnsi="Times New Roman" w:cs="Times New Roman"/>
        </w:rPr>
        <w:t xml:space="preserve"> </w:t>
      </w:r>
      <w:r>
        <w:rPr>
          <w:rFonts w:ascii="Times New Roman" w:hAnsi="Times New Roman" w:cs="Times New Roman"/>
        </w:rPr>
        <w:t>使环境质量可以达到规定的环境目标。污染物总量控制</w:t>
      </w:r>
      <w:r>
        <w:rPr>
          <w:rFonts w:ascii="Times New Roman" w:hAnsi="Times New Roman" w:cs="Times New Roman"/>
        </w:rPr>
        <w:t xml:space="preserve"> </w:t>
      </w:r>
      <w:r>
        <w:rPr>
          <w:rFonts w:ascii="Times New Roman" w:hAnsi="Times New Roman" w:cs="Times New Roman"/>
        </w:rPr>
        <w:t>方案的确定，在考虑污染物种类、污染源影响范围、区域环境质量、环境功能以及环境管理要求等因素的基础上，</w:t>
      </w:r>
      <w:r>
        <w:rPr>
          <w:rFonts w:ascii="Times New Roman" w:hAnsi="Times New Roman" w:cs="Times New Roman"/>
        </w:rPr>
        <w:t xml:space="preserve"> </w:t>
      </w:r>
      <w:r>
        <w:rPr>
          <w:rFonts w:ascii="Times New Roman" w:hAnsi="Times New Roman" w:cs="Times New Roman"/>
        </w:rPr>
        <w:t>结合项目实际条件和控制措施的经济技术可行</w:t>
      </w:r>
    </w:p>
    <w:p w:rsidR="00C645C9" w:rsidRDefault="00F955D9">
      <w:pPr>
        <w:pStyle w:val="a5"/>
        <w:widowControl w:val="0"/>
        <w:snapToGrid w:val="0"/>
        <w:rPr>
          <w:rFonts w:ascii="Times New Roman" w:hAnsi="Times New Roman" w:cs="Times New Roman"/>
          <w:sz w:val="21"/>
        </w:rPr>
      </w:pPr>
      <w:r>
        <w:rPr>
          <w:rFonts w:ascii="Times New Roman" w:hAnsi="Times New Roman" w:cs="Times New Roman"/>
        </w:rPr>
        <w:t>性进行。</w:t>
      </w:r>
    </w:p>
    <w:p w:rsidR="00C645C9" w:rsidRDefault="00F955D9">
      <w:pPr>
        <w:pStyle w:val="4"/>
        <w:widowControl w:val="0"/>
        <w:adjustRightInd w:val="0"/>
        <w:snapToGrid w:val="0"/>
        <w:rPr>
          <w:rFonts w:ascii="Times New Roman" w:hAnsi="Times New Roman" w:cs="Times New Roman"/>
          <w:color w:val="auto"/>
          <w:lang w:eastAsia="zh-CN"/>
        </w:rPr>
      </w:pPr>
      <w:bookmarkStart w:id="1080" w:name="_Toc27685"/>
      <w:bookmarkStart w:id="1081" w:name="_Toc15211"/>
      <w:bookmarkStart w:id="1082" w:name="_Toc17395"/>
      <w:r>
        <w:rPr>
          <w:rFonts w:ascii="Times New Roman" w:hAnsi="Times New Roman" w:cs="Times New Roman"/>
          <w:color w:val="auto"/>
          <w:lang w:eastAsia="zh-CN"/>
        </w:rPr>
        <w:t>3.</w:t>
      </w:r>
      <w:bookmarkEnd w:id="1080"/>
      <w:r>
        <w:rPr>
          <w:rFonts w:ascii="Times New Roman" w:hAnsi="Times New Roman" w:cs="Times New Roman" w:hint="eastAsia"/>
          <w:color w:val="auto"/>
          <w:lang w:eastAsia="zh-CN"/>
        </w:rPr>
        <w:t>3.8.2</w:t>
      </w:r>
      <w:r>
        <w:rPr>
          <w:rFonts w:ascii="Times New Roman" w:hAnsi="Times New Roman" w:cs="Times New Roman"/>
          <w:color w:val="auto"/>
          <w:lang w:eastAsia="zh-CN"/>
        </w:rPr>
        <w:t>污染物总量控制因子</w:t>
      </w:r>
      <w:bookmarkEnd w:id="1081"/>
      <w:bookmarkEnd w:id="1082"/>
      <w:r>
        <w:rPr>
          <w:rFonts w:ascii="Times New Roman" w:hAnsi="Times New Roman" w:cs="Times New Roman"/>
          <w:color w:val="auto"/>
          <w:lang w:eastAsia="zh-CN"/>
        </w:rPr>
        <w:t xml:space="preserve"> </w:t>
      </w:r>
    </w:p>
    <w:p w:rsidR="00C645C9" w:rsidRDefault="00F955D9">
      <w:pPr>
        <w:pStyle w:val="aff"/>
        <w:widowControl w:val="0"/>
        <w:adjustRightInd w:val="0"/>
        <w:snapToGrid w:val="0"/>
        <w:rPr>
          <w:rFonts w:cs="Times New Roman"/>
          <w:snapToGrid/>
          <w:color w:val="auto"/>
        </w:rPr>
      </w:pPr>
      <w:bookmarkStart w:id="1083" w:name="_Hlk57195659"/>
      <w:bookmarkStart w:id="1084" w:name="_Hlk57195809"/>
      <w:r>
        <w:rPr>
          <w:rFonts w:cs="Times New Roman"/>
          <w:snapToGrid/>
          <w:color w:val="auto"/>
        </w:rPr>
        <w:t>根据国家</w:t>
      </w:r>
      <w:r>
        <w:rPr>
          <w:rFonts w:cs="Times New Roman" w:hint="eastAsia"/>
          <w:snapToGrid/>
          <w:color w:val="auto"/>
        </w:rPr>
        <w:t>“</w:t>
      </w:r>
      <w:r>
        <w:rPr>
          <w:rFonts w:cs="Times New Roman"/>
          <w:snapToGrid/>
          <w:color w:val="auto"/>
        </w:rPr>
        <w:t>十四五</w:t>
      </w:r>
      <w:r>
        <w:rPr>
          <w:rFonts w:cs="Times New Roman" w:hint="eastAsia"/>
          <w:snapToGrid/>
          <w:color w:val="auto"/>
        </w:rPr>
        <w:t>”</w:t>
      </w:r>
      <w:r>
        <w:rPr>
          <w:rFonts w:cs="Times New Roman"/>
          <w:snapToGrid/>
          <w:color w:val="auto"/>
        </w:rPr>
        <w:t>污染物排放总量控制要求，污染物排放总量控制因子如下：</w:t>
      </w:r>
    </w:p>
    <w:p w:rsidR="00C645C9" w:rsidRDefault="00F955D9">
      <w:pPr>
        <w:pStyle w:val="aff"/>
        <w:widowControl w:val="0"/>
        <w:adjustRightInd w:val="0"/>
        <w:snapToGrid w:val="0"/>
        <w:rPr>
          <w:rFonts w:cs="Times New Roman"/>
          <w:snapToGrid/>
          <w:color w:val="auto"/>
        </w:rPr>
      </w:pPr>
      <w:r>
        <w:rPr>
          <w:rFonts w:cs="Times New Roman"/>
          <w:snapToGrid/>
          <w:color w:val="auto"/>
        </w:rPr>
        <w:t>废气污染物：</w:t>
      </w:r>
      <w:r>
        <w:rPr>
          <w:rFonts w:cs="Times New Roman"/>
          <w:snapToGrid/>
          <w:color w:val="auto"/>
        </w:rPr>
        <w:t>NO</w:t>
      </w:r>
      <w:r>
        <w:rPr>
          <w:rFonts w:cs="Times New Roman"/>
          <w:snapToGrid/>
          <w:color w:val="auto"/>
          <w:vertAlign w:val="subscript"/>
        </w:rPr>
        <w:t>X</w:t>
      </w:r>
      <w:r>
        <w:rPr>
          <w:rFonts w:cs="Times New Roman"/>
          <w:snapToGrid/>
          <w:color w:val="auto"/>
        </w:rPr>
        <w:t>、</w:t>
      </w:r>
      <w:r>
        <w:rPr>
          <w:rFonts w:cs="Times New Roman"/>
          <w:snapToGrid/>
          <w:color w:val="auto"/>
        </w:rPr>
        <w:t>VOCs</w:t>
      </w:r>
      <w:r>
        <w:rPr>
          <w:rFonts w:cs="Times New Roman"/>
          <w:snapToGrid/>
          <w:color w:val="auto"/>
        </w:rPr>
        <w:t>。</w:t>
      </w:r>
    </w:p>
    <w:p w:rsidR="00C645C9" w:rsidRDefault="00F955D9">
      <w:pPr>
        <w:pStyle w:val="aff"/>
        <w:widowControl w:val="0"/>
        <w:adjustRightInd w:val="0"/>
        <w:snapToGrid w:val="0"/>
        <w:jc w:val="both"/>
        <w:rPr>
          <w:rFonts w:cs="Times New Roman"/>
          <w:snapToGrid/>
          <w:color w:val="auto"/>
        </w:rPr>
      </w:pPr>
      <w:r>
        <w:rPr>
          <w:rFonts w:cs="Times New Roman"/>
          <w:snapToGrid/>
          <w:color w:val="auto"/>
        </w:rPr>
        <w:t>废水污染物：</w:t>
      </w:r>
      <w:r>
        <w:rPr>
          <w:rFonts w:cs="Times New Roman"/>
          <w:snapToGrid/>
          <w:color w:val="auto"/>
        </w:rPr>
        <w:t>COD</w:t>
      </w:r>
      <w:r>
        <w:rPr>
          <w:rFonts w:cs="Times New Roman"/>
          <w:snapToGrid/>
          <w:color w:val="auto"/>
        </w:rPr>
        <w:t>、</w:t>
      </w:r>
      <w:r>
        <w:rPr>
          <w:rFonts w:cs="Times New Roman"/>
          <w:snapToGrid/>
          <w:color w:val="auto"/>
        </w:rPr>
        <w:t>NH</w:t>
      </w:r>
      <w:r>
        <w:rPr>
          <w:rFonts w:cs="Times New Roman"/>
          <w:snapToGrid/>
          <w:color w:val="auto"/>
          <w:vertAlign w:val="subscript"/>
        </w:rPr>
        <w:t>3</w:t>
      </w:r>
      <w:r>
        <w:rPr>
          <w:rFonts w:cs="Times New Roman"/>
          <w:snapToGrid/>
          <w:color w:val="auto"/>
        </w:rPr>
        <w:t>-N</w:t>
      </w:r>
      <w:r>
        <w:rPr>
          <w:rFonts w:cs="Times New Roman"/>
          <w:snapToGrid/>
          <w:color w:val="auto"/>
        </w:rPr>
        <w:t>。</w:t>
      </w:r>
    </w:p>
    <w:bookmarkEnd w:id="1083"/>
    <w:bookmarkEnd w:id="1084"/>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1</w:t>
      </w:r>
      <w:r>
        <w:rPr>
          <w:rFonts w:cs="Times New Roman"/>
        </w:rPr>
        <w:t>）废气污染物</w:t>
      </w:r>
      <w:r>
        <w:rPr>
          <w:rFonts w:cs="Times New Roman"/>
        </w:rPr>
        <w:t xml:space="preserve"> </w:t>
      </w:r>
    </w:p>
    <w:p w:rsidR="00C645C9" w:rsidRDefault="00F955D9">
      <w:pPr>
        <w:pStyle w:val="aff"/>
        <w:jc w:val="both"/>
        <w:rPr>
          <w:rFonts w:cs="Times New Roman"/>
          <w:snapToGrid/>
          <w:color w:val="auto"/>
        </w:rPr>
      </w:pPr>
      <w:r>
        <w:rPr>
          <w:rFonts w:cs="Times New Roman"/>
          <w:snapToGrid/>
          <w:color w:val="auto"/>
        </w:rPr>
        <w:t>本</w:t>
      </w:r>
      <w:r>
        <w:rPr>
          <w:rFonts w:cs="Times New Roman" w:hint="eastAsia"/>
          <w:snapToGrid/>
          <w:color w:val="auto"/>
        </w:rPr>
        <w:t>工程天然气</w:t>
      </w:r>
      <w:r>
        <w:rPr>
          <w:rFonts w:cs="Times New Roman"/>
          <w:snapToGrid/>
          <w:color w:val="auto"/>
        </w:rPr>
        <w:t>处理采用</w:t>
      </w:r>
      <w:r>
        <w:rPr>
          <w:rFonts w:cs="Times New Roman" w:hint="eastAsia"/>
          <w:snapToGrid/>
          <w:color w:val="auto"/>
        </w:rPr>
        <w:t>拉运</w:t>
      </w:r>
      <w:r>
        <w:rPr>
          <w:rFonts w:cs="Times New Roman"/>
          <w:snapToGrid/>
          <w:color w:val="auto"/>
        </w:rPr>
        <w:t>工艺，井场内</w:t>
      </w:r>
      <w:r>
        <w:rPr>
          <w:rFonts w:cs="Times New Roman" w:hint="eastAsia"/>
          <w:snapToGrid/>
          <w:color w:val="auto"/>
        </w:rPr>
        <w:t>新建水套</w:t>
      </w:r>
      <w:bookmarkStart w:id="1085" w:name="OLE_LINK435"/>
      <w:r>
        <w:rPr>
          <w:rFonts w:cs="Times New Roman"/>
          <w:snapToGrid/>
          <w:color w:val="auto"/>
        </w:rPr>
        <w:t>加热炉</w:t>
      </w:r>
      <w:bookmarkEnd w:id="1085"/>
      <w:r>
        <w:rPr>
          <w:rFonts w:cs="Times New Roman"/>
          <w:snapToGrid/>
          <w:color w:val="auto"/>
        </w:rPr>
        <w:t>，</w:t>
      </w:r>
      <w:r>
        <w:rPr>
          <w:rFonts w:cs="Times New Roman" w:hint="eastAsia"/>
          <w:color w:val="auto"/>
        </w:rPr>
        <w:t>凝析油采用罐车拉运</w:t>
      </w:r>
      <w:r>
        <w:rPr>
          <w:rFonts w:cs="Times New Roman"/>
          <w:color w:val="auto"/>
        </w:rPr>
        <w:t>，主要废气污染物为</w:t>
      </w:r>
      <w:r>
        <w:rPr>
          <w:rFonts w:cs="Times New Roman" w:hint="eastAsia"/>
          <w:color w:val="auto"/>
        </w:rPr>
        <w:t>井场内</w:t>
      </w:r>
      <w:r>
        <w:rPr>
          <w:rFonts w:cs="Times New Roman"/>
          <w:snapToGrid/>
          <w:color w:val="auto"/>
        </w:rPr>
        <w:t>加热炉</w:t>
      </w:r>
      <w:r>
        <w:rPr>
          <w:rFonts w:cs="Times New Roman" w:hint="eastAsia"/>
          <w:snapToGrid/>
          <w:color w:val="auto"/>
        </w:rPr>
        <w:t>有组织</w:t>
      </w:r>
      <w:r>
        <w:rPr>
          <w:rFonts w:cs="Times New Roman"/>
          <w:color w:val="auto"/>
        </w:rPr>
        <w:t>烃类气体</w:t>
      </w:r>
      <w:r>
        <w:rPr>
          <w:rFonts w:cs="Times New Roman" w:hint="eastAsia"/>
          <w:color w:val="auto"/>
        </w:rPr>
        <w:t>排放和油气处理</w:t>
      </w:r>
      <w:r>
        <w:rPr>
          <w:rFonts w:cs="Times New Roman"/>
          <w:color w:val="auto"/>
        </w:rPr>
        <w:t>过程中无组织</w:t>
      </w:r>
      <w:bookmarkStart w:id="1086" w:name="OLE_LINK436"/>
      <w:r>
        <w:rPr>
          <w:rFonts w:cs="Times New Roman"/>
          <w:color w:val="auto"/>
        </w:rPr>
        <w:t>烃类气体</w:t>
      </w:r>
      <w:bookmarkEnd w:id="1086"/>
      <w:r>
        <w:rPr>
          <w:rFonts w:cs="Times New Roman"/>
          <w:color w:val="auto"/>
        </w:rPr>
        <w:t>的挥发</w:t>
      </w:r>
      <w:r>
        <w:rPr>
          <w:rFonts w:cs="Times New Roman"/>
          <w:snapToGrid/>
          <w:color w:val="auto"/>
        </w:rPr>
        <w:t>。</w:t>
      </w:r>
    </w:p>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2</w:t>
      </w:r>
      <w:r>
        <w:rPr>
          <w:rFonts w:cs="Times New Roman"/>
        </w:rPr>
        <w:t>）废水污染物</w:t>
      </w:r>
    </w:p>
    <w:p w:rsidR="00C645C9" w:rsidRDefault="00F955D9">
      <w:pPr>
        <w:widowControl w:val="0"/>
        <w:adjustRightInd w:val="0"/>
        <w:snapToGrid w:val="0"/>
        <w:spacing w:line="360" w:lineRule="auto"/>
        <w:ind w:firstLine="480"/>
        <w:rPr>
          <w:rFonts w:cs="Times New Roman"/>
        </w:rPr>
      </w:pPr>
      <w:r>
        <w:rPr>
          <w:rFonts w:cs="Times New Roman"/>
        </w:rPr>
        <w:lastRenderedPageBreak/>
        <w:t>运营期产生的生产废水由罐车拉运至塔河油田绿色环保工作站处理</w:t>
      </w:r>
      <w:r>
        <w:rPr>
          <w:rFonts w:cs="Times New Roman"/>
        </w:rPr>
        <w:t>。井下作业废水自带回收罐回收井下作业废水，依托塔河油田绿色环保工作站处理</w:t>
      </w:r>
      <w:r>
        <w:rPr>
          <w:rFonts w:cs="Times New Roman" w:hint="eastAsia"/>
        </w:rPr>
        <w:t>。</w:t>
      </w:r>
    </w:p>
    <w:p w:rsidR="00C645C9" w:rsidRDefault="00F955D9">
      <w:pPr>
        <w:widowControl w:val="0"/>
        <w:adjustRightInd w:val="0"/>
        <w:snapToGrid w:val="0"/>
        <w:spacing w:line="360" w:lineRule="auto"/>
        <w:ind w:firstLine="480"/>
        <w:rPr>
          <w:rFonts w:cs="Times New Roman"/>
        </w:rPr>
      </w:pPr>
      <w:r>
        <w:rPr>
          <w:rFonts w:cs="Times New Roman"/>
        </w:rPr>
        <w:t>经核算，</w:t>
      </w:r>
      <w:r>
        <w:rPr>
          <w:rFonts w:cs="Times New Roman"/>
        </w:rPr>
        <w:t>本</w:t>
      </w:r>
      <w:r>
        <w:rPr>
          <w:rFonts w:cs="Times New Roman" w:hint="eastAsia"/>
        </w:rPr>
        <w:t>工程</w:t>
      </w:r>
      <w:r>
        <w:rPr>
          <w:rFonts w:cs="Times New Roman" w:hint="eastAsia"/>
        </w:rPr>
        <w:t>2</w:t>
      </w:r>
      <w:r>
        <w:rPr>
          <w:rFonts w:cs="Times New Roman" w:hint="eastAsia"/>
        </w:rPr>
        <w:t>台</w:t>
      </w:r>
      <w:r>
        <w:rPr>
          <w:rFonts w:hint="eastAsia"/>
        </w:rPr>
        <w:t>2</w:t>
      </w:r>
      <w:r>
        <w:t>00</w:t>
      </w:r>
      <w:r>
        <w:rPr>
          <w:rFonts w:hint="eastAsia"/>
        </w:rPr>
        <w:t>kW</w:t>
      </w:r>
      <w:r>
        <w:rPr>
          <w:rFonts w:hint="eastAsia"/>
        </w:rPr>
        <w:t>燃气加热炉产生</w:t>
      </w:r>
      <w:r>
        <w:rPr>
          <w:rFonts w:cs="Times New Roman"/>
        </w:rPr>
        <w:t>有组织排放的二氧化硫为</w:t>
      </w:r>
      <w:bookmarkStart w:id="1087" w:name="OLE_LINK809"/>
      <w:r>
        <w:rPr>
          <w:rFonts w:cs="Times New Roman"/>
        </w:rPr>
        <w:t>0.0</w:t>
      </w:r>
      <w:bookmarkEnd w:id="1087"/>
      <w:r>
        <w:rPr>
          <w:rFonts w:cs="Times New Roman" w:hint="eastAsia"/>
        </w:rPr>
        <w:t>8</w:t>
      </w:r>
      <w:r>
        <w:rPr>
          <w:rFonts w:cs="Times New Roman"/>
        </w:rPr>
        <w:t>t/a</w:t>
      </w:r>
      <w:r>
        <w:rPr>
          <w:rFonts w:cs="Times New Roman"/>
        </w:rPr>
        <w:t>，有组织排放的氮氧化物为</w:t>
      </w:r>
      <w:bookmarkStart w:id="1088" w:name="OLE_LINK437"/>
      <w:r>
        <w:rPr>
          <w:rFonts w:cs="Times New Roman"/>
        </w:rPr>
        <w:t>0.</w:t>
      </w:r>
      <w:r>
        <w:rPr>
          <w:rFonts w:cs="Times New Roman" w:hint="eastAsia"/>
        </w:rPr>
        <w:t>6</w:t>
      </w:r>
      <w:r>
        <w:rPr>
          <w:rFonts w:cs="Times New Roman"/>
        </w:rPr>
        <w:t>t/a</w:t>
      </w:r>
      <w:bookmarkEnd w:id="1088"/>
      <w:r>
        <w:rPr>
          <w:rFonts w:cs="Times New Roman"/>
        </w:rPr>
        <w:t>，</w:t>
      </w:r>
      <w:r>
        <w:rPr>
          <w:rFonts w:cs="Times New Roman"/>
        </w:rPr>
        <w:t>有</w:t>
      </w:r>
      <w:r>
        <w:rPr>
          <w:rFonts w:cs="Times New Roman"/>
        </w:rPr>
        <w:t>组织排放的</w:t>
      </w:r>
      <w:r>
        <w:rPr>
          <w:rFonts w:cs="Times New Roman"/>
        </w:rPr>
        <w:t>VOC</w:t>
      </w:r>
      <w:r>
        <w:rPr>
          <w:rFonts w:cs="Times New Roman"/>
          <w:vertAlign w:val="subscript"/>
        </w:rPr>
        <w:t>S</w:t>
      </w:r>
      <w:r>
        <w:rPr>
          <w:rFonts w:cs="Times New Roman"/>
        </w:rPr>
        <w:t>为</w:t>
      </w:r>
      <w:bookmarkStart w:id="1089" w:name="OLE_LINK438"/>
      <w:r>
        <w:rPr>
          <w:rFonts w:cs="Times New Roman"/>
          <w:szCs w:val="28"/>
        </w:rPr>
        <w:t>0.</w:t>
      </w:r>
      <w:r>
        <w:rPr>
          <w:rFonts w:cs="Times New Roman" w:hint="eastAsia"/>
          <w:szCs w:val="28"/>
        </w:rPr>
        <w:t>126</w:t>
      </w:r>
      <w:r>
        <w:rPr>
          <w:rFonts w:cs="Times New Roman"/>
          <w:szCs w:val="28"/>
        </w:rPr>
        <w:t>t/a</w:t>
      </w:r>
      <w:bookmarkEnd w:id="1089"/>
      <w:r>
        <w:rPr>
          <w:rFonts w:cs="Times New Roman" w:hint="eastAsia"/>
          <w:szCs w:val="28"/>
        </w:rPr>
        <w:t>。</w:t>
      </w:r>
      <w:r>
        <w:rPr>
          <w:rFonts w:cs="Times New Roman" w:hint="eastAsia"/>
        </w:rPr>
        <w:t>油气</w:t>
      </w:r>
      <w:r>
        <w:rPr>
          <w:rFonts w:cs="Times New Roman" w:hint="eastAsia"/>
        </w:rPr>
        <w:t>处理</w:t>
      </w:r>
      <w:r>
        <w:rPr>
          <w:rFonts w:cs="Times New Roman" w:hint="eastAsia"/>
        </w:rPr>
        <w:t>过程</w:t>
      </w:r>
      <w:r>
        <w:rPr>
          <w:rFonts w:cs="Times New Roman" w:hint="eastAsia"/>
        </w:rPr>
        <w:t>产生</w:t>
      </w:r>
      <w:r>
        <w:rPr>
          <w:rFonts w:cs="Times New Roman"/>
        </w:rPr>
        <w:t>无组织排放的</w:t>
      </w:r>
      <w:r>
        <w:rPr>
          <w:rFonts w:cs="Times New Roman"/>
        </w:rPr>
        <w:t>VOC</w:t>
      </w:r>
      <w:r>
        <w:rPr>
          <w:rFonts w:cs="Times New Roman"/>
          <w:vertAlign w:val="subscript"/>
        </w:rPr>
        <w:t>S</w:t>
      </w:r>
      <w:r>
        <w:rPr>
          <w:rFonts w:cs="Times New Roman"/>
        </w:rPr>
        <w:t>为</w:t>
      </w:r>
      <w:bookmarkStart w:id="1090" w:name="OLE_LINK1106"/>
      <w:bookmarkStart w:id="1091" w:name="OLE_LINK439"/>
      <w:r>
        <w:rPr>
          <w:rFonts w:cs="Times New Roman" w:hint="eastAsia"/>
          <w:szCs w:val="28"/>
        </w:rPr>
        <w:t>8.336</w:t>
      </w:r>
      <w:bookmarkEnd w:id="1090"/>
      <w:r>
        <w:rPr>
          <w:rFonts w:cs="Times New Roman"/>
          <w:szCs w:val="28"/>
        </w:rPr>
        <w:t>t/a</w:t>
      </w:r>
      <w:bookmarkEnd w:id="1091"/>
      <w:r>
        <w:rPr>
          <w:rFonts w:cs="Times New Roman"/>
          <w:szCs w:val="28"/>
        </w:rPr>
        <w:t>，不排放</w:t>
      </w:r>
      <w:r>
        <w:rPr>
          <w:rFonts w:cs="Times New Roman"/>
        </w:rPr>
        <w:t>废水污染物</w:t>
      </w:r>
      <w:r>
        <w:rPr>
          <w:rFonts w:cs="Times New Roman"/>
        </w:rPr>
        <w:t>。</w:t>
      </w:r>
    </w:p>
    <w:p w:rsidR="00C645C9" w:rsidRDefault="00F955D9">
      <w:pPr>
        <w:widowControl w:val="0"/>
        <w:adjustRightInd w:val="0"/>
        <w:snapToGrid w:val="0"/>
        <w:spacing w:line="360" w:lineRule="auto"/>
        <w:outlineLvl w:val="3"/>
        <w:rPr>
          <w:rFonts w:cs="Times New Roman"/>
          <w:b/>
          <w:snapToGrid w:val="0"/>
          <w:szCs w:val="21"/>
        </w:rPr>
      </w:pPr>
      <w:r>
        <w:rPr>
          <w:rFonts w:cs="Times New Roman"/>
          <w:b/>
          <w:snapToGrid w:val="0"/>
          <w:szCs w:val="21"/>
        </w:rPr>
        <w:t>3.</w:t>
      </w:r>
      <w:r>
        <w:rPr>
          <w:rFonts w:cs="Times New Roman" w:hint="eastAsia"/>
          <w:b/>
          <w:snapToGrid w:val="0"/>
          <w:szCs w:val="21"/>
        </w:rPr>
        <w:t>3.8.3</w:t>
      </w:r>
      <w:r>
        <w:rPr>
          <w:rFonts w:cs="Times New Roman"/>
          <w:b/>
          <w:snapToGrid w:val="0"/>
          <w:szCs w:val="21"/>
        </w:rPr>
        <w:t>总量控制建议指标</w:t>
      </w:r>
      <w:r>
        <w:rPr>
          <w:rFonts w:cs="Times New Roman"/>
          <w:b/>
          <w:snapToGrid w:val="0"/>
          <w:szCs w:val="21"/>
        </w:rPr>
        <w:t xml:space="preserve"> </w:t>
      </w:r>
      <w:bookmarkStart w:id="1092" w:name="_Toc4529"/>
    </w:p>
    <w:p w:rsidR="00C645C9" w:rsidRDefault="00F955D9">
      <w:pPr>
        <w:widowControl w:val="0"/>
        <w:adjustRightInd w:val="0"/>
        <w:snapToGrid w:val="0"/>
        <w:spacing w:line="360" w:lineRule="auto"/>
        <w:ind w:firstLineChars="200" w:firstLine="480"/>
        <w:rPr>
          <w:rFonts w:cs="Times New Roman"/>
          <w:bCs/>
        </w:rPr>
      </w:pPr>
      <w:r>
        <w:rPr>
          <w:rFonts w:cs="Times New Roman"/>
          <w:bCs/>
        </w:rPr>
        <w:t>（</w:t>
      </w:r>
      <w:r>
        <w:rPr>
          <w:rFonts w:cs="Times New Roman"/>
          <w:bCs/>
        </w:rPr>
        <w:t>1</w:t>
      </w:r>
      <w:r>
        <w:rPr>
          <w:rFonts w:cs="Times New Roman"/>
          <w:bCs/>
        </w:rPr>
        <w:t>）施工期</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由于施工期的地面工程集中于较短时间内，地面工程期间排放的污染物将随地面工程的结束而消亡，故不考虑对施工期间产生的污染物进行总量控制。</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w:t>
      </w:r>
      <w:r>
        <w:rPr>
          <w:rFonts w:cs="Times New Roman"/>
          <w:bCs/>
        </w:rPr>
        <w:t>2</w:t>
      </w:r>
      <w:r>
        <w:rPr>
          <w:rFonts w:cs="Times New Roman"/>
          <w:bCs/>
        </w:rPr>
        <w:t>）</w:t>
      </w:r>
      <w:bookmarkStart w:id="1093" w:name="OLE_LINK806"/>
      <w:r>
        <w:rPr>
          <w:rFonts w:cs="Times New Roman"/>
          <w:bCs/>
        </w:rPr>
        <w:t>运营期</w:t>
      </w:r>
      <w:bookmarkEnd w:id="1093"/>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根据工程分析可知，本</w:t>
      </w:r>
      <w:r>
        <w:rPr>
          <w:rFonts w:cs="Times New Roman" w:hint="eastAsia"/>
          <w:bCs/>
        </w:rPr>
        <w:t>工程</w:t>
      </w:r>
      <w:r>
        <w:rPr>
          <w:rFonts w:cs="Times New Roman"/>
          <w:bCs/>
        </w:rPr>
        <w:t>新建</w:t>
      </w:r>
      <w:r>
        <w:rPr>
          <w:rFonts w:cs="Times New Roman" w:hint="eastAsia"/>
          <w:bCs/>
        </w:rPr>
        <w:t>2</w:t>
      </w:r>
      <w:r>
        <w:rPr>
          <w:rFonts w:cs="Times New Roman" w:hint="eastAsia"/>
          <w:bCs/>
        </w:rPr>
        <w:t>台</w:t>
      </w:r>
      <w:r>
        <w:rPr>
          <w:rFonts w:cs="Times New Roman"/>
          <w:bCs/>
        </w:rPr>
        <w:t>加热炉</w:t>
      </w:r>
      <w:r>
        <w:rPr>
          <w:rFonts w:cs="Times New Roman" w:hint="eastAsia"/>
        </w:rPr>
        <w:t>燃烧废气中</w:t>
      </w:r>
      <w:bookmarkStart w:id="1094" w:name="OLE_LINK805"/>
      <w:r>
        <w:rPr>
          <w:rFonts w:cs="Times New Roman"/>
        </w:rPr>
        <w:t>有</w:t>
      </w:r>
      <w:r>
        <w:rPr>
          <w:rFonts w:cs="Times New Roman"/>
        </w:rPr>
        <w:t>组织排放的</w:t>
      </w:r>
      <w:bookmarkStart w:id="1095" w:name="OLE_LINK441"/>
      <w:bookmarkEnd w:id="1094"/>
      <w:r>
        <w:rPr>
          <w:rFonts w:cs="Times New Roman"/>
          <w:bCs/>
        </w:rPr>
        <w:t>NO</w:t>
      </w:r>
      <w:r>
        <w:rPr>
          <w:rFonts w:cs="Times New Roman"/>
          <w:bCs/>
          <w:vertAlign w:val="subscript"/>
        </w:rPr>
        <w:t>X</w:t>
      </w:r>
      <w:bookmarkEnd w:id="1095"/>
      <w:r>
        <w:rPr>
          <w:rFonts w:cs="Times New Roman"/>
          <w:bCs/>
        </w:rPr>
        <w:t>为</w:t>
      </w:r>
      <w:bookmarkStart w:id="1096" w:name="OLE_LINK440"/>
      <w:r>
        <w:rPr>
          <w:rFonts w:cs="Times New Roman"/>
        </w:rPr>
        <w:t>0.</w:t>
      </w:r>
      <w:r>
        <w:rPr>
          <w:rFonts w:cs="Times New Roman" w:hint="eastAsia"/>
        </w:rPr>
        <w:t>6</w:t>
      </w:r>
      <w:r>
        <w:rPr>
          <w:rFonts w:cs="Times New Roman"/>
        </w:rPr>
        <w:t>t/a</w:t>
      </w:r>
      <w:bookmarkEnd w:id="1096"/>
      <w:r>
        <w:rPr>
          <w:rFonts w:cs="Times New Roman"/>
          <w:bCs/>
        </w:rPr>
        <w:t>，</w:t>
      </w:r>
      <w:bookmarkStart w:id="1097" w:name="OLE_LINK804"/>
      <w:r>
        <w:rPr>
          <w:rFonts w:cs="Times New Roman"/>
        </w:rPr>
        <w:t>有</w:t>
      </w:r>
      <w:r>
        <w:rPr>
          <w:rFonts w:cs="Times New Roman"/>
        </w:rPr>
        <w:t>组织排放的</w:t>
      </w:r>
      <w:r>
        <w:rPr>
          <w:rFonts w:cs="Times New Roman"/>
        </w:rPr>
        <w:t>VOC</w:t>
      </w:r>
      <w:r>
        <w:rPr>
          <w:rFonts w:cs="Times New Roman"/>
          <w:vertAlign w:val="subscript"/>
        </w:rPr>
        <w:t>S</w:t>
      </w:r>
      <w:bookmarkEnd w:id="1097"/>
      <w:r>
        <w:rPr>
          <w:rFonts w:cs="Times New Roman"/>
        </w:rPr>
        <w:t>为</w:t>
      </w:r>
      <w:bookmarkStart w:id="1098" w:name="OLE_LINK1104"/>
      <w:bookmarkStart w:id="1099" w:name="OLE_LINK807"/>
      <w:r>
        <w:rPr>
          <w:rFonts w:cs="Times New Roman"/>
          <w:szCs w:val="28"/>
        </w:rPr>
        <w:t>0.</w:t>
      </w:r>
      <w:r>
        <w:rPr>
          <w:rFonts w:cs="Times New Roman" w:hint="eastAsia"/>
          <w:szCs w:val="28"/>
        </w:rPr>
        <w:t>126</w:t>
      </w:r>
      <w:bookmarkEnd w:id="1098"/>
      <w:r>
        <w:rPr>
          <w:rFonts w:cs="Times New Roman"/>
          <w:szCs w:val="28"/>
        </w:rPr>
        <w:t>t/a</w:t>
      </w:r>
      <w:bookmarkEnd w:id="1099"/>
      <w:r>
        <w:rPr>
          <w:rFonts w:cs="Times New Roman" w:hint="eastAsia"/>
          <w:szCs w:val="28"/>
        </w:rPr>
        <w:t>；</w:t>
      </w:r>
      <w:bookmarkStart w:id="1100" w:name="OLE_LINK443"/>
      <w:bookmarkStart w:id="1101" w:name="OLE_LINK808"/>
      <w:r>
        <w:rPr>
          <w:rFonts w:cs="Times New Roman" w:hint="eastAsia"/>
        </w:rPr>
        <w:t>油气</w:t>
      </w:r>
      <w:r>
        <w:rPr>
          <w:rFonts w:cs="Times New Roman" w:hint="eastAsia"/>
        </w:rPr>
        <w:t>处理</w:t>
      </w:r>
      <w:r>
        <w:rPr>
          <w:rFonts w:cs="Times New Roman" w:hint="eastAsia"/>
        </w:rPr>
        <w:t>过程</w:t>
      </w:r>
      <w:bookmarkEnd w:id="1100"/>
      <w:r>
        <w:rPr>
          <w:rFonts w:cs="Times New Roman"/>
        </w:rPr>
        <w:t>无组织排放的</w:t>
      </w:r>
      <w:r>
        <w:rPr>
          <w:rFonts w:cs="Times New Roman"/>
        </w:rPr>
        <w:t>VOC</w:t>
      </w:r>
      <w:r>
        <w:rPr>
          <w:rFonts w:cs="Times New Roman"/>
          <w:vertAlign w:val="subscript"/>
        </w:rPr>
        <w:t>S</w:t>
      </w:r>
      <w:bookmarkEnd w:id="1101"/>
      <w:r>
        <w:rPr>
          <w:rFonts w:cs="Times New Roman"/>
        </w:rPr>
        <w:t>为</w:t>
      </w:r>
      <w:r>
        <w:rPr>
          <w:rFonts w:cs="Times New Roman" w:hint="eastAsia"/>
          <w:szCs w:val="28"/>
        </w:rPr>
        <w:t>8.336t/a</w:t>
      </w:r>
      <w:r>
        <w:rPr>
          <w:rFonts w:cs="Times New Roman"/>
          <w:bCs/>
        </w:rPr>
        <w:t>。</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故本</w:t>
      </w:r>
      <w:r>
        <w:rPr>
          <w:rFonts w:cs="Times New Roman" w:hint="eastAsia"/>
          <w:bCs/>
        </w:rPr>
        <w:t>工程</w:t>
      </w:r>
      <w:r>
        <w:rPr>
          <w:rFonts w:cs="Times New Roman"/>
          <w:bCs/>
        </w:rPr>
        <w:t>投产后总量控制建议指标为</w:t>
      </w:r>
      <w:r>
        <w:rPr>
          <w:rFonts w:cs="Times New Roman"/>
          <w:bCs/>
        </w:rPr>
        <w:t>NO</w:t>
      </w:r>
      <w:r>
        <w:rPr>
          <w:rFonts w:cs="Times New Roman"/>
          <w:bCs/>
          <w:vertAlign w:val="subscript"/>
        </w:rPr>
        <w:t>X</w:t>
      </w:r>
      <w:r>
        <w:rPr>
          <w:rFonts w:cs="Times New Roman"/>
          <w:bCs/>
        </w:rPr>
        <w:t>：</w:t>
      </w:r>
      <w:r>
        <w:rPr>
          <w:rFonts w:cs="Times New Roman"/>
        </w:rPr>
        <w:t>0.</w:t>
      </w:r>
      <w:r>
        <w:rPr>
          <w:rFonts w:cs="Times New Roman" w:hint="eastAsia"/>
        </w:rPr>
        <w:t>6</w:t>
      </w:r>
      <w:r>
        <w:rPr>
          <w:rFonts w:cs="Times New Roman"/>
        </w:rPr>
        <w:t>t/a</w:t>
      </w:r>
      <w:r>
        <w:rPr>
          <w:rFonts w:cs="Times New Roman"/>
          <w:bCs/>
        </w:rPr>
        <w:t>，</w:t>
      </w:r>
      <w:r>
        <w:rPr>
          <w:rFonts w:cs="Times New Roman"/>
          <w:bCs/>
        </w:rPr>
        <w:t>VOCs</w:t>
      </w:r>
      <w:r>
        <w:rPr>
          <w:rFonts w:cs="Times New Roman"/>
          <w:bCs/>
        </w:rPr>
        <w:t>：</w:t>
      </w:r>
      <w:r>
        <w:rPr>
          <w:rFonts w:cs="Times New Roman" w:hint="eastAsia"/>
          <w:bCs/>
        </w:rPr>
        <w:t>8.462</w:t>
      </w:r>
      <w:r>
        <w:rPr>
          <w:rFonts w:cs="Times New Roman"/>
          <w:bCs/>
        </w:rPr>
        <w:t>t/a</w:t>
      </w:r>
      <w:r>
        <w:rPr>
          <w:rFonts w:cs="Times New Roman"/>
          <w:bCs/>
        </w:rPr>
        <w:t>。</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西北油田分公司已在阿克苏区域开展氮氧化物、二氧化硫、</w:t>
      </w:r>
      <w:r>
        <w:rPr>
          <w:rFonts w:cs="Times New Roman"/>
          <w:bCs/>
        </w:rPr>
        <w:t>VOCs</w:t>
      </w:r>
      <w:r>
        <w:rPr>
          <w:rFonts w:cs="Times New Roman"/>
          <w:bCs/>
        </w:rPr>
        <w:t>减排措施，并出具《西北油田分公司</w:t>
      </w:r>
      <w:r>
        <w:rPr>
          <w:rFonts w:cs="Times New Roman" w:hint="eastAsia"/>
          <w:bCs/>
        </w:rPr>
        <w:t>“</w:t>
      </w:r>
      <w:r>
        <w:rPr>
          <w:rFonts w:cs="Times New Roman"/>
          <w:bCs/>
        </w:rPr>
        <w:t>十四五</w:t>
      </w:r>
      <w:r>
        <w:rPr>
          <w:rFonts w:cs="Times New Roman" w:hint="eastAsia"/>
          <w:bCs/>
        </w:rPr>
        <w:t>”</w:t>
      </w:r>
      <w:r>
        <w:rPr>
          <w:rFonts w:cs="Times New Roman"/>
          <w:bCs/>
        </w:rPr>
        <w:t>期间大气污染物减排量（二期）核算说明》。本次新增的排放量从企业内部减排措施消减量中进行替代</w:t>
      </w:r>
      <w:r>
        <w:rPr>
          <w:rFonts w:cs="Times New Roman"/>
          <w:bCs/>
        </w:rPr>
        <w:t>。</w:t>
      </w:r>
    </w:p>
    <w:p w:rsidR="00C645C9" w:rsidRDefault="00F955D9">
      <w:pPr>
        <w:pStyle w:val="2"/>
        <w:widowControl w:val="0"/>
        <w:adjustRightInd w:val="0"/>
        <w:snapToGrid w:val="0"/>
        <w:spacing w:after="0" w:line="360" w:lineRule="auto"/>
        <w:jc w:val="both"/>
        <w:rPr>
          <w:rFonts w:ascii="Times New Roman" w:hAnsi="Times New Roman" w:cs="Times New Roman"/>
          <w:color w:val="auto"/>
          <w:lang w:eastAsia="zh-CN"/>
        </w:rPr>
      </w:pPr>
      <w:bookmarkStart w:id="1102" w:name="bookmark21"/>
      <w:bookmarkStart w:id="1103" w:name="_Toc4094"/>
      <w:bookmarkStart w:id="1104" w:name="_Toc8870"/>
      <w:bookmarkEnd w:id="1092"/>
      <w:bookmarkEnd w:id="1102"/>
      <w:r>
        <w:rPr>
          <w:rFonts w:ascii="Times New Roman" w:hAnsi="Times New Roman" w:cs="Times New Roman"/>
          <w:color w:val="auto"/>
          <w:lang w:eastAsia="zh-CN"/>
        </w:rPr>
        <w:t>3.</w:t>
      </w:r>
      <w:r>
        <w:rPr>
          <w:rFonts w:ascii="Times New Roman" w:hAnsi="Times New Roman" w:cs="Times New Roman" w:hint="eastAsia"/>
          <w:color w:val="auto"/>
          <w:lang w:eastAsia="zh-CN"/>
        </w:rPr>
        <w:t>4</w:t>
      </w:r>
      <w:bookmarkEnd w:id="1103"/>
      <w:r>
        <w:rPr>
          <w:rFonts w:ascii="Times New Roman" w:hAnsi="Times New Roman" w:cs="Times New Roman"/>
          <w:color w:val="auto"/>
          <w:lang w:eastAsia="zh-CN"/>
        </w:rPr>
        <w:t>相关政策法规、规划符合性分析</w:t>
      </w:r>
      <w:bookmarkEnd w:id="1104"/>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05" w:name="_Toc1857"/>
      <w:bookmarkStart w:id="1106" w:name="_Toc9534"/>
      <w:bookmarkStart w:id="1107" w:name="_Toc188"/>
      <w:r>
        <w:rPr>
          <w:rFonts w:ascii="Times New Roman" w:hAnsi="Times New Roman" w:cs="Times New Roman"/>
          <w:color w:val="auto"/>
          <w:lang w:eastAsia="zh-CN"/>
        </w:rPr>
        <w:t>3.</w:t>
      </w:r>
      <w:r>
        <w:rPr>
          <w:rFonts w:ascii="Times New Roman" w:hAnsi="Times New Roman" w:cs="Times New Roman" w:hint="eastAsia"/>
          <w:color w:val="auto"/>
          <w:lang w:eastAsia="zh-CN"/>
        </w:rPr>
        <w:t>4</w:t>
      </w:r>
      <w:r>
        <w:rPr>
          <w:rFonts w:ascii="Times New Roman" w:hAnsi="Times New Roman" w:cs="Times New Roman"/>
          <w:color w:val="auto"/>
          <w:lang w:eastAsia="zh-CN"/>
        </w:rPr>
        <w:t>.1</w:t>
      </w:r>
      <w:bookmarkEnd w:id="1105"/>
      <w:bookmarkEnd w:id="1106"/>
      <w:bookmarkEnd w:id="1107"/>
      <w:r>
        <w:rPr>
          <w:rFonts w:ascii="Times New Roman" w:hAnsi="Times New Roman" w:cs="Times New Roman"/>
          <w:color w:val="auto"/>
          <w:lang w:eastAsia="zh-CN"/>
        </w:rPr>
        <w:t>产业政策符合性分析</w:t>
      </w:r>
    </w:p>
    <w:p w:rsidR="00C645C9" w:rsidRDefault="00F955D9">
      <w:pPr>
        <w:pStyle w:val="a5"/>
        <w:widowControl w:val="0"/>
        <w:snapToGrid w:val="0"/>
        <w:ind w:firstLineChars="200" w:firstLine="480"/>
        <w:rPr>
          <w:rFonts w:ascii="Times New Roman" w:hAnsi="Times New Roman" w:cs="Times New Roman"/>
          <w:sz w:val="21"/>
        </w:rPr>
      </w:pPr>
      <w:bookmarkStart w:id="1108" w:name="OLE_LINK444"/>
      <w:r>
        <w:rPr>
          <w:rFonts w:ascii="Times New Roman" w:hAnsi="Times New Roman" w:cs="Times New Roman"/>
          <w:kern w:val="24"/>
        </w:rPr>
        <w:t>石油天然气开采业</w:t>
      </w:r>
      <w:bookmarkEnd w:id="1108"/>
      <w:r>
        <w:rPr>
          <w:rFonts w:ascii="Times New Roman" w:hAnsi="Times New Roman" w:cs="Times New Roman"/>
          <w:kern w:val="24"/>
        </w:rPr>
        <w:t>是当前国民经济的重要基础产业和支柱产业，根据《</w:t>
      </w:r>
      <w:bookmarkStart w:id="1109" w:name="OLE_LINK445"/>
      <w:r>
        <w:rPr>
          <w:rFonts w:ascii="Times New Roman" w:hAnsi="Times New Roman" w:cs="Times New Roman"/>
          <w:kern w:val="24"/>
        </w:rPr>
        <w:t>产业结构调整指导目录（</w:t>
      </w:r>
      <w:r>
        <w:rPr>
          <w:rFonts w:ascii="Times New Roman" w:hAnsi="Times New Roman" w:cs="Times New Roman"/>
          <w:kern w:val="24"/>
        </w:rPr>
        <w:t>2024</w:t>
      </w:r>
      <w:r>
        <w:rPr>
          <w:rFonts w:ascii="Times New Roman" w:hAnsi="Times New Roman" w:cs="Times New Roman"/>
          <w:kern w:val="24"/>
        </w:rPr>
        <w:t>年本）</w:t>
      </w:r>
      <w:bookmarkEnd w:id="1109"/>
      <w:r>
        <w:rPr>
          <w:rFonts w:ascii="Times New Roman" w:hAnsi="Times New Roman" w:cs="Times New Roman"/>
          <w:kern w:val="24"/>
        </w:rPr>
        <w:t>》，</w:t>
      </w:r>
      <w:r>
        <w:rPr>
          <w:rFonts w:ascii="Times New Roman" w:hAnsi="Times New Roman" w:cs="Times New Roman"/>
        </w:rPr>
        <w:t>本</w:t>
      </w:r>
      <w:r>
        <w:rPr>
          <w:rFonts w:cs="Times New Roman" w:hint="eastAsia"/>
        </w:rPr>
        <w:t>工程</w:t>
      </w:r>
      <w:r>
        <w:rPr>
          <w:rFonts w:ascii="Times New Roman" w:hAnsi="Times New Roman" w:cs="Times New Roman"/>
        </w:rPr>
        <w:t>属于</w:t>
      </w:r>
      <w:r>
        <w:rPr>
          <w:rFonts w:cs="Times New Roman" w:hint="eastAsia"/>
          <w:lang w:val="zh-CN"/>
        </w:rPr>
        <w:t>“</w:t>
      </w:r>
      <w:r>
        <w:rPr>
          <w:rFonts w:ascii="Times New Roman" w:hAnsi="Times New Roman" w:cs="Times New Roman"/>
        </w:rPr>
        <w:t>第一类</w:t>
      </w:r>
      <w:r>
        <w:rPr>
          <w:rFonts w:ascii="Times New Roman" w:hAnsi="Times New Roman" w:cs="Times New Roman"/>
        </w:rPr>
        <w:t xml:space="preserve"> </w:t>
      </w:r>
      <w:r>
        <w:rPr>
          <w:rFonts w:ascii="Times New Roman" w:hAnsi="Times New Roman" w:cs="Times New Roman"/>
        </w:rPr>
        <w:t>鼓励类</w:t>
      </w:r>
      <w:r>
        <w:rPr>
          <w:rFonts w:cs="Times New Roman" w:hint="eastAsia"/>
          <w:lang w:val="zh-CN"/>
        </w:rPr>
        <w:t>”</w:t>
      </w:r>
      <w:r>
        <w:rPr>
          <w:rFonts w:ascii="Times New Roman" w:hAnsi="Times New Roman" w:cs="Times New Roman"/>
        </w:rPr>
        <w:t>中</w:t>
      </w:r>
      <w:r>
        <w:rPr>
          <w:rFonts w:cs="Times New Roman" w:hint="eastAsia"/>
        </w:rPr>
        <w:t>的“</w:t>
      </w:r>
      <w:r>
        <w:rPr>
          <w:rFonts w:ascii="Times New Roman" w:hAnsi="Times New Roman" w:cs="Times New Roman"/>
        </w:rPr>
        <w:t>七、石油天然气</w:t>
      </w:r>
      <w:r>
        <w:rPr>
          <w:rFonts w:cs="Times New Roman" w:hint="eastAsia"/>
        </w:rPr>
        <w:t>”</w:t>
      </w:r>
      <w:r>
        <w:rPr>
          <w:rFonts w:hint="eastAsia"/>
        </w:rPr>
        <w:t>中的</w:t>
      </w:r>
      <w:r>
        <w:rPr>
          <w:rFonts w:cs="Times New Roman" w:hint="eastAsia"/>
        </w:rPr>
        <w:t>“</w:t>
      </w:r>
      <w:r>
        <w:rPr>
          <w:rFonts w:ascii="Times New Roman" w:hAnsi="Times New Roman" w:cs="Times New Roman"/>
        </w:rPr>
        <w:t>1.</w:t>
      </w:r>
      <w:r>
        <w:rPr>
          <w:rFonts w:ascii="Times New Roman" w:hAnsi="Times New Roman" w:cs="Times New Roman"/>
        </w:rPr>
        <w:t>石油天然气开采</w:t>
      </w:r>
      <w:r>
        <w:rPr>
          <w:rFonts w:cs="Times New Roman" w:hint="eastAsia"/>
        </w:rPr>
        <w:t>：</w:t>
      </w:r>
      <w:r>
        <w:rPr>
          <w:rFonts w:ascii="Times New Roman" w:hAnsi="Times New Roman" w:cs="Times New Roman"/>
          <w:lang w:val="zh-CN"/>
        </w:rPr>
        <w:t>常规石油、天然气勘探与开采</w:t>
      </w:r>
      <w:r>
        <w:rPr>
          <w:rFonts w:cs="Times New Roman" w:hint="eastAsia"/>
        </w:rPr>
        <w:t>”</w:t>
      </w:r>
      <w:r>
        <w:rPr>
          <w:rFonts w:ascii="Times New Roman" w:hAnsi="Times New Roman" w:cs="Times New Roman"/>
          <w:kern w:val="24"/>
        </w:rPr>
        <w:t>，本工程建设符合国家产业政策。</w:t>
      </w:r>
      <w:r>
        <w:rPr>
          <w:rFonts w:ascii="Times New Roman" w:hAnsi="Times New Roman" w:cs="Times New Roman"/>
        </w:rPr>
        <w:t>本工程的实施，对于保障国家能源安全，促进国民经济健康快速发展具有极其重要的战略意义</w:t>
      </w:r>
      <w:r>
        <w:rPr>
          <w:rFonts w:ascii="Times New Roman" w:hAnsi="Times New Roman" w:cs="Times New Roman"/>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10" w:name="_Toc11148"/>
      <w:bookmarkStart w:id="1111" w:name="_Toc8468"/>
      <w:bookmarkStart w:id="1112" w:name="_Toc15055"/>
      <w:r>
        <w:rPr>
          <w:rFonts w:ascii="Times New Roman" w:hAnsi="Times New Roman" w:cs="Times New Roman"/>
          <w:color w:val="auto"/>
          <w:lang w:eastAsia="zh-CN"/>
        </w:rPr>
        <w:t>3.</w:t>
      </w:r>
      <w:r>
        <w:rPr>
          <w:rFonts w:ascii="Times New Roman" w:hAnsi="Times New Roman" w:cs="Times New Roman" w:hint="eastAsia"/>
          <w:color w:val="auto"/>
          <w:lang w:eastAsia="zh-CN"/>
        </w:rPr>
        <w:t>4</w:t>
      </w:r>
      <w:r>
        <w:rPr>
          <w:rFonts w:ascii="Times New Roman" w:hAnsi="Times New Roman" w:cs="Times New Roman"/>
          <w:color w:val="auto"/>
          <w:lang w:eastAsia="zh-CN"/>
        </w:rPr>
        <w:t>.2</w:t>
      </w:r>
      <w:bookmarkEnd w:id="1110"/>
      <w:bookmarkEnd w:id="1111"/>
      <w:bookmarkEnd w:id="1112"/>
      <w:r>
        <w:rPr>
          <w:rFonts w:ascii="Times New Roman" w:hAnsi="Times New Roman" w:cs="Times New Roman"/>
          <w:color w:val="auto"/>
          <w:lang w:eastAsia="zh-CN"/>
        </w:rPr>
        <w:t>相关法规、政策、规范、规划符合性分析</w:t>
      </w:r>
    </w:p>
    <w:p w:rsidR="00C645C9" w:rsidRDefault="00F955D9">
      <w:pPr>
        <w:pStyle w:val="a5"/>
        <w:widowControl w:val="0"/>
        <w:snapToGrid w:val="0"/>
        <w:ind w:firstLineChars="200" w:firstLine="480"/>
        <w:rPr>
          <w:rFonts w:ascii="Times New Roman" w:hAnsi="Times New Roman" w:cs="Times New Roman"/>
          <w:kern w:val="24"/>
          <w:lang w:val="zh-CN"/>
        </w:rPr>
      </w:pPr>
      <w:r>
        <w:rPr>
          <w:rFonts w:ascii="Times New Roman" w:hAnsi="Times New Roman" w:cs="Times New Roman" w:hint="eastAsia"/>
          <w:kern w:val="24"/>
          <w:lang w:val="zh-CN"/>
        </w:rPr>
        <w:t>（</w:t>
      </w:r>
      <w:r>
        <w:rPr>
          <w:rFonts w:ascii="Times New Roman" w:hAnsi="Times New Roman" w:cs="Times New Roman" w:hint="eastAsia"/>
          <w:kern w:val="24"/>
        </w:rPr>
        <w:t>1</w:t>
      </w:r>
      <w:r>
        <w:rPr>
          <w:rFonts w:ascii="Times New Roman" w:hAnsi="Times New Roman" w:cs="Times New Roman" w:hint="eastAsia"/>
          <w:kern w:val="24"/>
          <w:lang w:val="zh-CN"/>
        </w:rPr>
        <w:t>）与相关政策、法规符合性分析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kern w:val="24"/>
          <w:lang w:val="zh-CN"/>
        </w:rPr>
        <w:t>本</w:t>
      </w:r>
      <w:r>
        <w:rPr>
          <w:rFonts w:ascii="Times New Roman" w:hAnsi="Times New Roman" w:cs="Times New Roman" w:hint="eastAsia"/>
          <w:kern w:val="24"/>
        </w:rPr>
        <w:t>工程</w:t>
      </w:r>
      <w:r>
        <w:rPr>
          <w:rFonts w:ascii="Times New Roman" w:hAnsi="Times New Roman" w:cs="Times New Roman"/>
          <w:kern w:val="24"/>
          <w:lang w:val="zh-CN"/>
        </w:rPr>
        <w:t>属于</w:t>
      </w:r>
      <w:r>
        <w:rPr>
          <w:rFonts w:ascii="Times New Roman" w:hAnsi="Times New Roman" w:cs="Times New Roman"/>
        </w:rPr>
        <w:t>西北油田分公司</w:t>
      </w:r>
      <w:r>
        <w:rPr>
          <w:rFonts w:ascii="Times New Roman" w:hAnsi="Times New Roman" w:cs="Times New Roman"/>
          <w:lang w:val="zh-CN"/>
        </w:rPr>
        <w:t>石油天然气</w:t>
      </w:r>
      <w:r>
        <w:rPr>
          <w:rFonts w:ascii="Times New Roman" w:hAnsi="Times New Roman" w:cs="Times New Roman"/>
          <w:lang w:val="zh-CN"/>
        </w:rPr>
        <w:t>开发项目</w:t>
      </w:r>
      <w:r>
        <w:rPr>
          <w:rFonts w:ascii="Times New Roman" w:hAnsi="Times New Roman" w:cs="Times New Roman"/>
          <w:kern w:val="24"/>
          <w:lang w:val="zh-CN"/>
        </w:rPr>
        <w:t>，</w:t>
      </w:r>
      <w:r>
        <w:rPr>
          <w:rFonts w:ascii="Times New Roman" w:hAnsi="Times New Roman" w:cs="Times New Roman"/>
          <w:kern w:val="24"/>
        </w:rPr>
        <w:t>相关的政策、法规有：</w:t>
      </w:r>
      <w:bookmarkStart w:id="1113" w:name="OLE_LINK471"/>
      <w:r>
        <w:rPr>
          <w:rFonts w:ascii="Times New Roman" w:hAnsi="Times New Roman" w:cs="Times New Roman"/>
          <w:kern w:val="24"/>
        </w:rPr>
        <w:t>《</w:t>
      </w:r>
      <w:bookmarkStart w:id="1114" w:name="OLE_LINK446"/>
      <w:r>
        <w:rPr>
          <w:rFonts w:ascii="Times New Roman" w:hAnsi="Times New Roman" w:cs="Times New Roman"/>
          <w:kern w:val="24"/>
        </w:rPr>
        <w:t>石油天然气开采业污染防治技术政策</w:t>
      </w:r>
      <w:bookmarkEnd w:id="1114"/>
      <w:r>
        <w:rPr>
          <w:rFonts w:ascii="Times New Roman" w:hAnsi="Times New Roman" w:cs="Times New Roman"/>
          <w:kern w:val="24"/>
        </w:rPr>
        <w:t>》《</w:t>
      </w:r>
      <w:r>
        <w:rPr>
          <w:rFonts w:ascii="Times New Roman" w:hAnsi="Times New Roman" w:cs="Times New Roman"/>
          <w:kern w:val="24"/>
        </w:rPr>
        <w:t>新疆维吾尔自治区大气污染防治条例</w:t>
      </w:r>
      <w:r>
        <w:rPr>
          <w:rFonts w:ascii="Times New Roman" w:hAnsi="Times New Roman" w:cs="Times New Roman"/>
          <w:kern w:val="24"/>
        </w:rPr>
        <w:t>》《</w:t>
      </w:r>
      <w:r>
        <w:rPr>
          <w:rFonts w:ascii="Times New Roman" w:hAnsi="Times New Roman" w:cs="Times New Roman"/>
          <w:kern w:val="24"/>
        </w:rPr>
        <w:t>关于进一步加强石油天然气行业环境影响评价管理的通知</w:t>
      </w:r>
      <w:r>
        <w:rPr>
          <w:rFonts w:ascii="Times New Roman" w:hAnsi="Times New Roman" w:cs="Times New Roman"/>
          <w:kern w:val="24"/>
        </w:rPr>
        <w:t>》（</w:t>
      </w:r>
      <w:r>
        <w:rPr>
          <w:rFonts w:ascii="Times New Roman" w:hAnsi="Times New Roman" w:cs="Times New Roman"/>
          <w:kern w:val="24"/>
        </w:rPr>
        <w:t>环办环评函〔</w:t>
      </w:r>
      <w:r>
        <w:rPr>
          <w:rFonts w:ascii="Times New Roman" w:hAnsi="Times New Roman" w:cs="Times New Roman"/>
          <w:kern w:val="24"/>
        </w:rPr>
        <w:t>2019</w:t>
      </w:r>
      <w:r>
        <w:rPr>
          <w:rFonts w:ascii="Times New Roman" w:hAnsi="Times New Roman" w:cs="Times New Roman"/>
          <w:kern w:val="24"/>
        </w:rPr>
        <w:t>〕</w:t>
      </w:r>
      <w:r>
        <w:rPr>
          <w:rFonts w:ascii="Times New Roman" w:hAnsi="Times New Roman" w:cs="Times New Roman"/>
          <w:kern w:val="24"/>
        </w:rPr>
        <w:lastRenderedPageBreak/>
        <w:t>910</w:t>
      </w:r>
      <w:r>
        <w:rPr>
          <w:rFonts w:ascii="Times New Roman" w:hAnsi="Times New Roman" w:cs="Times New Roman"/>
          <w:kern w:val="24"/>
        </w:rPr>
        <w:t>号</w:t>
      </w:r>
      <w:r>
        <w:rPr>
          <w:rFonts w:ascii="Times New Roman" w:hAnsi="Times New Roman" w:cs="Times New Roman"/>
          <w:kern w:val="24"/>
        </w:rPr>
        <w:t>）</w:t>
      </w:r>
      <w:bookmarkEnd w:id="1113"/>
      <w:r>
        <w:rPr>
          <w:rFonts w:ascii="Times New Roman" w:hAnsi="Times New Roman" w:cs="Times New Roman"/>
          <w:kern w:val="24"/>
        </w:rPr>
        <w:t>等，符合性见表</w:t>
      </w:r>
      <w:r>
        <w:rPr>
          <w:rFonts w:ascii="Times New Roman" w:hAnsi="Times New Roman" w:cs="Times New Roman"/>
          <w:kern w:val="24"/>
        </w:rPr>
        <w:t>3.</w:t>
      </w:r>
      <w:r>
        <w:rPr>
          <w:rFonts w:ascii="Times New Roman" w:hAnsi="Times New Roman" w:cs="Times New Roman" w:hint="eastAsia"/>
          <w:kern w:val="24"/>
        </w:rPr>
        <w:t>4</w:t>
      </w:r>
      <w:r>
        <w:rPr>
          <w:rFonts w:ascii="Times New Roman" w:hAnsi="Times New Roman" w:cs="Times New Roman"/>
          <w:kern w:val="24"/>
        </w:rPr>
        <w:t>-1</w:t>
      </w:r>
      <w:r>
        <w:rPr>
          <w:rFonts w:ascii="Times New Roman" w:hAnsi="Times New Roman" w:cs="Times New Roman"/>
          <w:kern w:val="24"/>
        </w:rPr>
        <w:t>。</w:t>
      </w:r>
      <w:r>
        <w:rPr>
          <w:rFonts w:ascii="Times New Roman" w:hAnsi="Times New Roman" w:cs="Times New Roman"/>
          <w:kern w:val="2"/>
        </w:rPr>
        <w:t>由表</w:t>
      </w:r>
      <w:r>
        <w:rPr>
          <w:rFonts w:ascii="Times New Roman" w:hAnsi="Times New Roman" w:cs="Times New Roman"/>
          <w:kern w:val="2"/>
        </w:rPr>
        <w:t>3.</w:t>
      </w:r>
      <w:r>
        <w:rPr>
          <w:rFonts w:ascii="Times New Roman" w:hAnsi="Times New Roman" w:cs="Times New Roman" w:hint="eastAsia"/>
          <w:kern w:val="2"/>
        </w:rPr>
        <w:t>4</w:t>
      </w:r>
      <w:r>
        <w:rPr>
          <w:rFonts w:ascii="Times New Roman" w:hAnsi="Times New Roman" w:cs="Times New Roman"/>
          <w:kern w:val="2"/>
        </w:rPr>
        <w:t>-1</w:t>
      </w:r>
      <w:r>
        <w:rPr>
          <w:rFonts w:ascii="Times New Roman" w:hAnsi="Times New Roman" w:cs="Times New Roman"/>
          <w:kern w:val="2"/>
        </w:rPr>
        <w:t>分析</w:t>
      </w:r>
      <w:r>
        <w:rPr>
          <w:rFonts w:ascii="Times New Roman" w:hAnsi="Times New Roman" w:cs="Times New Roman"/>
          <w:kern w:val="2"/>
        </w:rPr>
        <w:t>可知，工程建设符合</w:t>
      </w:r>
      <w:r>
        <w:rPr>
          <w:rFonts w:ascii="Times New Roman" w:hAnsi="Times New Roman" w:cs="Times New Roman"/>
          <w:kern w:val="2"/>
        </w:rPr>
        <w:t>上述油气开采政策法规</w:t>
      </w:r>
      <w:r>
        <w:rPr>
          <w:rFonts w:ascii="Times New Roman" w:hAnsi="Times New Roman" w:cs="Times New Roman"/>
          <w:kern w:val="2"/>
        </w:rPr>
        <w:t>的相关规定。</w:t>
      </w:r>
    </w:p>
    <w:p w:rsidR="00C645C9" w:rsidRDefault="00F955D9">
      <w:pPr>
        <w:widowControl w:val="0"/>
        <w:topLinePunct/>
        <w:autoSpaceDE w:val="0"/>
        <w:jc w:val="center"/>
        <w:rPr>
          <w:rFonts w:eastAsia="黑体" w:cs="Times New Roman"/>
          <w:kern w:val="24"/>
          <w:sz w:val="22"/>
          <w:szCs w:val="22"/>
        </w:rPr>
      </w:pPr>
      <w:r>
        <w:rPr>
          <w:rFonts w:eastAsia="黑体" w:cs="Times New Roman"/>
          <w:sz w:val="21"/>
          <w:szCs w:val="21"/>
        </w:rPr>
        <w:t>表</w:t>
      </w:r>
      <w:r>
        <w:rPr>
          <w:rFonts w:eastAsia="黑体" w:cs="Times New Roman"/>
          <w:sz w:val="21"/>
          <w:szCs w:val="21"/>
        </w:rPr>
        <w:t>3.</w:t>
      </w:r>
      <w:r>
        <w:rPr>
          <w:rFonts w:eastAsia="黑体" w:cs="Times New Roman" w:hint="eastAsia"/>
          <w:sz w:val="21"/>
          <w:szCs w:val="21"/>
        </w:rPr>
        <w:t>4</w:t>
      </w:r>
      <w:r>
        <w:rPr>
          <w:rFonts w:eastAsia="黑体" w:cs="Times New Roman"/>
          <w:sz w:val="21"/>
          <w:szCs w:val="21"/>
        </w:rPr>
        <w:t>-1</w:t>
      </w:r>
      <w:r>
        <w:rPr>
          <w:rFonts w:eastAsia="黑体" w:cs="Times New Roman"/>
          <w:sz w:val="21"/>
          <w:szCs w:val="21"/>
        </w:rPr>
        <w:t xml:space="preserve">   </w:t>
      </w:r>
      <w:r>
        <w:rPr>
          <w:rFonts w:eastAsia="黑体" w:cs="Times New Roman"/>
          <w:sz w:val="21"/>
          <w:szCs w:val="21"/>
        </w:rPr>
        <w:t>与</w:t>
      </w:r>
      <w:r>
        <w:rPr>
          <w:rFonts w:eastAsia="黑体" w:cs="Times New Roman"/>
          <w:kern w:val="24"/>
          <w:sz w:val="21"/>
          <w:szCs w:val="21"/>
        </w:rPr>
        <w:t>相关的政策、法规符合性分析</w:t>
      </w: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3"/>
        <w:gridCol w:w="3733"/>
        <w:gridCol w:w="3156"/>
        <w:gridCol w:w="745"/>
      </w:tblGrid>
      <w:tr w:rsidR="00C645C9">
        <w:trPr>
          <w:trHeight w:val="23"/>
          <w:jc w:val="center"/>
        </w:trPr>
        <w:tc>
          <w:tcPr>
            <w:tcW w:w="963" w:type="dxa"/>
            <w:vAlign w:val="center"/>
          </w:tcPr>
          <w:p w:rsidR="00C645C9" w:rsidRDefault="00F955D9">
            <w:pPr>
              <w:jc w:val="center"/>
              <w:rPr>
                <w:rFonts w:cs="Times New Roman"/>
                <w:sz w:val="21"/>
                <w:szCs w:val="21"/>
              </w:rPr>
            </w:pPr>
            <w:r>
              <w:rPr>
                <w:rFonts w:cs="Times New Roman"/>
                <w:sz w:val="21"/>
                <w:szCs w:val="21"/>
              </w:rPr>
              <w:t>文件名称</w:t>
            </w:r>
          </w:p>
        </w:tc>
        <w:tc>
          <w:tcPr>
            <w:tcW w:w="3733" w:type="dxa"/>
            <w:vAlign w:val="center"/>
          </w:tcPr>
          <w:p w:rsidR="00C645C9" w:rsidRDefault="00F955D9">
            <w:pPr>
              <w:jc w:val="center"/>
              <w:rPr>
                <w:rFonts w:cs="Times New Roman"/>
                <w:sz w:val="21"/>
                <w:szCs w:val="21"/>
              </w:rPr>
            </w:pPr>
            <w:r>
              <w:rPr>
                <w:rFonts w:cs="Times New Roman"/>
                <w:sz w:val="21"/>
                <w:szCs w:val="21"/>
              </w:rPr>
              <w:t>文件要求</w:t>
            </w:r>
          </w:p>
        </w:tc>
        <w:tc>
          <w:tcPr>
            <w:tcW w:w="3156" w:type="dxa"/>
            <w:vAlign w:val="center"/>
          </w:tcPr>
          <w:p w:rsidR="00C645C9" w:rsidRDefault="00F955D9">
            <w:pPr>
              <w:jc w:val="center"/>
              <w:rPr>
                <w:rFonts w:cs="Times New Roman"/>
                <w:sz w:val="21"/>
                <w:szCs w:val="21"/>
              </w:rPr>
            </w:pPr>
            <w:r>
              <w:rPr>
                <w:rFonts w:cs="Times New Roman"/>
                <w:sz w:val="21"/>
                <w:szCs w:val="21"/>
              </w:rPr>
              <w:t>实际建设情况</w:t>
            </w:r>
          </w:p>
        </w:tc>
        <w:tc>
          <w:tcPr>
            <w:tcW w:w="745" w:type="dxa"/>
            <w:vAlign w:val="center"/>
          </w:tcPr>
          <w:p w:rsidR="00C645C9" w:rsidRDefault="00F955D9">
            <w:pPr>
              <w:jc w:val="center"/>
              <w:rPr>
                <w:rFonts w:cs="Times New Roman"/>
                <w:sz w:val="21"/>
                <w:szCs w:val="21"/>
              </w:rPr>
            </w:pPr>
            <w:r>
              <w:rPr>
                <w:rFonts w:cs="Times New Roman"/>
                <w:sz w:val="21"/>
                <w:szCs w:val="21"/>
              </w:rPr>
              <w:t>符合性</w:t>
            </w:r>
          </w:p>
        </w:tc>
      </w:tr>
      <w:tr w:rsidR="00C645C9">
        <w:trPr>
          <w:trHeight w:val="226"/>
          <w:jc w:val="center"/>
        </w:trPr>
        <w:tc>
          <w:tcPr>
            <w:tcW w:w="963" w:type="dxa"/>
            <w:vAlign w:val="center"/>
          </w:tcPr>
          <w:p w:rsidR="00C645C9" w:rsidRDefault="00F955D9">
            <w:pPr>
              <w:rPr>
                <w:rFonts w:cs="Times New Roman"/>
                <w:sz w:val="21"/>
                <w:szCs w:val="21"/>
              </w:rPr>
            </w:pPr>
            <w:r>
              <w:rPr>
                <w:rFonts w:cs="Times New Roman"/>
                <w:sz w:val="21"/>
                <w:szCs w:val="21"/>
              </w:rPr>
              <w:t>《</w:t>
            </w:r>
            <w:bookmarkStart w:id="1115" w:name="OLE_LINK1243"/>
            <w:r>
              <w:rPr>
                <w:rFonts w:cs="Times New Roman"/>
                <w:sz w:val="21"/>
                <w:szCs w:val="21"/>
              </w:rPr>
              <w:t>石油天然气开采业污染防治技术政策</w:t>
            </w:r>
            <w:bookmarkEnd w:id="1115"/>
            <w:r>
              <w:rPr>
                <w:rFonts w:cs="Times New Roman"/>
                <w:sz w:val="21"/>
                <w:szCs w:val="21"/>
              </w:rPr>
              <w:t>》</w:t>
            </w:r>
            <w:r>
              <w:rPr>
                <w:rFonts w:cs="Times New Roman" w:hint="eastAsia"/>
                <w:sz w:val="21"/>
                <w:szCs w:val="21"/>
              </w:rPr>
              <w:t>（环境部公告</w:t>
            </w:r>
            <w:r>
              <w:rPr>
                <w:rFonts w:cs="Times New Roman" w:hint="eastAsia"/>
                <w:sz w:val="21"/>
                <w:szCs w:val="21"/>
              </w:rPr>
              <w:t>2012</w:t>
            </w:r>
            <w:r>
              <w:rPr>
                <w:rFonts w:cs="Times New Roman" w:hint="eastAsia"/>
                <w:sz w:val="21"/>
                <w:szCs w:val="21"/>
              </w:rPr>
              <w:t>年第</w:t>
            </w:r>
            <w:r>
              <w:rPr>
                <w:rFonts w:cs="Times New Roman" w:hint="eastAsia"/>
                <w:sz w:val="21"/>
                <w:szCs w:val="21"/>
              </w:rPr>
              <w:t>18</w:t>
            </w:r>
            <w:r>
              <w:rPr>
                <w:rFonts w:cs="Times New Roman" w:hint="eastAsia"/>
                <w:sz w:val="21"/>
                <w:szCs w:val="21"/>
              </w:rPr>
              <w:t>号）</w:t>
            </w:r>
          </w:p>
        </w:tc>
        <w:tc>
          <w:tcPr>
            <w:tcW w:w="3733" w:type="dxa"/>
            <w:vAlign w:val="center"/>
          </w:tcPr>
          <w:p w:rsidR="00C645C9" w:rsidRDefault="00F955D9">
            <w:pPr>
              <w:jc w:val="both"/>
              <w:rPr>
                <w:rFonts w:cs="Times New Roman"/>
                <w:sz w:val="21"/>
                <w:szCs w:val="21"/>
              </w:rPr>
            </w:pPr>
            <w:r>
              <w:rPr>
                <w:rFonts w:cs="Times New Roman"/>
                <w:sz w:val="21"/>
                <w:szCs w:val="21"/>
              </w:rPr>
              <w:t>到</w:t>
            </w:r>
            <w:r>
              <w:rPr>
                <w:rFonts w:cs="Times New Roman"/>
                <w:sz w:val="21"/>
                <w:szCs w:val="21"/>
              </w:rPr>
              <w:t>2015</w:t>
            </w:r>
            <w:r>
              <w:rPr>
                <w:rFonts w:cs="Times New Roman"/>
                <w:sz w:val="21"/>
                <w:szCs w:val="21"/>
              </w:rPr>
              <w:t>年末，行业新、改、扩建项目均采用清洁生产工艺和技术，工业废水回用率达到</w:t>
            </w:r>
            <w:r>
              <w:rPr>
                <w:rFonts w:cs="Times New Roman"/>
                <w:sz w:val="21"/>
                <w:szCs w:val="21"/>
              </w:rPr>
              <w:t>90%</w:t>
            </w:r>
            <w:r>
              <w:rPr>
                <w:rFonts w:cs="Times New Roman"/>
                <w:sz w:val="21"/>
                <w:szCs w:val="21"/>
              </w:rPr>
              <w:t>以上，工业固体废物资源化及无害化处理处置率达到</w:t>
            </w:r>
            <w:r>
              <w:rPr>
                <w:rFonts w:cs="Times New Roman"/>
                <w:sz w:val="21"/>
                <w:szCs w:val="21"/>
              </w:rPr>
              <w:t>100%</w:t>
            </w:r>
            <w:r>
              <w:rPr>
                <w:rFonts w:cs="Times New Roman"/>
                <w:sz w:val="21"/>
                <w:szCs w:val="21"/>
              </w:rPr>
              <w:t>；落地原油应及时回收，落地原油回收率应达到</w:t>
            </w:r>
            <w:r>
              <w:rPr>
                <w:rFonts w:cs="Times New Roman"/>
                <w:sz w:val="21"/>
                <w:szCs w:val="21"/>
              </w:rPr>
              <w:t>100%</w:t>
            </w:r>
            <w:r>
              <w:rPr>
                <w:rFonts w:cs="Times New Roman"/>
                <w:sz w:val="21"/>
                <w:szCs w:val="21"/>
              </w:rPr>
              <w:t>；油气田建设宜布置丛式井组，采用多分支井、水平井、小孔钻井、空气钻井等钻井技术，以减少废物产生和占地；在开发过程中，伴生气应回收利用，减少温室气体排放，不具备回收利用条件的，应充分燃烧，伴生气回收利用率应达到</w:t>
            </w:r>
            <w:r>
              <w:rPr>
                <w:rFonts w:cs="Times New Roman"/>
                <w:sz w:val="21"/>
                <w:szCs w:val="21"/>
              </w:rPr>
              <w:t>80%</w:t>
            </w:r>
            <w:r>
              <w:rPr>
                <w:rFonts w:cs="Times New Roman"/>
                <w:sz w:val="21"/>
                <w:szCs w:val="21"/>
              </w:rPr>
              <w:t>以上；站场放空天然气应充分燃烧</w:t>
            </w:r>
            <w:r>
              <w:rPr>
                <w:rFonts w:cs="Times New Roman"/>
                <w:sz w:val="21"/>
                <w:szCs w:val="21"/>
              </w:rPr>
              <w:t>。</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天然气经净化调压计量后销售给地方企业；井下作业时带罐作业，落地油</w:t>
            </w:r>
            <w:r>
              <w:rPr>
                <w:rFonts w:cs="Times New Roman"/>
                <w:sz w:val="21"/>
                <w:szCs w:val="21"/>
              </w:rPr>
              <w:t>100%</w:t>
            </w:r>
            <w:r>
              <w:rPr>
                <w:rFonts w:cs="Times New Roman"/>
                <w:sz w:val="21"/>
                <w:szCs w:val="21"/>
              </w:rPr>
              <w:t>回收，回收至密闭的专用罐车内，统一由塔河油田绿色环保站进行无害化处理。</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Merge w:val="restart"/>
            <w:vAlign w:val="center"/>
          </w:tcPr>
          <w:p w:rsidR="00C645C9" w:rsidRDefault="00F955D9">
            <w:pPr>
              <w:rPr>
                <w:rFonts w:cs="Times New Roman"/>
                <w:sz w:val="21"/>
                <w:szCs w:val="21"/>
              </w:rPr>
            </w:pPr>
            <w:r>
              <w:rPr>
                <w:rFonts w:cs="Times New Roman"/>
                <w:sz w:val="21"/>
                <w:szCs w:val="21"/>
              </w:rPr>
              <w:t>《</w:t>
            </w:r>
            <w:bookmarkStart w:id="1116" w:name="OLE_LINK1244"/>
            <w:r>
              <w:rPr>
                <w:rFonts w:cs="Times New Roman"/>
                <w:sz w:val="21"/>
                <w:szCs w:val="21"/>
              </w:rPr>
              <w:t>新疆维吾尔自治区</w:t>
            </w:r>
            <w:bookmarkStart w:id="1117" w:name="OLE_LINK447"/>
            <w:bookmarkStart w:id="1118" w:name="OLE_LINK235"/>
            <w:r>
              <w:rPr>
                <w:rFonts w:cs="Times New Roman"/>
                <w:sz w:val="21"/>
                <w:szCs w:val="21"/>
              </w:rPr>
              <w:t>大气污染防治</w:t>
            </w:r>
            <w:bookmarkEnd w:id="1117"/>
            <w:r>
              <w:rPr>
                <w:rFonts w:cs="Times New Roman"/>
                <w:sz w:val="21"/>
                <w:szCs w:val="21"/>
              </w:rPr>
              <w:t>条例</w:t>
            </w:r>
            <w:bookmarkEnd w:id="1116"/>
            <w:bookmarkEnd w:id="1118"/>
            <w:r>
              <w:rPr>
                <w:rFonts w:cs="Times New Roman"/>
                <w:sz w:val="21"/>
                <w:szCs w:val="21"/>
              </w:rPr>
              <w:t>》</w:t>
            </w:r>
            <w:r>
              <w:rPr>
                <w:rFonts w:cs="Times New Roman" w:hint="eastAsia"/>
                <w:kern w:val="2"/>
                <w:sz w:val="21"/>
                <w:szCs w:val="21"/>
              </w:rPr>
              <w:t>（第</w:t>
            </w:r>
            <w:r>
              <w:rPr>
                <w:rFonts w:eastAsiaTheme="minorEastAsia" w:cs="Times New Roman"/>
                <w:sz w:val="21"/>
                <w:szCs w:val="21"/>
              </w:rPr>
              <w:t>13</w:t>
            </w:r>
            <w:r>
              <w:rPr>
                <w:rFonts w:eastAsiaTheme="minorEastAsia" w:cs="Times New Roman"/>
                <w:sz w:val="21"/>
                <w:szCs w:val="21"/>
              </w:rPr>
              <w:t>届人大第</w:t>
            </w:r>
            <w:r>
              <w:rPr>
                <w:rFonts w:eastAsiaTheme="minorEastAsia" w:cs="Times New Roman"/>
                <w:sz w:val="21"/>
                <w:szCs w:val="21"/>
              </w:rPr>
              <w:t>7</w:t>
            </w:r>
            <w:r>
              <w:rPr>
                <w:rFonts w:eastAsiaTheme="minorEastAsia" w:cs="Times New Roman"/>
                <w:sz w:val="21"/>
                <w:szCs w:val="21"/>
              </w:rPr>
              <w:t>次会议</w:t>
            </w:r>
            <w:r>
              <w:rPr>
                <w:rFonts w:cs="Times New Roman" w:hint="eastAsia"/>
                <w:sz w:val="21"/>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第三十七条规定：各级人民政府应当加强对建设施工、矿产资源开采、物料运输的扬尘和沙尘污染的治理，保持道路清洁、控制料堆和渣土堆放，科学合理扩大绿地、水面、湿地、地面铺装和防风固沙绿化面积，防治扬尘污染。</w:t>
            </w:r>
          </w:p>
        </w:tc>
        <w:tc>
          <w:tcPr>
            <w:tcW w:w="3156" w:type="dxa"/>
            <w:vAlign w:val="center"/>
          </w:tcPr>
          <w:p w:rsidR="00C645C9" w:rsidRDefault="00F955D9">
            <w:pPr>
              <w:jc w:val="both"/>
              <w:rPr>
                <w:rFonts w:cs="Times New Roman"/>
                <w:sz w:val="21"/>
                <w:szCs w:val="21"/>
              </w:rPr>
            </w:pPr>
            <w:r>
              <w:rPr>
                <w:rFonts w:cs="Times New Roman"/>
                <w:sz w:val="21"/>
                <w:szCs w:val="21"/>
              </w:rPr>
              <w:t>本工程施工土方全部用于场地平整</w:t>
            </w:r>
            <w:r>
              <w:rPr>
                <w:rFonts w:cs="Times New Roman" w:hint="eastAsia"/>
                <w:sz w:val="21"/>
                <w:szCs w:val="21"/>
              </w:rPr>
              <w:t>。</w:t>
            </w:r>
            <w:r>
              <w:rPr>
                <w:rFonts w:cs="Times New Roman"/>
                <w:sz w:val="21"/>
                <w:szCs w:val="21"/>
              </w:rPr>
              <w:t>施工废料应首先考虑回收利用，不可回收利用部分由库车绿能环保科技有限公司拉运至库车经济开发区工业固废填埋场合规处置。</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Merge/>
            <w:vAlign w:val="center"/>
          </w:tcPr>
          <w:p w:rsidR="00C645C9" w:rsidRDefault="00C645C9">
            <w:pPr>
              <w:rPr>
                <w:rFonts w:cs="Times New Roman"/>
                <w:sz w:val="21"/>
                <w:szCs w:val="21"/>
              </w:rPr>
            </w:pPr>
          </w:p>
        </w:tc>
        <w:tc>
          <w:tcPr>
            <w:tcW w:w="3733" w:type="dxa"/>
            <w:vAlign w:val="center"/>
          </w:tcPr>
          <w:p w:rsidR="00C645C9" w:rsidRDefault="00F955D9">
            <w:pPr>
              <w:jc w:val="both"/>
              <w:rPr>
                <w:rFonts w:cs="Times New Roman"/>
                <w:sz w:val="21"/>
                <w:szCs w:val="21"/>
              </w:rPr>
            </w:pPr>
            <w:r>
              <w:rPr>
                <w:rFonts w:cs="Times New Roman"/>
                <w:sz w:val="21"/>
                <w:szCs w:val="21"/>
              </w:rPr>
              <w:t>第四十四条　矿山开采产生的废石、废渣、泥土等应当堆放到专门存放地，并采取围挡、设置防尘网或者防尘布等防尘措施；施工便道应当硬化。</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工程井场施工周期较短，且采取洒水抑尘措施，运输车辆采取减速慢行和苫盖措施，可有效降低扬尘</w:t>
            </w:r>
            <w:r>
              <w:rPr>
                <w:rFonts w:cs="Times New Roman"/>
                <w:sz w:val="21"/>
                <w:szCs w:val="21"/>
              </w:rPr>
              <w:t>。</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594"/>
          <w:jc w:val="center"/>
        </w:trPr>
        <w:tc>
          <w:tcPr>
            <w:tcW w:w="963" w:type="dxa"/>
            <w:vAlign w:val="center"/>
          </w:tcPr>
          <w:p w:rsidR="00C645C9" w:rsidRDefault="00F955D9">
            <w:pPr>
              <w:jc w:val="center"/>
              <w:rPr>
                <w:rFonts w:cs="Times New Roman"/>
                <w:sz w:val="21"/>
                <w:szCs w:val="21"/>
              </w:rPr>
            </w:pPr>
            <w:r>
              <w:rPr>
                <w:rFonts w:cs="Times New Roman"/>
                <w:sz w:val="21"/>
                <w:szCs w:val="21"/>
              </w:rPr>
              <w:t>《</w:t>
            </w:r>
            <w:r>
              <w:rPr>
                <w:rFonts w:cs="Times New Roman"/>
                <w:sz w:val="21"/>
                <w:szCs w:val="21"/>
              </w:rPr>
              <w:t>关于进一步加强石</w:t>
            </w:r>
            <w:bookmarkStart w:id="1119" w:name="OLE_LINK1453"/>
            <w:r>
              <w:rPr>
                <w:rFonts w:cs="Times New Roman"/>
                <w:sz w:val="21"/>
                <w:szCs w:val="21"/>
              </w:rPr>
              <w:t>油天然气行业环境影响评价</w:t>
            </w:r>
            <w:bookmarkEnd w:id="1119"/>
            <w:r>
              <w:rPr>
                <w:rFonts w:cs="Times New Roman"/>
                <w:sz w:val="21"/>
                <w:szCs w:val="21"/>
              </w:rPr>
              <w:t>的通知</w:t>
            </w:r>
            <w:r>
              <w:rPr>
                <w:rFonts w:cs="Times New Roman"/>
                <w:sz w:val="21"/>
                <w:szCs w:val="21"/>
              </w:rPr>
              <w:t>》（</w:t>
            </w:r>
            <w:r>
              <w:rPr>
                <w:rFonts w:cs="Times New Roman"/>
                <w:sz w:val="21"/>
                <w:szCs w:val="21"/>
              </w:rPr>
              <w:t>环办环评函</w:t>
            </w:r>
            <w:bookmarkStart w:id="1120" w:name="OLE_LINK1178"/>
            <w:r>
              <w:rPr>
                <w:rFonts w:cs="Times New Roman"/>
                <w:sz w:val="21"/>
                <w:szCs w:val="21"/>
              </w:rPr>
              <w:t>〔</w:t>
            </w:r>
            <w:bookmarkEnd w:id="1120"/>
            <w:r>
              <w:rPr>
                <w:rFonts w:cs="Times New Roman"/>
                <w:sz w:val="21"/>
                <w:szCs w:val="21"/>
              </w:rPr>
              <w:t>2019</w:t>
            </w:r>
            <w:r>
              <w:rPr>
                <w:rFonts w:cs="Times New Roman"/>
                <w:sz w:val="21"/>
                <w:szCs w:val="21"/>
              </w:rPr>
              <w:t>〕</w:t>
            </w:r>
          </w:p>
          <w:p w:rsidR="00C645C9" w:rsidRDefault="00F955D9">
            <w:pPr>
              <w:jc w:val="center"/>
              <w:rPr>
                <w:rFonts w:cs="Times New Roman"/>
                <w:sz w:val="21"/>
                <w:szCs w:val="21"/>
              </w:rPr>
            </w:pPr>
            <w:r>
              <w:rPr>
                <w:rFonts w:cs="Times New Roman"/>
                <w:sz w:val="21"/>
                <w:szCs w:val="21"/>
              </w:rPr>
              <w:t>910</w:t>
            </w:r>
            <w:r>
              <w:rPr>
                <w:rFonts w:cs="Times New Roman"/>
                <w:sz w:val="21"/>
                <w:szCs w:val="21"/>
              </w:rPr>
              <w:t>号</w:t>
            </w:r>
            <w:r>
              <w:rPr>
                <w:rFonts w:cs="Times New Roman"/>
                <w:sz w:val="21"/>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在相关行业污染控制标准发布前，回注的开采废水应当经处理并符合《碎屑岩油藏注水水质推荐指标及分析方法》（</w:t>
            </w:r>
            <w:r>
              <w:rPr>
                <w:rFonts w:cs="Times New Roman"/>
                <w:sz w:val="21"/>
                <w:szCs w:val="21"/>
              </w:rPr>
              <w:t>SY/T5329</w:t>
            </w:r>
            <w:r>
              <w:rPr>
                <w:rFonts w:cs="Times New Roman"/>
                <w:sz w:val="21"/>
                <w:szCs w:val="21"/>
              </w:rPr>
              <w:t>）等相关标准要求后回注，同步采取切实可行措施防治污染；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油气田回注采出</w:t>
            </w:r>
            <w:r>
              <w:rPr>
                <w:rFonts w:cs="Times New Roman"/>
                <w:sz w:val="21"/>
                <w:szCs w:val="21"/>
              </w:rPr>
              <w:t>水，应当采取有效措施减少废水处理站和回注井场硫化氢的无组织排放。井场加热炉等排放大气污染物的设备，应当优先使用清洁燃料，废气排放应当满足国家和地方大气污染物排放标准要求；建设单位或生产经营单位按规定开展建设项目竣工环境保护验收，并录入全国建设项目竣工环境保护验收信息平台。</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采用</w:t>
            </w:r>
            <w:bookmarkStart w:id="1121" w:name="OLE_LINK1455"/>
            <w:r>
              <w:rPr>
                <w:rFonts w:cs="Times New Roman" w:hint="eastAsia"/>
                <w:sz w:val="21"/>
                <w:szCs w:val="21"/>
              </w:rPr>
              <w:t>凝析</w:t>
            </w:r>
            <w:r>
              <w:rPr>
                <w:rFonts w:cs="Times New Roman"/>
                <w:sz w:val="21"/>
                <w:szCs w:val="21"/>
              </w:rPr>
              <w:t>油</w:t>
            </w:r>
            <w:bookmarkEnd w:id="1121"/>
            <w:r>
              <w:rPr>
                <w:rFonts w:cs="Times New Roman"/>
                <w:sz w:val="21"/>
                <w:szCs w:val="21"/>
              </w:rPr>
              <w:t>稳定工艺，</w:t>
            </w:r>
            <w:r>
              <w:rPr>
                <w:rFonts w:cs="Times New Roman" w:hint="eastAsia"/>
                <w:sz w:val="21"/>
                <w:szCs w:val="21"/>
              </w:rPr>
              <w:t>储</w:t>
            </w:r>
            <w:r>
              <w:rPr>
                <w:rFonts w:cs="Times New Roman"/>
                <w:sz w:val="21"/>
                <w:szCs w:val="21"/>
              </w:rPr>
              <w:t>罐临时存储等措施控制无组织排放，生产用加热炉废气排放可满足国家和地方大气污染物排放标准要求，</w:t>
            </w:r>
            <w:r>
              <w:rPr>
                <w:rFonts w:cs="Times New Roman" w:hint="eastAsia"/>
                <w:sz w:val="21"/>
                <w:szCs w:val="21"/>
              </w:rPr>
              <w:t>雅克拉采气</w:t>
            </w:r>
            <w:r>
              <w:rPr>
                <w:rFonts w:cs="Times New Roman"/>
                <w:sz w:val="21"/>
                <w:szCs w:val="21"/>
              </w:rPr>
              <w:t>厂针对油田在施工期和运营期可能发生的各种环境风险事故，制定了详细的风险事故应急预案，当事件一旦发生时可迅速加</w:t>
            </w:r>
            <w:r>
              <w:rPr>
                <w:rFonts w:cs="Times New Roman"/>
                <w:sz w:val="21"/>
                <w:szCs w:val="21"/>
              </w:rPr>
              <w:t>以控制，使危害和损失降低到尽可能低的程度。</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Merge w:val="restart"/>
            <w:vAlign w:val="center"/>
          </w:tcPr>
          <w:p w:rsidR="00C645C9" w:rsidRDefault="00F955D9">
            <w:pPr>
              <w:jc w:val="center"/>
              <w:rPr>
                <w:rFonts w:cs="Times New Roman"/>
                <w:sz w:val="21"/>
                <w:szCs w:val="21"/>
              </w:rPr>
            </w:pPr>
            <w:r>
              <w:rPr>
                <w:rFonts w:cs="Times New Roman"/>
                <w:sz w:val="21"/>
                <w:szCs w:val="21"/>
              </w:rPr>
              <w:lastRenderedPageBreak/>
              <w:t>转发</w:t>
            </w:r>
            <w:r>
              <w:rPr>
                <w:rFonts w:cs="Times New Roman"/>
                <w:sz w:val="21"/>
                <w:szCs w:val="21"/>
              </w:rPr>
              <w:t>《</w:t>
            </w:r>
            <w:r>
              <w:rPr>
                <w:rFonts w:cs="Times New Roman"/>
                <w:sz w:val="21"/>
                <w:szCs w:val="21"/>
              </w:rPr>
              <w:t>关于进一步加强石油天然气行业环境影响评价管理的通知</w:t>
            </w:r>
            <w:r>
              <w:rPr>
                <w:rFonts w:cs="Times New Roman"/>
                <w:sz w:val="21"/>
                <w:szCs w:val="21"/>
              </w:rPr>
              <w:t>》</w:t>
            </w:r>
            <w:r>
              <w:rPr>
                <w:rFonts w:cs="Times New Roman"/>
                <w:sz w:val="21"/>
                <w:szCs w:val="21"/>
              </w:rPr>
              <w:t>的通知〔新环评价发</w:t>
            </w:r>
            <w:r>
              <w:rPr>
                <w:rFonts w:cs="Times New Roman"/>
                <w:sz w:val="21"/>
                <w:szCs w:val="21"/>
              </w:rPr>
              <w:t>2020</w:t>
            </w:r>
            <w:r>
              <w:rPr>
                <w:rFonts w:cs="Times New Roman"/>
                <w:sz w:val="21"/>
                <w:szCs w:val="21"/>
              </w:rPr>
              <w:t>〕</w:t>
            </w:r>
            <w:r>
              <w:rPr>
                <w:rFonts w:cs="Times New Roman"/>
                <w:sz w:val="21"/>
                <w:szCs w:val="21"/>
              </w:rPr>
              <w:t>142</w:t>
            </w:r>
            <w:r>
              <w:rPr>
                <w:rFonts w:cs="Times New Roman"/>
                <w:sz w:val="21"/>
                <w:szCs w:val="21"/>
              </w:rPr>
              <w:t>号</w:t>
            </w:r>
            <w:r>
              <w:rPr>
                <w:rFonts w:cs="Times New Roman"/>
                <w:sz w:val="21"/>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请各有关单位加快推进油气发展</w:t>
            </w:r>
            <w:r>
              <w:rPr>
                <w:rFonts w:cs="Times New Roman"/>
                <w:sz w:val="21"/>
                <w:szCs w:val="21"/>
              </w:rPr>
              <w:t>（</w:t>
            </w:r>
            <w:r>
              <w:rPr>
                <w:rFonts w:cs="Times New Roman"/>
                <w:sz w:val="21"/>
                <w:szCs w:val="21"/>
              </w:rPr>
              <w:t>开发</w:t>
            </w:r>
            <w:r>
              <w:rPr>
                <w:rFonts w:cs="Times New Roman"/>
                <w:sz w:val="21"/>
                <w:szCs w:val="21"/>
              </w:rPr>
              <w:t>）</w:t>
            </w:r>
            <w:r>
              <w:rPr>
                <w:rFonts w:cs="Times New Roman"/>
                <w:sz w:val="21"/>
                <w:szCs w:val="21"/>
              </w:rPr>
              <w:t>相关规划编制，并依法开展规划环境影响评价工作。对已经批准的油气发展</w:t>
            </w:r>
            <w:r>
              <w:rPr>
                <w:rFonts w:cs="Times New Roman"/>
                <w:sz w:val="21"/>
                <w:szCs w:val="21"/>
              </w:rPr>
              <w:t>（</w:t>
            </w:r>
            <w:r>
              <w:rPr>
                <w:rFonts w:cs="Times New Roman"/>
                <w:sz w:val="21"/>
                <w:szCs w:val="21"/>
              </w:rPr>
              <w:t>开发</w:t>
            </w:r>
            <w:r>
              <w:rPr>
                <w:rFonts w:cs="Times New Roman"/>
                <w:sz w:val="21"/>
                <w:szCs w:val="21"/>
              </w:rPr>
              <w:t>）</w:t>
            </w:r>
            <w:r>
              <w:rPr>
                <w:rFonts w:cs="Times New Roman"/>
                <w:sz w:val="21"/>
                <w:szCs w:val="21"/>
              </w:rPr>
              <w:t>规划在实施范围、适用期限、规模、结构和布局等方面进行重大调整或修订的，应当依法重新或补充进行环境影响评价。油气开发规划实施满</w:t>
            </w:r>
            <w:r>
              <w:rPr>
                <w:rFonts w:cs="Times New Roman"/>
                <w:sz w:val="21"/>
                <w:szCs w:val="21"/>
              </w:rPr>
              <w:t>5</w:t>
            </w:r>
            <w:r>
              <w:rPr>
                <w:rFonts w:cs="Times New Roman"/>
                <w:sz w:val="21"/>
                <w:szCs w:val="21"/>
              </w:rPr>
              <w:t>年的应当及时开展规划环境影响跟踪评价。</w:t>
            </w:r>
          </w:p>
        </w:tc>
        <w:tc>
          <w:tcPr>
            <w:tcW w:w="3156" w:type="dxa"/>
            <w:vAlign w:val="center"/>
          </w:tcPr>
          <w:p w:rsidR="00C645C9" w:rsidRDefault="00F955D9">
            <w:pPr>
              <w:pStyle w:val="ab"/>
              <w:snapToGrid/>
              <w:jc w:val="both"/>
              <w:rPr>
                <w:rFonts w:cs="Times New Roman"/>
                <w:sz w:val="21"/>
                <w:szCs w:val="21"/>
              </w:rPr>
            </w:pPr>
            <w:r>
              <w:rPr>
                <w:rFonts w:cs="Times New Roman"/>
                <w:sz w:val="21"/>
                <w:szCs w:val="21"/>
              </w:rPr>
              <w:t>西北</w:t>
            </w:r>
            <w:r>
              <w:rPr>
                <w:rFonts w:cs="Times New Roman"/>
                <w:sz w:val="21"/>
                <w:szCs w:val="21"/>
              </w:rPr>
              <w:t>油田分公司已编制</w:t>
            </w:r>
            <w:r>
              <w:rPr>
                <w:rFonts w:cs="Times New Roman"/>
                <w:spacing w:val="-10"/>
                <w:sz w:val="21"/>
                <w:szCs w:val="21"/>
              </w:rPr>
              <w:t>西北油田分公司</w:t>
            </w:r>
            <w:r>
              <w:rPr>
                <w:rFonts w:cs="Times New Roman" w:hint="eastAsia"/>
                <w:spacing w:val="-10"/>
                <w:sz w:val="21"/>
                <w:szCs w:val="21"/>
              </w:rPr>
              <w:t>“</w:t>
            </w:r>
            <w:r>
              <w:rPr>
                <w:rFonts w:cs="Times New Roman"/>
                <w:spacing w:val="-10"/>
                <w:sz w:val="21"/>
                <w:szCs w:val="21"/>
              </w:rPr>
              <w:t>十四五</w:t>
            </w:r>
            <w:r>
              <w:rPr>
                <w:rFonts w:cs="Times New Roman" w:hint="eastAsia"/>
                <w:spacing w:val="-10"/>
                <w:sz w:val="21"/>
                <w:szCs w:val="21"/>
              </w:rPr>
              <w:t>”</w:t>
            </w:r>
            <w:r>
              <w:rPr>
                <w:rFonts w:cs="Times New Roman"/>
                <w:spacing w:val="-10"/>
                <w:sz w:val="21"/>
                <w:szCs w:val="21"/>
              </w:rPr>
              <w:t>规划</w:t>
            </w:r>
            <w:r>
              <w:rPr>
                <w:rFonts w:cs="Times New Roman"/>
                <w:spacing w:val="-10"/>
                <w:sz w:val="21"/>
                <w:szCs w:val="21"/>
              </w:rPr>
              <w:t>，</w:t>
            </w:r>
            <w:r>
              <w:rPr>
                <w:rFonts w:cs="Times New Roman"/>
                <w:spacing w:val="-10"/>
                <w:sz w:val="21"/>
                <w:szCs w:val="21"/>
              </w:rPr>
              <w:t>并委托</w:t>
            </w:r>
            <w:r>
              <w:rPr>
                <w:rFonts w:cs="Times New Roman"/>
                <w:spacing w:val="-5"/>
                <w:sz w:val="21"/>
                <w:szCs w:val="21"/>
              </w:rPr>
              <w:t>河北省众联能源环保科技有限</w:t>
            </w:r>
            <w:r>
              <w:rPr>
                <w:rFonts w:cs="Times New Roman"/>
                <w:noProof/>
                <w:spacing w:val="-5"/>
                <w:sz w:val="21"/>
                <w:szCs w:val="21"/>
              </w:rPr>
              <mc:AlternateContent>
                <mc:Choice Requires="wps">
                  <w:drawing>
                    <wp:anchor distT="0" distB="0" distL="114300" distR="114300" simplePos="0" relativeHeight="251660800" behindDoc="0" locked="0" layoutInCell="1" allowOverlap="1">
                      <wp:simplePos x="0" y="0"/>
                      <wp:positionH relativeFrom="column">
                        <wp:posOffset>-16510</wp:posOffset>
                      </wp:positionH>
                      <wp:positionV relativeFrom="paragraph">
                        <wp:posOffset>-26035</wp:posOffset>
                      </wp:positionV>
                      <wp:extent cx="5713730" cy="0"/>
                      <wp:effectExtent l="0" t="0" r="0" b="0"/>
                      <wp:wrapNone/>
                      <wp:docPr id="88" name="直接连接符 88"/>
                      <wp:cNvGraphicFramePr/>
                      <a:graphic xmlns:a="http://schemas.openxmlformats.org/drawingml/2006/main">
                        <a:graphicData uri="http://schemas.microsoft.com/office/word/2010/wordprocessingShape">
                          <wps:wsp>
                            <wps:cNvCnPr/>
                            <wps:spPr>
                              <a:xfrm>
                                <a:off x="0" y="0"/>
                                <a:ext cx="5713730" cy="0"/>
                              </a:xfrm>
                              <a:prstGeom prst="line">
                                <a:avLst/>
                              </a:prstGeom>
                              <a:ln w="12700" cap="flat" cmpd="sng">
                                <a:no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3pt;margin-top:-2.05pt;height:0pt;width:449.9pt;z-index:251680768;mso-width-relative:page;mso-height-relative:page;" filled="f" stroked="f" coordsize="21600,21600" o:gfxdata="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N&#10;/JzXAAAACAEAAA8AAAAAAAAAAQAgAAAAIgAAAGRycy9kb3ducmV2LnhtbFBLAQIUABQAAAAIAIdO&#10;4kBb+FOu6wEAAMwDAAAOAAAAAAAAAAEAIAAAACYBAABkcnMvZTJvRG9jLnhtbFBLBQYAAAAABgAG&#10;AFkBAACDBQAAAAA=&#10;">
                      <v:fill on="f" focussize="0,0"/>
                      <v:stroke on="f" weight="1pt"/>
                      <v:imagedata o:title=""/>
                      <o:lock v:ext="edit" aspectratio="f"/>
                    </v:line>
                  </w:pict>
                </mc:Fallback>
              </mc:AlternateContent>
            </w:r>
            <w:r>
              <w:rPr>
                <w:rFonts w:cs="Times New Roman"/>
                <w:spacing w:val="-5"/>
                <w:sz w:val="21"/>
                <w:szCs w:val="21"/>
              </w:rPr>
              <w:t>公司</w:t>
            </w:r>
            <w:r>
              <w:rPr>
                <w:rFonts w:cs="Times New Roman"/>
                <w:spacing w:val="-5"/>
                <w:sz w:val="21"/>
                <w:szCs w:val="21"/>
              </w:rPr>
              <w:t>编制完成</w:t>
            </w:r>
            <w:r>
              <w:rPr>
                <w:rFonts w:cs="Times New Roman"/>
                <w:spacing w:val="-10"/>
                <w:sz w:val="21"/>
                <w:szCs w:val="21"/>
              </w:rPr>
              <w:t>《</w:t>
            </w:r>
            <w:r>
              <w:rPr>
                <w:rFonts w:cs="Times New Roman"/>
                <w:spacing w:val="-10"/>
                <w:sz w:val="21"/>
                <w:szCs w:val="21"/>
              </w:rPr>
              <w:t>中国石油化工股份有限公司西北油田分公司</w:t>
            </w:r>
            <w:r>
              <w:rPr>
                <w:rFonts w:cs="Times New Roman"/>
                <w:spacing w:val="-10"/>
                <w:sz w:val="21"/>
                <w:szCs w:val="21"/>
              </w:rPr>
              <w:t>“</w:t>
            </w:r>
            <w:r>
              <w:rPr>
                <w:rFonts w:cs="Times New Roman"/>
                <w:spacing w:val="-10"/>
                <w:sz w:val="21"/>
                <w:szCs w:val="21"/>
              </w:rPr>
              <w:t>十四五</w:t>
            </w:r>
            <w:r>
              <w:rPr>
                <w:rFonts w:cs="Times New Roman"/>
                <w:spacing w:val="-10"/>
                <w:sz w:val="21"/>
                <w:szCs w:val="21"/>
              </w:rPr>
              <w:t>”</w:t>
            </w:r>
            <w:r>
              <w:rPr>
                <w:rFonts w:cs="Times New Roman"/>
                <w:spacing w:val="-10"/>
                <w:sz w:val="21"/>
                <w:szCs w:val="21"/>
              </w:rPr>
              <w:t>规划环境影响报告书</w:t>
            </w:r>
            <w:r>
              <w:rPr>
                <w:rFonts w:cs="Times New Roman"/>
                <w:spacing w:val="-10"/>
                <w:sz w:val="21"/>
                <w:szCs w:val="21"/>
              </w:rPr>
              <w:t>》</w:t>
            </w:r>
            <w:r>
              <w:rPr>
                <w:rFonts w:cs="Times New Roman"/>
                <w:sz w:val="21"/>
                <w:szCs w:val="21"/>
              </w:rPr>
              <w:t>，并于</w:t>
            </w:r>
            <w:r>
              <w:rPr>
                <w:rFonts w:cs="Times New Roman"/>
                <w:sz w:val="21"/>
                <w:szCs w:val="21"/>
              </w:rPr>
              <w:t>2022</w:t>
            </w:r>
            <w:r>
              <w:rPr>
                <w:rFonts w:cs="Times New Roman"/>
                <w:sz w:val="21"/>
                <w:szCs w:val="21"/>
              </w:rPr>
              <w:t>年</w:t>
            </w:r>
            <w:r>
              <w:rPr>
                <w:rFonts w:cs="Times New Roman"/>
                <w:sz w:val="21"/>
                <w:szCs w:val="21"/>
              </w:rPr>
              <w:t>7</w:t>
            </w:r>
            <w:r>
              <w:rPr>
                <w:rFonts w:cs="Times New Roman"/>
                <w:sz w:val="21"/>
                <w:szCs w:val="21"/>
              </w:rPr>
              <w:t>月</w:t>
            </w:r>
            <w:r>
              <w:rPr>
                <w:rFonts w:cs="Times New Roman"/>
                <w:sz w:val="21"/>
                <w:szCs w:val="21"/>
              </w:rPr>
              <w:t>25</w:t>
            </w:r>
            <w:r>
              <w:rPr>
                <w:rFonts w:cs="Times New Roman"/>
                <w:sz w:val="21"/>
                <w:szCs w:val="21"/>
              </w:rPr>
              <w:t>日取得审查意见</w:t>
            </w:r>
            <w:r>
              <w:rPr>
                <w:rFonts w:cs="Times New Roman"/>
                <w:sz w:val="21"/>
                <w:szCs w:val="21"/>
              </w:rPr>
              <w:t>（</w:t>
            </w:r>
            <w:r>
              <w:rPr>
                <w:rFonts w:cs="Times New Roman"/>
                <w:sz w:val="21"/>
                <w:szCs w:val="21"/>
              </w:rPr>
              <w:t>新环审</w:t>
            </w:r>
            <w:r>
              <w:rPr>
                <w:rFonts w:cs="Times New Roman"/>
                <w:sz w:val="21"/>
                <w:szCs w:val="21"/>
                <w:shd w:val="clear" w:color="auto" w:fill="FFFFFF"/>
              </w:rPr>
              <w:t>〔</w:t>
            </w:r>
            <w:r>
              <w:rPr>
                <w:rFonts w:cs="Times New Roman"/>
                <w:sz w:val="21"/>
                <w:szCs w:val="21"/>
              </w:rPr>
              <w:t>2022</w:t>
            </w:r>
            <w:r>
              <w:rPr>
                <w:rFonts w:cs="Times New Roman"/>
                <w:sz w:val="21"/>
                <w:szCs w:val="21"/>
                <w:shd w:val="clear" w:color="auto" w:fill="FFFFFF"/>
              </w:rPr>
              <w:t>〕</w:t>
            </w:r>
            <w:r>
              <w:rPr>
                <w:rFonts w:cs="Times New Roman"/>
                <w:sz w:val="21"/>
                <w:szCs w:val="21"/>
              </w:rPr>
              <w:t>147</w:t>
            </w:r>
            <w:r>
              <w:rPr>
                <w:rFonts w:cs="Times New Roman"/>
                <w:sz w:val="21"/>
                <w:szCs w:val="21"/>
              </w:rPr>
              <w:t>号</w:t>
            </w:r>
            <w:r>
              <w:rPr>
                <w:rFonts w:cs="Times New Roman"/>
                <w:sz w:val="21"/>
                <w:szCs w:val="21"/>
              </w:rPr>
              <w:t>）</w:t>
            </w:r>
            <w:r>
              <w:rPr>
                <w:rFonts w:cs="Times New Roman"/>
                <w:sz w:val="21"/>
                <w:szCs w:val="21"/>
              </w:rPr>
              <w:t>。</w:t>
            </w:r>
          </w:p>
        </w:tc>
        <w:tc>
          <w:tcPr>
            <w:tcW w:w="745" w:type="dxa"/>
            <w:vAlign w:val="center"/>
          </w:tcPr>
          <w:p w:rsidR="00C645C9" w:rsidRDefault="00F955D9">
            <w:pPr>
              <w:jc w:val="center"/>
              <w:rPr>
                <w:rFonts w:cs="Times New Roman"/>
                <w:sz w:val="21"/>
                <w:szCs w:val="21"/>
              </w:rPr>
            </w:pPr>
            <w:r>
              <w:rPr>
                <w:rFonts w:cs="Times New Roman"/>
                <w:sz w:val="21"/>
                <w:szCs w:val="21"/>
                <w:lang w:bidi="ar"/>
              </w:rPr>
              <w:t>符合</w:t>
            </w:r>
          </w:p>
        </w:tc>
      </w:tr>
      <w:tr w:rsidR="00C645C9">
        <w:trPr>
          <w:trHeight w:val="23"/>
          <w:jc w:val="center"/>
        </w:trPr>
        <w:tc>
          <w:tcPr>
            <w:tcW w:w="963" w:type="dxa"/>
            <w:vMerge/>
            <w:vAlign w:val="center"/>
          </w:tcPr>
          <w:p w:rsidR="00C645C9" w:rsidRDefault="00C645C9">
            <w:pPr>
              <w:jc w:val="center"/>
              <w:rPr>
                <w:rFonts w:cs="Times New Roman"/>
                <w:sz w:val="21"/>
                <w:szCs w:val="21"/>
              </w:rPr>
            </w:pPr>
          </w:p>
        </w:tc>
        <w:tc>
          <w:tcPr>
            <w:tcW w:w="3733" w:type="dxa"/>
            <w:vAlign w:val="center"/>
          </w:tcPr>
          <w:p w:rsidR="00C645C9" w:rsidRDefault="00F955D9">
            <w:pPr>
              <w:jc w:val="both"/>
              <w:rPr>
                <w:rFonts w:cs="Times New Roman"/>
                <w:sz w:val="21"/>
                <w:szCs w:val="21"/>
              </w:rPr>
            </w:pPr>
            <w:r>
              <w:rPr>
                <w:rFonts w:cs="Times New Roman"/>
                <w:sz w:val="21"/>
                <w:szCs w:val="21"/>
              </w:rPr>
              <w:t>油气开采项目</w:t>
            </w:r>
            <w:r>
              <w:rPr>
                <w:rFonts w:cs="Times New Roman"/>
                <w:sz w:val="21"/>
                <w:szCs w:val="21"/>
              </w:rPr>
              <w:t>（</w:t>
            </w:r>
            <w:r>
              <w:rPr>
                <w:rFonts w:cs="Times New Roman"/>
                <w:sz w:val="21"/>
                <w:szCs w:val="21"/>
              </w:rPr>
              <w:t>含新开发和滚动开发项目</w:t>
            </w:r>
            <w:r>
              <w:rPr>
                <w:rFonts w:cs="Times New Roman"/>
                <w:sz w:val="21"/>
                <w:szCs w:val="21"/>
              </w:rPr>
              <w:t>）</w:t>
            </w:r>
            <w:r>
              <w:rPr>
                <w:rFonts w:cs="Times New Roman"/>
                <w:sz w:val="21"/>
                <w:szCs w:val="21"/>
              </w:rPr>
              <w:t>原则上应当以区块为单位开展环评</w:t>
            </w:r>
            <w:r>
              <w:rPr>
                <w:rFonts w:cs="Times New Roman"/>
                <w:sz w:val="21"/>
                <w:szCs w:val="21"/>
              </w:rPr>
              <w:t>（</w:t>
            </w:r>
            <w:r>
              <w:rPr>
                <w:rFonts w:cs="Times New Roman"/>
                <w:sz w:val="21"/>
                <w:szCs w:val="21"/>
              </w:rPr>
              <w:t>以下简称区块环评</w:t>
            </w:r>
            <w:r>
              <w:rPr>
                <w:rFonts w:cs="Times New Roman"/>
                <w:sz w:val="21"/>
                <w:szCs w:val="21"/>
              </w:rPr>
              <w:t>）</w:t>
            </w:r>
            <w:r>
              <w:rPr>
                <w:rFonts w:cs="Times New Roman"/>
                <w:sz w:val="21"/>
                <w:szCs w:val="21"/>
              </w:rPr>
              <w:t>。未确定产能建设规模的陆地油气开采新区块，建设勘探井应当依法编制环境影响报告表。确定产能建设规模后，原则上不得以勘探名义继续开展单井环评。勘探井转为生产井的，可以纳入区块环评。</w:t>
            </w:r>
          </w:p>
          <w:p w:rsidR="00C645C9" w:rsidRDefault="00F955D9">
            <w:pPr>
              <w:jc w:val="both"/>
              <w:rPr>
                <w:rFonts w:cs="Times New Roman"/>
                <w:sz w:val="21"/>
                <w:szCs w:val="21"/>
              </w:rPr>
            </w:pPr>
            <w:r>
              <w:rPr>
                <w:rFonts w:cs="Times New Roman"/>
                <w:sz w:val="21"/>
                <w:szCs w:val="21"/>
              </w:rPr>
              <w:t>2021</w:t>
            </w:r>
            <w:r>
              <w:rPr>
                <w:rFonts w:cs="Times New Roman"/>
                <w:sz w:val="21"/>
                <w:szCs w:val="21"/>
              </w:rPr>
              <w:t>年</w:t>
            </w:r>
            <w:r>
              <w:rPr>
                <w:rFonts w:cs="Times New Roman"/>
                <w:sz w:val="21"/>
                <w:szCs w:val="21"/>
              </w:rPr>
              <w:t>1</w:t>
            </w:r>
            <w:r>
              <w:rPr>
                <w:rFonts w:cs="Times New Roman"/>
                <w:sz w:val="21"/>
                <w:szCs w:val="21"/>
              </w:rPr>
              <w:t>月</w:t>
            </w:r>
            <w:r>
              <w:rPr>
                <w:rFonts w:cs="Times New Roman"/>
                <w:sz w:val="21"/>
                <w:szCs w:val="21"/>
              </w:rPr>
              <w:t>1</w:t>
            </w:r>
            <w:r>
              <w:rPr>
                <w:rFonts w:cs="Times New Roman"/>
                <w:sz w:val="21"/>
                <w:szCs w:val="21"/>
              </w:rPr>
              <w:t>日起，原则上不以单井形式开展环评。过渡期间，项目建设单位可以根据实际情况，报批区块环评或单井环评。</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以区块为单位开展环评，在报告中对</w:t>
            </w:r>
            <w:r>
              <w:rPr>
                <w:rFonts w:cs="Times New Roman" w:hint="eastAsia"/>
                <w:sz w:val="21"/>
                <w:szCs w:val="21"/>
              </w:rPr>
              <w:t>本工程</w:t>
            </w:r>
            <w:r>
              <w:rPr>
                <w:rFonts w:cs="Times New Roman"/>
                <w:sz w:val="21"/>
                <w:szCs w:val="21"/>
              </w:rPr>
              <w:t>施工期、</w:t>
            </w:r>
            <w:r>
              <w:rPr>
                <w:rFonts w:cs="Times New Roman"/>
                <w:sz w:val="21"/>
                <w:szCs w:val="21"/>
              </w:rPr>
              <w:t>运营期</w:t>
            </w:r>
            <w:r>
              <w:rPr>
                <w:rFonts w:cs="Times New Roman"/>
                <w:sz w:val="21"/>
                <w:szCs w:val="21"/>
              </w:rPr>
              <w:t>环境影响和环境风险进行了分析，并提出有效的环境保护措施、污染防治措施和环境风险防范措施，并分析了依托工程可行性和有效性；同时对现有</w:t>
            </w:r>
            <w:r>
              <w:rPr>
                <w:rFonts w:cs="Times New Roman" w:hint="eastAsia"/>
                <w:sz w:val="21"/>
                <w:szCs w:val="21"/>
              </w:rPr>
              <w:t>工程</w:t>
            </w:r>
            <w:r>
              <w:rPr>
                <w:rFonts w:cs="Times New Roman"/>
                <w:sz w:val="21"/>
                <w:szCs w:val="21"/>
              </w:rPr>
              <w:t>也进行了回顾性评价，对相关生态环境问题提出有效防治措施。</w:t>
            </w:r>
          </w:p>
        </w:tc>
        <w:tc>
          <w:tcPr>
            <w:tcW w:w="745" w:type="dxa"/>
            <w:vAlign w:val="center"/>
          </w:tcPr>
          <w:p w:rsidR="00C645C9" w:rsidRDefault="00F955D9">
            <w:pPr>
              <w:jc w:val="center"/>
              <w:rPr>
                <w:rFonts w:cs="Times New Roman"/>
                <w:sz w:val="21"/>
                <w:szCs w:val="21"/>
              </w:rPr>
            </w:pPr>
            <w:r>
              <w:rPr>
                <w:rFonts w:cs="Times New Roman"/>
                <w:sz w:val="21"/>
                <w:szCs w:val="21"/>
                <w:lang w:bidi="ar"/>
              </w:rPr>
              <w:t>符合</w:t>
            </w:r>
          </w:p>
        </w:tc>
      </w:tr>
      <w:tr w:rsidR="00C645C9">
        <w:trPr>
          <w:trHeight w:val="23"/>
          <w:jc w:val="center"/>
        </w:trPr>
        <w:tc>
          <w:tcPr>
            <w:tcW w:w="963" w:type="dxa"/>
            <w:vMerge w:val="restart"/>
            <w:vAlign w:val="center"/>
          </w:tcPr>
          <w:p w:rsidR="00C645C9" w:rsidRDefault="00F955D9">
            <w:pPr>
              <w:jc w:val="center"/>
              <w:rPr>
                <w:rFonts w:cs="Times New Roman"/>
                <w:sz w:val="21"/>
                <w:szCs w:val="21"/>
              </w:rPr>
            </w:pPr>
            <w:r>
              <w:rPr>
                <w:rFonts w:cs="Times New Roman"/>
                <w:sz w:val="21"/>
                <w:szCs w:val="21"/>
                <w:lang w:val="zh-CN"/>
              </w:rPr>
              <w:t>《陆上石油天然气开采业绿色矿山建设规范》（</w:t>
            </w:r>
            <w:r>
              <w:rPr>
                <w:rFonts w:cs="Times New Roman"/>
                <w:sz w:val="21"/>
                <w:szCs w:val="21"/>
                <w:lang w:val="zh-CN"/>
              </w:rPr>
              <w:t>DZ/T0317-2018</w:t>
            </w:r>
            <w:r>
              <w:rPr>
                <w:rFonts w:cs="Times New Roman"/>
                <w:sz w:val="21"/>
                <w:szCs w:val="21"/>
                <w:lang w:val="zh-CN"/>
              </w:rPr>
              <w:t>）</w:t>
            </w:r>
          </w:p>
        </w:tc>
        <w:tc>
          <w:tcPr>
            <w:tcW w:w="3733" w:type="dxa"/>
            <w:vAlign w:val="center"/>
          </w:tcPr>
          <w:p w:rsidR="00C645C9" w:rsidRDefault="00F955D9">
            <w:pPr>
              <w:jc w:val="both"/>
              <w:rPr>
                <w:rFonts w:cs="Times New Roman"/>
                <w:sz w:val="21"/>
                <w:szCs w:val="21"/>
              </w:rPr>
            </w:pPr>
            <w:r>
              <w:rPr>
                <w:rFonts w:cs="Times New Roman"/>
                <w:sz w:val="21"/>
                <w:szCs w:val="21"/>
              </w:rPr>
              <w:t>因矿制宜选择开采工艺和装备，符合清洁生产要求。应贯彻</w:t>
            </w:r>
            <w:r>
              <w:rPr>
                <w:rFonts w:cs="Times New Roman"/>
                <w:sz w:val="21"/>
                <w:szCs w:val="21"/>
              </w:rPr>
              <w:t>“</w:t>
            </w:r>
            <w:r>
              <w:rPr>
                <w:rFonts w:cs="Times New Roman"/>
                <w:sz w:val="21"/>
                <w:szCs w:val="21"/>
              </w:rPr>
              <w:t>边开采，边治理，边恢复</w:t>
            </w:r>
            <w:r>
              <w:rPr>
                <w:rFonts w:cs="Times New Roman"/>
                <w:sz w:val="21"/>
                <w:szCs w:val="21"/>
              </w:rPr>
              <w:t>”</w:t>
            </w:r>
            <w:r>
              <w:rPr>
                <w:rFonts w:cs="Times New Roman"/>
                <w:sz w:val="21"/>
                <w:szCs w:val="21"/>
              </w:rPr>
              <w:t>的原则，及时治理恢复矿区地质环境，复垦矿区压占和损毁土地</w:t>
            </w:r>
            <w:r>
              <w:rPr>
                <w:rFonts w:cs="Times New Roman"/>
                <w:sz w:val="21"/>
                <w:szCs w:val="21"/>
              </w:rPr>
              <w:t>。</w:t>
            </w:r>
          </w:p>
        </w:tc>
        <w:tc>
          <w:tcPr>
            <w:tcW w:w="3156" w:type="dxa"/>
            <w:vAlign w:val="center"/>
          </w:tcPr>
          <w:p w:rsidR="00C645C9" w:rsidRDefault="00F955D9">
            <w:pPr>
              <w:jc w:val="both"/>
              <w:rPr>
                <w:rFonts w:cs="Times New Roman"/>
                <w:sz w:val="21"/>
                <w:szCs w:val="21"/>
              </w:rPr>
            </w:pPr>
            <w:r>
              <w:rPr>
                <w:rFonts w:cs="Times New Roman" w:hint="eastAsia"/>
                <w:sz w:val="21"/>
                <w:szCs w:val="21"/>
              </w:rPr>
              <w:t>本工程</w:t>
            </w:r>
            <w:r>
              <w:rPr>
                <w:rFonts w:cs="Times New Roman"/>
                <w:sz w:val="21"/>
                <w:szCs w:val="21"/>
              </w:rPr>
              <w:t>提出施工期结束后，恢复井场周边占地</w:t>
            </w:r>
            <w:r>
              <w:rPr>
                <w:rFonts w:cs="Times New Roman"/>
                <w:sz w:val="21"/>
                <w:szCs w:val="21"/>
              </w:rPr>
              <w:t>。</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Merge/>
            <w:vAlign w:val="center"/>
          </w:tcPr>
          <w:p w:rsidR="00C645C9" w:rsidRDefault="00C645C9">
            <w:pPr>
              <w:jc w:val="center"/>
              <w:rPr>
                <w:rFonts w:cs="Times New Roman"/>
                <w:sz w:val="21"/>
                <w:szCs w:val="21"/>
                <w:lang w:val="zh-CN"/>
              </w:rPr>
            </w:pPr>
          </w:p>
        </w:tc>
        <w:tc>
          <w:tcPr>
            <w:tcW w:w="3733" w:type="dxa"/>
            <w:vAlign w:val="center"/>
          </w:tcPr>
          <w:p w:rsidR="00C645C9" w:rsidRDefault="00F955D9">
            <w:pPr>
              <w:jc w:val="both"/>
              <w:rPr>
                <w:rFonts w:cs="Times New Roman"/>
                <w:sz w:val="21"/>
                <w:szCs w:val="21"/>
              </w:rPr>
            </w:pPr>
            <w:r>
              <w:rPr>
                <w:rFonts w:cs="Times New Roman"/>
                <w:sz w:val="21"/>
                <w:szCs w:val="21"/>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r>
              <w:rPr>
                <w:rFonts w:cs="Times New Roman"/>
                <w:sz w:val="21"/>
                <w:szCs w:val="21"/>
              </w:rPr>
              <w:t>。</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开发方案设计考虑了</w:t>
            </w:r>
            <w:r>
              <w:rPr>
                <w:rFonts w:cs="Times New Roman" w:hint="eastAsia"/>
                <w:sz w:val="21"/>
                <w:szCs w:val="21"/>
              </w:rPr>
              <w:t>新北</w:t>
            </w:r>
            <w:r>
              <w:rPr>
                <w:rFonts w:cs="Times New Roman" w:hint="eastAsia"/>
                <w:sz w:val="21"/>
                <w:szCs w:val="21"/>
              </w:rPr>
              <w:t>1X</w:t>
            </w:r>
            <w:r>
              <w:rPr>
                <w:rFonts w:cs="Times New Roman" w:hint="eastAsia"/>
                <w:sz w:val="21"/>
                <w:szCs w:val="21"/>
              </w:rPr>
              <w:t>井区</w:t>
            </w:r>
            <w:r>
              <w:rPr>
                <w:rFonts w:cs="Times New Roman"/>
                <w:sz w:val="21"/>
                <w:szCs w:val="21"/>
              </w:rPr>
              <w:t>油气资源赋存状况、生态环境特征等条件，所选用的技术和工艺均成熟、先进</w:t>
            </w:r>
            <w:r>
              <w:rPr>
                <w:rFonts w:cs="Times New Roman"/>
                <w:sz w:val="21"/>
                <w:szCs w:val="21"/>
              </w:rPr>
              <w:t>。</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Merge/>
            <w:vAlign w:val="center"/>
          </w:tcPr>
          <w:p w:rsidR="00C645C9" w:rsidRDefault="00C645C9">
            <w:pPr>
              <w:jc w:val="center"/>
              <w:rPr>
                <w:rFonts w:cs="Times New Roman"/>
                <w:sz w:val="21"/>
                <w:szCs w:val="21"/>
                <w:lang w:val="zh-CN"/>
              </w:rPr>
            </w:pPr>
          </w:p>
        </w:tc>
        <w:tc>
          <w:tcPr>
            <w:tcW w:w="3733" w:type="dxa"/>
            <w:vAlign w:val="center"/>
          </w:tcPr>
          <w:p w:rsidR="00C645C9" w:rsidRDefault="00F955D9">
            <w:pPr>
              <w:jc w:val="both"/>
              <w:rPr>
                <w:rFonts w:cs="Times New Roman"/>
                <w:sz w:val="21"/>
                <w:szCs w:val="21"/>
              </w:rPr>
            </w:pPr>
            <w:r>
              <w:rPr>
                <w:rFonts w:cs="Times New Roman"/>
                <w:sz w:val="21"/>
                <w:szCs w:val="21"/>
              </w:rPr>
              <w:t>集约节约利用土地资源，土地利用符合用地指标政策。合理确定站址、场址、管网、路网建设占地规模</w:t>
            </w:r>
          </w:p>
        </w:tc>
        <w:tc>
          <w:tcPr>
            <w:tcW w:w="3156" w:type="dxa"/>
            <w:vAlign w:val="center"/>
          </w:tcPr>
          <w:p w:rsidR="00C645C9" w:rsidRDefault="00F955D9">
            <w:pPr>
              <w:jc w:val="both"/>
              <w:rPr>
                <w:rFonts w:cs="Times New Roman"/>
                <w:sz w:val="21"/>
                <w:szCs w:val="21"/>
              </w:rPr>
            </w:pPr>
            <w:r>
              <w:rPr>
                <w:rFonts w:cs="Times New Roman" w:hint="eastAsia"/>
                <w:sz w:val="21"/>
                <w:szCs w:val="21"/>
              </w:rPr>
              <w:t>本工程</w:t>
            </w:r>
            <w:r>
              <w:rPr>
                <w:rFonts w:cs="Times New Roman"/>
                <w:sz w:val="21"/>
                <w:szCs w:val="21"/>
              </w:rPr>
              <w:t>井场永久占地规模均从土地资源节约方面考虑，尽可能缩小占地面积</w:t>
            </w:r>
            <w:r>
              <w:rPr>
                <w:rFonts w:cs="Times New Roman"/>
                <w:sz w:val="21"/>
                <w:szCs w:val="21"/>
              </w:rPr>
              <w:t>。</w:t>
            </w:r>
          </w:p>
        </w:tc>
        <w:tc>
          <w:tcPr>
            <w:tcW w:w="745" w:type="dxa"/>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3"/>
          <w:jc w:val="center"/>
        </w:trPr>
        <w:tc>
          <w:tcPr>
            <w:tcW w:w="963" w:type="dxa"/>
            <w:vAlign w:val="center"/>
          </w:tcPr>
          <w:p w:rsidR="00C645C9" w:rsidRDefault="00F955D9">
            <w:pPr>
              <w:pStyle w:val="afb"/>
              <w:spacing w:line="240" w:lineRule="auto"/>
              <w:rPr>
                <w:kern w:val="2"/>
                <w:szCs w:val="21"/>
                <w:lang w:val="zh-CN"/>
              </w:rPr>
            </w:pPr>
            <w:r>
              <w:rPr>
                <w:kern w:val="2"/>
                <w:szCs w:val="21"/>
              </w:rPr>
              <w:t>《</w:t>
            </w:r>
            <w:bookmarkStart w:id="1122" w:name="OLE_LINK1245"/>
            <w:r>
              <w:rPr>
                <w:kern w:val="2"/>
                <w:szCs w:val="21"/>
              </w:rPr>
              <w:t>关于加强沙区建设项目环境影响评价工作的通知</w:t>
            </w:r>
            <w:bookmarkEnd w:id="1122"/>
            <w:r>
              <w:rPr>
                <w:kern w:val="2"/>
                <w:szCs w:val="21"/>
              </w:rPr>
              <w:t>》</w:t>
            </w:r>
            <w:r>
              <w:rPr>
                <w:rFonts w:hint="eastAsia"/>
                <w:kern w:val="2"/>
                <w:szCs w:val="21"/>
              </w:rPr>
              <w:t>（</w:t>
            </w:r>
            <w:r>
              <w:rPr>
                <w:rFonts w:eastAsiaTheme="minorEastAsia"/>
                <w:szCs w:val="21"/>
              </w:rPr>
              <w:t>新环环评发〔</w:t>
            </w:r>
            <w:r>
              <w:rPr>
                <w:rFonts w:eastAsiaTheme="minorEastAsia"/>
                <w:szCs w:val="21"/>
              </w:rPr>
              <w:t>2020</w:t>
            </w:r>
            <w:r>
              <w:rPr>
                <w:rFonts w:eastAsiaTheme="minorEastAsia"/>
                <w:szCs w:val="21"/>
              </w:rPr>
              <w:t>〕</w:t>
            </w:r>
            <w:r>
              <w:rPr>
                <w:rFonts w:eastAsiaTheme="minorEastAsia"/>
                <w:szCs w:val="21"/>
              </w:rPr>
              <w:t>138</w:t>
            </w:r>
            <w:r>
              <w:rPr>
                <w:rFonts w:eastAsiaTheme="minorEastAsia"/>
                <w:szCs w:val="21"/>
              </w:rPr>
              <w:t>号</w:t>
            </w:r>
            <w:r>
              <w:rPr>
                <w:rFonts w:hint="eastAsia"/>
                <w:kern w:val="2"/>
                <w:szCs w:val="21"/>
              </w:rPr>
              <w:t>）</w:t>
            </w:r>
          </w:p>
        </w:tc>
        <w:tc>
          <w:tcPr>
            <w:tcW w:w="3733" w:type="dxa"/>
            <w:vAlign w:val="center"/>
          </w:tcPr>
          <w:p w:rsidR="00C645C9" w:rsidRDefault="00F955D9">
            <w:pPr>
              <w:jc w:val="both"/>
              <w:rPr>
                <w:rFonts w:cs="Times New Roman"/>
                <w:kern w:val="2"/>
                <w:sz w:val="21"/>
                <w:szCs w:val="21"/>
              </w:rPr>
            </w:pPr>
            <w:r>
              <w:rPr>
                <w:rFonts w:cs="Times New Roman"/>
                <w:kern w:val="2"/>
                <w:sz w:val="21"/>
                <w:szCs w:val="21"/>
              </w:rPr>
              <w:t>对于受理的涉及沙区的建设项目环评文件，严格按照</w:t>
            </w:r>
            <w:r>
              <w:rPr>
                <w:rFonts w:cs="Times New Roman"/>
                <w:kern w:val="2"/>
                <w:sz w:val="21"/>
                <w:szCs w:val="21"/>
              </w:rPr>
              <w:t>《</w:t>
            </w:r>
            <w:r>
              <w:rPr>
                <w:rFonts w:cs="Times New Roman"/>
                <w:kern w:val="2"/>
                <w:sz w:val="21"/>
                <w:szCs w:val="21"/>
              </w:rPr>
              <w:t>环境影响评价技术导则</w:t>
            </w:r>
            <w:r>
              <w:rPr>
                <w:rFonts w:cs="Times New Roman"/>
                <w:kern w:val="2"/>
                <w:sz w:val="21"/>
                <w:szCs w:val="21"/>
              </w:rPr>
              <w:t xml:space="preserve"> </w:t>
            </w:r>
            <w:r>
              <w:rPr>
                <w:rFonts w:cs="Times New Roman"/>
                <w:kern w:val="2"/>
                <w:sz w:val="21"/>
                <w:szCs w:val="21"/>
              </w:rPr>
              <w:t>生态影响</w:t>
            </w:r>
            <w:r>
              <w:rPr>
                <w:rFonts w:cs="Times New Roman"/>
                <w:kern w:val="2"/>
                <w:sz w:val="21"/>
                <w:szCs w:val="21"/>
              </w:rPr>
              <w:t>》（</w:t>
            </w:r>
            <w:r>
              <w:rPr>
                <w:rFonts w:cs="Times New Roman"/>
                <w:kern w:val="2"/>
                <w:sz w:val="21"/>
                <w:szCs w:val="21"/>
              </w:rPr>
              <w:t>HJ19-2011</w:t>
            </w:r>
            <w:r>
              <w:rPr>
                <w:rFonts w:cs="Times New Roman"/>
                <w:kern w:val="2"/>
                <w:sz w:val="21"/>
                <w:szCs w:val="21"/>
              </w:rPr>
              <w:t>）</w:t>
            </w:r>
            <w:r>
              <w:rPr>
                <w:rFonts w:cs="Times New Roman"/>
                <w:kern w:val="2"/>
                <w:sz w:val="21"/>
                <w:szCs w:val="21"/>
              </w:rPr>
              <w:t>要求，强化建设项目的环境可行性、环境影响分析预测评估的可靠性和防沙治沙生态环境保护措施的可行性、有效性评估。</w:t>
            </w:r>
          </w:p>
        </w:tc>
        <w:tc>
          <w:tcPr>
            <w:tcW w:w="3156" w:type="dxa"/>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同步制定并落实生态保护和修复方案；综合考虑了防沙治沙等相关要求；</w:t>
            </w:r>
            <w:r>
              <w:rPr>
                <w:rFonts w:cs="Times New Roman"/>
                <w:sz w:val="21"/>
                <w:szCs w:val="21"/>
              </w:rPr>
              <w:t>本</w:t>
            </w:r>
            <w:r>
              <w:rPr>
                <w:rFonts w:cs="Times New Roman" w:hint="eastAsia"/>
                <w:sz w:val="21"/>
                <w:szCs w:val="21"/>
              </w:rPr>
              <w:t>工程</w:t>
            </w:r>
            <w:r>
              <w:rPr>
                <w:rFonts w:cs="Times New Roman"/>
                <w:sz w:val="21"/>
                <w:szCs w:val="21"/>
              </w:rPr>
              <w:t>已提出一系列生态环境保护措施</w:t>
            </w:r>
            <w:r>
              <w:rPr>
                <w:rFonts w:cs="Times New Roman"/>
                <w:sz w:val="21"/>
                <w:szCs w:val="21"/>
              </w:rPr>
              <w:t>。</w:t>
            </w:r>
          </w:p>
        </w:tc>
        <w:tc>
          <w:tcPr>
            <w:tcW w:w="745" w:type="dxa"/>
            <w:vAlign w:val="center"/>
          </w:tcPr>
          <w:p w:rsidR="00C645C9" w:rsidRDefault="00F955D9">
            <w:pPr>
              <w:pStyle w:val="afb"/>
              <w:spacing w:line="240" w:lineRule="auto"/>
              <w:rPr>
                <w:kern w:val="2"/>
                <w:szCs w:val="21"/>
              </w:rPr>
            </w:pPr>
            <w:r>
              <w:rPr>
                <w:kern w:val="2"/>
                <w:szCs w:val="21"/>
              </w:rPr>
              <w:t>符合</w:t>
            </w:r>
          </w:p>
        </w:tc>
      </w:tr>
      <w:tr w:rsidR="00C645C9">
        <w:trPr>
          <w:trHeight w:val="23"/>
          <w:jc w:val="center"/>
        </w:trPr>
        <w:tc>
          <w:tcPr>
            <w:tcW w:w="963" w:type="dxa"/>
            <w:vAlign w:val="center"/>
          </w:tcPr>
          <w:p w:rsidR="00C645C9" w:rsidRDefault="00F955D9">
            <w:pPr>
              <w:pStyle w:val="af0"/>
              <w:jc w:val="center"/>
              <w:rPr>
                <w:rFonts w:cs="Times New Roman"/>
                <w:sz w:val="21"/>
                <w:szCs w:val="21"/>
                <w:lang w:val="zh-CN"/>
              </w:rPr>
            </w:pPr>
            <w:r>
              <w:rPr>
                <w:rFonts w:cs="Times New Roman"/>
                <w:kern w:val="2"/>
                <w:sz w:val="21"/>
                <w:szCs w:val="21"/>
              </w:rPr>
              <w:t>《</w:t>
            </w:r>
            <w:r>
              <w:rPr>
                <w:rFonts w:cs="Times New Roman"/>
                <w:kern w:val="2"/>
                <w:sz w:val="21"/>
                <w:szCs w:val="21"/>
              </w:rPr>
              <w:t>关于规范临时用地管理的通知</w:t>
            </w:r>
            <w:r>
              <w:rPr>
                <w:rFonts w:cs="Times New Roman"/>
                <w:kern w:val="2"/>
                <w:sz w:val="21"/>
                <w:szCs w:val="21"/>
              </w:rPr>
              <w:t>》（</w:t>
            </w:r>
            <w:r>
              <w:rPr>
                <w:rFonts w:cs="Times New Roman"/>
                <w:kern w:val="2"/>
                <w:sz w:val="21"/>
                <w:szCs w:val="21"/>
              </w:rPr>
              <w:t>自然资规〔</w:t>
            </w:r>
            <w:r>
              <w:rPr>
                <w:rFonts w:cs="Times New Roman"/>
                <w:kern w:val="2"/>
                <w:sz w:val="21"/>
                <w:szCs w:val="21"/>
              </w:rPr>
              <w:t>2021</w:t>
            </w:r>
            <w:r>
              <w:rPr>
                <w:rFonts w:cs="Times New Roman"/>
                <w:kern w:val="2"/>
                <w:sz w:val="21"/>
                <w:szCs w:val="21"/>
              </w:rPr>
              <w:t>〕</w:t>
            </w:r>
            <w:r>
              <w:rPr>
                <w:rFonts w:cs="Times New Roman"/>
                <w:kern w:val="2"/>
                <w:sz w:val="21"/>
                <w:szCs w:val="21"/>
              </w:rPr>
              <w:t>2</w:t>
            </w:r>
            <w:r>
              <w:rPr>
                <w:rFonts w:cs="Times New Roman"/>
                <w:kern w:val="2"/>
                <w:sz w:val="21"/>
                <w:szCs w:val="21"/>
              </w:rPr>
              <w:t>号</w:t>
            </w:r>
            <w:r>
              <w:rPr>
                <w:rFonts w:cs="Times New Roman"/>
                <w:kern w:val="2"/>
                <w:sz w:val="21"/>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县</w:t>
            </w:r>
            <w:r>
              <w:rPr>
                <w:rFonts w:cs="Times New Roman"/>
                <w:sz w:val="21"/>
                <w:szCs w:val="21"/>
              </w:rPr>
              <w:t>（</w:t>
            </w:r>
            <w:r>
              <w:rPr>
                <w:rFonts w:cs="Times New Roman"/>
                <w:sz w:val="21"/>
                <w:szCs w:val="21"/>
              </w:rPr>
              <w:t>市</w:t>
            </w:r>
            <w:r>
              <w:rPr>
                <w:rFonts w:cs="Times New Roman"/>
                <w:sz w:val="21"/>
                <w:szCs w:val="21"/>
              </w:rPr>
              <w:t>）</w:t>
            </w:r>
            <w:r>
              <w:rPr>
                <w:rFonts w:cs="Times New Roman"/>
                <w:sz w:val="21"/>
                <w:szCs w:val="21"/>
              </w:rPr>
              <w:t>自然资源主管部门负责临时用地审批，其中涉及占用耕地和永久基本农田的，由市级或者市级以上自然资源主管部门负责审批。不得下放临时用地审批权或者委托相关部门行使审批权。城镇开发边界内使用临时用地的，可以一并申请临时建设用地规划许可和临时用地审批，具备条件的还可以同时申请临时建设工程规划许可，一并出具相关批准文件。油气资</w:t>
            </w:r>
            <w:r>
              <w:rPr>
                <w:rFonts w:cs="Times New Roman"/>
                <w:sz w:val="21"/>
                <w:szCs w:val="21"/>
              </w:rPr>
              <w:lastRenderedPageBreak/>
              <w:t>源探采合一开发涉及的钻井及配套设施建设用地，可先以临时用地方式批准使用，勘探结束转入生产使用的，办理建设用地审批手续；不转入生产的，油气企业应当完成土地复垦，按期归还。</w:t>
            </w:r>
          </w:p>
        </w:tc>
        <w:tc>
          <w:tcPr>
            <w:tcW w:w="3156" w:type="dxa"/>
            <w:vAlign w:val="center"/>
          </w:tcPr>
          <w:p w:rsidR="00C645C9" w:rsidRDefault="00F955D9">
            <w:pPr>
              <w:jc w:val="both"/>
              <w:rPr>
                <w:rFonts w:cs="Times New Roman"/>
                <w:sz w:val="21"/>
                <w:szCs w:val="21"/>
              </w:rPr>
            </w:pPr>
            <w:r>
              <w:rPr>
                <w:rFonts w:cs="Times New Roman"/>
                <w:sz w:val="21"/>
                <w:szCs w:val="21"/>
              </w:rPr>
              <w:lastRenderedPageBreak/>
              <w:t>本</w:t>
            </w:r>
            <w:r>
              <w:rPr>
                <w:rFonts w:cs="Times New Roman" w:hint="eastAsia"/>
                <w:sz w:val="21"/>
                <w:szCs w:val="21"/>
              </w:rPr>
              <w:t>工程</w:t>
            </w:r>
            <w:r>
              <w:rPr>
                <w:rFonts w:cs="Times New Roman"/>
                <w:sz w:val="21"/>
                <w:szCs w:val="21"/>
              </w:rPr>
              <w:t>施工过程中严格控制施工</w:t>
            </w:r>
            <w:r>
              <w:rPr>
                <w:rFonts w:cs="Times New Roman"/>
                <w:sz w:val="21"/>
                <w:szCs w:val="21"/>
              </w:rPr>
              <w:t>占地，井场建设完成后，采取措施及时恢复占地，尽可能减少对区域生态环境的影响。</w:t>
            </w:r>
          </w:p>
        </w:tc>
        <w:tc>
          <w:tcPr>
            <w:tcW w:w="745" w:type="dxa"/>
            <w:vAlign w:val="center"/>
          </w:tcPr>
          <w:p w:rsidR="00C645C9" w:rsidRDefault="00F955D9">
            <w:pPr>
              <w:jc w:val="center"/>
              <w:rPr>
                <w:rFonts w:cs="Times New Roman"/>
                <w:sz w:val="21"/>
                <w:szCs w:val="21"/>
              </w:rPr>
            </w:pPr>
            <w:r>
              <w:rPr>
                <w:rFonts w:cs="Times New Roman"/>
                <w:kern w:val="2"/>
                <w:sz w:val="21"/>
                <w:szCs w:val="21"/>
              </w:rPr>
              <w:t>符合</w:t>
            </w:r>
          </w:p>
        </w:tc>
      </w:tr>
      <w:tr w:rsidR="00C645C9">
        <w:trPr>
          <w:trHeight w:val="23"/>
          <w:jc w:val="center"/>
        </w:trPr>
        <w:tc>
          <w:tcPr>
            <w:tcW w:w="963" w:type="dxa"/>
            <w:vAlign w:val="center"/>
          </w:tcPr>
          <w:p w:rsidR="00C645C9" w:rsidRDefault="00F955D9">
            <w:pPr>
              <w:pStyle w:val="af0"/>
              <w:jc w:val="center"/>
              <w:rPr>
                <w:rFonts w:cs="Times New Roman"/>
                <w:kern w:val="2"/>
                <w:sz w:val="21"/>
                <w:szCs w:val="21"/>
              </w:rPr>
            </w:pPr>
            <w:bookmarkStart w:id="1123" w:name="OLE_LINK1247"/>
            <w:r>
              <w:rPr>
                <w:rFonts w:cs="Times New Roman"/>
                <w:kern w:val="2"/>
                <w:sz w:val="21"/>
                <w:szCs w:val="21"/>
              </w:rPr>
              <w:lastRenderedPageBreak/>
              <w:t>《</w:t>
            </w:r>
            <w:bookmarkStart w:id="1124" w:name="OLE_LINK1246"/>
            <w:r>
              <w:rPr>
                <w:rFonts w:cs="Times New Roman"/>
                <w:kern w:val="2"/>
                <w:sz w:val="21"/>
                <w:szCs w:val="21"/>
              </w:rPr>
              <w:t>关于</w:t>
            </w:r>
            <w:r>
              <w:rPr>
                <w:rFonts w:cs="Times New Roman" w:hint="eastAsia"/>
                <w:kern w:val="2"/>
                <w:sz w:val="21"/>
                <w:szCs w:val="21"/>
              </w:rPr>
              <w:t>印发</w:t>
            </w:r>
            <w:r>
              <w:rPr>
                <w:rFonts w:ascii="宋体" w:hAnsi="宋体" w:hint="eastAsia"/>
                <w:kern w:val="2"/>
                <w:sz w:val="21"/>
                <w:szCs w:val="21"/>
              </w:rPr>
              <w:t>〈</w:t>
            </w:r>
            <w:r>
              <w:rPr>
                <w:rFonts w:cs="Times New Roman"/>
                <w:kern w:val="2"/>
                <w:sz w:val="21"/>
                <w:szCs w:val="21"/>
              </w:rPr>
              <w:t>建设项目主要污染物排放总量指标审核及管理暂行办法</w:t>
            </w:r>
            <w:r>
              <w:rPr>
                <w:rFonts w:ascii="宋体" w:hAnsi="宋体" w:hint="eastAsia"/>
                <w:kern w:val="2"/>
                <w:sz w:val="21"/>
                <w:szCs w:val="21"/>
              </w:rPr>
              <w:t>〉</w:t>
            </w:r>
            <w:r>
              <w:rPr>
                <w:rFonts w:cs="Times New Roman"/>
                <w:kern w:val="2"/>
                <w:sz w:val="21"/>
                <w:szCs w:val="21"/>
              </w:rPr>
              <w:t>的通知</w:t>
            </w:r>
            <w:bookmarkEnd w:id="1124"/>
            <w:r>
              <w:rPr>
                <w:rFonts w:cs="Times New Roman"/>
                <w:kern w:val="2"/>
                <w:sz w:val="21"/>
                <w:szCs w:val="21"/>
              </w:rPr>
              <w:t>》</w:t>
            </w:r>
            <w:r>
              <w:rPr>
                <w:rFonts w:cs="Times New Roman" w:hint="eastAsia"/>
                <w:kern w:val="2"/>
                <w:sz w:val="21"/>
                <w:szCs w:val="21"/>
              </w:rPr>
              <w:t>（</w:t>
            </w:r>
            <w:r>
              <w:rPr>
                <w:rFonts w:cs="Times New Roman"/>
                <w:kern w:val="2"/>
                <w:sz w:val="21"/>
                <w:szCs w:val="21"/>
              </w:rPr>
              <w:t>环发〔</w:t>
            </w:r>
            <w:r>
              <w:rPr>
                <w:rFonts w:cs="Times New Roman"/>
                <w:kern w:val="2"/>
                <w:sz w:val="21"/>
                <w:szCs w:val="21"/>
              </w:rPr>
              <w:t>2014</w:t>
            </w:r>
            <w:r>
              <w:rPr>
                <w:rFonts w:cs="Times New Roman"/>
                <w:kern w:val="2"/>
                <w:sz w:val="21"/>
                <w:szCs w:val="21"/>
              </w:rPr>
              <w:t>〕</w:t>
            </w:r>
            <w:r>
              <w:rPr>
                <w:rFonts w:cs="Times New Roman"/>
                <w:kern w:val="2"/>
                <w:sz w:val="21"/>
                <w:szCs w:val="21"/>
              </w:rPr>
              <w:t>197</w:t>
            </w:r>
            <w:r>
              <w:rPr>
                <w:rFonts w:cs="Times New Roman"/>
                <w:kern w:val="2"/>
                <w:sz w:val="21"/>
                <w:szCs w:val="21"/>
              </w:rPr>
              <w:t>号</w:t>
            </w:r>
            <w:r>
              <w:rPr>
                <w:rFonts w:cs="Times New Roman" w:hint="eastAsia"/>
                <w:kern w:val="2"/>
                <w:sz w:val="21"/>
                <w:szCs w:val="21"/>
              </w:rPr>
              <w:t>）</w:t>
            </w:r>
            <w:bookmarkEnd w:id="1123"/>
          </w:p>
        </w:tc>
        <w:tc>
          <w:tcPr>
            <w:tcW w:w="3733" w:type="dxa"/>
            <w:vAlign w:val="center"/>
          </w:tcPr>
          <w:p w:rsidR="00C645C9" w:rsidRDefault="00F955D9">
            <w:pPr>
              <w:widowControl w:val="0"/>
              <w:jc w:val="both"/>
              <w:rPr>
                <w:rFonts w:cs="Times New Roman"/>
                <w:sz w:val="21"/>
                <w:szCs w:val="21"/>
              </w:rPr>
            </w:pPr>
            <w:r>
              <w:rPr>
                <w:rFonts w:cs="Times New Roman"/>
                <w:sz w:val="21"/>
                <w:szCs w:val="21"/>
              </w:rPr>
              <w:t>严格落实污染物排放总量控制制度，把主要污染物排放总量指标作为建设项目环境影响评价审批的前置条件。排放主要污染物的建设项目，在环境影响评价文件</w:t>
            </w:r>
            <w:r>
              <w:rPr>
                <w:rFonts w:cs="Times New Roman"/>
                <w:sz w:val="21"/>
                <w:szCs w:val="21"/>
              </w:rPr>
              <w:t>（</w:t>
            </w:r>
            <w:r>
              <w:rPr>
                <w:rFonts w:cs="Times New Roman"/>
                <w:sz w:val="21"/>
                <w:szCs w:val="21"/>
              </w:rPr>
              <w:t>以下简称环评文件</w:t>
            </w:r>
            <w:r>
              <w:rPr>
                <w:rFonts w:cs="Times New Roman"/>
                <w:sz w:val="21"/>
                <w:szCs w:val="21"/>
              </w:rPr>
              <w:t>）</w:t>
            </w:r>
            <w:r>
              <w:rPr>
                <w:rFonts w:cs="Times New Roman"/>
                <w:sz w:val="21"/>
                <w:szCs w:val="21"/>
              </w:rPr>
              <w:t>审批前，须取得主要污染物排放总量指标。</w:t>
            </w:r>
          </w:p>
        </w:tc>
        <w:tc>
          <w:tcPr>
            <w:tcW w:w="3156" w:type="dxa"/>
            <w:vAlign w:val="center"/>
          </w:tcPr>
          <w:p w:rsidR="00C645C9" w:rsidRDefault="00F955D9">
            <w:pPr>
              <w:jc w:val="both"/>
              <w:rPr>
                <w:rFonts w:cs="Times New Roman"/>
                <w:kern w:val="2"/>
                <w:sz w:val="21"/>
                <w:szCs w:val="21"/>
              </w:rPr>
            </w:pPr>
            <w:r>
              <w:rPr>
                <w:rFonts w:cs="Times New Roman"/>
                <w:kern w:val="2"/>
                <w:sz w:val="21"/>
                <w:szCs w:val="21"/>
              </w:rPr>
              <w:t>本</w:t>
            </w:r>
            <w:r>
              <w:rPr>
                <w:rFonts w:cs="Times New Roman" w:hint="eastAsia"/>
                <w:kern w:val="2"/>
                <w:sz w:val="21"/>
                <w:szCs w:val="21"/>
              </w:rPr>
              <w:t>工程</w:t>
            </w:r>
            <w:r>
              <w:rPr>
                <w:rFonts w:cs="Times New Roman"/>
                <w:kern w:val="2"/>
                <w:sz w:val="21"/>
                <w:szCs w:val="21"/>
              </w:rPr>
              <w:t>新建</w:t>
            </w:r>
            <w:r>
              <w:rPr>
                <w:rFonts w:cs="Times New Roman" w:hint="eastAsia"/>
                <w:kern w:val="2"/>
                <w:sz w:val="21"/>
                <w:szCs w:val="21"/>
              </w:rPr>
              <w:t>2</w:t>
            </w:r>
            <w:r>
              <w:rPr>
                <w:rFonts w:cs="Times New Roman"/>
                <w:kern w:val="2"/>
                <w:sz w:val="21"/>
                <w:szCs w:val="21"/>
              </w:rPr>
              <w:t>座加热</w:t>
            </w:r>
            <w:r>
              <w:rPr>
                <w:rFonts w:cs="Times New Roman"/>
                <w:kern w:val="2"/>
                <w:sz w:val="21"/>
                <w:szCs w:val="21"/>
              </w:rPr>
              <w:t>炉</w:t>
            </w:r>
            <w:r>
              <w:rPr>
                <w:rFonts w:cs="Times New Roman"/>
                <w:kern w:val="2"/>
                <w:sz w:val="21"/>
                <w:szCs w:val="21"/>
              </w:rPr>
              <w:t>，产生燃烧废气中</w:t>
            </w:r>
            <w:r>
              <w:rPr>
                <w:rFonts w:cs="Times New Roman"/>
                <w:kern w:val="2"/>
                <w:sz w:val="21"/>
                <w:szCs w:val="21"/>
              </w:rPr>
              <w:t>NO</w:t>
            </w:r>
            <w:r>
              <w:rPr>
                <w:rFonts w:cs="Times New Roman"/>
                <w:kern w:val="2"/>
                <w:sz w:val="21"/>
                <w:szCs w:val="21"/>
                <w:vertAlign w:val="subscript"/>
              </w:rPr>
              <w:t>X</w:t>
            </w:r>
            <w:r>
              <w:rPr>
                <w:rFonts w:cs="Times New Roman"/>
                <w:kern w:val="2"/>
                <w:sz w:val="21"/>
                <w:szCs w:val="21"/>
              </w:rPr>
              <w:t>、</w:t>
            </w:r>
            <w:r>
              <w:rPr>
                <w:rFonts w:cs="Times New Roman"/>
                <w:kern w:val="2"/>
                <w:sz w:val="21"/>
                <w:szCs w:val="21"/>
              </w:rPr>
              <w:t>VOCs</w:t>
            </w:r>
            <w:r>
              <w:rPr>
                <w:rFonts w:cs="Times New Roman"/>
                <w:kern w:val="2"/>
                <w:sz w:val="21"/>
                <w:szCs w:val="21"/>
              </w:rPr>
              <w:t>排放量为投产后主要总量控制指标，总量来自西北油田分公司内容。</w:t>
            </w:r>
          </w:p>
        </w:tc>
        <w:tc>
          <w:tcPr>
            <w:tcW w:w="745" w:type="dxa"/>
            <w:vAlign w:val="center"/>
          </w:tcPr>
          <w:p w:rsidR="00C645C9" w:rsidRDefault="00F955D9">
            <w:pPr>
              <w:jc w:val="center"/>
              <w:rPr>
                <w:rFonts w:cs="Times New Roman"/>
                <w:kern w:val="2"/>
                <w:sz w:val="21"/>
                <w:szCs w:val="21"/>
              </w:rPr>
            </w:pPr>
            <w:r>
              <w:rPr>
                <w:rFonts w:cs="Times New Roman"/>
                <w:kern w:val="2"/>
                <w:sz w:val="21"/>
                <w:szCs w:val="21"/>
              </w:rPr>
              <w:t>符合</w:t>
            </w:r>
          </w:p>
        </w:tc>
      </w:tr>
      <w:tr w:rsidR="00C645C9">
        <w:trPr>
          <w:trHeight w:val="23"/>
          <w:jc w:val="center"/>
        </w:trPr>
        <w:tc>
          <w:tcPr>
            <w:tcW w:w="963" w:type="dxa"/>
            <w:vAlign w:val="center"/>
          </w:tcPr>
          <w:p w:rsidR="00C645C9" w:rsidRDefault="00F955D9">
            <w:pPr>
              <w:pStyle w:val="afb"/>
              <w:spacing w:line="240" w:lineRule="auto"/>
              <w:rPr>
                <w:szCs w:val="21"/>
              </w:rPr>
            </w:pPr>
            <w:bookmarkStart w:id="1125" w:name="_Toc6831"/>
            <w:bookmarkStart w:id="1126" w:name="_Toc17312"/>
            <w:bookmarkStart w:id="1127" w:name="_Toc17567"/>
            <w:r>
              <w:rPr>
                <w:kern w:val="2"/>
                <w:szCs w:val="21"/>
              </w:rPr>
              <w:t>《</w:t>
            </w:r>
            <w:bookmarkStart w:id="1128" w:name="OLE_LINK1249"/>
            <w:r>
              <w:rPr>
                <w:kern w:val="2"/>
                <w:szCs w:val="21"/>
              </w:rPr>
              <w:t>新疆维吾尔自治区环境保护条例</w:t>
            </w:r>
            <w:bookmarkEnd w:id="1128"/>
            <w:r>
              <w:rPr>
                <w:kern w:val="2"/>
                <w:szCs w:val="21"/>
              </w:rPr>
              <w:t>》</w:t>
            </w:r>
            <w:bookmarkStart w:id="1129" w:name="OLE_LINK1326"/>
            <w:r>
              <w:rPr>
                <w:rFonts w:hint="eastAsia"/>
                <w:kern w:val="2"/>
                <w:szCs w:val="21"/>
              </w:rPr>
              <w:t>（第</w:t>
            </w:r>
            <w:bookmarkEnd w:id="1129"/>
            <w:r>
              <w:rPr>
                <w:rFonts w:eastAsiaTheme="minorEastAsia"/>
                <w:szCs w:val="21"/>
              </w:rPr>
              <w:t>13</w:t>
            </w:r>
            <w:r>
              <w:rPr>
                <w:rFonts w:eastAsiaTheme="minorEastAsia"/>
                <w:szCs w:val="21"/>
              </w:rPr>
              <w:t>届人大第</w:t>
            </w:r>
            <w:r>
              <w:rPr>
                <w:rFonts w:eastAsiaTheme="minorEastAsia"/>
                <w:szCs w:val="21"/>
              </w:rPr>
              <w:t>6</w:t>
            </w:r>
            <w:r>
              <w:rPr>
                <w:rFonts w:eastAsiaTheme="minorEastAsia"/>
                <w:szCs w:val="21"/>
              </w:rPr>
              <w:t>次会议</w:t>
            </w:r>
            <w:r>
              <w:rPr>
                <w:rFonts w:hint="eastAsia"/>
                <w:kern w:val="2"/>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建设单位对水利、交通、电力、化工、冶金、轻工、核与辐射和矿产资源开发等施工周期长、生态环境影响大的建设项目，以及环境影响评价批复文件要求开展环境监理的建设项目，应当自行或者委托具备相应技术条件的机构依法实施环境监理。</w:t>
            </w:r>
          </w:p>
        </w:tc>
        <w:tc>
          <w:tcPr>
            <w:tcW w:w="3156" w:type="dxa"/>
            <w:vAlign w:val="center"/>
          </w:tcPr>
          <w:p w:rsidR="00C645C9" w:rsidRDefault="00F955D9">
            <w:pPr>
              <w:jc w:val="both"/>
              <w:rPr>
                <w:rFonts w:cs="Times New Roman"/>
                <w:sz w:val="21"/>
                <w:szCs w:val="21"/>
              </w:rPr>
            </w:pPr>
            <w:r>
              <w:rPr>
                <w:rFonts w:cs="Times New Roman"/>
                <w:kern w:val="2"/>
                <w:sz w:val="21"/>
                <w:szCs w:val="21"/>
              </w:rPr>
              <w:t>本</w:t>
            </w:r>
            <w:r>
              <w:rPr>
                <w:rFonts w:cs="Times New Roman" w:hint="eastAsia"/>
                <w:kern w:val="2"/>
                <w:sz w:val="21"/>
                <w:szCs w:val="21"/>
              </w:rPr>
              <w:t>工程</w:t>
            </w:r>
            <w:r>
              <w:rPr>
                <w:rFonts w:cs="Times New Roman"/>
                <w:kern w:val="2"/>
                <w:sz w:val="21"/>
                <w:szCs w:val="21"/>
              </w:rPr>
              <w:t>为油气开发项目，为了全面控制和减缓</w:t>
            </w:r>
            <w:r>
              <w:rPr>
                <w:rFonts w:cs="Times New Roman" w:hint="eastAsia"/>
                <w:kern w:val="2"/>
                <w:sz w:val="21"/>
                <w:szCs w:val="21"/>
              </w:rPr>
              <w:t>本工程</w:t>
            </w:r>
            <w:r>
              <w:rPr>
                <w:rFonts w:cs="Times New Roman"/>
                <w:kern w:val="2"/>
                <w:sz w:val="21"/>
                <w:szCs w:val="21"/>
              </w:rPr>
              <w:t>造成的环境影响，在建设过程中应在实施工程监理的同时开展环境监理。</w:t>
            </w:r>
          </w:p>
        </w:tc>
        <w:tc>
          <w:tcPr>
            <w:tcW w:w="745" w:type="dxa"/>
            <w:vAlign w:val="center"/>
          </w:tcPr>
          <w:p w:rsidR="00C645C9" w:rsidRDefault="00F955D9">
            <w:pPr>
              <w:pStyle w:val="afb"/>
              <w:spacing w:line="240" w:lineRule="auto"/>
              <w:rPr>
                <w:szCs w:val="21"/>
                <w:lang w:bidi="ar"/>
              </w:rPr>
            </w:pPr>
            <w:r>
              <w:rPr>
                <w:kern w:val="2"/>
                <w:szCs w:val="21"/>
              </w:rPr>
              <w:t>符合</w:t>
            </w:r>
          </w:p>
        </w:tc>
      </w:tr>
      <w:tr w:rsidR="00C645C9">
        <w:trPr>
          <w:trHeight w:val="23"/>
          <w:jc w:val="center"/>
        </w:trPr>
        <w:tc>
          <w:tcPr>
            <w:tcW w:w="963" w:type="dxa"/>
            <w:vMerge w:val="restart"/>
            <w:vAlign w:val="center"/>
          </w:tcPr>
          <w:p w:rsidR="00C645C9" w:rsidRDefault="00F955D9">
            <w:pPr>
              <w:pStyle w:val="afb"/>
              <w:spacing w:line="240" w:lineRule="auto"/>
              <w:rPr>
                <w:kern w:val="2"/>
                <w:szCs w:val="21"/>
              </w:rPr>
            </w:pPr>
            <w:r>
              <w:rPr>
                <w:kern w:val="2"/>
                <w:szCs w:val="21"/>
              </w:rPr>
              <w:t>《新疆维吾尔自治区重点行业生态环境准入条件（</w:t>
            </w:r>
            <w:r>
              <w:rPr>
                <w:kern w:val="2"/>
                <w:szCs w:val="21"/>
              </w:rPr>
              <w:t>2024</w:t>
            </w:r>
            <w:r>
              <w:rPr>
                <w:kern w:val="2"/>
                <w:szCs w:val="21"/>
              </w:rPr>
              <w:t>年）》</w:t>
            </w:r>
            <w:bookmarkStart w:id="1130" w:name="OLE_LINK1250"/>
            <w:r>
              <w:rPr>
                <w:kern w:val="2"/>
                <w:szCs w:val="21"/>
              </w:rPr>
              <w:t>（</w:t>
            </w:r>
            <w:r>
              <w:rPr>
                <w:kern w:val="2"/>
                <w:szCs w:val="21"/>
              </w:rPr>
              <w:t>新环</w:t>
            </w:r>
            <w:r>
              <w:rPr>
                <w:kern w:val="2"/>
                <w:szCs w:val="21"/>
              </w:rPr>
              <w:t>环评发</w:t>
            </w:r>
            <w:r>
              <w:rPr>
                <w:kern w:val="2"/>
                <w:szCs w:val="21"/>
              </w:rPr>
              <w:t>〔</w:t>
            </w:r>
            <w:r>
              <w:rPr>
                <w:kern w:val="2"/>
                <w:szCs w:val="21"/>
              </w:rPr>
              <w:t>202</w:t>
            </w:r>
            <w:r>
              <w:rPr>
                <w:kern w:val="2"/>
                <w:szCs w:val="21"/>
              </w:rPr>
              <w:t>4</w:t>
            </w:r>
            <w:r>
              <w:rPr>
                <w:kern w:val="2"/>
                <w:szCs w:val="21"/>
              </w:rPr>
              <w:t>〕</w:t>
            </w:r>
            <w:r>
              <w:rPr>
                <w:kern w:val="2"/>
                <w:szCs w:val="21"/>
              </w:rPr>
              <w:t>93</w:t>
            </w:r>
            <w:r>
              <w:rPr>
                <w:kern w:val="2"/>
                <w:szCs w:val="21"/>
              </w:rPr>
              <w:t>号</w:t>
            </w:r>
            <w:r>
              <w:rPr>
                <w:kern w:val="2"/>
                <w:szCs w:val="21"/>
              </w:rPr>
              <w:t>）</w:t>
            </w:r>
            <w:bookmarkEnd w:id="1130"/>
          </w:p>
        </w:tc>
        <w:tc>
          <w:tcPr>
            <w:tcW w:w="3733" w:type="dxa"/>
            <w:vAlign w:val="center"/>
          </w:tcPr>
          <w:p w:rsidR="00C645C9" w:rsidRDefault="00F955D9">
            <w:pPr>
              <w:jc w:val="both"/>
              <w:rPr>
                <w:rFonts w:cs="Times New Roman"/>
                <w:sz w:val="21"/>
                <w:szCs w:val="21"/>
              </w:rPr>
            </w:pPr>
            <w:r>
              <w:rPr>
                <w:rFonts w:cs="Times New Roman"/>
                <w:sz w:val="21"/>
                <w:szCs w:val="21"/>
              </w:rPr>
              <w:t>石油、天然气开发项目的选址与布局应符合自治区或油气企业相关油气开发专项规划及规划环评要求，原则上应当以区块为单位开展环境影响评价工作。</w:t>
            </w:r>
          </w:p>
        </w:tc>
        <w:tc>
          <w:tcPr>
            <w:tcW w:w="3156" w:type="dxa"/>
            <w:vAlign w:val="center"/>
          </w:tcPr>
          <w:p w:rsidR="00C645C9" w:rsidRDefault="00F955D9">
            <w:pPr>
              <w:jc w:val="both"/>
              <w:rPr>
                <w:rFonts w:cs="Times New Roman"/>
                <w:kern w:val="2"/>
                <w:sz w:val="21"/>
                <w:szCs w:val="21"/>
              </w:rPr>
            </w:pPr>
            <w:r>
              <w:rPr>
                <w:rFonts w:cs="Times New Roman"/>
                <w:kern w:val="2"/>
                <w:sz w:val="21"/>
                <w:szCs w:val="21"/>
              </w:rPr>
              <w:t>本</w:t>
            </w:r>
            <w:r>
              <w:rPr>
                <w:rFonts w:cs="Times New Roman" w:hint="eastAsia"/>
                <w:kern w:val="2"/>
                <w:sz w:val="21"/>
                <w:szCs w:val="21"/>
              </w:rPr>
              <w:t>工程</w:t>
            </w:r>
            <w:r>
              <w:rPr>
                <w:rFonts w:cs="Times New Roman"/>
                <w:kern w:val="2"/>
                <w:sz w:val="21"/>
                <w:szCs w:val="21"/>
              </w:rPr>
              <w:t>以区块为单位开展环评，在报告中对</w:t>
            </w:r>
            <w:r>
              <w:rPr>
                <w:rFonts w:cs="Times New Roman" w:hint="eastAsia"/>
                <w:kern w:val="2"/>
                <w:sz w:val="21"/>
                <w:szCs w:val="21"/>
              </w:rPr>
              <w:t>本工程</w:t>
            </w:r>
            <w:r>
              <w:rPr>
                <w:rFonts w:cs="Times New Roman"/>
                <w:kern w:val="2"/>
                <w:sz w:val="21"/>
                <w:szCs w:val="21"/>
              </w:rPr>
              <w:t>施工期、运营期环境影响和环境风险进行了分析，并提出有效的环境保护措施、污染防治措施和环境风险防范措施，并分析了依托工程可行性和有效性；同时对现有</w:t>
            </w:r>
            <w:r>
              <w:rPr>
                <w:rFonts w:cs="Times New Roman" w:hint="eastAsia"/>
                <w:kern w:val="2"/>
                <w:sz w:val="21"/>
                <w:szCs w:val="21"/>
              </w:rPr>
              <w:t>工程</w:t>
            </w:r>
            <w:r>
              <w:rPr>
                <w:rFonts w:cs="Times New Roman"/>
                <w:kern w:val="2"/>
                <w:sz w:val="21"/>
                <w:szCs w:val="21"/>
              </w:rPr>
              <w:t>也进行了回顾性评价，对相关生态环境问题提出有效防治措施。</w:t>
            </w:r>
          </w:p>
        </w:tc>
        <w:tc>
          <w:tcPr>
            <w:tcW w:w="745" w:type="dxa"/>
            <w:vAlign w:val="center"/>
          </w:tcPr>
          <w:p w:rsidR="00C645C9" w:rsidRDefault="00F955D9">
            <w:pPr>
              <w:pStyle w:val="afb"/>
              <w:spacing w:line="240" w:lineRule="auto"/>
              <w:rPr>
                <w:kern w:val="2"/>
                <w:szCs w:val="21"/>
              </w:rPr>
            </w:pPr>
            <w:r>
              <w:rPr>
                <w:kern w:val="2"/>
                <w:szCs w:val="21"/>
              </w:rPr>
              <w:t>符合</w:t>
            </w:r>
          </w:p>
        </w:tc>
      </w:tr>
      <w:tr w:rsidR="00C645C9">
        <w:trPr>
          <w:trHeight w:val="23"/>
          <w:jc w:val="center"/>
        </w:trPr>
        <w:tc>
          <w:tcPr>
            <w:tcW w:w="963" w:type="dxa"/>
            <w:vMerge/>
            <w:vAlign w:val="center"/>
          </w:tcPr>
          <w:p w:rsidR="00C645C9" w:rsidRDefault="00C645C9">
            <w:pPr>
              <w:pStyle w:val="afb"/>
              <w:spacing w:line="240" w:lineRule="auto"/>
              <w:rPr>
                <w:kern w:val="2"/>
                <w:szCs w:val="21"/>
              </w:rPr>
            </w:pPr>
          </w:p>
        </w:tc>
        <w:tc>
          <w:tcPr>
            <w:tcW w:w="3733" w:type="dxa"/>
            <w:vAlign w:val="center"/>
          </w:tcPr>
          <w:p w:rsidR="00C645C9" w:rsidRDefault="00F955D9">
            <w:pPr>
              <w:jc w:val="both"/>
              <w:rPr>
                <w:rFonts w:cs="Times New Roman"/>
                <w:sz w:val="21"/>
                <w:szCs w:val="21"/>
              </w:rPr>
            </w:pPr>
            <w:r>
              <w:rPr>
                <w:rFonts w:cs="Times New Roman"/>
                <w:sz w:val="21"/>
                <w:szCs w:val="21"/>
              </w:rPr>
              <w:t>施工期应当尽量减少施工占地、严格控制施工作业面积、缩短施工时间、合理施工方式、落实环境敏感区管控要求以及其他生态环境保护措施，有效降低生态环境影响。</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井场永久占地规模均尽可能缩小占地面积</w:t>
            </w:r>
            <w:r>
              <w:rPr>
                <w:rFonts w:cs="Times New Roman"/>
                <w:sz w:val="21"/>
                <w:szCs w:val="21"/>
              </w:rPr>
              <w:t>，最大程度减少生态损失。</w:t>
            </w:r>
          </w:p>
        </w:tc>
        <w:tc>
          <w:tcPr>
            <w:tcW w:w="745" w:type="dxa"/>
            <w:vAlign w:val="center"/>
          </w:tcPr>
          <w:p w:rsidR="00C645C9" w:rsidRDefault="00F955D9">
            <w:pPr>
              <w:pStyle w:val="afb"/>
              <w:spacing w:line="240" w:lineRule="auto"/>
              <w:rPr>
                <w:kern w:val="2"/>
                <w:szCs w:val="21"/>
              </w:rPr>
            </w:pPr>
            <w:r>
              <w:rPr>
                <w:kern w:val="2"/>
                <w:szCs w:val="21"/>
              </w:rPr>
              <w:t>符合</w:t>
            </w:r>
          </w:p>
        </w:tc>
      </w:tr>
      <w:tr w:rsidR="00C645C9">
        <w:trPr>
          <w:trHeight w:val="23"/>
          <w:jc w:val="center"/>
        </w:trPr>
        <w:tc>
          <w:tcPr>
            <w:tcW w:w="963" w:type="dxa"/>
            <w:vMerge/>
            <w:vAlign w:val="center"/>
          </w:tcPr>
          <w:p w:rsidR="00C645C9" w:rsidRDefault="00C645C9">
            <w:pPr>
              <w:pStyle w:val="afb"/>
              <w:spacing w:line="240" w:lineRule="auto"/>
              <w:rPr>
                <w:kern w:val="2"/>
                <w:szCs w:val="21"/>
              </w:rPr>
            </w:pPr>
          </w:p>
        </w:tc>
        <w:tc>
          <w:tcPr>
            <w:tcW w:w="3733" w:type="dxa"/>
            <w:vAlign w:val="center"/>
          </w:tcPr>
          <w:p w:rsidR="00C645C9" w:rsidRDefault="00F955D9">
            <w:pPr>
              <w:jc w:val="both"/>
              <w:rPr>
                <w:rFonts w:cs="Times New Roman"/>
                <w:sz w:val="21"/>
                <w:szCs w:val="21"/>
              </w:rPr>
            </w:pPr>
            <w:r>
              <w:rPr>
                <w:rFonts w:cs="Times New Roman"/>
                <w:sz w:val="21"/>
                <w:szCs w:val="21"/>
              </w:rPr>
              <w:t>工艺过程控制措施、废气收集处理措施以及站场边界非甲烷总烃排放浓度应满足《陆上石油天然气开采工业大气污染物排放标准》</w:t>
            </w:r>
            <w:r>
              <w:rPr>
                <w:rFonts w:cs="Times New Roman"/>
                <w:sz w:val="21"/>
                <w:szCs w:val="21"/>
              </w:rPr>
              <w:t xml:space="preserve"> </w:t>
            </w:r>
            <w:r>
              <w:rPr>
                <w:rFonts w:cs="Times New Roman"/>
                <w:sz w:val="21"/>
                <w:szCs w:val="21"/>
              </w:rPr>
              <w:t>（</w:t>
            </w:r>
            <w:r>
              <w:rPr>
                <w:rFonts w:cs="Times New Roman"/>
                <w:sz w:val="21"/>
                <w:szCs w:val="21"/>
              </w:rPr>
              <w:t>GB39728</w:t>
            </w:r>
            <w:r>
              <w:rPr>
                <w:rFonts w:cs="Times New Roman"/>
                <w:sz w:val="21"/>
                <w:szCs w:val="21"/>
              </w:rPr>
              <w:t>）</w:t>
            </w:r>
            <w:r>
              <w:rPr>
                <w:rFonts w:cs="Times New Roman"/>
                <w:sz w:val="21"/>
                <w:szCs w:val="21"/>
              </w:rPr>
              <w:t xml:space="preserve"> </w:t>
            </w:r>
            <w:r>
              <w:rPr>
                <w:rFonts w:cs="Times New Roman"/>
                <w:sz w:val="21"/>
                <w:szCs w:val="21"/>
              </w:rPr>
              <w:t>要求。锅炉、加热炉、压缩机等装置应优先使用清洁燃料或能源，燃煤燃气锅炉、加热炉废气排放应达到《锅炉大气污染物排放标准》（</w:t>
            </w:r>
            <w:r>
              <w:rPr>
                <w:rFonts w:cs="Times New Roman"/>
                <w:sz w:val="21"/>
                <w:szCs w:val="21"/>
              </w:rPr>
              <w:t>GB13271</w:t>
            </w:r>
            <w:r>
              <w:rPr>
                <w:rFonts w:cs="Times New Roman"/>
                <w:sz w:val="21"/>
                <w:szCs w:val="21"/>
              </w:rPr>
              <w:t>）</w:t>
            </w:r>
            <w:r>
              <w:rPr>
                <w:rFonts w:cs="Times New Roman"/>
                <w:sz w:val="21"/>
                <w:szCs w:val="21"/>
              </w:rPr>
              <w:t xml:space="preserve"> </w:t>
            </w:r>
            <w:r>
              <w:rPr>
                <w:rFonts w:cs="Times New Roman"/>
                <w:sz w:val="21"/>
                <w:szCs w:val="21"/>
              </w:rPr>
              <w:t>要求，有地方标准的按</w:t>
            </w:r>
            <w:r>
              <w:rPr>
                <w:rFonts w:cs="Times New Roman"/>
                <w:sz w:val="21"/>
                <w:szCs w:val="21"/>
              </w:rPr>
              <w:t xml:space="preserve"> </w:t>
            </w:r>
            <w:r>
              <w:rPr>
                <w:rFonts w:cs="Times New Roman"/>
                <w:sz w:val="21"/>
                <w:szCs w:val="21"/>
              </w:rPr>
              <w:t>地方标准执行。</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井场加热炉</w:t>
            </w:r>
            <w:r>
              <w:rPr>
                <w:rFonts w:cs="Times New Roman"/>
                <w:sz w:val="21"/>
                <w:szCs w:val="21"/>
              </w:rPr>
              <w:t>燃烧气中颗粒物、</w:t>
            </w:r>
            <w:r>
              <w:rPr>
                <w:rFonts w:cs="Times New Roman"/>
                <w:sz w:val="21"/>
                <w:szCs w:val="21"/>
              </w:rPr>
              <w:t>SO</w:t>
            </w:r>
            <w:r>
              <w:rPr>
                <w:rFonts w:cs="Times New Roman"/>
                <w:sz w:val="21"/>
                <w:szCs w:val="21"/>
                <w:vertAlign w:val="subscript"/>
              </w:rPr>
              <w:t>2</w:t>
            </w:r>
            <w:r>
              <w:rPr>
                <w:rFonts w:cs="Times New Roman"/>
                <w:sz w:val="21"/>
                <w:szCs w:val="21"/>
              </w:rPr>
              <w:t>、</w:t>
            </w:r>
            <w:r>
              <w:rPr>
                <w:rFonts w:cs="Times New Roman"/>
                <w:sz w:val="21"/>
                <w:szCs w:val="21"/>
              </w:rPr>
              <w:t>NO</w:t>
            </w:r>
            <w:r>
              <w:rPr>
                <w:rFonts w:cs="Times New Roman"/>
                <w:sz w:val="21"/>
                <w:szCs w:val="21"/>
                <w:vertAlign w:val="subscript"/>
              </w:rPr>
              <w:t>x</w:t>
            </w:r>
            <w:r>
              <w:rPr>
                <w:rFonts w:cs="Times New Roman"/>
                <w:sz w:val="21"/>
                <w:szCs w:val="21"/>
              </w:rPr>
              <w:t>执行</w:t>
            </w:r>
            <w:r>
              <w:rPr>
                <w:rFonts w:cs="Times New Roman"/>
                <w:sz w:val="21"/>
                <w:szCs w:val="21"/>
              </w:rPr>
              <w:t>《锅炉大气污染物排放标准》（</w:t>
            </w:r>
            <w:r>
              <w:rPr>
                <w:rFonts w:cs="Times New Roman"/>
                <w:sz w:val="21"/>
                <w:szCs w:val="21"/>
              </w:rPr>
              <w:t>GB13271-2014</w:t>
            </w:r>
            <w:r>
              <w:rPr>
                <w:rFonts w:cs="Times New Roman"/>
                <w:sz w:val="21"/>
                <w:szCs w:val="21"/>
              </w:rPr>
              <w:t>）表</w:t>
            </w:r>
            <w:r>
              <w:rPr>
                <w:rFonts w:cs="Times New Roman"/>
                <w:sz w:val="21"/>
                <w:szCs w:val="21"/>
              </w:rPr>
              <w:t>2</w:t>
            </w:r>
            <w:r>
              <w:rPr>
                <w:rFonts w:cs="Times New Roman"/>
                <w:sz w:val="21"/>
                <w:szCs w:val="21"/>
              </w:rPr>
              <w:t>新建锅炉大气污染物排放浓度限值。</w:t>
            </w:r>
            <w:r>
              <w:rPr>
                <w:rFonts w:cs="Times New Roman" w:hint="eastAsia"/>
                <w:sz w:val="21"/>
                <w:szCs w:val="21"/>
              </w:rPr>
              <w:t>非甲烷总烃执行《大气污染物综合排放标准》（</w:t>
            </w:r>
            <w:r>
              <w:rPr>
                <w:rFonts w:cs="Times New Roman" w:hint="eastAsia"/>
                <w:sz w:val="21"/>
                <w:szCs w:val="21"/>
              </w:rPr>
              <w:t>GB16297-1996</w:t>
            </w:r>
            <w:r>
              <w:rPr>
                <w:rFonts w:cs="Times New Roman" w:hint="eastAsia"/>
                <w:sz w:val="21"/>
                <w:szCs w:val="21"/>
              </w:rPr>
              <w:t>）表</w:t>
            </w:r>
            <w:r>
              <w:rPr>
                <w:rFonts w:cs="Times New Roman" w:hint="eastAsia"/>
                <w:sz w:val="21"/>
                <w:szCs w:val="21"/>
              </w:rPr>
              <w:t>2</w:t>
            </w:r>
            <w:r>
              <w:rPr>
                <w:rFonts w:cs="Times New Roman" w:hint="eastAsia"/>
                <w:sz w:val="21"/>
                <w:szCs w:val="21"/>
              </w:rPr>
              <w:t>最高允许排放浓度；</w:t>
            </w:r>
            <w:r>
              <w:rPr>
                <w:rFonts w:cs="Times New Roman"/>
                <w:sz w:val="21"/>
                <w:szCs w:val="21"/>
              </w:rPr>
              <w:t>油气开采过程中井场</w:t>
            </w:r>
            <w:r>
              <w:rPr>
                <w:rFonts w:ascii="宋体" w:hAnsi="宋体" w:hint="eastAsia"/>
                <w:sz w:val="21"/>
                <w:szCs w:val="21"/>
              </w:rPr>
              <w:t>厂界内</w:t>
            </w:r>
            <w:r>
              <w:rPr>
                <w:rFonts w:cs="Times New Roman"/>
                <w:sz w:val="21"/>
                <w:szCs w:val="21"/>
              </w:rPr>
              <w:t>无组织排放的非甲烷总烃</w:t>
            </w:r>
            <w:r>
              <w:rPr>
                <w:rFonts w:cs="Times New Roman" w:hint="eastAsia"/>
                <w:sz w:val="21"/>
                <w:szCs w:val="21"/>
              </w:rPr>
              <w:t>执行</w:t>
            </w:r>
            <w:r>
              <w:rPr>
                <w:rFonts w:cs="Times New Roman"/>
                <w:sz w:val="21"/>
                <w:szCs w:val="21"/>
              </w:rPr>
              <w:t>《挥发性有机物无组织排放控制标准》（</w:t>
            </w:r>
            <w:r>
              <w:rPr>
                <w:rFonts w:cs="Times New Roman"/>
                <w:sz w:val="21"/>
                <w:szCs w:val="21"/>
              </w:rPr>
              <w:t>GB37822-2019</w:t>
            </w:r>
            <w:r>
              <w:rPr>
                <w:rFonts w:cs="Times New Roman"/>
                <w:sz w:val="21"/>
                <w:szCs w:val="21"/>
              </w:rPr>
              <w:t>）表</w:t>
            </w:r>
            <w:r>
              <w:rPr>
                <w:rFonts w:cs="Times New Roman"/>
                <w:sz w:val="21"/>
                <w:szCs w:val="21"/>
              </w:rPr>
              <w:t>A.1</w:t>
            </w:r>
            <w:r>
              <w:rPr>
                <w:rFonts w:cs="Times New Roman"/>
                <w:sz w:val="21"/>
                <w:szCs w:val="21"/>
              </w:rPr>
              <w:t>厂区内</w:t>
            </w:r>
            <w:r>
              <w:rPr>
                <w:rFonts w:cs="Times New Roman" w:hint="eastAsia"/>
                <w:sz w:val="21"/>
                <w:szCs w:val="21"/>
              </w:rPr>
              <w:t>VOCs</w:t>
            </w:r>
            <w:r>
              <w:rPr>
                <w:rFonts w:cs="Times New Roman"/>
                <w:sz w:val="21"/>
                <w:szCs w:val="21"/>
              </w:rPr>
              <w:t>无组织排放限值；井场</w:t>
            </w:r>
            <w:r>
              <w:rPr>
                <w:rFonts w:ascii="宋体" w:hAnsi="宋体" w:hint="eastAsia"/>
                <w:sz w:val="21"/>
                <w:szCs w:val="21"/>
              </w:rPr>
              <w:t>厂界外</w:t>
            </w:r>
            <w:r>
              <w:rPr>
                <w:rFonts w:cs="Times New Roman"/>
                <w:sz w:val="21"/>
                <w:szCs w:val="21"/>
              </w:rPr>
              <w:t>无组织排放的非甲烷总烃</w:t>
            </w:r>
            <w:r>
              <w:rPr>
                <w:rFonts w:cs="Times New Roman" w:hint="eastAsia"/>
                <w:sz w:val="21"/>
                <w:szCs w:val="21"/>
              </w:rPr>
              <w:t>执行</w:t>
            </w:r>
            <w:r>
              <w:rPr>
                <w:rFonts w:cs="Times New Roman"/>
                <w:sz w:val="21"/>
                <w:szCs w:val="21"/>
              </w:rPr>
              <w:t>《陆上石油天然气开采工业大气</w:t>
            </w:r>
            <w:r>
              <w:rPr>
                <w:rFonts w:cs="Times New Roman"/>
                <w:sz w:val="21"/>
                <w:szCs w:val="21"/>
              </w:rPr>
              <w:lastRenderedPageBreak/>
              <w:t>污染物排放标准》（</w:t>
            </w:r>
            <w:r>
              <w:rPr>
                <w:rFonts w:cs="Times New Roman"/>
                <w:sz w:val="21"/>
                <w:szCs w:val="21"/>
              </w:rPr>
              <w:t>GB39728-2020</w:t>
            </w:r>
            <w:r>
              <w:rPr>
                <w:rFonts w:cs="Times New Roman"/>
                <w:sz w:val="21"/>
                <w:szCs w:val="21"/>
              </w:rPr>
              <w:t>）</w:t>
            </w:r>
            <w:r>
              <w:rPr>
                <w:rFonts w:cs="Times New Roman"/>
                <w:sz w:val="21"/>
                <w:szCs w:val="21"/>
              </w:rPr>
              <w:t>企业边界污染物控制要求</w:t>
            </w:r>
            <w:r>
              <w:rPr>
                <w:rFonts w:cs="Times New Roman" w:hint="eastAsia"/>
                <w:sz w:val="21"/>
                <w:szCs w:val="21"/>
              </w:rPr>
              <w:t>；</w:t>
            </w:r>
            <w:r>
              <w:rPr>
                <w:rFonts w:cs="Times New Roman"/>
                <w:sz w:val="21"/>
                <w:szCs w:val="21"/>
              </w:rPr>
              <w:t>无组织排放</w:t>
            </w:r>
            <w:r>
              <w:rPr>
                <w:rFonts w:cs="Times New Roman" w:hint="eastAsia"/>
                <w:sz w:val="21"/>
                <w:szCs w:val="21"/>
              </w:rPr>
              <w:t>的硫化氢</w:t>
            </w:r>
            <w:r>
              <w:rPr>
                <w:rFonts w:cs="Times New Roman"/>
                <w:sz w:val="21"/>
                <w:szCs w:val="21"/>
              </w:rPr>
              <w:t>执行</w:t>
            </w:r>
            <w:r>
              <w:rPr>
                <w:rFonts w:cs="Times New Roman"/>
                <w:sz w:val="21"/>
                <w:szCs w:val="21"/>
              </w:rPr>
              <w:t>《</w:t>
            </w:r>
            <w:r>
              <w:rPr>
                <w:rFonts w:cs="Times New Roman"/>
                <w:sz w:val="21"/>
                <w:szCs w:val="21"/>
              </w:rPr>
              <w:t>恶臭污染物排放标准</w:t>
            </w:r>
            <w:r>
              <w:rPr>
                <w:rFonts w:cs="Times New Roman"/>
                <w:sz w:val="21"/>
                <w:szCs w:val="21"/>
              </w:rPr>
              <w:t>》（</w:t>
            </w:r>
            <w:r>
              <w:rPr>
                <w:rFonts w:cs="Times New Roman"/>
                <w:sz w:val="21"/>
                <w:szCs w:val="21"/>
              </w:rPr>
              <w:t>GB14554-93</w:t>
            </w:r>
            <w:r>
              <w:rPr>
                <w:rFonts w:cs="Times New Roman"/>
                <w:sz w:val="21"/>
                <w:szCs w:val="21"/>
              </w:rPr>
              <w:t>）</w:t>
            </w:r>
            <w:r>
              <w:rPr>
                <w:rFonts w:cs="Times New Roman" w:hint="eastAsia"/>
                <w:sz w:val="21"/>
                <w:szCs w:val="21"/>
              </w:rPr>
              <w:t>表</w:t>
            </w:r>
            <w:r>
              <w:rPr>
                <w:rFonts w:cs="Times New Roman" w:hint="eastAsia"/>
                <w:sz w:val="21"/>
                <w:szCs w:val="21"/>
              </w:rPr>
              <w:t>1</w:t>
            </w:r>
            <w:r>
              <w:rPr>
                <w:rFonts w:cs="Times New Roman"/>
                <w:sz w:val="21"/>
                <w:szCs w:val="21"/>
              </w:rPr>
              <w:t>新</w:t>
            </w:r>
            <w:r>
              <w:rPr>
                <w:rFonts w:cs="Times New Roman" w:hint="eastAsia"/>
                <w:sz w:val="21"/>
                <w:szCs w:val="21"/>
              </w:rPr>
              <w:t>扩改</w:t>
            </w:r>
            <w:r>
              <w:rPr>
                <w:rFonts w:cs="Times New Roman"/>
                <w:sz w:val="21"/>
                <w:szCs w:val="21"/>
              </w:rPr>
              <w:t>建</w:t>
            </w:r>
            <w:r>
              <w:rPr>
                <w:rFonts w:cs="Times New Roman" w:hint="eastAsia"/>
                <w:sz w:val="21"/>
                <w:szCs w:val="21"/>
              </w:rPr>
              <w:t>项目</w:t>
            </w:r>
            <w:r>
              <w:rPr>
                <w:rFonts w:cs="Times New Roman"/>
                <w:sz w:val="21"/>
                <w:szCs w:val="21"/>
              </w:rPr>
              <w:t>二级标准</w:t>
            </w:r>
            <w:r>
              <w:rPr>
                <w:rFonts w:cs="Times New Roman"/>
                <w:sz w:val="21"/>
                <w:szCs w:val="21"/>
              </w:rPr>
              <w:t>。</w:t>
            </w:r>
          </w:p>
        </w:tc>
        <w:tc>
          <w:tcPr>
            <w:tcW w:w="745" w:type="dxa"/>
            <w:vAlign w:val="center"/>
          </w:tcPr>
          <w:p w:rsidR="00C645C9" w:rsidRDefault="00F955D9">
            <w:pPr>
              <w:pStyle w:val="afb"/>
              <w:spacing w:line="240" w:lineRule="auto"/>
              <w:rPr>
                <w:kern w:val="2"/>
                <w:szCs w:val="21"/>
              </w:rPr>
            </w:pPr>
            <w:r>
              <w:rPr>
                <w:kern w:val="2"/>
                <w:szCs w:val="21"/>
              </w:rPr>
              <w:lastRenderedPageBreak/>
              <w:t>符合</w:t>
            </w:r>
          </w:p>
        </w:tc>
      </w:tr>
      <w:tr w:rsidR="00C645C9">
        <w:trPr>
          <w:trHeight w:val="23"/>
          <w:jc w:val="center"/>
        </w:trPr>
        <w:tc>
          <w:tcPr>
            <w:tcW w:w="963" w:type="dxa"/>
            <w:vMerge/>
            <w:vAlign w:val="center"/>
          </w:tcPr>
          <w:p w:rsidR="00C645C9" w:rsidRDefault="00C645C9">
            <w:pPr>
              <w:pStyle w:val="afb"/>
              <w:spacing w:line="240" w:lineRule="auto"/>
              <w:rPr>
                <w:kern w:val="2"/>
                <w:szCs w:val="21"/>
              </w:rPr>
            </w:pPr>
          </w:p>
        </w:tc>
        <w:tc>
          <w:tcPr>
            <w:tcW w:w="3733" w:type="dxa"/>
            <w:vAlign w:val="center"/>
          </w:tcPr>
          <w:p w:rsidR="00C645C9" w:rsidRDefault="00F955D9">
            <w:pPr>
              <w:jc w:val="both"/>
              <w:rPr>
                <w:rFonts w:cs="Times New Roman"/>
                <w:sz w:val="21"/>
                <w:szCs w:val="21"/>
              </w:rPr>
            </w:pPr>
            <w:r>
              <w:rPr>
                <w:rFonts w:cs="Times New Roman"/>
                <w:sz w:val="21"/>
                <w:szCs w:val="21"/>
              </w:rPr>
              <w:t>噪声排放应达到《工业企业厂界环境噪声排放标准》（</w:t>
            </w:r>
            <w:r>
              <w:rPr>
                <w:rFonts w:cs="Times New Roman"/>
                <w:sz w:val="21"/>
                <w:szCs w:val="21"/>
              </w:rPr>
              <w:t>GB12348</w:t>
            </w:r>
            <w:r>
              <w:rPr>
                <w:rFonts w:cs="Times New Roman"/>
                <w:sz w:val="21"/>
                <w:szCs w:val="21"/>
              </w:rPr>
              <w:t>）要求。</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执行</w:t>
            </w:r>
            <w:r>
              <w:rPr>
                <w:rFonts w:cs="Times New Roman"/>
                <w:sz w:val="21"/>
                <w:szCs w:val="21"/>
              </w:rPr>
              <w:t>《工业企业厂界环境噪声排放标准》（</w:t>
            </w:r>
            <w:r>
              <w:rPr>
                <w:rFonts w:cs="Times New Roman"/>
                <w:sz w:val="21"/>
                <w:szCs w:val="21"/>
              </w:rPr>
              <w:t>GB12348-2008</w:t>
            </w:r>
            <w:r>
              <w:rPr>
                <w:rFonts w:cs="Times New Roman"/>
                <w:sz w:val="21"/>
                <w:szCs w:val="21"/>
              </w:rPr>
              <w:t>）</w:t>
            </w:r>
            <w:r>
              <w:rPr>
                <w:rFonts w:cs="Times New Roman" w:hint="eastAsia"/>
                <w:sz w:val="21"/>
                <w:szCs w:val="21"/>
              </w:rPr>
              <w:t>表</w:t>
            </w:r>
            <w:r>
              <w:rPr>
                <w:rFonts w:cs="Times New Roman" w:hint="eastAsia"/>
                <w:sz w:val="21"/>
                <w:szCs w:val="21"/>
              </w:rPr>
              <w:t>1</w:t>
            </w:r>
            <w:r>
              <w:rPr>
                <w:rFonts w:cs="Times New Roman" w:hint="eastAsia"/>
                <w:sz w:val="21"/>
                <w:szCs w:val="21"/>
              </w:rPr>
              <w:t>工业企业厂界环境噪声排放限值</w:t>
            </w:r>
            <w:r>
              <w:rPr>
                <w:rFonts w:cs="Times New Roman"/>
                <w:sz w:val="21"/>
                <w:szCs w:val="21"/>
              </w:rPr>
              <w:t>2</w:t>
            </w:r>
            <w:r>
              <w:rPr>
                <w:rFonts w:cs="Times New Roman"/>
                <w:sz w:val="21"/>
                <w:szCs w:val="21"/>
              </w:rPr>
              <w:t>类标准</w:t>
            </w:r>
            <w:r>
              <w:rPr>
                <w:rFonts w:cs="Times New Roman"/>
                <w:sz w:val="21"/>
                <w:szCs w:val="21"/>
              </w:rPr>
              <w:t>。</w:t>
            </w:r>
          </w:p>
        </w:tc>
        <w:tc>
          <w:tcPr>
            <w:tcW w:w="745" w:type="dxa"/>
            <w:vAlign w:val="center"/>
          </w:tcPr>
          <w:p w:rsidR="00C645C9" w:rsidRDefault="00F955D9">
            <w:pPr>
              <w:pStyle w:val="afb"/>
              <w:spacing w:line="240" w:lineRule="auto"/>
              <w:rPr>
                <w:kern w:val="2"/>
                <w:szCs w:val="21"/>
              </w:rPr>
            </w:pPr>
            <w:r>
              <w:rPr>
                <w:kern w:val="2"/>
                <w:szCs w:val="21"/>
              </w:rPr>
              <w:t>符合</w:t>
            </w:r>
          </w:p>
        </w:tc>
      </w:tr>
      <w:tr w:rsidR="00C645C9">
        <w:trPr>
          <w:trHeight w:val="23"/>
          <w:jc w:val="center"/>
        </w:trPr>
        <w:tc>
          <w:tcPr>
            <w:tcW w:w="963" w:type="dxa"/>
            <w:vAlign w:val="center"/>
          </w:tcPr>
          <w:p w:rsidR="00C645C9" w:rsidRDefault="00F955D9">
            <w:pPr>
              <w:pStyle w:val="afb"/>
              <w:spacing w:line="240" w:lineRule="auto"/>
              <w:rPr>
                <w:kern w:val="2"/>
                <w:szCs w:val="21"/>
              </w:rPr>
            </w:pPr>
            <w:r>
              <w:rPr>
                <w:kern w:val="2"/>
                <w:szCs w:val="21"/>
              </w:rPr>
              <w:t>《</w:t>
            </w:r>
            <w:bookmarkStart w:id="1131" w:name="OLE_LINK1179"/>
            <w:r>
              <w:rPr>
                <w:rFonts w:hint="eastAsia"/>
                <w:kern w:val="2"/>
                <w:szCs w:val="21"/>
              </w:rPr>
              <w:t>关于印发〈</w:t>
            </w:r>
            <w:r>
              <w:rPr>
                <w:kern w:val="2"/>
                <w:szCs w:val="21"/>
              </w:rPr>
              <w:t>空气质量持续改善行动计划</w:t>
            </w:r>
            <w:bookmarkEnd w:id="1131"/>
            <w:r>
              <w:rPr>
                <w:rFonts w:hint="eastAsia"/>
                <w:kern w:val="2"/>
                <w:szCs w:val="21"/>
              </w:rPr>
              <w:t>〉的通知</w:t>
            </w:r>
            <w:r>
              <w:rPr>
                <w:kern w:val="2"/>
                <w:szCs w:val="21"/>
              </w:rPr>
              <w:t>》（</w:t>
            </w:r>
            <w:r>
              <w:rPr>
                <w:rFonts w:hint="eastAsia"/>
                <w:kern w:val="2"/>
                <w:szCs w:val="21"/>
              </w:rPr>
              <w:t>国</w:t>
            </w:r>
            <w:r>
              <w:rPr>
                <w:kern w:val="2"/>
                <w:szCs w:val="21"/>
              </w:rPr>
              <w:t>发</w:t>
            </w:r>
            <w:r>
              <w:rPr>
                <w:kern w:val="2"/>
                <w:szCs w:val="21"/>
              </w:rPr>
              <w:t>〔</w:t>
            </w:r>
            <w:r>
              <w:rPr>
                <w:kern w:val="2"/>
                <w:szCs w:val="21"/>
              </w:rPr>
              <w:t>202</w:t>
            </w:r>
            <w:r>
              <w:rPr>
                <w:rFonts w:hint="eastAsia"/>
                <w:kern w:val="2"/>
                <w:szCs w:val="21"/>
              </w:rPr>
              <w:t>3</w:t>
            </w:r>
            <w:r>
              <w:rPr>
                <w:kern w:val="2"/>
                <w:szCs w:val="21"/>
              </w:rPr>
              <w:t>〕</w:t>
            </w:r>
            <w:r>
              <w:rPr>
                <w:rFonts w:hint="eastAsia"/>
                <w:kern w:val="2"/>
                <w:szCs w:val="21"/>
              </w:rPr>
              <w:t>24</w:t>
            </w:r>
            <w:r>
              <w:rPr>
                <w:kern w:val="2"/>
                <w:szCs w:val="21"/>
              </w:rPr>
              <w:t>号</w:t>
            </w:r>
            <w:r>
              <w:rPr>
                <w:kern w:val="2"/>
                <w:szCs w:val="21"/>
              </w:rPr>
              <w:t>）</w:t>
            </w:r>
          </w:p>
        </w:tc>
        <w:tc>
          <w:tcPr>
            <w:tcW w:w="3733" w:type="dxa"/>
            <w:vAlign w:val="center"/>
          </w:tcPr>
          <w:p w:rsidR="00C645C9" w:rsidRDefault="00F955D9">
            <w:pPr>
              <w:jc w:val="both"/>
              <w:rPr>
                <w:rFonts w:cs="Times New Roman"/>
                <w:sz w:val="21"/>
                <w:szCs w:val="21"/>
              </w:rPr>
            </w:pPr>
            <w:r>
              <w:rPr>
                <w:rFonts w:cs="Times New Roman"/>
                <w:sz w:val="21"/>
                <w:szCs w:val="21"/>
              </w:rPr>
              <w:t>强化</w:t>
            </w:r>
            <w:r>
              <w:rPr>
                <w:rFonts w:cs="Times New Roman"/>
                <w:sz w:val="21"/>
                <w:szCs w:val="21"/>
              </w:rPr>
              <w:t>VOCs</w:t>
            </w:r>
            <w:r>
              <w:rPr>
                <w:rFonts w:cs="Times New Roman"/>
                <w:sz w:val="21"/>
                <w:szCs w:val="21"/>
              </w:rPr>
              <w:t>全流程、全环节综合治理。鼓励储罐使用低泄漏的呼吸阀、紧急泄压阀，定期开展密封性检测。汽车罐车推广使用密封式快速接头。污水处理场所高浓度有机废气要单独收集处理；含</w:t>
            </w:r>
            <w:r>
              <w:rPr>
                <w:rFonts w:cs="Times New Roman"/>
                <w:sz w:val="21"/>
                <w:szCs w:val="21"/>
              </w:rPr>
              <w:t>VOCs</w:t>
            </w:r>
            <w:r>
              <w:rPr>
                <w:rFonts w:cs="Times New Roman"/>
                <w:sz w:val="21"/>
                <w:szCs w:val="21"/>
              </w:rPr>
              <w:t>有机废水储罐、装置区集水井（池）有机废气要密闭收集处理。重点区域石化、化工行业集中的城市和重点工业园区，</w:t>
            </w:r>
            <w:r>
              <w:rPr>
                <w:rFonts w:cs="Times New Roman"/>
                <w:sz w:val="21"/>
                <w:szCs w:val="21"/>
              </w:rPr>
              <w:t>2024</w:t>
            </w:r>
            <w:r>
              <w:rPr>
                <w:rFonts w:cs="Times New Roman"/>
                <w:sz w:val="21"/>
                <w:szCs w:val="21"/>
              </w:rPr>
              <w:t>年年底前建立统一的泄漏检测与修复信息管理平台。企业开停工、检维修期间，及时收集处理退料、清洗、吹扫等作业产生的</w:t>
            </w:r>
            <w:r>
              <w:rPr>
                <w:rFonts w:cs="Times New Roman"/>
                <w:sz w:val="21"/>
                <w:szCs w:val="21"/>
              </w:rPr>
              <w:t>VOCs</w:t>
            </w:r>
            <w:r>
              <w:rPr>
                <w:rFonts w:cs="Times New Roman"/>
                <w:sz w:val="21"/>
                <w:szCs w:val="21"/>
              </w:rPr>
              <w:t>废气。企业不得将火炬燃烧装置作为日常大气污染处理设施。</w:t>
            </w:r>
          </w:p>
        </w:tc>
        <w:tc>
          <w:tcPr>
            <w:tcW w:w="3156" w:type="dxa"/>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采用</w:t>
            </w:r>
            <w:r>
              <w:rPr>
                <w:rFonts w:cs="Times New Roman" w:hint="eastAsia"/>
                <w:sz w:val="21"/>
                <w:szCs w:val="21"/>
              </w:rPr>
              <w:t>凝析</w:t>
            </w:r>
            <w:r>
              <w:rPr>
                <w:rFonts w:cs="Times New Roman"/>
                <w:sz w:val="21"/>
                <w:szCs w:val="21"/>
              </w:rPr>
              <w:t>油稳定工艺。</w:t>
            </w:r>
          </w:p>
        </w:tc>
        <w:tc>
          <w:tcPr>
            <w:tcW w:w="745" w:type="dxa"/>
            <w:vAlign w:val="center"/>
          </w:tcPr>
          <w:p w:rsidR="00C645C9" w:rsidRDefault="00F955D9">
            <w:pPr>
              <w:pStyle w:val="afb"/>
              <w:spacing w:line="240" w:lineRule="auto"/>
              <w:rPr>
                <w:kern w:val="2"/>
                <w:szCs w:val="21"/>
              </w:rPr>
            </w:pPr>
            <w:r>
              <w:rPr>
                <w:kern w:val="2"/>
                <w:szCs w:val="21"/>
              </w:rPr>
              <w:t>符合</w:t>
            </w:r>
          </w:p>
        </w:tc>
      </w:tr>
    </w:tbl>
    <w:bookmarkEnd w:id="1125"/>
    <w:bookmarkEnd w:id="1126"/>
    <w:bookmarkEnd w:id="1127"/>
    <w:p w:rsidR="00C645C9" w:rsidRDefault="00F955D9">
      <w:pPr>
        <w:widowControl w:val="0"/>
        <w:adjustRightInd w:val="0"/>
        <w:snapToGrid w:val="0"/>
        <w:spacing w:line="360" w:lineRule="auto"/>
        <w:ind w:firstLineChars="200" w:firstLine="480"/>
        <w:jc w:val="both"/>
        <w:rPr>
          <w:rFonts w:cs="Times New Roman"/>
        </w:rPr>
      </w:pPr>
      <w:r>
        <w:rPr>
          <w:rFonts w:cs="Times New Roman" w:hint="eastAsia"/>
        </w:rPr>
        <w:t>（</w:t>
      </w:r>
      <w:r>
        <w:rPr>
          <w:rFonts w:cs="Times New Roman" w:hint="eastAsia"/>
        </w:rPr>
        <w:t>2</w:t>
      </w:r>
      <w:r>
        <w:rPr>
          <w:rFonts w:cs="Times New Roman" w:hint="eastAsia"/>
        </w:rPr>
        <w:t>）与相关规划符合性分析</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根据评价区块的地理位置，</w:t>
      </w:r>
      <w:r>
        <w:rPr>
          <w:rFonts w:cs="Times New Roman" w:hint="eastAsia"/>
        </w:rPr>
        <w:t>工程</w:t>
      </w:r>
      <w:r>
        <w:rPr>
          <w:rFonts w:cs="Times New Roman"/>
        </w:rPr>
        <w:t>区位于</w:t>
      </w:r>
      <w:r>
        <w:rPr>
          <w:rFonts w:cs="Times New Roman" w:hint="eastAsia"/>
        </w:rPr>
        <w:t>新和</w:t>
      </w:r>
      <w:r>
        <w:rPr>
          <w:rFonts w:cs="Times New Roman"/>
        </w:rPr>
        <w:t>县，所在地涉及的相关地方规划包括：</w:t>
      </w:r>
      <w:bookmarkStart w:id="1132" w:name="OLE_LINK170"/>
      <w:r>
        <w:rPr>
          <w:rFonts w:cs="Times New Roman"/>
        </w:rPr>
        <w:t>《</w:t>
      </w:r>
      <w:r>
        <w:rPr>
          <w:rFonts w:cs="Times New Roman"/>
        </w:rPr>
        <w:t>新疆维吾尔自治区主体功能区规划</w:t>
      </w:r>
      <w:r>
        <w:rPr>
          <w:rFonts w:cs="Times New Roman"/>
        </w:rPr>
        <w:t>》《</w:t>
      </w:r>
      <w:r>
        <w:rPr>
          <w:rFonts w:cs="Times New Roman"/>
        </w:rPr>
        <w:t>新疆生态功能区划</w:t>
      </w:r>
      <w:r>
        <w:rPr>
          <w:rFonts w:cs="Times New Roman"/>
        </w:rPr>
        <w:t>》《</w:t>
      </w:r>
      <w:r>
        <w:rPr>
          <w:rFonts w:cs="Times New Roman"/>
        </w:rPr>
        <w:t>新疆生态环境保护</w:t>
      </w:r>
      <w:r>
        <w:rPr>
          <w:rFonts w:cs="Times New Roman" w:hint="eastAsia"/>
        </w:rPr>
        <w:t>“</w:t>
      </w:r>
      <w:r>
        <w:rPr>
          <w:rFonts w:cs="Times New Roman"/>
        </w:rPr>
        <w:t>十四五</w:t>
      </w:r>
      <w:r>
        <w:rPr>
          <w:rFonts w:cs="Times New Roman" w:hint="eastAsia"/>
        </w:rPr>
        <w:t>”</w:t>
      </w:r>
      <w:r>
        <w:rPr>
          <w:rFonts w:cs="Times New Roman"/>
        </w:rPr>
        <w:t>规划</w:t>
      </w:r>
      <w:r>
        <w:rPr>
          <w:rFonts w:cs="Times New Roman"/>
        </w:rPr>
        <w:t>》</w:t>
      </w:r>
      <w:bookmarkEnd w:id="1132"/>
      <w:r>
        <w:rPr>
          <w:rFonts w:cs="Times New Roman"/>
        </w:rPr>
        <w:t>等。</w:t>
      </w:r>
      <w:r>
        <w:rPr>
          <w:rFonts w:cs="Times New Roman"/>
        </w:rPr>
        <w:t>本</w:t>
      </w:r>
      <w:r>
        <w:rPr>
          <w:rFonts w:cs="Times New Roman" w:hint="eastAsia"/>
        </w:rPr>
        <w:t>工程</w:t>
      </w:r>
      <w:r>
        <w:rPr>
          <w:rFonts w:cs="Times New Roman"/>
        </w:rPr>
        <w:t>与上述相关规划的协调性分析结果参见表</w:t>
      </w:r>
      <w:r>
        <w:rPr>
          <w:rFonts w:cs="Times New Roman"/>
        </w:rPr>
        <w:t>3.</w:t>
      </w:r>
      <w:r>
        <w:rPr>
          <w:rFonts w:cs="Times New Roman" w:hint="eastAsia"/>
        </w:rPr>
        <w:t>4</w:t>
      </w:r>
      <w:r>
        <w:rPr>
          <w:rFonts w:cs="Times New Roman"/>
        </w:rPr>
        <w:t>-2</w:t>
      </w:r>
      <w:r>
        <w:rPr>
          <w:rFonts w:cs="Times New Roman"/>
        </w:rPr>
        <w:t>。由表</w:t>
      </w:r>
      <w:r>
        <w:rPr>
          <w:rFonts w:cs="Times New Roman"/>
        </w:rPr>
        <w:t>3.</w:t>
      </w:r>
      <w:r>
        <w:rPr>
          <w:rFonts w:cs="Times New Roman" w:hint="eastAsia"/>
        </w:rPr>
        <w:t>4</w:t>
      </w:r>
      <w:r>
        <w:rPr>
          <w:rFonts w:cs="Times New Roman"/>
        </w:rPr>
        <w:t>-2</w:t>
      </w:r>
      <w:r>
        <w:rPr>
          <w:rFonts w:cs="Times New Roman"/>
        </w:rPr>
        <w:t>分析可知，工程建设符合上述规划。</w:t>
      </w:r>
    </w:p>
    <w:p w:rsidR="00C645C9" w:rsidRDefault="00F955D9">
      <w:pPr>
        <w:pStyle w:val="24"/>
        <w:adjustRightInd w:val="0"/>
        <w:snapToGrid w:val="0"/>
        <w:spacing w:after="0"/>
        <w:ind w:leftChars="0" w:left="0" w:firstLineChars="0" w:firstLine="0"/>
        <w:jc w:val="center"/>
        <w:rPr>
          <w:rFonts w:ascii="Times New Roman" w:eastAsia="黑体" w:hAnsi="Times New Roman"/>
          <w:b w:val="0"/>
          <w:kern w:val="0"/>
          <w:sz w:val="21"/>
          <w:szCs w:val="21"/>
        </w:rPr>
      </w:pPr>
      <w:r>
        <w:rPr>
          <w:rFonts w:ascii="Times New Roman" w:eastAsia="黑体" w:hAnsi="Times New Roman"/>
          <w:b w:val="0"/>
          <w:kern w:val="0"/>
          <w:sz w:val="21"/>
          <w:szCs w:val="21"/>
        </w:rPr>
        <w:t>表</w:t>
      </w:r>
      <w:r>
        <w:rPr>
          <w:rFonts w:ascii="Times New Roman" w:eastAsia="黑体" w:hAnsi="Times New Roman"/>
          <w:b w:val="0"/>
          <w:kern w:val="0"/>
          <w:sz w:val="21"/>
          <w:szCs w:val="21"/>
        </w:rPr>
        <w:t>3.</w:t>
      </w:r>
      <w:r>
        <w:rPr>
          <w:rFonts w:ascii="Times New Roman" w:eastAsia="黑体" w:hAnsi="Times New Roman" w:hint="eastAsia"/>
          <w:b w:val="0"/>
          <w:kern w:val="0"/>
          <w:sz w:val="21"/>
          <w:szCs w:val="21"/>
        </w:rPr>
        <w:t>4</w:t>
      </w:r>
      <w:r>
        <w:rPr>
          <w:rFonts w:ascii="Times New Roman" w:eastAsia="黑体" w:hAnsi="Times New Roman"/>
          <w:b w:val="0"/>
          <w:kern w:val="0"/>
          <w:sz w:val="21"/>
          <w:szCs w:val="21"/>
        </w:rPr>
        <w:t xml:space="preserve">-2   </w:t>
      </w:r>
      <w:r>
        <w:rPr>
          <w:rFonts w:ascii="Times New Roman" w:eastAsia="黑体" w:hAnsi="Times New Roman"/>
          <w:b w:val="0"/>
          <w:kern w:val="0"/>
          <w:sz w:val="21"/>
          <w:szCs w:val="21"/>
        </w:rPr>
        <w:t>本</w:t>
      </w:r>
      <w:r>
        <w:rPr>
          <w:rFonts w:ascii="Times New Roman" w:eastAsia="黑体" w:hAnsi="Times New Roman" w:hint="eastAsia"/>
          <w:b w:val="0"/>
          <w:kern w:val="0"/>
          <w:sz w:val="21"/>
          <w:szCs w:val="21"/>
        </w:rPr>
        <w:t>工程</w:t>
      </w:r>
      <w:r>
        <w:rPr>
          <w:rFonts w:ascii="Times New Roman" w:eastAsia="黑体" w:hAnsi="Times New Roman"/>
          <w:b w:val="0"/>
          <w:kern w:val="0"/>
          <w:sz w:val="21"/>
          <w:szCs w:val="21"/>
        </w:rPr>
        <w:t>与相关规划的协调性分析</w:t>
      </w:r>
    </w:p>
    <w:tbl>
      <w:tblPr>
        <w:tblW w:w="8563" w:type="dxa"/>
        <w:tblInd w:w="80" w:type="dxa"/>
        <w:tblLayout w:type="fixed"/>
        <w:tblLook w:val="04A0" w:firstRow="1" w:lastRow="0" w:firstColumn="1" w:lastColumn="0" w:noHBand="0" w:noVBand="1"/>
      </w:tblPr>
      <w:tblGrid>
        <w:gridCol w:w="13"/>
        <w:gridCol w:w="1902"/>
        <w:gridCol w:w="3663"/>
        <w:gridCol w:w="2096"/>
        <w:gridCol w:w="889"/>
      </w:tblGrid>
      <w:tr w:rsidR="00C645C9">
        <w:trPr>
          <w:gridBefore w:val="1"/>
          <w:wBefore w:w="13" w:type="dxa"/>
          <w:trHeight w:val="285"/>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规划名称</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规划要求</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本</w:t>
            </w:r>
            <w:r>
              <w:rPr>
                <w:rFonts w:cs="Times New Roman" w:hint="eastAsia"/>
                <w:sz w:val="21"/>
                <w:szCs w:val="21"/>
                <w:lang w:bidi="ar"/>
              </w:rPr>
              <w:t>工程</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协调性</w:t>
            </w:r>
          </w:p>
        </w:tc>
      </w:tr>
      <w:tr w:rsidR="00C645C9">
        <w:trPr>
          <w:gridBefore w:val="1"/>
          <w:wBefore w:w="13" w:type="dxa"/>
          <w:trHeight w:val="107"/>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w:t>
            </w:r>
            <w:r>
              <w:rPr>
                <w:rFonts w:cs="Times New Roman"/>
                <w:sz w:val="21"/>
                <w:szCs w:val="21"/>
                <w:lang w:bidi="ar"/>
              </w:rPr>
              <w:t>新疆维吾尔自治区国民经济和社会发展第十四个五年规划和</w:t>
            </w:r>
            <w:r>
              <w:rPr>
                <w:rFonts w:cs="Times New Roman"/>
                <w:sz w:val="21"/>
                <w:szCs w:val="21"/>
                <w:lang w:bidi="ar"/>
              </w:rPr>
              <w:t>2035</w:t>
            </w:r>
            <w:r>
              <w:rPr>
                <w:rFonts w:cs="Times New Roman"/>
                <w:sz w:val="21"/>
                <w:szCs w:val="21"/>
                <w:lang w:bidi="ar"/>
              </w:rPr>
              <w:t>年远景目标纲要</w:t>
            </w:r>
            <w:r>
              <w:rPr>
                <w:rFonts w:cs="Times New Roman"/>
                <w:sz w:val="21"/>
                <w:szCs w:val="21"/>
                <w:lang w:bidi="ar"/>
              </w:rPr>
              <w:t>》</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both"/>
              <w:textAlignment w:val="center"/>
              <w:rPr>
                <w:rFonts w:cs="Times New Roman"/>
                <w:sz w:val="21"/>
                <w:szCs w:val="21"/>
              </w:rPr>
            </w:pPr>
            <w:r>
              <w:rPr>
                <w:rFonts w:cs="Times New Roman"/>
                <w:sz w:val="21"/>
                <w:szCs w:val="21"/>
                <w:lang w:bidi="ar"/>
              </w:rPr>
              <w:t>建设国家大型油气生产加工和储备基地。加大准噶尔、吐哈、塔里木三大盆地油气勘探开发力度，提高新疆在油气资源开发利用转化过程中的参与度。</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both"/>
              <w:rPr>
                <w:rFonts w:cs="Times New Roman"/>
                <w:sz w:val="21"/>
                <w:szCs w:val="21"/>
              </w:rPr>
            </w:pPr>
            <w:r>
              <w:rPr>
                <w:rFonts w:cs="Times New Roman"/>
                <w:sz w:val="21"/>
                <w:szCs w:val="21"/>
                <w:lang w:bidi="ar"/>
              </w:rPr>
              <w:t>本</w:t>
            </w:r>
            <w:r>
              <w:rPr>
                <w:rFonts w:cs="Times New Roman" w:hint="eastAsia"/>
                <w:sz w:val="21"/>
                <w:szCs w:val="21"/>
                <w:lang w:bidi="ar"/>
              </w:rPr>
              <w:t>工程</w:t>
            </w:r>
            <w:r>
              <w:rPr>
                <w:rFonts w:cs="Times New Roman"/>
                <w:sz w:val="21"/>
                <w:szCs w:val="21"/>
                <w:lang w:bidi="ar"/>
              </w:rPr>
              <w:t>属于塔里木盆地能源资源勘查开发区。</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符合</w:t>
            </w:r>
          </w:p>
        </w:tc>
      </w:tr>
      <w:tr w:rsidR="00C645C9">
        <w:trPr>
          <w:gridBefore w:val="1"/>
          <w:wBefore w:w="13" w:type="dxa"/>
          <w:trHeight w:val="990"/>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z w:val="21"/>
                <w:szCs w:val="21"/>
                <w:lang w:bidi="ar"/>
              </w:rPr>
              <w:t>《</w:t>
            </w:r>
            <w:bookmarkStart w:id="1133" w:name="OLE_LINK454"/>
            <w:r>
              <w:rPr>
                <w:rFonts w:cs="Times New Roman"/>
                <w:sz w:val="21"/>
                <w:szCs w:val="21"/>
                <w:lang w:bidi="ar"/>
              </w:rPr>
              <w:t>新疆维吾尔自治区主体功能区规划</w:t>
            </w:r>
            <w:bookmarkEnd w:id="1133"/>
            <w:r>
              <w:rPr>
                <w:rFonts w:cs="Times New Roman"/>
                <w:sz w:val="21"/>
                <w:szCs w:val="21"/>
                <w:lang w:bidi="ar"/>
              </w:rPr>
              <w:t>》</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rPr>
            </w:pPr>
            <w:r>
              <w:rPr>
                <w:rFonts w:cs="Times New Roman"/>
                <w:sz w:val="21"/>
                <w:szCs w:val="21"/>
                <w:lang w:bidi="ar"/>
              </w:rPr>
              <w:t>《</w:t>
            </w:r>
            <w:bookmarkStart w:id="1134" w:name="OLE_LINK456"/>
            <w:r>
              <w:rPr>
                <w:rFonts w:cs="Times New Roman"/>
                <w:sz w:val="21"/>
                <w:szCs w:val="21"/>
                <w:lang w:bidi="ar"/>
              </w:rPr>
              <w:t>新疆维吾尔自治区主体功能区规划</w:t>
            </w:r>
            <w:bookmarkEnd w:id="1134"/>
            <w:r>
              <w:rPr>
                <w:rFonts w:cs="Times New Roman"/>
                <w:sz w:val="21"/>
                <w:szCs w:val="21"/>
                <w:lang w:bidi="ar"/>
              </w:rPr>
              <w:t>》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w:t>
            </w:r>
            <w:r>
              <w:rPr>
                <w:rFonts w:cs="Times New Roman"/>
                <w:sz w:val="21"/>
                <w:szCs w:val="21"/>
                <w:lang w:bidi="ar"/>
              </w:rPr>
              <w:lastRenderedPageBreak/>
              <w:t>区以及县市城关镇或重要工业园区，共涉及</w:t>
            </w:r>
            <w:r>
              <w:rPr>
                <w:rFonts w:cs="Times New Roman"/>
                <w:sz w:val="21"/>
                <w:szCs w:val="21"/>
                <w:lang w:bidi="ar"/>
              </w:rPr>
              <w:t>59</w:t>
            </w:r>
            <w:r>
              <w:rPr>
                <w:rFonts w:cs="Times New Roman"/>
                <w:sz w:val="21"/>
                <w:szCs w:val="21"/>
                <w:lang w:bidi="ar"/>
              </w:rPr>
              <w:t>个县市。限制开发区域是指关系国家农产品供给安全和生态安全，不应该或不适宜进行大规模、高强</w:t>
            </w:r>
            <w:r>
              <w:rPr>
                <w:rFonts w:cs="Times New Roman"/>
                <w:sz w:val="21"/>
                <w:szCs w:val="21"/>
                <w:lang w:bidi="ar"/>
              </w:rPr>
              <w:t>度工业化城镇化开发的农产品主产区和重点生态功能区。其中农产品主产区分布在天山南北坡</w:t>
            </w:r>
            <w:r>
              <w:rPr>
                <w:rFonts w:cs="Times New Roman"/>
                <w:sz w:val="21"/>
                <w:szCs w:val="21"/>
                <w:lang w:bidi="ar"/>
              </w:rPr>
              <w:t>23</w:t>
            </w:r>
            <w:r>
              <w:rPr>
                <w:rFonts w:cs="Times New Roman"/>
                <w:sz w:val="21"/>
                <w:szCs w:val="21"/>
                <w:lang w:bidi="ar"/>
              </w:rPr>
              <w:t>个县市，重点生态功能区涉及</w:t>
            </w:r>
            <w:r>
              <w:rPr>
                <w:rFonts w:cs="Times New Roman"/>
                <w:sz w:val="21"/>
                <w:szCs w:val="21"/>
                <w:lang w:bidi="ar"/>
              </w:rPr>
              <w:t>53</w:t>
            </w:r>
            <w:r>
              <w:rPr>
                <w:rFonts w:cs="Times New Roman"/>
                <w:sz w:val="21"/>
                <w:szCs w:val="21"/>
                <w:lang w:bidi="ar"/>
              </w:rPr>
              <w:t>个县市。禁止开发区域是指依法设立的各级各类自然文化资源保护区域，以及其他禁止进行工业化城镇化开发、需要特殊保护的重点生态功能区，国家和自治区层面禁止开发区域共</w:t>
            </w:r>
            <w:r>
              <w:rPr>
                <w:rFonts w:cs="Times New Roman"/>
                <w:sz w:val="21"/>
                <w:szCs w:val="21"/>
                <w:lang w:bidi="ar"/>
              </w:rPr>
              <w:t>107</w:t>
            </w:r>
            <w:r>
              <w:rPr>
                <w:rFonts w:cs="Times New Roman"/>
                <w:sz w:val="21"/>
                <w:szCs w:val="21"/>
                <w:lang w:bidi="ar"/>
              </w:rPr>
              <w:t>处。</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rPr>
                <w:rFonts w:cs="Times New Roman"/>
                <w:sz w:val="21"/>
                <w:szCs w:val="21"/>
              </w:rPr>
            </w:pPr>
            <w:r>
              <w:rPr>
                <w:rFonts w:cs="Times New Roman"/>
                <w:sz w:val="21"/>
                <w:szCs w:val="21"/>
                <w:lang w:bidi="ar"/>
              </w:rPr>
              <w:lastRenderedPageBreak/>
              <w:t>本</w:t>
            </w:r>
            <w:r>
              <w:rPr>
                <w:rFonts w:cs="Times New Roman" w:hint="eastAsia"/>
                <w:sz w:val="21"/>
                <w:szCs w:val="21"/>
                <w:lang w:bidi="ar"/>
              </w:rPr>
              <w:t>工程</w:t>
            </w:r>
            <w:r>
              <w:rPr>
                <w:rFonts w:cs="Times New Roman"/>
                <w:sz w:val="21"/>
                <w:szCs w:val="21"/>
                <w:lang w:bidi="ar"/>
              </w:rPr>
              <w:t>行政区隶属</w:t>
            </w:r>
            <w:bookmarkStart w:id="1135" w:name="OLE_LINK457"/>
            <w:r>
              <w:rPr>
                <w:rFonts w:cs="Times New Roman" w:hint="eastAsia"/>
                <w:sz w:val="21"/>
                <w:szCs w:val="21"/>
                <w:lang w:bidi="ar"/>
              </w:rPr>
              <w:t>新疆维吾尔自治区阿克苏地区新和县</w:t>
            </w:r>
            <w:bookmarkEnd w:id="1135"/>
            <w:r>
              <w:rPr>
                <w:rFonts w:cs="Times New Roman" w:hint="eastAsia"/>
                <w:sz w:val="21"/>
                <w:szCs w:val="21"/>
                <w:lang w:bidi="ar"/>
              </w:rPr>
              <w:t>管辖</w:t>
            </w:r>
            <w:r>
              <w:rPr>
                <w:rFonts w:cs="Times New Roman"/>
                <w:sz w:val="21"/>
                <w:szCs w:val="21"/>
                <w:lang w:bidi="ar"/>
              </w:rPr>
              <w:t>，</w:t>
            </w:r>
            <w:r>
              <w:rPr>
                <w:rFonts w:cs="Times New Roman" w:hint="eastAsia"/>
                <w:sz w:val="21"/>
                <w:szCs w:val="21"/>
                <w:lang w:bidi="ar"/>
              </w:rPr>
              <w:t>本工程</w:t>
            </w:r>
            <w:r>
              <w:rPr>
                <w:rFonts w:cs="Times New Roman"/>
                <w:sz w:val="21"/>
                <w:szCs w:val="21"/>
                <w:lang w:bidi="ar"/>
              </w:rPr>
              <w:t>所在区域</w:t>
            </w:r>
            <w:bookmarkStart w:id="1136" w:name="OLE_LINK455"/>
            <w:r>
              <w:rPr>
                <w:rFonts w:cs="Times New Roman"/>
                <w:sz w:val="21"/>
                <w:szCs w:val="21"/>
                <w:lang w:bidi="ar"/>
              </w:rPr>
              <w:t>属于重点开发区域</w:t>
            </w:r>
            <w:r>
              <w:rPr>
                <w:rFonts w:cs="Times New Roman" w:hint="eastAsia"/>
                <w:sz w:val="21"/>
                <w:szCs w:val="21"/>
                <w:lang w:bidi="ar"/>
              </w:rPr>
              <w:t>。</w:t>
            </w:r>
            <w:r>
              <w:rPr>
                <w:rFonts w:cs="Times New Roman" w:hint="eastAsia"/>
                <w:sz w:val="21"/>
                <w:szCs w:val="21"/>
                <w:lang w:bidi="ar"/>
              </w:rPr>
              <w:t>本工程</w:t>
            </w:r>
            <w:bookmarkEnd w:id="1136"/>
            <w:r>
              <w:rPr>
                <w:rFonts w:cs="Times New Roman" w:hint="eastAsia"/>
                <w:sz w:val="21"/>
                <w:szCs w:val="21"/>
                <w:lang w:bidi="ar"/>
              </w:rPr>
              <w:t>评价范围</w:t>
            </w:r>
            <w:r>
              <w:rPr>
                <w:rFonts w:cs="Times New Roman"/>
                <w:sz w:val="21"/>
                <w:szCs w:val="21"/>
                <w:lang w:bidi="ar"/>
              </w:rPr>
              <w:t>涉及农田</w:t>
            </w:r>
            <w:r>
              <w:rPr>
                <w:rFonts w:cs="Times New Roman" w:hint="eastAsia"/>
                <w:sz w:val="21"/>
                <w:szCs w:val="21"/>
                <w:lang w:bidi="ar"/>
              </w:rPr>
              <w:t>。本工程不占用</w:t>
            </w:r>
            <w:r>
              <w:rPr>
                <w:rFonts w:cs="Times New Roman"/>
                <w:sz w:val="21"/>
                <w:szCs w:val="21"/>
                <w:lang w:bidi="ar"/>
              </w:rPr>
              <w:t>自然保护区</w:t>
            </w:r>
            <w:r>
              <w:rPr>
                <w:rFonts w:cs="Times New Roman" w:hint="eastAsia"/>
                <w:sz w:val="21"/>
                <w:szCs w:val="21"/>
                <w:lang w:bidi="ar"/>
              </w:rPr>
              <w:t>以及</w:t>
            </w:r>
            <w:r>
              <w:rPr>
                <w:rFonts w:cs="Times New Roman"/>
                <w:sz w:val="21"/>
                <w:szCs w:val="21"/>
                <w:lang w:bidi="ar"/>
              </w:rPr>
              <w:t>重要水源地等需要特殊保护的区域</w:t>
            </w:r>
            <w:r>
              <w:rPr>
                <w:rFonts w:cs="Times New Roman" w:hint="eastAsia"/>
                <w:sz w:val="21"/>
                <w:szCs w:val="21"/>
                <w:lang w:bidi="ar"/>
              </w:rPr>
              <w:t>，</w:t>
            </w:r>
            <w:r>
              <w:rPr>
                <w:rFonts w:cs="Times New Roman"/>
                <w:sz w:val="21"/>
                <w:szCs w:val="21"/>
                <w:lang w:bidi="ar"/>
              </w:rPr>
              <w:t>所进行的石油天然气勘探活动符合</w:t>
            </w:r>
            <w:r>
              <w:rPr>
                <w:rFonts w:cs="Times New Roman"/>
                <w:sz w:val="21"/>
                <w:szCs w:val="21"/>
                <w:lang w:bidi="ar"/>
              </w:rPr>
              <w:t>“</w:t>
            </w:r>
            <w:r>
              <w:rPr>
                <w:rFonts w:cs="Times New Roman"/>
                <w:sz w:val="21"/>
                <w:szCs w:val="21"/>
                <w:lang w:bidi="ar"/>
              </w:rPr>
              <w:t>全国重要的能源基地</w:t>
            </w:r>
            <w:r>
              <w:rPr>
                <w:rFonts w:cs="Times New Roman"/>
                <w:sz w:val="21"/>
                <w:szCs w:val="21"/>
                <w:lang w:bidi="ar"/>
              </w:rPr>
              <w:t>”</w:t>
            </w:r>
            <w:r>
              <w:rPr>
                <w:rFonts w:cs="Times New Roman"/>
                <w:sz w:val="21"/>
                <w:szCs w:val="21"/>
                <w:lang w:bidi="ar"/>
              </w:rPr>
              <w:lastRenderedPageBreak/>
              <w:t>定位。本</w:t>
            </w:r>
            <w:r>
              <w:rPr>
                <w:rFonts w:cs="Times New Roman" w:hint="eastAsia"/>
                <w:sz w:val="21"/>
                <w:szCs w:val="21"/>
                <w:lang w:bidi="ar"/>
              </w:rPr>
              <w:t>工程</w:t>
            </w:r>
            <w:r>
              <w:rPr>
                <w:rFonts w:cs="Times New Roman"/>
                <w:sz w:val="21"/>
                <w:szCs w:val="21"/>
                <w:lang w:bidi="ar"/>
              </w:rPr>
              <w:t>建设符合《新疆维吾尔自治区主体功能区规划》。</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lastRenderedPageBreak/>
              <w:t>符合</w:t>
            </w:r>
          </w:p>
        </w:tc>
      </w:tr>
      <w:tr w:rsidR="00C645C9">
        <w:trPr>
          <w:gridBefore w:val="1"/>
          <w:wBefore w:w="13" w:type="dxa"/>
          <w:trHeight w:val="90"/>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z w:val="21"/>
                <w:szCs w:val="21"/>
                <w:lang w:bidi="ar"/>
              </w:rPr>
              <w:lastRenderedPageBreak/>
              <w:t>《</w:t>
            </w:r>
            <w:r>
              <w:rPr>
                <w:rFonts w:cs="Times New Roman"/>
                <w:sz w:val="21"/>
                <w:szCs w:val="21"/>
                <w:lang w:bidi="ar"/>
              </w:rPr>
              <w:t>新疆生态环境保护</w:t>
            </w:r>
            <w:r>
              <w:rPr>
                <w:rFonts w:cs="Times New Roman"/>
                <w:sz w:val="21"/>
                <w:szCs w:val="21"/>
                <w:lang w:bidi="ar"/>
              </w:rPr>
              <w:t>“</w:t>
            </w:r>
            <w:r>
              <w:rPr>
                <w:rFonts w:cs="Times New Roman"/>
                <w:sz w:val="21"/>
                <w:szCs w:val="21"/>
                <w:lang w:bidi="ar"/>
              </w:rPr>
              <w:t>十四五</w:t>
            </w:r>
            <w:r>
              <w:rPr>
                <w:rFonts w:cs="Times New Roman"/>
                <w:sz w:val="21"/>
                <w:szCs w:val="21"/>
                <w:lang w:bidi="ar"/>
              </w:rPr>
              <w:t>”</w:t>
            </w:r>
            <w:r>
              <w:rPr>
                <w:rFonts w:cs="Times New Roman"/>
                <w:sz w:val="21"/>
                <w:szCs w:val="21"/>
                <w:lang w:bidi="ar"/>
              </w:rPr>
              <w:t>规划</w:t>
            </w:r>
            <w:r>
              <w:rPr>
                <w:rFonts w:cs="Times New Roman"/>
                <w:sz w:val="21"/>
                <w:szCs w:val="21"/>
                <w:lang w:bidi="ar"/>
              </w:rPr>
              <w:t>》</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rPr>
            </w:pPr>
            <w:r>
              <w:rPr>
                <w:rFonts w:cs="Times New Roman"/>
                <w:sz w:val="21"/>
                <w:szCs w:val="21"/>
                <w:lang w:bidi="ar"/>
              </w:rPr>
              <w:t>“</w:t>
            </w:r>
            <w:r>
              <w:rPr>
                <w:rFonts w:cs="Times New Roman"/>
                <w:sz w:val="21"/>
                <w:szCs w:val="21"/>
                <w:lang w:bidi="ar"/>
              </w:rPr>
              <w:t>坚决遏制</w:t>
            </w:r>
            <w:r>
              <w:rPr>
                <w:rFonts w:cs="Times New Roman"/>
                <w:sz w:val="21"/>
                <w:szCs w:val="21"/>
                <w:lang w:bidi="ar"/>
              </w:rPr>
              <w:t>“</w:t>
            </w:r>
            <w:r>
              <w:rPr>
                <w:rFonts w:cs="Times New Roman"/>
                <w:sz w:val="21"/>
                <w:szCs w:val="21"/>
                <w:lang w:bidi="ar"/>
              </w:rPr>
              <w:t>两高</w:t>
            </w:r>
            <w:r>
              <w:rPr>
                <w:rFonts w:cs="Times New Roman"/>
                <w:sz w:val="21"/>
                <w:szCs w:val="21"/>
                <w:lang w:bidi="ar"/>
              </w:rPr>
              <w:t>”</w:t>
            </w:r>
            <w:r>
              <w:rPr>
                <w:rFonts w:cs="Times New Roman"/>
                <w:sz w:val="21"/>
                <w:szCs w:val="21"/>
                <w:lang w:bidi="ar"/>
              </w:rPr>
              <w:t>项目盲目发展，严格执行能源、矿产资源开发自治区人民政府</w:t>
            </w:r>
            <w:r>
              <w:rPr>
                <w:rFonts w:cs="Times New Roman"/>
                <w:sz w:val="21"/>
                <w:szCs w:val="21"/>
                <w:lang w:bidi="ar"/>
              </w:rPr>
              <w:t>“</w:t>
            </w:r>
            <w:r>
              <w:rPr>
                <w:rFonts w:cs="Times New Roman"/>
                <w:sz w:val="21"/>
                <w:szCs w:val="21"/>
                <w:lang w:bidi="ar"/>
              </w:rPr>
              <w:t>一支笔</w:t>
            </w:r>
            <w:r>
              <w:rPr>
                <w:rFonts w:cs="Times New Roman"/>
                <w:sz w:val="21"/>
                <w:szCs w:val="21"/>
                <w:lang w:bidi="ar"/>
              </w:rPr>
              <w:t>”</w:t>
            </w:r>
            <w:r>
              <w:rPr>
                <w:rFonts w:cs="Times New Roman"/>
                <w:sz w:val="21"/>
                <w:szCs w:val="21"/>
                <w:lang w:bidi="ar"/>
              </w:rPr>
              <w:t>审批制度、环境保护</w:t>
            </w:r>
            <w:r>
              <w:rPr>
                <w:rFonts w:cs="Times New Roman"/>
                <w:sz w:val="21"/>
                <w:szCs w:val="21"/>
                <w:lang w:bidi="ar"/>
              </w:rPr>
              <w:t>“</w:t>
            </w:r>
            <w:r>
              <w:rPr>
                <w:rFonts w:cs="Times New Roman"/>
                <w:sz w:val="21"/>
                <w:szCs w:val="21"/>
                <w:lang w:bidi="ar"/>
              </w:rPr>
              <w:t>一票否决</w:t>
            </w:r>
            <w:r>
              <w:rPr>
                <w:rFonts w:cs="Times New Roman"/>
                <w:sz w:val="21"/>
                <w:szCs w:val="21"/>
                <w:lang w:bidi="ar"/>
              </w:rPr>
              <w:t>”</w:t>
            </w:r>
            <w:r>
              <w:rPr>
                <w:rFonts w:cs="Times New Roman"/>
                <w:sz w:val="21"/>
                <w:szCs w:val="21"/>
                <w:lang w:bidi="ar"/>
              </w:rPr>
              <w:t>制度，落实</w:t>
            </w:r>
            <w:r>
              <w:rPr>
                <w:rFonts w:cs="Times New Roman"/>
                <w:sz w:val="21"/>
                <w:szCs w:val="21"/>
                <w:lang w:bidi="ar"/>
              </w:rPr>
              <w:t>“</w:t>
            </w:r>
            <w:r>
              <w:rPr>
                <w:rFonts w:cs="Times New Roman"/>
                <w:sz w:val="21"/>
                <w:szCs w:val="21"/>
                <w:lang w:bidi="ar"/>
              </w:rPr>
              <w:t>三线一单</w:t>
            </w:r>
            <w:r>
              <w:rPr>
                <w:rFonts w:cs="Times New Roman"/>
                <w:sz w:val="21"/>
                <w:szCs w:val="21"/>
                <w:lang w:bidi="ar"/>
              </w:rPr>
              <w:t>”</w:t>
            </w:r>
            <w:r>
              <w:rPr>
                <w:rFonts w:cs="Times New Roman"/>
                <w:sz w:val="21"/>
                <w:szCs w:val="21"/>
                <w:lang w:bidi="ar"/>
              </w:rPr>
              <w:t>生态环境分区管控要求，守住生态保护红线、环境质量底线和资源利用上线，实施生态环境准入清单管控。</w:t>
            </w:r>
            <w:r>
              <w:rPr>
                <w:rFonts w:cs="Times New Roman"/>
                <w:sz w:val="21"/>
                <w:szCs w:val="21"/>
                <w:lang w:bidi="ar"/>
              </w:rPr>
              <w:t>”</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kern w:val="2"/>
                <w:sz w:val="21"/>
                <w:szCs w:val="21"/>
              </w:rPr>
            </w:pPr>
            <w:r>
              <w:rPr>
                <w:rFonts w:cs="Times New Roman"/>
                <w:sz w:val="21"/>
                <w:szCs w:val="21"/>
                <w:lang w:bidi="ar"/>
              </w:rPr>
              <w:t>本</w:t>
            </w:r>
            <w:r>
              <w:rPr>
                <w:rFonts w:cs="Times New Roman" w:hint="eastAsia"/>
                <w:sz w:val="21"/>
                <w:szCs w:val="21"/>
                <w:lang w:bidi="ar"/>
              </w:rPr>
              <w:t>工程</w:t>
            </w:r>
            <w:r>
              <w:rPr>
                <w:rFonts w:cs="Times New Roman"/>
                <w:sz w:val="21"/>
                <w:szCs w:val="21"/>
                <w:lang w:bidi="ar"/>
              </w:rPr>
              <w:t>位于</w:t>
            </w:r>
            <w:r>
              <w:rPr>
                <w:rFonts w:cs="Times New Roman" w:hint="eastAsia"/>
                <w:sz w:val="21"/>
                <w:szCs w:val="21"/>
                <w:lang w:bidi="ar"/>
              </w:rPr>
              <w:t>新疆维吾尔自治区阿克苏地区新和县</w:t>
            </w:r>
            <w:r>
              <w:rPr>
                <w:rFonts w:cs="Times New Roman"/>
                <w:sz w:val="21"/>
                <w:szCs w:val="21"/>
                <w:lang w:bidi="ar"/>
              </w:rPr>
              <w:t>，不属于</w:t>
            </w:r>
            <w:r>
              <w:rPr>
                <w:rFonts w:cs="Times New Roman"/>
                <w:sz w:val="21"/>
                <w:szCs w:val="21"/>
                <w:lang w:bidi="ar"/>
              </w:rPr>
              <w:t>“</w:t>
            </w:r>
            <w:r>
              <w:rPr>
                <w:rFonts w:cs="Times New Roman"/>
                <w:sz w:val="21"/>
                <w:szCs w:val="21"/>
                <w:lang w:bidi="ar"/>
              </w:rPr>
              <w:t>两高</w:t>
            </w:r>
            <w:r>
              <w:rPr>
                <w:rFonts w:cs="Times New Roman"/>
                <w:sz w:val="21"/>
                <w:szCs w:val="21"/>
                <w:lang w:bidi="ar"/>
              </w:rPr>
              <w:t>”</w:t>
            </w:r>
            <w:r>
              <w:rPr>
                <w:rFonts w:cs="Times New Roman"/>
                <w:sz w:val="21"/>
                <w:szCs w:val="21"/>
                <w:lang w:bidi="ar"/>
              </w:rPr>
              <w:t>项目以及不符合产业准入标准和政策的落后项目，符合阿克苏地区生态环境分区管控要求。</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kern w:val="2"/>
                <w:sz w:val="21"/>
                <w:szCs w:val="21"/>
              </w:rPr>
            </w:pPr>
            <w:r>
              <w:rPr>
                <w:rFonts w:cs="Times New Roman"/>
                <w:sz w:val="21"/>
                <w:szCs w:val="21"/>
                <w:lang w:bidi="ar"/>
              </w:rPr>
              <w:t>符合</w:t>
            </w:r>
          </w:p>
        </w:tc>
      </w:tr>
      <w:tr w:rsidR="00C645C9">
        <w:trPr>
          <w:gridBefore w:val="1"/>
          <w:wBefore w:w="13" w:type="dxa"/>
          <w:trHeight w:val="3129"/>
        </w:trPr>
        <w:tc>
          <w:tcPr>
            <w:tcW w:w="1902" w:type="dxa"/>
            <w:vMerge w:val="restart"/>
            <w:tcBorders>
              <w:top w:val="single" w:sz="4" w:space="0" w:color="auto"/>
              <w:left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w:t>
            </w:r>
            <w:r>
              <w:rPr>
                <w:rFonts w:cs="Times New Roman"/>
                <w:sz w:val="21"/>
                <w:szCs w:val="21"/>
                <w:lang w:bidi="ar"/>
              </w:rPr>
              <w:t>阿克苏地区生态环境保护</w:t>
            </w:r>
            <w:r>
              <w:rPr>
                <w:rFonts w:cs="Times New Roman"/>
                <w:sz w:val="21"/>
                <w:szCs w:val="21"/>
                <w:lang w:bidi="ar"/>
              </w:rPr>
              <w:t>“</w:t>
            </w:r>
            <w:r>
              <w:rPr>
                <w:rFonts w:cs="Times New Roman"/>
                <w:sz w:val="21"/>
                <w:szCs w:val="21"/>
                <w:lang w:bidi="ar"/>
              </w:rPr>
              <w:t>十四五</w:t>
            </w:r>
            <w:r>
              <w:rPr>
                <w:rFonts w:cs="Times New Roman"/>
                <w:sz w:val="21"/>
                <w:szCs w:val="21"/>
                <w:lang w:bidi="ar"/>
              </w:rPr>
              <w:t>”</w:t>
            </w:r>
            <w:r>
              <w:rPr>
                <w:rFonts w:cs="Times New Roman"/>
                <w:sz w:val="21"/>
                <w:szCs w:val="21"/>
                <w:lang w:bidi="ar"/>
              </w:rPr>
              <w:t>规划</w:t>
            </w:r>
            <w:r>
              <w:rPr>
                <w:rFonts w:cs="Times New Roman"/>
                <w:sz w:val="21"/>
                <w:szCs w:val="21"/>
                <w:lang w:bidi="ar"/>
              </w:rPr>
              <w:t>》</w:t>
            </w: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21"/>
                <w:lang w:bidi="ar"/>
              </w:rPr>
              <w:t>以石化、化工等行业为重点，加快实施</w:t>
            </w:r>
            <w:r>
              <w:rPr>
                <w:rFonts w:cs="Times New Roman"/>
                <w:sz w:val="21"/>
                <w:szCs w:val="21"/>
                <w:lang w:bidi="ar"/>
              </w:rPr>
              <w:t>VOCs</w:t>
            </w:r>
            <w:r>
              <w:rPr>
                <w:rFonts w:cs="Times New Roman"/>
                <w:sz w:val="21"/>
                <w:szCs w:val="21"/>
                <w:lang w:bidi="ar"/>
              </w:rPr>
              <w:t>治理工程建设。石化、化工行业全面推进储罐改造，使用高效、低泄漏的浮盘和呼吸阀，推进低泄漏设备和管线组件的更换，中石化塔河炼化有限责任公司对火车装卸设施开展改造，新建油气回收装置和</w:t>
            </w:r>
            <w:r>
              <w:rPr>
                <w:rFonts w:cs="Times New Roman"/>
                <w:sz w:val="21"/>
                <w:szCs w:val="21"/>
                <w:lang w:bidi="ar"/>
              </w:rPr>
              <w:t>VOCs</w:t>
            </w:r>
            <w:r>
              <w:rPr>
                <w:rFonts w:cs="Times New Roman"/>
                <w:sz w:val="21"/>
                <w:szCs w:val="21"/>
                <w:lang w:bidi="ar"/>
              </w:rPr>
              <w:t>在线监控设施；中石油、中石化、中曼石油等针对储罐、装载、污水集输储存处置和生产工艺过程等环节建设适宜高效的</w:t>
            </w:r>
            <w:r>
              <w:rPr>
                <w:rFonts w:cs="Times New Roman"/>
                <w:sz w:val="21"/>
                <w:szCs w:val="21"/>
                <w:lang w:bidi="ar"/>
              </w:rPr>
              <w:t>VOCs</w:t>
            </w:r>
            <w:r>
              <w:rPr>
                <w:rFonts w:cs="Times New Roman"/>
                <w:sz w:val="21"/>
                <w:szCs w:val="21"/>
                <w:lang w:bidi="ar"/>
              </w:rPr>
              <w:t>治理设施，对采油作业区采出水罐、工艺池、卸油台、晾晒池等开展</w:t>
            </w:r>
            <w:r>
              <w:rPr>
                <w:rFonts w:cs="Times New Roman"/>
                <w:sz w:val="21"/>
                <w:szCs w:val="21"/>
                <w:lang w:bidi="ar"/>
              </w:rPr>
              <w:t>VOCs</w:t>
            </w:r>
            <w:r>
              <w:rPr>
                <w:rFonts w:cs="Times New Roman"/>
                <w:sz w:val="21"/>
                <w:szCs w:val="21"/>
                <w:lang w:bidi="ar"/>
              </w:rPr>
              <w:t>治理，加快更换装载方式。</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rPr>
                <w:rFonts w:cs="Times New Roman"/>
                <w:sz w:val="21"/>
                <w:szCs w:val="21"/>
                <w:lang w:bidi="ar"/>
              </w:rPr>
            </w:pPr>
            <w:r>
              <w:rPr>
                <w:rFonts w:cs="Times New Roman"/>
                <w:sz w:val="21"/>
                <w:szCs w:val="21"/>
                <w:lang w:bidi="ar"/>
              </w:rPr>
              <w:t>本</w:t>
            </w:r>
            <w:r>
              <w:rPr>
                <w:rFonts w:cs="Times New Roman" w:hint="eastAsia"/>
                <w:sz w:val="21"/>
                <w:szCs w:val="21"/>
                <w:lang w:bidi="ar"/>
              </w:rPr>
              <w:t>工程</w:t>
            </w:r>
            <w:r>
              <w:rPr>
                <w:rFonts w:cs="Times New Roman"/>
                <w:sz w:val="21"/>
                <w:szCs w:val="21"/>
                <w:lang w:bidi="ar"/>
              </w:rPr>
              <w:t>运营期采取的废气污染防治措施可有效减少有组织废气、无组织非甲烷总烃和</w:t>
            </w:r>
            <w:r>
              <w:rPr>
                <w:rFonts w:cs="Times New Roman"/>
                <w:sz w:val="21"/>
                <w:szCs w:val="21"/>
                <w:lang w:bidi="ar"/>
              </w:rPr>
              <w:t>H</w:t>
            </w:r>
            <w:r>
              <w:rPr>
                <w:rFonts w:cs="Times New Roman"/>
                <w:sz w:val="21"/>
                <w:szCs w:val="21"/>
                <w:vertAlign w:val="subscript"/>
                <w:lang w:bidi="ar"/>
              </w:rPr>
              <w:t>2</w:t>
            </w:r>
            <w:r>
              <w:rPr>
                <w:rFonts w:cs="Times New Roman"/>
                <w:sz w:val="21"/>
                <w:szCs w:val="21"/>
                <w:lang w:bidi="ar"/>
              </w:rPr>
              <w:t>S</w:t>
            </w:r>
            <w:r>
              <w:rPr>
                <w:rFonts w:cs="Times New Roman"/>
                <w:sz w:val="21"/>
                <w:szCs w:val="21"/>
                <w:lang w:bidi="ar"/>
              </w:rPr>
              <w:t>的排放，减轻对大气环境的影响。</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符合</w:t>
            </w:r>
          </w:p>
        </w:tc>
      </w:tr>
      <w:tr w:rsidR="00C645C9">
        <w:trPr>
          <w:gridBefore w:val="1"/>
          <w:wBefore w:w="13" w:type="dxa"/>
          <w:trHeight w:val="112"/>
        </w:trPr>
        <w:tc>
          <w:tcPr>
            <w:tcW w:w="1902"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21"/>
                <w:lang w:bidi="ar"/>
              </w:rPr>
              <w:t>持续开展地下水环境状况调查评估，以傍河型地下水饮用水水源为重点，防范受污染河段对地下水造成污染。统筹区域地表水、地下水生态环境监管。加强化学品生产企业、工业聚集区、矿山开采区等污染源地表、地下协同防治与环境风险管控。划定地下水型饮用水水源补给区并强化保护措施，开展地下水污染防治重点区划定及污染风险管控。健全分级分类的地下水环境监测评价体系。实施水土环境风险协同防控。在地表水、地下水交互密切的典型地区开展污染综合防治试点。杜绝污水直接</w:t>
            </w:r>
            <w:r>
              <w:rPr>
                <w:rFonts w:cs="Times New Roman" w:hint="eastAsia"/>
                <w:sz w:val="21"/>
                <w:szCs w:val="21"/>
                <w:lang w:bidi="ar"/>
              </w:rPr>
              <w:t>排入</w:t>
            </w:r>
            <w:r>
              <w:rPr>
                <w:rFonts w:cs="Times New Roman"/>
                <w:sz w:val="21"/>
                <w:szCs w:val="21"/>
                <w:lang w:bidi="ar"/>
              </w:rPr>
              <w:t>雨水管网，推进城镇污水管网全覆盖，落实土壤污染和地下水污染的协同防治，切实</w:t>
            </w:r>
            <w:r>
              <w:rPr>
                <w:rFonts w:cs="Times New Roman"/>
                <w:sz w:val="21"/>
                <w:szCs w:val="21"/>
                <w:lang w:bidi="ar"/>
              </w:rPr>
              <w:lastRenderedPageBreak/>
              <w:t>保障地下水生态环境安全。</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rPr>
                <w:rFonts w:cs="Times New Roman"/>
                <w:sz w:val="21"/>
                <w:szCs w:val="21"/>
                <w:lang w:bidi="ar"/>
              </w:rPr>
            </w:pPr>
            <w:r>
              <w:rPr>
                <w:rFonts w:cs="Times New Roman" w:hint="eastAsia"/>
                <w:sz w:val="21"/>
                <w:szCs w:val="21"/>
                <w:lang w:bidi="ar"/>
              </w:rPr>
              <w:lastRenderedPageBreak/>
              <w:t>本工程</w:t>
            </w:r>
            <w:r>
              <w:rPr>
                <w:rFonts w:cs="Times New Roman"/>
                <w:sz w:val="21"/>
                <w:szCs w:val="21"/>
                <w:lang w:bidi="ar"/>
              </w:rPr>
              <w:t>运营期产生的生产废水</w:t>
            </w:r>
            <w:r>
              <w:rPr>
                <w:rFonts w:cs="Times New Roman" w:hint="eastAsia"/>
                <w:sz w:val="21"/>
                <w:szCs w:val="21"/>
                <w:lang w:bidi="ar"/>
              </w:rPr>
              <w:t>、井下作业废水</w:t>
            </w:r>
            <w:r>
              <w:rPr>
                <w:rFonts w:cs="Times New Roman"/>
                <w:sz w:val="21"/>
                <w:szCs w:val="21"/>
                <w:lang w:bidi="ar"/>
              </w:rPr>
              <w:t>依托塔河油田绿色环保工作站处理</w:t>
            </w:r>
            <w:r>
              <w:rPr>
                <w:rFonts w:cs="Times New Roman" w:hint="eastAsia"/>
                <w:sz w:val="21"/>
                <w:szCs w:val="21"/>
                <w:lang w:bidi="ar"/>
              </w:rPr>
              <w:t>，</w:t>
            </w:r>
            <w:r>
              <w:rPr>
                <w:rFonts w:cs="Times New Roman"/>
                <w:sz w:val="21"/>
                <w:szCs w:val="21"/>
                <w:lang w:bidi="ar"/>
              </w:rPr>
              <w:t>废水均不向外环境排放；严格执行</w:t>
            </w:r>
            <w:r>
              <w:rPr>
                <w:rFonts w:cs="Times New Roman"/>
                <w:sz w:val="21"/>
                <w:szCs w:val="21"/>
                <w:lang w:bidi="ar"/>
              </w:rPr>
              <w:t>《</w:t>
            </w:r>
            <w:r>
              <w:rPr>
                <w:rFonts w:cs="Times New Roman"/>
                <w:sz w:val="21"/>
                <w:szCs w:val="21"/>
                <w:lang w:bidi="ar"/>
              </w:rPr>
              <w:t>环境影响评价技术导则</w:t>
            </w:r>
            <w:r>
              <w:rPr>
                <w:rFonts w:cs="Times New Roman"/>
                <w:sz w:val="21"/>
                <w:szCs w:val="21"/>
                <w:lang w:bidi="ar"/>
              </w:rPr>
              <w:t xml:space="preserve"> </w:t>
            </w:r>
            <w:r>
              <w:rPr>
                <w:rFonts w:cs="Times New Roman"/>
                <w:sz w:val="21"/>
                <w:szCs w:val="21"/>
                <w:lang w:bidi="ar"/>
              </w:rPr>
              <w:t>地下水环境</w:t>
            </w:r>
            <w:r>
              <w:rPr>
                <w:rFonts w:cs="Times New Roman"/>
                <w:sz w:val="21"/>
                <w:szCs w:val="21"/>
                <w:lang w:bidi="ar"/>
              </w:rPr>
              <w:t>》（</w:t>
            </w:r>
            <w:r>
              <w:rPr>
                <w:rFonts w:cs="Times New Roman"/>
                <w:sz w:val="21"/>
                <w:szCs w:val="21"/>
                <w:lang w:bidi="ar"/>
              </w:rPr>
              <w:t>HJ610</w:t>
            </w:r>
            <w:r>
              <w:rPr>
                <w:rFonts w:cs="Times New Roman" w:hint="eastAsia"/>
                <w:sz w:val="21"/>
                <w:szCs w:val="21"/>
                <w:lang w:bidi="ar"/>
              </w:rPr>
              <w:t>-</w:t>
            </w:r>
            <w:r>
              <w:rPr>
                <w:rFonts w:cs="Times New Roman"/>
                <w:sz w:val="21"/>
                <w:szCs w:val="21"/>
                <w:lang w:bidi="ar"/>
              </w:rPr>
              <w:t>2016</w:t>
            </w:r>
            <w:r>
              <w:rPr>
                <w:rFonts w:cs="Times New Roman"/>
                <w:sz w:val="21"/>
                <w:szCs w:val="21"/>
                <w:lang w:bidi="ar"/>
              </w:rPr>
              <w:t>）</w:t>
            </w:r>
            <w:r>
              <w:rPr>
                <w:rFonts w:cs="Times New Roman"/>
                <w:sz w:val="21"/>
                <w:szCs w:val="21"/>
                <w:lang w:bidi="ar"/>
              </w:rPr>
              <w:t xml:space="preserve">“11.2.2 </w:t>
            </w:r>
            <w:r>
              <w:rPr>
                <w:rFonts w:cs="Times New Roman"/>
                <w:sz w:val="21"/>
                <w:szCs w:val="21"/>
                <w:lang w:bidi="ar"/>
              </w:rPr>
              <w:t>分区防控措施</w:t>
            </w:r>
            <w:r>
              <w:rPr>
                <w:rFonts w:cs="Times New Roman"/>
                <w:sz w:val="21"/>
                <w:szCs w:val="21"/>
                <w:lang w:bidi="ar"/>
              </w:rPr>
              <w:t>”</w:t>
            </w:r>
            <w:r>
              <w:rPr>
                <w:rFonts w:cs="Times New Roman"/>
                <w:sz w:val="21"/>
                <w:szCs w:val="21"/>
                <w:lang w:bidi="ar"/>
              </w:rPr>
              <w:t>相关要求进行分区防渗；制定完善的地下水监测计划；切实保障地下水生态环境安全</w:t>
            </w:r>
            <w:r>
              <w:rPr>
                <w:rFonts w:cs="Times New Roman" w:hint="eastAsia"/>
                <w:sz w:val="21"/>
                <w:szCs w:val="21"/>
                <w:lang w:bidi="a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符合</w:t>
            </w:r>
          </w:p>
        </w:tc>
      </w:tr>
      <w:tr w:rsidR="00C645C9">
        <w:trPr>
          <w:gridBefore w:val="1"/>
          <w:wBefore w:w="13" w:type="dxa"/>
          <w:trHeight w:val="2953"/>
        </w:trPr>
        <w:tc>
          <w:tcPr>
            <w:tcW w:w="1902" w:type="dxa"/>
            <w:vMerge/>
            <w:tcBorders>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366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lang w:bidi="ar"/>
              </w:rPr>
            </w:pPr>
            <w:r>
              <w:rPr>
                <w:rFonts w:cs="Times New Roman"/>
                <w:sz w:val="21"/>
                <w:szCs w:val="21"/>
                <w:lang w:bidi="ar"/>
              </w:rPr>
              <w:t>加强油气资源开发集中区域土壤环境风险管控。以塔里木油田、塔河油田等油气资源开发强度较大地区为重点，开展油气资源开发区土壤环境质量专项调查，建立油气资源开发区域土壤污染清单，对列入土壤污染清单中的区域，编制风险管控方案。加强油气田废弃物的无害化处理和资源化利用，开展油气资源开发区历史遗留污染场地治理，对历史遗留油泥坑进行专项排查，建立整治清单、制定治理与修复计划。</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textAlignment w:val="center"/>
              <w:rPr>
                <w:rFonts w:cs="Times New Roman"/>
                <w:sz w:val="21"/>
                <w:szCs w:val="21"/>
                <w:lang w:bidi="ar"/>
              </w:rPr>
            </w:pPr>
            <w:r>
              <w:rPr>
                <w:rFonts w:cs="Times New Roman" w:hint="eastAsia"/>
                <w:sz w:val="21"/>
                <w:szCs w:val="21"/>
                <w:lang w:bidi="ar"/>
              </w:rPr>
              <w:t>本工程</w:t>
            </w:r>
            <w:r>
              <w:rPr>
                <w:rFonts w:cs="Times New Roman"/>
                <w:sz w:val="21"/>
                <w:szCs w:val="21"/>
                <w:lang w:bidi="ar"/>
              </w:rPr>
              <w:t>营运期固体废物主要为落地油</w:t>
            </w:r>
            <w:r>
              <w:rPr>
                <w:rFonts w:cs="Times New Roman" w:hint="eastAsia"/>
                <w:sz w:val="21"/>
                <w:szCs w:val="21"/>
                <w:lang w:bidi="ar"/>
              </w:rPr>
              <w:t>、</w:t>
            </w:r>
            <w:bookmarkStart w:id="1137" w:name="OLE_LINK458"/>
            <w:r>
              <w:rPr>
                <w:rFonts w:cs="Times New Roman" w:hint="eastAsia"/>
                <w:sz w:val="21"/>
                <w:szCs w:val="21"/>
                <w:lang w:bidi="ar"/>
              </w:rPr>
              <w:t>废防渗材料、清罐底泥、废润滑油</w:t>
            </w:r>
            <w:bookmarkEnd w:id="1137"/>
            <w:r>
              <w:rPr>
                <w:rFonts w:cs="Times New Roman" w:hint="eastAsia"/>
                <w:sz w:val="21"/>
                <w:szCs w:val="21"/>
                <w:lang w:bidi="ar"/>
              </w:rPr>
              <w:t>，</w:t>
            </w:r>
            <w:r>
              <w:rPr>
                <w:rFonts w:cs="Times New Roman" w:hint="eastAsia"/>
                <w:sz w:val="21"/>
                <w:szCs w:val="21"/>
                <w:lang w:bidi="ar"/>
              </w:rPr>
              <w:t>均</w:t>
            </w:r>
            <w:r>
              <w:rPr>
                <w:rFonts w:cs="Times New Roman"/>
                <w:sz w:val="21"/>
                <w:szCs w:val="21"/>
                <w:lang w:bidi="ar"/>
              </w:rPr>
              <w:t>属于危险废物</w:t>
            </w:r>
            <w:r>
              <w:rPr>
                <w:rFonts w:cs="Times New Roman" w:hint="eastAsia"/>
                <w:sz w:val="21"/>
                <w:szCs w:val="21"/>
                <w:lang w:bidi="ar"/>
              </w:rPr>
              <w:t>。落地油由塔河油田绿色环保站处理。废防渗材料、清罐底泥、废润滑油</w:t>
            </w:r>
            <w:r>
              <w:rPr>
                <w:rFonts w:cs="Times New Roman"/>
                <w:sz w:val="21"/>
                <w:szCs w:val="21"/>
              </w:rPr>
              <w:t>委</w:t>
            </w:r>
            <w:r>
              <w:rPr>
                <w:rFonts w:cs="Times New Roman"/>
                <w:sz w:val="21"/>
                <w:szCs w:val="21"/>
              </w:rPr>
              <w:t>托</w:t>
            </w:r>
            <w:r>
              <w:rPr>
                <w:rFonts w:cs="Times New Roman"/>
                <w:sz w:val="21"/>
                <w:szCs w:val="21"/>
              </w:rPr>
              <w:t>持有危险废物经营许可证的单位</w:t>
            </w:r>
            <w:r>
              <w:rPr>
                <w:rFonts w:cs="Times New Roman" w:hint="eastAsia"/>
                <w:sz w:val="21"/>
                <w:szCs w:val="21"/>
              </w:rPr>
              <w:t>利用处置</w:t>
            </w:r>
            <w:r>
              <w:rPr>
                <w:rFonts w:cs="Times New Roman"/>
                <w:sz w:val="21"/>
                <w:szCs w:val="21"/>
                <w:lang w:bidi="a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shd w:val="clear" w:color="auto" w:fill="auto"/>
            <w:vAlign w:val="center"/>
          </w:tcPr>
          <w:p w:rsidR="00C645C9" w:rsidRDefault="00F955D9">
            <w:pPr>
              <w:jc w:val="center"/>
              <w:rPr>
                <w:rFonts w:cs="Times New Roman"/>
                <w:kern w:val="2"/>
                <w:sz w:val="21"/>
                <w:szCs w:val="21"/>
              </w:rPr>
            </w:pPr>
            <w:r>
              <w:rPr>
                <w:rFonts w:cs="Times New Roman"/>
                <w:sz w:val="21"/>
                <w:szCs w:val="21"/>
              </w:rPr>
              <w:t>《</w:t>
            </w:r>
            <w:r>
              <w:rPr>
                <w:rFonts w:cs="Times New Roman"/>
                <w:sz w:val="21"/>
                <w:szCs w:val="21"/>
              </w:rPr>
              <w:t>中国石油化工股份有限公司西北油田分公司</w:t>
            </w:r>
            <w:r>
              <w:rPr>
                <w:rFonts w:cs="Times New Roman"/>
                <w:sz w:val="21"/>
                <w:szCs w:val="21"/>
              </w:rPr>
              <w:t>“</w:t>
            </w:r>
            <w:r>
              <w:rPr>
                <w:rFonts w:cs="Times New Roman"/>
                <w:sz w:val="21"/>
                <w:szCs w:val="21"/>
              </w:rPr>
              <w:t>十四五</w:t>
            </w:r>
            <w:r>
              <w:rPr>
                <w:rFonts w:cs="Times New Roman"/>
                <w:sz w:val="21"/>
                <w:szCs w:val="21"/>
              </w:rPr>
              <w:t>”</w:t>
            </w:r>
            <w:r>
              <w:rPr>
                <w:rFonts w:cs="Times New Roman"/>
                <w:sz w:val="21"/>
                <w:szCs w:val="21"/>
              </w:rPr>
              <w:t>规划</w:t>
            </w:r>
            <w:r>
              <w:rPr>
                <w:rFonts w:cs="Times New Roman"/>
                <w:sz w:val="21"/>
                <w:szCs w:val="21"/>
              </w:rPr>
              <w:t>》</w:t>
            </w: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塔河油田持续开展技改增效、系统配套、节能和隐患治理工作。</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实施后，可有效增加开采效率，保证区域开采系统稳定运行</w:t>
            </w:r>
            <w:r>
              <w:rPr>
                <w:rFonts w:cs="Times New Roman"/>
                <w:sz w:val="21"/>
                <w:szCs w:val="21"/>
              </w:rPr>
              <w:t>。</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val="restart"/>
            <w:shd w:val="clear" w:color="auto" w:fill="auto"/>
            <w:vAlign w:val="center"/>
          </w:tcPr>
          <w:p w:rsidR="00C645C9" w:rsidRDefault="00F955D9">
            <w:pPr>
              <w:jc w:val="center"/>
              <w:rPr>
                <w:rFonts w:cs="Times New Roman"/>
                <w:kern w:val="2"/>
                <w:sz w:val="21"/>
                <w:szCs w:val="21"/>
              </w:rPr>
            </w:pPr>
            <w:r>
              <w:rPr>
                <w:rFonts w:cs="Times New Roman"/>
                <w:sz w:val="21"/>
                <w:szCs w:val="21"/>
              </w:rPr>
              <w:t>《</w:t>
            </w:r>
            <w:r>
              <w:rPr>
                <w:rFonts w:cs="Times New Roman"/>
                <w:sz w:val="21"/>
                <w:szCs w:val="21"/>
              </w:rPr>
              <w:t>中国石油化工股份有限公司西北油田分公司</w:t>
            </w:r>
            <w:r>
              <w:rPr>
                <w:rFonts w:cs="Times New Roman"/>
                <w:sz w:val="21"/>
                <w:szCs w:val="21"/>
              </w:rPr>
              <w:t>“</w:t>
            </w:r>
            <w:r>
              <w:rPr>
                <w:rFonts w:cs="Times New Roman"/>
                <w:sz w:val="21"/>
                <w:szCs w:val="21"/>
              </w:rPr>
              <w:t>十四五</w:t>
            </w:r>
            <w:r>
              <w:rPr>
                <w:rFonts w:cs="Times New Roman"/>
                <w:sz w:val="21"/>
                <w:szCs w:val="21"/>
              </w:rPr>
              <w:t>”</w:t>
            </w:r>
            <w:r>
              <w:rPr>
                <w:rFonts w:cs="Times New Roman"/>
                <w:sz w:val="21"/>
                <w:szCs w:val="21"/>
              </w:rPr>
              <w:t>规划环境影响报告书</w:t>
            </w:r>
            <w:r>
              <w:rPr>
                <w:rFonts w:cs="Times New Roman"/>
                <w:sz w:val="21"/>
                <w:szCs w:val="21"/>
              </w:rPr>
              <w:t>》</w:t>
            </w:r>
            <w:r>
              <w:rPr>
                <w:rFonts w:cs="Times New Roman"/>
                <w:sz w:val="21"/>
                <w:szCs w:val="21"/>
              </w:rPr>
              <w:t>及审查意见</w:t>
            </w:r>
            <w:r>
              <w:rPr>
                <w:rFonts w:cs="Times New Roman"/>
                <w:sz w:val="21"/>
                <w:szCs w:val="21"/>
              </w:rPr>
              <w:t>（</w:t>
            </w:r>
            <w:r>
              <w:rPr>
                <w:rFonts w:cs="Times New Roman"/>
                <w:spacing w:val="4"/>
                <w:kern w:val="24"/>
                <w:sz w:val="21"/>
                <w:szCs w:val="21"/>
              </w:rPr>
              <w:t>新环审</w:t>
            </w:r>
            <w:r>
              <w:rPr>
                <w:rFonts w:cs="Times New Roman"/>
                <w:spacing w:val="4"/>
                <w:kern w:val="24"/>
                <w:sz w:val="21"/>
                <w:szCs w:val="21"/>
              </w:rPr>
              <w:t>〔</w:t>
            </w:r>
            <w:r>
              <w:rPr>
                <w:rFonts w:cs="Times New Roman"/>
                <w:spacing w:val="4"/>
                <w:kern w:val="24"/>
                <w:sz w:val="21"/>
                <w:szCs w:val="21"/>
              </w:rPr>
              <w:t>2022</w:t>
            </w:r>
            <w:r>
              <w:rPr>
                <w:rFonts w:cs="Times New Roman"/>
                <w:spacing w:val="4"/>
                <w:kern w:val="24"/>
                <w:sz w:val="21"/>
                <w:szCs w:val="21"/>
              </w:rPr>
              <w:t>〕</w:t>
            </w:r>
            <w:r>
              <w:rPr>
                <w:rFonts w:cs="Times New Roman"/>
                <w:spacing w:val="4"/>
                <w:kern w:val="24"/>
                <w:sz w:val="21"/>
                <w:szCs w:val="21"/>
              </w:rPr>
              <w:t>147</w:t>
            </w:r>
            <w:r>
              <w:rPr>
                <w:rFonts w:cs="Times New Roman"/>
                <w:spacing w:val="4"/>
                <w:kern w:val="24"/>
                <w:sz w:val="21"/>
                <w:szCs w:val="21"/>
              </w:rPr>
              <w:t>号</w:t>
            </w:r>
            <w:r>
              <w:rPr>
                <w:rFonts w:cs="Times New Roman"/>
                <w:sz w:val="21"/>
                <w:szCs w:val="21"/>
              </w:rPr>
              <w:t>）</w:t>
            </w: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w:t>
            </w:r>
            <w:r>
              <w:rPr>
                <w:rFonts w:cs="Times New Roman"/>
                <w:sz w:val="21"/>
                <w:szCs w:val="21"/>
              </w:rPr>
              <w:t>一</w:t>
            </w:r>
            <w:r>
              <w:rPr>
                <w:rFonts w:cs="Times New Roman"/>
                <w:sz w:val="21"/>
                <w:szCs w:val="21"/>
              </w:rPr>
              <w:t>）</w:t>
            </w:r>
            <w:r>
              <w:rPr>
                <w:rFonts w:cs="Times New Roman"/>
                <w:sz w:val="21"/>
                <w:szCs w:val="21"/>
              </w:rPr>
              <w:t>严守生态保护红线，加强空间管控。坚持以习近平生态文明思想为指导，严守生态保护红线，严格维护区域主导生态功能，积极推动绿色发展，促进人与自然和谐共生。主动对接国土空间规划，进一步做好与</w:t>
            </w:r>
            <w:r>
              <w:rPr>
                <w:rFonts w:cs="Times New Roman"/>
                <w:sz w:val="21"/>
                <w:szCs w:val="21"/>
              </w:rPr>
              <w:t>“</w:t>
            </w:r>
            <w:r>
              <w:rPr>
                <w:rFonts w:cs="Times New Roman"/>
                <w:sz w:val="21"/>
                <w:szCs w:val="21"/>
              </w:rPr>
              <w:t>三线一单</w:t>
            </w:r>
            <w:r>
              <w:rPr>
                <w:rFonts w:cs="Times New Roman"/>
                <w:sz w:val="21"/>
                <w:szCs w:val="21"/>
              </w:rPr>
              <w:t>”</w:t>
            </w:r>
            <w:r>
              <w:rPr>
                <w:rFonts w:cs="Times New Roman"/>
                <w:sz w:val="21"/>
                <w:szCs w:val="21"/>
              </w:rPr>
              <w:t>生态环境分区管控方案、主体功能区划、生态功能区划等有关要求的有序衔接和细化分解，严格落实各项生态环境保护要求，协同推进石油天然气开发和生态环境保护相协调，切实维护区域生态系统的完整性和稳定性。</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不在生态保护红线范围内；</w:t>
            </w:r>
            <w:r>
              <w:rPr>
                <w:rFonts w:cs="Times New Roman"/>
                <w:sz w:val="21"/>
                <w:szCs w:val="21"/>
              </w:rPr>
              <w:t>本</w:t>
            </w:r>
            <w:r>
              <w:rPr>
                <w:rFonts w:cs="Times New Roman" w:hint="eastAsia"/>
                <w:sz w:val="21"/>
                <w:szCs w:val="21"/>
              </w:rPr>
              <w:t>工程</w:t>
            </w:r>
            <w:r>
              <w:rPr>
                <w:rFonts w:cs="Times New Roman"/>
                <w:sz w:val="21"/>
                <w:szCs w:val="21"/>
              </w:rPr>
              <w:t>符合</w:t>
            </w:r>
            <w:r>
              <w:rPr>
                <w:rFonts w:cs="Times New Roman" w:hint="eastAsia"/>
                <w:sz w:val="21"/>
                <w:szCs w:val="21"/>
              </w:rPr>
              <w:t>《</w:t>
            </w:r>
            <w:r>
              <w:rPr>
                <w:rFonts w:cs="Times New Roman"/>
                <w:sz w:val="21"/>
                <w:szCs w:val="21"/>
              </w:rPr>
              <w:t>新疆维吾尔自治区</w:t>
            </w:r>
            <w:r>
              <w:rPr>
                <w:rFonts w:cs="Times New Roman"/>
                <w:sz w:val="21"/>
                <w:szCs w:val="21"/>
              </w:rPr>
              <w:t>“</w:t>
            </w:r>
            <w:r>
              <w:rPr>
                <w:rFonts w:cs="Times New Roman"/>
                <w:sz w:val="21"/>
                <w:szCs w:val="21"/>
              </w:rPr>
              <w:t>三线一单</w:t>
            </w:r>
            <w:r>
              <w:rPr>
                <w:rFonts w:cs="Times New Roman"/>
                <w:sz w:val="21"/>
                <w:szCs w:val="21"/>
              </w:rPr>
              <w:t>”</w:t>
            </w:r>
            <w:r>
              <w:rPr>
                <w:rFonts w:cs="Times New Roman"/>
                <w:sz w:val="21"/>
                <w:szCs w:val="21"/>
              </w:rPr>
              <w:t>生态环境分区管控方案</w:t>
            </w:r>
            <w:r>
              <w:rPr>
                <w:rFonts w:cs="Times New Roman" w:hint="eastAsia"/>
                <w:sz w:val="21"/>
                <w:szCs w:val="21"/>
              </w:rPr>
              <w:t>》《</w:t>
            </w:r>
            <w:r>
              <w:rPr>
                <w:rFonts w:cs="Times New Roman"/>
                <w:sz w:val="21"/>
                <w:szCs w:val="21"/>
              </w:rPr>
              <w:t>新疆维吾尔自治区七大片区</w:t>
            </w:r>
            <w:r>
              <w:rPr>
                <w:rFonts w:cs="Times New Roman"/>
                <w:sz w:val="21"/>
                <w:szCs w:val="21"/>
              </w:rPr>
              <w:t>“</w:t>
            </w:r>
            <w:r>
              <w:rPr>
                <w:rFonts w:cs="Times New Roman"/>
                <w:sz w:val="21"/>
                <w:szCs w:val="21"/>
              </w:rPr>
              <w:t>三线一单</w:t>
            </w:r>
            <w:r>
              <w:rPr>
                <w:rFonts w:cs="Times New Roman"/>
                <w:sz w:val="21"/>
                <w:szCs w:val="21"/>
              </w:rPr>
              <w:t>”</w:t>
            </w:r>
            <w:r>
              <w:rPr>
                <w:rFonts w:cs="Times New Roman"/>
                <w:sz w:val="21"/>
                <w:szCs w:val="21"/>
              </w:rPr>
              <w:t>生态环境分区管控要求</w:t>
            </w:r>
            <w:r>
              <w:rPr>
                <w:rFonts w:cs="Times New Roman" w:hint="eastAsia"/>
                <w:sz w:val="21"/>
                <w:szCs w:val="21"/>
              </w:rPr>
              <w:t>》《</w:t>
            </w:r>
            <w:r>
              <w:rPr>
                <w:rFonts w:cs="Times New Roman"/>
                <w:sz w:val="21"/>
                <w:szCs w:val="21"/>
              </w:rPr>
              <w:t>阿克苏地区</w:t>
            </w:r>
            <w:r>
              <w:rPr>
                <w:rFonts w:cs="Times New Roman"/>
                <w:sz w:val="21"/>
                <w:szCs w:val="21"/>
              </w:rPr>
              <w:t>“</w:t>
            </w:r>
            <w:r>
              <w:rPr>
                <w:rFonts w:cs="Times New Roman"/>
                <w:sz w:val="21"/>
                <w:szCs w:val="21"/>
              </w:rPr>
              <w:t>三线一单</w:t>
            </w:r>
            <w:r>
              <w:rPr>
                <w:rFonts w:cs="Times New Roman"/>
                <w:sz w:val="21"/>
                <w:szCs w:val="21"/>
              </w:rPr>
              <w:t>”</w:t>
            </w:r>
            <w:r>
              <w:rPr>
                <w:rFonts w:cs="Times New Roman"/>
                <w:sz w:val="21"/>
                <w:szCs w:val="21"/>
              </w:rPr>
              <w:t>生态环境分区管控方案</w:t>
            </w:r>
            <w:r>
              <w:rPr>
                <w:rFonts w:cs="Times New Roman" w:hint="eastAsia"/>
                <w:sz w:val="21"/>
                <w:szCs w:val="21"/>
              </w:rPr>
              <w:t>》</w:t>
            </w:r>
            <w:r>
              <w:rPr>
                <w:rFonts w:cs="Times New Roman"/>
                <w:sz w:val="21"/>
                <w:szCs w:val="21"/>
              </w:rPr>
              <w:t>相关要求；</w:t>
            </w:r>
            <w:r>
              <w:rPr>
                <w:rFonts w:cs="Times New Roman"/>
                <w:sz w:val="21"/>
                <w:szCs w:val="21"/>
              </w:rPr>
              <w:t>本</w:t>
            </w:r>
            <w:r>
              <w:rPr>
                <w:rFonts w:cs="Times New Roman" w:hint="eastAsia"/>
                <w:sz w:val="21"/>
                <w:szCs w:val="21"/>
              </w:rPr>
              <w:t>工程</w:t>
            </w:r>
            <w:r>
              <w:rPr>
                <w:rFonts w:cs="Times New Roman"/>
                <w:sz w:val="21"/>
                <w:szCs w:val="21"/>
              </w:rPr>
              <w:t>严格落实生态保护措施要求，与生态环境保护相协调，切实维护了区域生态系统的完整性和稳定性</w:t>
            </w:r>
            <w:r>
              <w:rPr>
                <w:rFonts w:cs="Times New Roman"/>
                <w:sz w:val="21"/>
                <w:szCs w:val="21"/>
              </w:rPr>
              <w:t>。</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shd w:val="clear" w:color="auto" w:fill="auto"/>
          </w:tcPr>
          <w:p w:rsidR="00C645C9" w:rsidRDefault="00C645C9">
            <w:pPr>
              <w:pStyle w:val="af0"/>
              <w:jc w:val="center"/>
              <w:rPr>
                <w:rFonts w:cs="Times New Roman"/>
                <w:kern w:val="2"/>
                <w:sz w:val="21"/>
                <w:szCs w:val="21"/>
              </w:rPr>
            </w:pP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w:t>
            </w:r>
            <w:r>
              <w:rPr>
                <w:rFonts w:cs="Times New Roman"/>
                <w:sz w:val="21"/>
                <w:szCs w:val="21"/>
              </w:rPr>
              <w:t>二</w:t>
            </w:r>
            <w:r>
              <w:rPr>
                <w:rFonts w:cs="Times New Roman"/>
                <w:sz w:val="21"/>
                <w:szCs w:val="21"/>
              </w:rPr>
              <w:t>）</w:t>
            </w:r>
            <w:r>
              <w:rPr>
                <w:rFonts w:cs="Times New Roman"/>
                <w:sz w:val="21"/>
                <w:szCs w:val="21"/>
              </w:rPr>
              <w:t>合理确定开发方案，优化开发布局。根据区域主体功能定位，结合区域资源环境特征、生态保护红线等相关管控要求，依据生态环境影响评价结果，进一步优化石油天然气开采规模、开发布局和建设时序。总结石油天然气开发过程对生态环境影响和保护经验，及时进行优化调整。</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符合西北油田分公司整体开发方案布局，</w:t>
            </w:r>
            <w:r>
              <w:rPr>
                <w:rFonts w:cs="Times New Roman" w:hint="eastAsia"/>
                <w:sz w:val="21"/>
                <w:szCs w:val="21"/>
              </w:rPr>
              <w:t>本工程</w:t>
            </w:r>
            <w:r>
              <w:rPr>
                <w:rFonts w:cs="Times New Roman"/>
                <w:sz w:val="21"/>
                <w:szCs w:val="21"/>
              </w:rPr>
              <w:t>建设进一步优化了石油天然气开采规模、开发布局和建设时序，及时对生态环境保护措施进行了优化调整</w:t>
            </w:r>
            <w:r>
              <w:rPr>
                <w:rFonts w:cs="Times New Roman"/>
                <w:sz w:val="21"/>
                <w:szCs w:val="21"/>
              </w:rPr>
              <w:t>。</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shd w:val="clear" w:color="auto" w:fill="auto"/>
            <w:vAlign w:val="center"/>
          </w:tcPr>
          <w:p w:rsidR="00C645C9" w:rsidRDefault="00C645C9">
            <w:pPr>
              <w:jc w:val="center"/>
              <w:rPr>
                <w:rFonts w:cs="Times New Roman"/>
                <w:kern w:val="2"/>
                <w:sz w:val="21"/>
                <w:szCs w:val="21"/>
              </w:rPr>
            </w:pP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w:t>
            </w:r>
            <w:r>
              <w:rPr>
                <w:rFonts w:cs="Times New Roman"/>
                <w:sz w:val="21"/>
                <w:szCs w:val="21"/>
              </w:rPr>
              <w:t>三</w:t>
            </w:r>
            <w:r>
              <w:rPr>
                <w:rFonts w:cs="Times New Roman"/>
                <w:sz w:val="21"/>
                <w:szCs w:val="21"/>
              </w:rPr>
              <w:t>）</w:t>
            </w:r>
            <w:r>
              <w:rPr>
                <w:rFonts w:cs="Times New Roman"/>
                <w:sz w:val="21"/>
                <w:szCs w:val="21"/>
              </w:rPr>
              <w:t>严格生态环境保护，强化各类污染物防治。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w:t>
            </w:r>
            <w:r>
              <w:rPr>
                <w:rFonts w:cs="Times New Roman"/>
                <w:sz w:val="21"/>
                <w:szCs w:val="21"/>
              </w:rPr>
              <w:t>《</w:t>
            </w:r>
            <w:r>
              <w:rPr>
                <w:rFonts w:cs="Times New Roman"/>
                <w:sz w:val="21"/>
                <w:szCs w:val="21"/>
              </w:rPr>
              <w:t>碎屑岩油藏注水水质推荐指标及分析</w:t>
            </w:r>
            <w:r>
              <w:rPr>
                <w:rFonts w:cs="Times New Roman"/>
                <w:sz w:val="21"/>
                <w:szCs w:val="21"/>
              </w:rPr>
              <w:lastRenderedPageBreak/>
              <w:t>方法</w:t>
            </w:r>
            <w:r>
              <w:rPr>
                <w:rFonts w:cs="Times New Roman"/>
                <w:sz w:val="21"/>
                <w:szCs w:val="21"/>
              </w:rPr>
              <w:t>》（</w:t>
            </w:r>
            <w:r>
              <w:rPr>
                <w:rFonts w:cs="Times New Roman"/>
                <w:sz w:val="21"/>
                <w:szCs w:val="21"/>
              </w:rPr>
              <w:t>SY/T5329</w:t>
            </w:r>
            <w:r>
              <w:rPr>
                <w:rFonts w:cs="Times New Roman"/>
                <w:sz w:val="21"/>
                <w:szCs w:val="21"/>
              </w:rPr>
              <w:t>）</w:t>
            </w:r>
            <w:r>
              <w:rPr>
                <w:rFonts w:cs="Times New Roman"/>
                <w:sz w:val="21"/>
                <w:szCs w:val="21"/>
              </w:rPr>
              <w:t>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lastRenderedPageBreak/>
              <w:t>本</w:t>
            </w:r>
            <w:r>
              <w:rPr>
                <w:rFonts w:cs="Times New Roman" w:hint="eastAsia"/>
                <w:sz w:val="21"/>
                <w:szCs w:val="21"/>
              </w:rPr>
              <w:t>工程</w:t>
            </w:r>
            <w:r>
              <w:rPr>
                <w:rFonts w:cs="Times New Roman"/>
                <w:sz w:val="21"/>
                <w:szCs w:val="21"/>
              </w:rPr>
              <w:t>废气主要为井场</w:t>
            </w:r>
            <w:r>
              <w:rPr>
                <w:rFonts w:cs="Times New Roman"/>
                <w:sz w:val="21"/>
                <w:szCs w:val="21"/>
              </w:rPr>
              <w:t>燃烧废气和</w:t>
            </w:r>
            <w:r>
              <w:rPr>
                <w:rFonts w:cs="Times New Roman"/>
                <w:sz w:val="21"/>
                <w:szCs w:val="21"/>
              </w:rPr>
              <w:t>无组织废气，采取</w:t>
            </w:r>
            <w:bookmarkStart w:id="1138" w:name="OLE_LINK1454"/>
            <w:r>
              <w:rPr>
                <w:rFonts w:cs="Times New Roman" w:hint="eastAsia"/>
                <w:sz w:val="21"/>
                <w:szCs w:val="21"/>
              </w:rPr>
              <w:t>凝析</w:t>
            </w:r>
            <w:r>
              <w:rPr>
                <w:rFonts w:cs="Times New Roman"/>
                <w:sz w:val="21"/>
                <w:szCs w:val="21"/>
              </w:rPr>
              <w:t>油稳定工艺，</w:t>
            </w:r>
            <w:bookmarkEnd w:id="1138"/>
            <w:r>
              <w:rPr>
                <w:rFonts w:cs="Times New Roman"/>
                <w:sz w:val="21"/>
                <w:szCs w:val="21"/>
              </w:rPr>
              <w:t>定期巡检措施</w:t>
            </w:r>
            <w:r>
              <w:rPr>
                <w:rFonts w:cs="Times New Roman" w:hint="eastAsia"/>
                <w:sz w:val="21"/>
                <w:szCs w:val="21"/>
              </w:rPr>
              <w:t>。</w:t>
            </w:r>
            <w:r>
              <w:rPr>
                <w:rFonts w:cs="Times New Roman"/>
                <w:sz w:val="21"/>
                <w:szCs w:val="21"/>
              </w:rPr>
              <w:t>废水主要为</w:t>
            </w:r>
            <w:r>
              <w:rPr>
                <w:rFonts w:cs="Times New Roman" w:hint="eastAsia"/>
                <w:sz w:val="21"/>
                <w:szCs w:val="21"/>
              </w:rPr>
              <w:t>生产废水</w:t>
            </w:r>
            <w:r>
              <w:rPr>
                <w:rFonts w:cs="Times New Roman"/>
                <w:sz w:val="21"/>
                <w:szCs w:val="21"/>
              </w:rPr>
              <w:t>及井下作业废水，</w:t>
            </w:r>
            <w:r>
              <w:rPr>
                <w:rFonts w:cs="Times New Roman" w:hint="eastAsia"/>
                <w:sz w:val="21"/>
                <w:szCs w:val="21"/>
              </w:rPr>
              <w:t>生产废水由罐车拉运至塔河油田绿色环保工作站处理</w:t>
            </w:r>
            <w:r>
              <w:rPr>
                <w:rFonts w:cs="Times New Roman" w:hint="eastAsia"/>
                <w:sz w:val="21"/>
                <w:szCs w:val="21"/>
              </w:rPr>
              <w:t>；</w:t>
            </w:r>
            <w:r>
              <w:rPr>
                <w:rFonts w:cs="Times New Roman"/>
                <w:sz w:val="21"/>
                <w:szCs w:val="21"/>
              </w:rPr>
              <w:t>井下作业废水自带回收罐回收井下</w:t>
            </w:r>
            <w:r>
              <w:rPr>
                <w:rFonts w:cs="Times New Roman"/>
                <w:sz w:val="21"/>
                <w:szCs w:val="21"/>
              </w:rPr>
              <w:lastRenderedPageBreak/>
              <w:t>作业废水，依托塔河油田绿色环保工作站处理</w:t>
            </w:r>
            <w:r>
              <w:rPr>
                <w:rFonts w:cs="Times New Roman"/>
                <w:sz w:val="21"/>
                <w:szCs w:val="21"/>
              </w:rPr>
              <w:t>；固废主要为</w:t>
            </w:r>
            <w:bookmarkStart w:id="1139" w:name="OLE_LINK459"/>
            <w:r>
              <w:rPr>
                <w:rFonts w:cs="Times New Roman"/>
                <w:bCs/>
                <w:sz w:val="21"/>
                <w:szCs w:val="21"/>
              </w:rPr>
              <w:t>落地油</w:t>
            </w:r>
            <w:bookmarkEnd w:id="1139"/>
            <w:r>
              <w:rPr>
                <w:rFonts w:cs="Times New Roman"/>
                <w:bCs/>
                <w:sz w:val="21"/>
                <w:szCs w:val="21"/>
              </w:rPr>
              <w:t>、</w:t>
            </w:r>
            <w:bookmarkStart w:id="1140" w:name="OLE_LINK460"/>
            <w:r>
              <w:rPr>
                <w:rFonts w:cs="Times New Roman"/>
                <w:bCs/>
                <w:sz w:val="21"/>
                <w:szCs w:val="21"/>
              </w:rPr>
              <w:t>废防渗材料</w:t>
            </w:r>
            <w:r>
              <w:rPr>
                <w:rFonts w:cs="Times New Roman" w:hint="eastAsia"/>
                <w:bCs/>
                <w:sz w:val="21"/>
                <w:szCs w:val="21"/>
              </w:rPr>
              <w:t>、清罐底泥、废润滑油</w:t>
            </w:r>
            <w:bookmarkEnd w:id="1140"/>
            <w:r>
              <w:rPr>
                <w:rFonts w:cs="Times New Roman" w:hint="eastAsia"/>
                <w:bCs/>
                <w:sz w:val="21"/>
                <w:szCs w:val="21"/>
              </w:rPr>
              <w:t>。</w:t>
            </w:r>
            <w:r>
              <w:rPr>
                <w:rFonts w:cs="Times New Roman"/>
                <w:bCs/>
                <w:sz w:val="21"/>
                <w:szCs w:val="21"/>
              </w:rPr>
              <w:t>落地油由塔河油田绿色环保站处理</w:t>
            </w:r>
            <w:r>
              <w:rPr>
                <w:rFonts w:cs="Times New Roman" w:hint="eastAsia"/>
                <w:bCs/>
                <w:sz w:val="21"/>
                <w:szCs w:val="21"/>
              </w:rPr>
              <w:t>。</w:t>
            </w:r>
            <w:r>
              <w:rPr>
                <w:rFonts w:cs="Times New Roman"/>
                <w:bCs/>
                <w:sz w:val="21"/>
                <w:szCs w:val="21"/>
              </w:rPr>
              <w:t>废防渗材料</w:t>
            </w:r>
            <w:r>
              <w:rPr>
                <w:rFonts w:cs="Times New Roman" w:hint="eastAsia"/>
                <w:bCs/>
                <w:sz w:val="21"/>
                <w:szCs w:val="21"/>
              </w:rPr>
              <w:t>、清罐底泥、废润滑油</w:t>
            </w:r>
            <w:r>
              <w:rPr>
                <w:rFonts w:cs="Times New Roman"/>
                <w:bCs/>
                <w:sz w:val="21"/>
                <w:szCs w:val="21"/>
              </w:rPr>
              <w:t>委托持有危险废物经营许可证的单位利用处置。</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lastRenderedPageBreak/>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3543"/>
          <w:jc w:val="center"/>
        </w:trPr>
        <w:tc>
          <w:tcPr>
            <w:tcW w:w="1915" w:type="dxa"/>
            <w:gridSpan w:val="2"/>
            <w:vMerge/>
            <w:shd w:val="clear" w:color="auto" w:fill="auto"/>
            <w:vAlign w:val="center"/>
          </w:tcPr>
          <w:p w:rsidR="00C645C9" w:rsidRDefault="00C645C9">
            <w:pPr>
              <w:jc w:val="center"/>
              <w:rPr>
                <w:rFonts w:cs="Times New Roman"/>
                <w:sz w:val="21"/>
                <w:szCs w:val="21"/>
              </w:rPr>
            </w:pP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w:t>
            </w:r>
            <w:r>
              <w:rPr>
                <w:rFonts w:cs="Times New Roman"/>
                <w:sz w:val="21"/>
                <w:szCs w:val="21"/>
              </w:rPr>
              <w:t>四</w:t>
            </w:r>
            <w:r>
              <w:rPr>
                <w:rFonts w:cs="Times New Roman"/>
                <w:sz w:val="21"/>
                <w:szCs w:val="21"/>
              </w:rPr>
              <w:t>）</w:t>
            </w:r>
            <w:r>
              <w:rPr>
                <w:rFonts w:cs="Times New Roman"/>
                <w:sz w:val="21"/>
                <w:szCs w:val="21"/>
              </w:rPr>
              <w:t>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r>
              <w:rPr>
                <w:rFonts w:cs="Times New Roman"/>
                <w:sz w:val="21"/>
                <w:szCs w:val="21"/>
              </w:rPr>
              <w:t>。</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同步制定并落实生态保护和修复方案；综合考虑了防沙治沙等相关要求；</w:t>
            </w:r>
            <w:r>
              <w:rPr>
                <w:rFonts w:cs="Times New Roman"/>
                <w:sz w:val="21"/>
                <w:szCs w:val="21"/>
              </w:rPr>
              <w:t>本</w:t>
            </w:r>
            <w:r>
              <w:rPr>
                <w:rFonts w:cs="Times New Roman" w:hint="eastAsia"/>
                <w:sz w:val="21"/>
                <w:szCs w:val="21"/>
              </w:rPr>
              <w:t>工程</w:t>
            </w:r>
            <w:r>
              <w:rPr>
                <w:rFonts w:cs="Times New Roman"/>
                <w:sz w:val="21"/>
                <w:szCs w:val="21"/>
              </w:rPr>
              <w:t>已提出一系列生态环境保护措施</w:t>
            </w:r>
            <w:r>
              <w:rPr>
                <w:rFonts w:cs="Times New Roman"/>
                <w:sz w:val="21"/>
                <w:szCs w:val="21"/>
              </w:rPr>
              <w:t>。</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shd w:val="clear" w:color="auto" w:fill="auto"/>
          </w:tcPr>
          <w:p w:rsidR="00C645C9" w:rsidRDefault="00C645C9">
            <w:pPr>
              <w:jc w:val="center"/>
              <w:rPr>
                <w:rFonts w:cs="Times New Roman"/>
                <w:sz w:val="21"/>
                <w:szCs w:val="21"/>
              </w:rPr>
            </w:pPr>
          </w:p>
        </w:tc>
        <w:tc>
          <w:tcPr>
            <w:tcW w:w="3663" w:type="dxa"/>
            <w:shd w:val="clear" w:color="auto" w:fill="auto"/>
            <w:vAlign w:val="center"/>
          </w:tcPr>
          <w:p w:rsidR="00C645C9" w:rsidRDefault="00F955D9">
            <w:pPr>
              <w:jc w:val="both"/>
              <w:rPr>
                <w:rFonts w:cs="Times New Roman"/>
                <w:kern w:val="2"/>
                <w:sz w:val="21"/>
                <w:szCs w:val="21"/>
              </w:rPr>
            </w:pPr>
            <w:r>
              <w:rPr>
                <w:rFonts w:cs="Times New Roman"/>
                <w:sz w:val="21"/>
                <w:szCs w:val="21"/>
              </w:rPr>
              <w:t>（</w:t>
            </w:r>
            <w:r>
              <w:rPr>
                <w:rFonts w:cs="Times New Roman"/>
                <w:sz w:val="21"/>
                <w:szCs w:val="21"/>
              </w:rPr>
              <w:t>五</w:t>
            </w:r>
            <w:r>
              <w:rPr>
                <w:rFonts w:cs="Times New Roman"/>
                <w:sz w:val="21"/>
                <w:szCs w:val="21"/>
              </w:rPr>
              <w:t>）</w:t>
            </w:r>
            <w:r>
              <w:rPr>
                <w:rFonts w:cs="Times New Roman"/>
                <w:sz w:val="21"/>
                <w:szCs w:val="21"/>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2096" w:type="dxa"/>
            <w:shd w:val="clear" w:color="auto" w:fill="auto"/>
            <w:vAlign w:val="center"/>
          </w:tcPr>
          <w:p w:rsidR="00C645C9" w:rsidRDefault="00F955D9">
            <w:pPr>
              <w:jc w:val="both"/>
              <w:rPr>
                <w:rFonts w:cs="Times New Roman"/>
                <w:kern w:val="2"/>
                <w:sz w:val="21"/>
                <w:szCs w:val="21"/>
              </w:rPr>
            </w:pPr>
            <w:r>
              <w:rPr>
                <w:rFonts w:cs="Times New Roman"/>
                <w:sz w:val="21"/>
                <w:szCs w:val="21"/>
              </w:rPr>
              <w:t>本</w:t>
            </w:r>
            <w:r>
              <w:rPr>
                <w:rFonts w:cs="Times New Roman" w:hint="eastAsia"/>
                <w:sz w:val="21"/>
                <w:szCs w:val="21"/>
              </w:rPr>
              <w:t>工程</w:t>
            </w:r>
            <w:r>
              <w:rPr>
                <w:rFonts w:cs="Times New Roman"/>
                <w:sz w:val="21"/>
                <w:szCs w:val="21"/>
              </w:rPr>
              <w:t>环境管理由</w:t>
            </w:r>
            <w:bookmarkStart w:id="1141" w:name="OLE_LINK461"/>
            <w:r>
              <w:rPr>
                <w:rFonts w:cs="Times New Roman" w:hint="eastAsia"/>
                <w:sz w:val="21"/>
                <w:szCs w:val="21"/>
              </w:rPr>
              <w:t>雅克拉采气厂</w:t>
            </w:r>
            <w:bookmarkEnd w:id="1141"/>
            <w:r>
              <w:rPr>
                <w:rFonts w:cs="Times New Roman"/>
                <w:sz w:val="21"/>
                <w:szCs w:val="21"/>
              </w:rPr>
              <w:t>负责，</w:t>
            </w:r>
            <w:r>
              <w:rPr>
                <w:rFonts w:cs="Times New Roman"/>
                <w:sz w:val="21"/>
                <w:szCs w:val="21"/>
              </w:rPr>
              <w:t>本</w:t>
            </w:r>
            <w:r>
              <w:rPr>
                <w:rFonts w:cs="Times New Roman" w:hint="eastAsia"/>
                <w:sz w:val="21"/>
                <w:szCs w:val="21"/>
              </w:rPr>
              <w:t>工程</w:t>
            </w:r>
            <w:r>
              <w:rPr>
                <w:rFonts w:cs="Times New Roman"/>
                <w:sz w:val="21"/>
                <w:szCs w:val="21"/>
              </w:rPr>
              <w:t>日常环境管理工作纳入</w:t>
            </w:r>
            <w:r>
              <w:rPr>
                <w:rFonts w:cs="Times New Roman" w:hint="eastAsia"/>
                <w:sz w:val="21"/>
                <w:szCs w:val="21"/>
              </w:rPr>
              <w:t>雅克拉采气厂</w:t>
            </w:r>
            <w:r>
              <w:rPr>
                <w:rFonts w:cs="Times New Roman"/>
                <w:sz w:val="21"/>
                <w:szCs w:val="21"/>
              </w:rPr>
              <w:t>现有</w:t>
            </w:r>
            <w:r>
              <w:rPr>
                <w:rFonts w:cs="Times New Roman"/>
                <w:sz w:val="21"/>
                <w:szCs w:val="21"/>
              </w:rPr>
              <w:t>HSE</w:t>
            </w:r>
            <w:r>
              <w:rPr>
                <w:rFonts w:cs="Times New Roman"/>
                <w:sz w:val="21"/>
                <w:szCs w:val="21"/>
              </w:rPr>
              <w:t>管理体系，并长期开展跟踪监测，根据监测结果及时优化开发方案并采取有效的生态环境保护措施</w:t>
            </w:r>
            <w:r>
              <w:rPr>
                <w:rFonts w:cs="Times New Roman"/>
                <w:sz w:val="21"/>
                <w:szCs w:val="21"/>
              </w:rPr>
              <w:t>。</w:t>
            </w:r>
          </w:p>
        </w:tc>
        <w:tc>
          <w:tcPr>
            <w:tcW w:w="889" w:type="dxa"/>
            <w:shd w:val="clear" w:color="auto" w:fill="auto"/>
            <w:vAlign w:val="center"/>
          </w:tcPr>
          <w:p w:rsidR="00C645C9" w:rsidRDefault="00F955D9">
            <w:pPr>
              <w:jc w:val="center"/>
              <w:rPr>
                <w:rFonts w:cs="Times New Roman"/>
                <w:kern w:val="2"/>
                <w:sz w:val="21"/>
                <w:szCs w:val="21"/>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val="restart"/>
            <w:shd w:val="clear" w:color="auto" w:fill="auto"/>
            <w:vAlign w:val="center"/>
          </w:tcPr>
          <w:p w:rsidR="00C645C9" w:rsidRDefault="00F955D9">
            <w:pPr>
              <w:jc w:val="center"/>
              <w:rPr>
                <w:rFonts w:cs="Times New Roman"/>
                <w:sz w:val="21"/>
                <w:szCs w:val="21"/>
              </w:rPr>
            </w:pPr>
            <w:r>
              <w:rPr>
                <w:rFonts w:cs="Times New Roman"/>
                <w:sz w:val="21"/>
                <w:szCs w:val="21"/>
              </w:rPr>
              <w:t>《阿克苏地区国土空间规划（</w:t>
            </w:r>
            <w:r>
              <w:rPr>
                <w:rFonts w:cs="Times New Roman"/>
                <w:sz w:val="21"/>
                <w:szCs w:val="21"/>
              </w:rPr>
              <w:t>2021</w:t>
            </w:r>
            <w:r>
              <w:rPr>
                <w:rFonts w:cs="Times New Roman" w:hint="eastAsia"/>
                <w:sz w:val="21"/>
                <w:szCs w:val="21"/>
              </w:rPr>
              <w:t>—</w:t>
            </w:r>
            <w:r>
              <w:rPr>
                <w:rFonts w:cs="Times New Roman"/>
                <w:sz w:val="21"/>
                <w:szCs w:val="21"/>
              </w:rPr>
              <w:t>2035</w:t>
            </w:r>
            <w:r>
              <w:rPr>
                <w:rFonts w:cs="Times New Roman"/>
                <w:sz w:val="21"/>
                <w:szCs w:val="21"/>
              </w:rPr>
              <w:t>年）》</w:t>
            </w:r>
          </w:p>
        </w:tc>
        <w:tc>
          <w:tcPr>
            <w:tcW w:w="3663" w:type="dxa"/>
            <w:shd w:val="clear" w:color="auto" w:fill="auto"/>
            <w:vAlign w:val="center"/>
          </w:tcPr>
          <w:p w:rsidR="00C645C9" w:rsidRDefault="00F955D9">
            <w:pPr>
              <w:jc w:val="both"/>
              <w:rPr>
                <w:rFonts w:cs="Times New Roman"/>
                <w:sz w:val="21"/>
                <w:szCs w:val="21"/>
              </w:rPr>
            </w:pPr>
            <w:r>
              <w:rPr>
                <w:rFonts w:cs="Times New Roman"/>
                <w:sz w:val="21"/>
                <w:szCs w:val="21"/>
              </w:rPr>
              <w:t>严保永久基本农田保护红线、严守生态保护红线、严控城镇开发边界。</w:t>
            </w:r>
          </w:p>
          <w:p w:rsidR="00C645C9" w:rsidRDefault="00F955D9">
            <w:pPr>
              <w:jc w:val="both"/>
              <w:rPr>
                <w:rFonts w:cs="Times New Roman"/>
                <w:sz w:val="21"/>
                <w:szCs w:val="21"/>
              </w:rPr>
            </w:pPr>
            <w:r>
              <w:rPr>
                <w:rFonts w:cs="Times New Roman"/>
                <w:sz w:val="21"/>
                <w:szCs w:val="21"/>
              </w:rPr>
              <w:t>严守生态保护红线：以资源环境承载力为硬约束，结合</w:t>
            </w:r>
            <w:r>
              <w:rPr>
                <w:rFonts w:cs="Times New Roman"/>
                <w:sz w:val="21"/>
                <w:szCs w:val="21"/>
              </w:rPr>
              <w:t>“</w:t>
            </w:r>
            <w:r>
              <w:rPr>
                <w:rFonts w:cs="Times New Roman"/>
                <w:sz w:val="21"/>
                <w:szCs w:val="21"/>
              </w:rPr>
              <w:t>双评价</w:t>
            </w:r>
            <w:r>
              <w:rPr>
                <w:rFonts w:cs="Times New Roman"/>
                <w:sz w:val="21"/>
                <w:szCs w:val="21"/>
              </w:rPr>
              <w:t>”</w:t>
            </w:r>
            <w:r>
              <w:rPr>
                <w:rFonts w:cs="Times New Roman"/>
                <w:sz w:val="21"/>
                <w:szCs w:val="21"/>
              </w:rPr>
              <w:t>中生态保护极重要区评价，强调生态涵养，落实生态红线保护要求，切实做到应划尽划，应保尽保，实现一条生态保护红线管控重要生态空间。阿克苏地区生态红线主要分布于天山南脉、塔里木河上游沿岸、托什干河中下游沿岸。</w:t>
            </w:r>
          </w:p>
          <w:p w:rsidR="00C645C9" w:rsidRDefault="00F955D9">
            <w:pPr>
              <w:jc w:val="both"/>
              <w:rPr>
                <w:rFonts w:cs="Times New Roman"/>
                <w:sz w:val="21"/>
                <w:szCs w:val="21"/>
              </w:rPr>
            </w:pPr>
            <w:r>
              <w:rPr>
                <w:rFonts w:cs="Times New Roman"/>
                <w:sz w:val="21"/>
                <w:szCs w:val="21"/>
              </w:rPr>
              <w:t>严控城镇开发边界：坚持节约优先、保护优先，严控增量、盘活存量，优化结构、提升效率，提高城镇建设用地集约化程度。在综合考虑城镇定位、发展方向和综合承载能力的基础上，科学研判城镇发展需求，优化城镇形态和布局，促进城镇有序、适度、紧凑发展，实现多中心、网络化、组团式、集约型的城</w:t>
            </w:r>
            <w:r>
              <w:rPr>
                <w:rFonts w:cs="Times New Roman"/>
                <w:sz w:val="21"/>
                <w:szCs w:val="21"/>
              </w:rPr>
              <w:lastRenderedPageBreak/>
              <w:t>乡国土空间格局。</w:t>
            </w:r>
          </w:p>
        </w:tc>
        <w:tc>
          <w:tcPr>
            <w:tcW w:w="2096" w:type="dxa"/>
            <w:shd w:val="clear" w:color="auto" w:fill="auto"/>
            <w:vAlign w:val="center"/>
          </w:tcPr>
          <w:p w:rsidR="00C645C9" w:rsidRDefault="00F955D9">
            <w:pPr>
              <w:jc w:val="both"/>
              <w:rPr>
                <w:rFonts w:cs="Times New Roman"/>
                <w:sz w:val="21"/>
                <w:szCs w:val="21"/>
              </w:rPr>
            </w:pPr>
            <w:r>
              <w:rPr>
                <w:rFonts w:cs="Times New Roman"/>
                <w:sz w:val="21"/>
                <w:szCs w:val="21"/>
              </w:rPr>
              <w:lastRenderedPageBreak/>
              <w:t>本</w:t>
            </w:r>
            <w:r>
              <w:rPr>
                <w:rFonts w:cs="Times New Roman" w:hint="eastAsia"/>
                <w:sz w:val="21"/>
                <w:szCs w:val="21"/>
              </w:rPr>
              <w:t>工程</w:t>
            </w:r>
            <w:r>
              <w:rPr>
                <w:rFonts w:cs="Times New Roman"/>
                <w:sz w:val="21"/>
                <w:szCs w:val="21"/>
              </w:rPr>
              <w:t>属于</w:t>
            </w:r>
            <w:r>
              <w:rPr>
                <w:rFonts w:cs="Times New Roman"/>
                <w:sz w:val="21"/>
                <w:szCs w:val="21"/>
              </w:rPr>
              <w:t>塔河油田</w:t>
            </w:r>
            <w:r>
              <w:rPr>
                <w:rFonts w:cs="Times New Roman"/>
                <w:sz w:val="21"/>
                <w:szCs w:val="21"/>
              </w:rPr>
              <w:t>石油开采项目，</w:t>
            </w:r>
            <w:r>
              <w:rPr>
                <w:rFonts w:cs="Times New Roman" w:hint="eastAsia"/>
                <w:sz w:val="21"/>
                <w:szCs w:val="21"/>
              </w:rPr>
              <w:t>本工程不占用永久基本农田，评价范围涉及</w:t>
            </w:r>
            <w:r>
              <w:rPr>
                <w:rFonts w:cs="Times New Roman"/>
                <w:sz w:val="21"/>
                <w:szCs w:val="21"/>
              </w:rPr>
              <w:t>永久基本农田</w:t>
            </w:r>
            <w:r>
              <w:rPr>
                <w:rFonts w:cs="Times New Roman" w:hint="eastAsia"/>
                <w:sz w:val="21"/>
                <w:szCs w:val="21"/>
              </w:rPr>
              <w:t>。</w:t>
            </w:r>
            <w:r>
              <w:rPr>
                <w:rFonts w:cs="Times New Roman" w:hint="eastAsia"/>
                <w:sz w:val="21"/>
                <w:szCs w:val="21"/>
              </w:rPr>
              <w:t>本工程</w:t>
            </w:r>
            <w:r>
              <w:rPr>
                <w:rFonts w:cs="Times New Roman"/>
                <w:sz w:val="21"/>
                <w:szCs w:val="21"/>
              </w:rPr>
              <w:t>所在区域不涉及生态保护红线以及城镇开发边界，</w:t>
            </w:r>
            <w:r>
              <w:rPr>
                <w:rFonts w:cs="Times New Roman" w:hint="eastAsia"/>
                <w:sz w:val="21"/>
                <w:szCs w:val="21"/>
              </w:rPr>
              <w:t>本工程</w:t>
            </w:r>
            <w:r>
              <w:rPr>
                <w:rFonts w:cs="Times New Roman"/>
                <w:sz w:val="21"/>
                <w:szCs w:val="21"/>
              </w:rPr>
              <w:t>建设符合区域主体功能定位，对生态环境影响较小。</w:t>
            </w:r>
          </w:p>
        </w:tc>
        <w:tc>
          <w:tcPr>
            <w:tcW w:w="889" w:type="dxa"/>
            <w:shd w:val="clear" w:color="auto" w:fill="auto"/>
            <w:vAlign w:val="center"/>
          </w:tcPr>
          <w:p w:rsidR="00C645C9" w:rsidRDefault="00F955D9">
            <w:pPr>
              <w:jc w:val="center"/>
              <w:rPr>
                <w:rFonts w:cs="Times New Roman"/>
                <w:sz w:val="21"/>
                <w:szCs w:val="21"/>
                <w:lang w:bidi="ar"/>
              </w:rPr>
            </w:pPr>
            <w:r>
              <w:rPr>
                <w:rFonts w:cs="Times New Roman"/>
                <w:sz w:val="21"/>
                <w:szCs w:val="21"/>
                <w:lang w:bidi="ar"/>
              </w:rPr>
              <w:t>符合</w:t>
            </w:r>
          </w:p>
        </w:tc>
      </w:tr>
      <w:tr w:rsidR="00C645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3"/>
          <w:jc w:val="center"/>
        </w:trPr>
        <w:tc>
          <w:tcPr>
            <w:tcW w:w="1915" w:type="dxa"/>
            <w:gridSpan w:val="2"/>
            <w:vMerge/>
            <w:shd w:val="clear" w:color="auto" w:fill="auto"/>
          </w:tcPr>
          <w:p w:rsidR="00C645C9" w:rsidRDefault="00C645C9">
            <w:pPr>
              <w:jc w:val="center"/>
              <w:rPr>
                <w:rFonts w:cs="Times New Roman"/>
                <w:sz w:val="21"/>
                <w:szCs w:val="21"/>
              </w:rPr>
            </w:pPr>
          </w:p>
        </w:tc>
        <w:tc>
          <w:tcPr>
            <w:tcW w:w="3663" w:type="dxa"/>
            <w:shd w:val="clear" w:color="auto" w:fill="auto"/>
            <w:vAlign w:val="center"/>
          </w:tcPr>
          <w:p w:rsidR="00C645C9" w:rsidRDefault="00F955D9">
            <w:pPr>
              <w:jc w:val="both"/>
              <w:rPr>
                <w:rFonts w:cs="Times New Roman"/>
                <w:sz w:val="21"/>
                <w:szCs w:val="21"/>
              </w:rPr>
            </w:pPr>
            <w:r>
              <w:rPr>
                <w:rFonts w:cs="Times New Roman"/>
                <w:sz w:val="21"/>
                <w:szCs w:val="21"/>
              </w:rPr>
              <w:t>根据矿产资源现状分布以及矿产勘查开发保护布局。</w:t>
            </w:r>
          </w:p>
        </w:tc>
        <w:tc>
          <w:tcPr>
            <w:tcW w:w="2096" w:type="dxa"/>
            <w:shd w:val="clear" w:color="auto" w:fill="auto"/>
            <w:vAlign w:val="center"/>
          </w:tcPr>
          <w:p w:rsidR="00C645C9" w:rsidRDefault="00F955D9">
            <w:pPr>
              <w:jc w:val="both"/>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属于矿产能源发展区、油气国家规划矿区。</w:t>
            </w:r>
          </w:p>
        </w:tc>
        <w:tc>
          <w:tcPr>
            <w:tcW w:w="889" w:type="dxa"/>
            <w:shd w:val="clear" w:color="auto" w:fill="auto"/>
            <w:vAlign w:val="center"/>
          </w:tcPr>
          <w:p w:rsidR="00C645C9" w:rsidRDefault="00F955D9">
            <w:pPr>
              <w:jc w:val="center"/>
              <w:rPr>
                <w:rFonts w:cs="Times New Roman"/>
                <w:sz w:val="21"/>
                <w:szCs w:val="21"/>
                <w:lang w:bidi="ar"/>
              </w:rPr>
            </w:pPr>
            <w:r>
              <w:rPr>
                <w:rFonts w:cs="Times New Roman"/>
                <w:sz w:val="21"/>
                <w:szCs w:val="21"/>
                <w:lang w:bidi="ar"/>
              </w:rPr>
              <w:t>符合</w:t>
            </w:r>
          </w:p>
        </w:tc>
      </w:tr>
    </w:tbl>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根据表</w:t>
      </w:r>
      <w:r>
        <w:rPr>
          <w:rFonts w:ascii="Times New Roman" w:hAnsi="Times New Roman" w:cs="Times New Roman"/>
        </w:rPr>
        <w:t>3.</w:t>
      </w:r>
      <w:r>
        <w:rPr>
          <w:rFonts w:ascii="Times New Roman" w:hAnsi="Times New Roman" w:cs="Times New Roman" w:hint="eastAsia"/>
        </w:rPr>
        <w:t>4</w:t>
      </w:r>
      <w:r>
        <w:rPr>
          <w:rFonts w:ascii="Times New Roman" w:hAnsi="Times New Roman" w:cs="Times New Roman"/>
        </w:rPr>
        <w:t>-2</w:t>
      </w:r>
      <w:r>
        <w:rPr>
          <w:rFonts w:ascii="Times New Roman" w:hAnsi="Times New Roman" w:cs="Times New Roman"/>
        </w:rPr>
        <w:t>的分析，</w:t>
      </w:r>
      <w:r>
        <w:rPr>
          <w:rFonts w:ascii="Times New Roman" w:hAnsi="Times New Roman" w:cs="Times New Roman"/>
        </w:rPr>
        <w:t>本</w:t>
      </w:r>
      <w:r>
        <w:rPr>
          <w:rFonts w:ascii="Times New Roman" w:hAnsi="Times New Roman" w:cs="Times New Roman" w:hint="eastAsia"/>
        </w:rPr>
        <w:t>工程</w:t>
      </w:r>
      <w:r>
        <w:rPr>
          <w:rFonts w:ascii="Times New Roman" w:hAnsi="Times New Roman" w:cs="Times New Roman"/>
        </w:rPr>
        <w:t>与新疆的相关规划协调一致。</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42" w:name="_Toc1269"/>
      <w:bookmarkStart w:id="1143" w:name="_Toc2688"/>
      <w:bookmarkStart w:id="1144" w:name="_Toc6913"/>
      <w:bookmarkStart w:id="1145" w:name="_Toc8079"/>
      <w:r>
        <w:rPr>
          <w:rFonts w:ascii="Times New Roman" w:hAnsi="Times New Roman" w:cs="Times New Roman"/>
          <w:color w:val="auto"/>
          <w:lang w:eastAsia="zh-CN"/>
        </w:rPr>
        <w:t>3.</w:t>
      </w:r>
      <w:bookmarkEnd w:id="1142"/>
      <w:bookmarkEnd w:id="1143"/>
      <w:bookmarkEnd w:id="1144"/>
      <w:r>
        <w:rPr>
          <w:rFonts w:ascii="Times New Roman" w:hAnsi="Times New Roman" w:cs="Times New Roman" w:hint="eastAsia"/>
          <w:color w:val="auto"/>
          <w:lang w:eastAsia="zh-CN"/>
        </w:rPr>
        <w:t>4.3</w:t>
      </w:r>
      <w:r>
        <w:rPr>
          <w:rFonts w:ascii="Times New Roman" w:hAnsi="Times New Roman" w:cs="Times New Roman"/>
          <w:color w:val="auto"/>
          <w:lang w:eastAsia="zh-CN"/>
        </w:rPr>
        <w:t>生态环境分区管控符合性分析</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hint="eastAsia"/>
        </w:rPr>
        <w:t>本工程与</w:t>
      </w:r>
      <w:bookmarkStart w:id="1146" w:name="OLE_LINK469"/>
      <w:bookmarkStart w:id="1147" w:name="OLE_LINK465"/>
      <w:bookmarkStart w:id="1148" w:name="OLE_LINK467"/>
      <w:r>
        <w:rPr>
          <w:rFonts w:ascii="Times New Roman" w:hAnsi="Times New Roman" w:cs="Times New Roman"/>
        </w:rPr>
        <w:t>《关于印发</w:t>
      </w:r>
      <w:r>
        <w:rPr>
          <w:rFonts w:ascii="Times New Roman" w:hAnsi="Times New Roman" w:cs="Times New Roman" w:hint="eastAsia"/>
        </w:rPr>
        <w:t>〈</w:t>
      </w:r>
      <w:bookmarkStart w:id="1149" w:name="OLE_LINK468"/>
      <w:r>
        <w:rPr>
          <w:rFonts w:ascii="Times New Roman" w:hAnsi="Times New Roman" w:cs="Times New Roman"/>
        </w:rPr>
        <w:t>新疆维吾尔自治区生态环境分区管控动态更新成果</w:t>
      </w:r>
      <w:bookmarkEnd w:id="1149"/>
      <w:r>
        <w:rPr>
          <w:rFonts w:ascii="Times New Roman" w:hAnsi="Times New Roman" w:cs="Times New Roman" w:hint="eastAsia"/>
        </w:rPr>
        <w:t>〉</w:t>
      </w:r>
      <w:r>
        <w:rPr>
          <w:rFonts w:ascii="Times New Roman" w:hAnsi="Times New Roman" w:cs="Times New Roman"/>
        </w:rPr>
        <w:t>的通知》（新环环评发〔</w:t>
      </w:r>
      <w:r>
        <w:rPr>
          <w:rFonts w:ascii="Times New Roman" w:hAnsi="Times New Roman" w:cs="Times New Roman"/>
        </w:rPr>
        <w:t>2024</w:t>
      </w:r>
      <w:r>
        <w:rPr>
          <w:rFonts w:ascii="Times New Roman" w:hAnsi="Times New Roman" w:cs="Times New Roman"/>
        </w:rPr>
        <w:t>〕</w:t>
      </w:r>
      <w:r>
        <w:rPr>
          <w:rFonts w:ascii="Times New Roman" w:hAnsi="Times New Roman" w:cs="Times New Roman"/>
        </w:rPr>
        <w:t>157</w:t>
      </w:r>
      <w:r>
        <w:rPr>
          <w:rFonts w:ascii="Times New Roman" w:hAnsi="Times New Roman" w:cs="Times New Roman"/>
        </w:rPr>
        <w:t>号）</w:t>
      </w:r>
      <w:bookmarkEnd w:id="1146"/>
      <w:r>
        <w:rPr>
          <w:rFonts w:ascii="Times New Roman" w:hAnsi="Times New Roman" w:cs="Times New Roman"/>
        </w:rPr>
        <w:t>《关于印发</w:t>
      </w:r>
      <w:r>
        <w:rPr>
          <w:rFonts w:ascii="Times New Roman" w:hAnsi="Times New Roman" w:cs="Times New Roman" w:hint="eastAsia"/>
        </w:rPr>
        <w:t>〈</w:t>
      </w:r>
      <w:r>
        <w:rPr>
          <w:rFonts w:ascii="Times New Roman" w:hAnsi="Times New Roman" w:cs="Times New Roman"/>
        </w:rPr>
        <w:t>阿克苏地区生态环境</w:t>
      </w:r>
      <w:bookmarkStart w:id="1150" w:name="OLE_LINK64"/>
      <w:r>
        <w:rPr>
          <w:rFonts w:ascii="Times New Roman" w:hAnsi="Times New Roman" w:cs="Times New Roman"/>
        </w:rPr>
        <w:t>分区管控方案</w:t>
      </w:r>
      <w:bookmarkEnd w:id="1150"/>
      <w:r>
        <w:rPr>
          <w:rFonts w:ascii="Times New Roman" w:hAnsi="Times New Roman" w:cs="Times New Roman"/>
        </w:rPr>
        <w:t>（</w:t>
      </w:r>
      <w:r>
        <w:rPr>
          <w:rFonts w:ascii="Times New Roman" w:hAnsi="Times New Roman" w:cs="Times New Roman"/>
        </w:rPr>
        <w:t>2023</w:t>
      </w:r>
      <w:r>
        <w:rPr>
          <w:rFonts w:ascii="Times New Roman" w:hAnsi="Times New Roman" w:cs="Times New Roman"/>
        </w:rPr>
        <w:t>版）</w:t>
      </w:r>
      <w:r>
        <w:rPr>
          <w:rFonts w:ascii="Times New Roman" w:hAnsi="Times New Roman" w:cs="Times New Roman" w:hint="eastAsia"/>
        </w:rPr>
        <w:t>〉</w:t>
      </w:r>
      <w:r>
        <w:rPr>
          <w:rFonts w:ascii="Times New Roman" w:hAnsi="Times New Roman" w:cs="Times New Roman"/>
        </w:rPr>
        <w:t>的通知》（阿地环字〔</w:t>
      </w:r>
      <w:r>
        <w:rPr>
          <w:rFonts w:ascii="Times New Roman" w:hAnsi="Times New Roman" w:cs="Times New Roman"/>
        </w:rPr>
        <w:t>2024</w:t>
      </w:r>
      <w:r>
        <w:rPr>
          <w:rFonts w:ascii="Times New Roman" w:hAnsi="Times New Roman" w:cs="Times New Roman"/>
        </w:rPr>
        <w:t>〕</w:t>
      </w:r>
      <w:r>
        <w:rPr>
          <w:rFonts w:ascii="Times New Roman" w:hAnsi="Times New Roman" w:cs="Times New Roman"/>
        </w:rPr>
        <w:t>32</w:t>
      </w:r>
      <w:r>
        <w:rPr>
          <w:rFonts w:ascii="Times New Roman" w:hAnsi="Times New Roman" w:cs="Times New Roman"/>
        </w:rPr>
        <w:t>号）</w:t>
      </w:r>
      <w:bookmarkEnd w:id="1147"/>
      <w:r>
        <w:rPr>
          <w:rFonts w:ascii="Times New Roman" w:hAnsi="Times New Roman" w:cs="Times New Roman" w:hint="eastAsia"/>
        </w:rPr>
        <w:t>及《新疆维吾尔自治区七大片区“三线一单”生态环境分区管控要求》</w:t>
      </w:r>
      <w:bookmarkEnd w:id="1148"/>
      <w:r>
        <w:rPr>
          <w:rFonts w:ascii="Times New Roman" w:hAnsi="Times New Roman" w:cs="Times New Roman"/>
        </w:rPr>
        <w:t>的符合性分析分别见表</w:t>
      </w:r>
      <w:r>
        <w:rPr>
          <w:rFonts w:ascii="Times New Roman" w:hAnsi="Times New Roman" w:cs="Times New Roman"/>
        </w:rPr>
        <w:t>3.</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3~5</w:t>
      </w:r>
      <w:r>
        <w:rPr>
          <w:rFonts w:ascii="Times New Roman" w:hAnsi="Times New Roman" w:cs="Times New Roman"/>
        </w:rPr>
        <w:t>。</w:t>
      </w:r>
    </w:p>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综上所述，</w:t>
      </w:r>
      <w:r>
        <w:rPr>
          <w:rFonts w:ascii="Times New Roman" w:hAnsi="Times New Roman" w:cs="Times New Roman"/>
        </w:rPr>
        <w:t>根据《关于印发</w:t>
      </w:r>
      <w:r>
        <w:rPr>
          <w:rFonts w:ascii="Times New Roman" w:hAnsi="Times New Roman" w:cs="Times New Roman" w:hint="eastAsia"/>
        </w:rPr>
        <w:t>〈</w:t>
      </w:r>
      <w:r>
        <w:rPr>
          <w:rFonts w:ascii="Times New Roman" w:hAnsi="Times New Roman" w:cs="Times New Roman"/>
        </w:rPr>
        <w:t>新疆维吾尔自治区生态环境分区管控动态更新成果</w:t>
      </w:r>
      <w:r>
        <w:rPr>
          <w:rFonts w:ascii="Times New Roman" w:hAnsi="Times New Roman" w:cs="Times New Roman" w:hint="eastAsia"/>
        </w:rPr>
        <w:t>〉</w:t>
      </w:r>
      <w:r>
        <w:rPr>
          <w:rFonts w:ascii="Times New Roman" w:hAnsi="Times New Roman" w:cs="Times New Roman"/>
        </w:rPr>
        <w:t>的通知》（新环环评发〔</w:t>
      </w:r>
      <w:r>
        <w:rPr>
          <w:rFonts w:ascii="Times New Roman" w:hAnsi="Times New Roman" w:cs="Times New Roman"/>
        </w:rPr>
        <w:t>2024</w:t>
      </w:r>
      <w:r>
        <w:rPr>
          <w:rFonts w:ascii="Times New Roman" w:hAnsi="Times New Roman" w:cs="Times New Roman"/>
        </w:rPr>
        <w:t>〕</w:t>
      </w:r>
      <w:r>
        <w:rPr>
          <w:rFonts w:ascii="Times New Roman" w:hAnsi="Times New Roman" w:cs="Times New Roman"/>
        </w:rPr>
        <w:t>157</w:t>
      </w:r>
      <w:r>
        <w:rPr>
          <w:rFonts w:ascii="Times New Roman" w:hAnsi="Times New Roman" w:cs="Times New Roman"/>
        </w:rPr>
        <w:t>号）《关于印发〈阿克苏地区生态环境分区管控方案（</w:t>
      </w:r>
      <w:r>
        <w:rPr>
          <w:rFonts w:ascii="Times New Roman" w:hAnsi="Times New Roman" w:cs="Times New Roman"/>
        </w:rPr>
        <w:t>2023</w:t>
      </w:r>
      <w:r>
        <w:rPr>
          <w:rFonts w:ascii="Times New Roman" w:hAnsi="Times New Roman" w:cs="Times New Roman"/>
        </w:rPr>
        <w:t>版）〉的通知》（阿地环字〔</w:t>
      </w:r>
      <w:r>
        <w:rPr>
          <w:rFonts w:ascii="Times New Roman" w:hAnsi="Times New Roman" w:cs="Times New Roman"/>
        </w:rPr>
        <w:t>2024</w:t>
      </w:r>
      <w:r>
        <w:rPr>
          <w:rFonts w:ascii="Times New Roman" w:hAnsi="Times New Roman" w:cs="Times New Roman"/>
        </w:rPr>
        <w:t>〕</w:t>
      </w:r>
      <w:r>
        <w:rPr>
          <w:rFonts w:ascii="Times New Roman" w:hAnsi="Times New Roman" w:cs="Times New Roman"/>
        </w:rPr>
        <w:t>32</w:t>
      </w:r>
      <w:r>
        <w:rPr>
          <w:rFonts w:ascii="Times New Roman" w:hAnsi="Times New Roman" w:cs="Times New Roman"/>
        </w:rPr>
        <w:t>号）</w:t>
      </w:r>
      <w:r>
        <w:rPr>
          <w:rFonts w:ascii="Times New Roman" w:hAnsi="Times New Roman" w:cs="Times New Roman"/>
        </w:rPr>
        <w:t>及《新疆维吾尔自治区七大片区</w:t>
      </w:r>
      <w:r>
        <w:rPr>
          <w:rFonts w:ascii="Times New Roman" w:hAnsi="Times New Roman" w:cs="Times New Roman"/>
        </w:rPr>
        <w:t>“</w:t>
      </w:r>
      <w:r>
        <w:rPr>
          <w:rFonts w:ascii="Times New Roman" w:hAnsi="Times New Roman" w:cs="Times New Roman"/>
        </w:rPr>
        <w:t>三线一单</w:t>
      </w:r>
      <w:r>
        <w:rPr>
          <w:rFonts w:ascii="Times New Roman" w:hAnsi="Times New Roman" w:cs="Times New Roman"/>
        </w:rPr>
        <w:t>”</w:t>
      </w:r>
      <w:r>
        <w:rPr>
          <w:rFonts w:ascii="Times New Roman" w:hAnsi="Times New Roman" w:cs="Times New Roman"/>
        </w:rPr>
        <w:t>生态环境分区管控要求》</w:t>
      </w:r>
      <w:r>
        <w:rPr>
          <w:rFonts w:ascii="Times New Roman" w:hAnsi="Times New Roman" w:cs="Times New Roman"/>
        </w:rPr>
        <w:t>，本</w:t>
      </w:r>
      <w:r>
        <w:rPr>
          <w:rFonts w:ascii="Times New Roman" w:hAnsi="Times New Roman" w:cs="Times New Roman"/>
        </w:rPr>
        <w:t>工程位于新和</w:t>
      </w:r>
      <w:r>
        <w:rPr>
          <w:rFonts w:ascii="Times New Roman" w:hAnsi="Times New Roman" w:cs="Times New Roman"/>
        </w:rPr>
        <w:t>县一般管控单元（环境管控单元编码：</w:t>
      </w:r>
      <w:r>
        <w:rPr>
          <w:rFonts w:ascii="Times New Roman" w:hAnsi="Times New Roman" w:cs="Times New Roman"/>
        </w:rPr>
        <w:t>ZH65292530001</w:t>
      </w:r>
      <w:r>
        <w:rPr>
          <w:rFonts w:ascii="Times New Roman" w:hAnsi="Times New Roman" w:cs="Times New Roman"/>
        </w:rPr>
        <w:t>），不涉及生态保护红线，</w:t>
      </w:r>
      <w:r>
        <w:rPr>
          <w:rFonts w:ascii="Times New Roman" w:hAnsi="Times New Roman" w:cs="Times New Roman"/>
          <w:spacing w:val="8"/>
          <w:kern w:val="24"/>
        </w:rPr>
        <w:t>距离天山水源涵养与生物多样性维护生态保护红线区</w:t>
      </w:r>
      <w:r>
        <w:rPr>
          <w:rFonts w:ascii="Times New Roman" w:hAnsi="Times New Roman" w:cs="Times New Roman"/>
          <w:spacing w:val="8"/>
          <w:kern w:val="24"/>
        </w:rPr>
        <w:t>36.7km</w:t>
      </w:r>
      <w:r>
        <w:rPr>
          <w:rFonts w:ascii="Times New Roman" w:hAnsi="Times New Roman" w:cs="Times New Roman"/>
        </w:rPr>
        <w:t>。</w:t>
      </w:r>
      <w:r>
        <w:rPr>
          <w:rFonts w:ascii="Times New Roman" w:hAnsi="Times New Roman" w:cs="Times New Roman"/>
        </w:rPr>
        <w:t>本工程建</w:t>
      </w:r>
      <w:r>
        <w:t>设</w:t>
      </w:r>
      <w:r>
        <w:rPr>
          <w:rFonts w:ascii="Times New Roman" w:hAnsi="Times New Roman" w:cs="Times New Roman"/>
        </w:rPr>
        <w:t>满足区域生态环境准入清单要求和一般管控单元的空间布局约束、污染物排放管控、环境风险防控和资源利用效率的要求，</w:t>
      </w:r>
      <w:r>
        <w:t>符合</w:t>
      </w:r>
      <w:r>
        <w:rPr>
          <w:rFonts w:hint="eastAsia"/>
        </w:rPr>
        <w:t>生态环境分区管控</w:t>
      </w:r>
      <w:r>
        <w:t>要求</w:t>
      </w:r>
      <w:r>
        <w:rPr>
          <w:rFonts w:ascii="Times New Roman" w:hAnsi="Times New Roman" w:cs="Times New Roman"/>
        </w:rPr>
        <w:t>。</w:t>
      </w:r>
      <w:bookmarkStart w:id="1151" w:name="bookmark22"/>
      <w:bookmarkEnd w:id="1151"/>
    </w:p>
    <w:p w:rsidR="00C645C9" w:rsidRDefault="00C645C9">
      <w:pPr>
        <w:rPr>
          <w:rFonts w:cs="Times New Roman"/>
        </w:rPr>
        <w:sectPr w:rsidR="00C645C9">
          <w:pgSz w:w="11905" w:h="16838"/>
          <w:pgMar w:top="1389" w:right="1729" w:bottom="1202" w:left="1769" w:header="935" w:footer="1134" w:gutter="0"/>
          <w:cols w:space="0"/>
          <w:docGrid w:linePitch="312"/>
        </w:sectPr>
      </w:pPr>
    </w:p>
    <w:p w:rsidR="00C645C9" w:rsidRDefault="00F955D9" w:rsidP="005718BB">
      <w:pPr>
        <w:pStyle w:val="a6"/>
        <w:adjustRightInd w:val="0"/>
        <w:snapToGrid w:val="0"/>
        <w:spacing w:line="240" w:lineRule="auto"/>
        <w:ind w:firstLine="420"/>
        <w:jc w:val="center"/>
      </w:pPr>
      <w:bookmarkStart w:id="1152" w:name="OLE_LINK470"/>
      <w:r>
        <w:rPr>
          <w:rFonts w:eastAsia="黑体"/>
          <w:sz w:val="21"/>
          <w:szCs w:val="21"/>
          <w:lang w:bidi="ar"/>
        </w:rPr>
        <w:lastRenderedPageBreak/>
        <w:t>表</w:t>
      </w:r>
      <w:r>
        <w:rPr>
          <w:rFonts w:eastAsia="黑体"/>
          <w:sz w:val="21"/>
          <w:szCs w:val="21"/>
          <w:lang w:bidi="ar"/>
        </w:rPr>
        <w:t>3.</w:t>
      </w:r>
      <w:r>
        <w:rPr>
          <w:rFonts w:eastAsia="黑体" w:hint="eastAsia"/>
          <w:sz w:val="21"/>
          <w:szCs w:val="21"/>
          <w:lang w:bidi="ar"/>
        </w:rPr>
        <w:t>4-3</w:t>
      </w:r>
      <w:r>
        <w:rPr>
          <w:rFonts w:eastAsia="黑体"/>
          <w:sz w:val="21"/>
          <w:szCs w:val="21"/>
          <w:lang w:bidi="ar"/>
        </w:rPr>
        <w:t xml:space="preserve">   </w:t>
      </w:r>
      <w:r>
        <w:rPr>
          <w:rFonts w:eastAsia="黑体" w:hint="eastAsia"/>
          <w:sz w:val="21"/>
          <w:szCs w:val="21"/>
          <w:lang w:bidi="ar"/>
        </w:rPr>
        <w:t>本工程</w:t>
      </w:r>
      <w:r>
        <w:rPr>
          <w:rFonts w:eastAsia="黑体"/>
          <w:sz w:val="21"/>
          <w:szCs w:val="21"/>
          <w:lang w:bidi="ar"/>
        </w:rPr>
        <w:t>与《关于印发</w:t>
      </w:r>
      <w:r>
        <w:rPr>
          <w:rFonts w:eastAsia="黑体" w:hint="eastAsia"/>
          <w:sz w:val="21"/>
          <w:szCs w:val="21"/>
          <w:lang w:bidi="ar"/>
        </w:rPr>
        <w:t>〈</w:t>
      </w:r>
      <w:r>
        <w:rPr>
          <w:rFonts w:eastAsia="黑体"/>
          <w:sz w:val="21"/>
          <w:szCs w:val="21"/>
          <w:lang w:bidi="ar"/>
        </w:rPr>
        <w:t>新疆维吾尔自治区生态环境分区管控动态更新成果</w:t>
      </w:r>
      <w:r>
        <w:rPr>
          <w:rFonts w:eastAsia="黑体" w:hint="eastAsia"/>
          <w:sz w:val="21"/>
          <w:szCs w:val="21"/>
          <w:lang w:bidi="ar"/>
        </w:rPr>
        <w:t>〉</w:t>
      </w:r>
      <w:r>
        <w:rPr>
          <w:rFonts w:eastAsia="黑体"/>
          <w:sz w:val="21"/>
          <w:szCs w:val="21"/>
          <w:lang w:bidi="ar"/>
        </w:rPr>
        <w:t>的通知》（新环环评发〔</w:t>
      </w:r>
      <w:r>
        <w:rPr>
          <w:rFonts w:eastAsia="黑体"/>
          <w:sz w:val="21"/>
          <w:szCs w:val="21"/>
          <w:lang w:bidi="ar"/>
        </w:rPr>
        <w:t>2024</w:t>
      </w:r>
      <w:r>
        <w:rPr>
          <w:rFonts w:eastAsia="黑体"/>
          <w:sz w:val="21"/>
          <w:szCs w:val="21"/>
          <w:lang w:bidi="ar"/>
        </w:rPr>
        <w:t>〕</w:t>
      </w:r>
      <w:r>
        <w:rPr>
          <w:rFonts w:eastAsia="黑体"/>
          <w:sz w:val="21"/>
          <w:szCs w:val="21"/>
          <w:lang w:bidi="ar"/>
        </w:rPr>
        <w:t>157</w:t>
      </w:r>
      <w:r>
        <w:rPr>
          <w:rFonts w:eastAsia="黑体"/>
          <w:sz w:val="21"/>
          <w:szCs w:val="21"/>
          <w:lang w:bidi="ar"/>
        </w:rPr>
        <w:t>号）符合性分析</w:t>
      </w:r>
    </w:p>
    <w:tbl>
      <w:tblPr>
        <w:tblW w:w="14344" w:type="dxa"/>
        <w:jc w:val="center"/>
        <w:tblLayout w:type="fixed"/>
        <w:tblLook w:val="04A0" w:firstRow="1" w:lastRow="0" w:firstColumn="1" w:lastColumn="0" w:noHBand="0" w:noVBand="1"/>
      </w:tblPr>
      <w:tblGrid>
        <w:gridCol w:w="2285"/>
        <w:gridCol w:w="6010"/>
        <w:gridCol w:w="5149"/>
        <w:gridCol w:w="900"/>
      </w:tblGrid>
      <w:tr w:rsidR="00C645C9">
        <w:trPr>
          <w:trHeight w:val="300"/>
          <w:jc w:val="center"/>
        </w:trPr>
        <w:tc>
          <w:tcPr>
            <w:tcW w:w="8295" w:type="dxa"/>
            <w:gridSpan w:val="2"/>
            <w:tcBorders>
              <w:top w:val="single" w:sz="4" w:space="0" w:color="auto"/>
              <w:left w:val="single" w:sz="4" w:space="0" w:color="auto"/>
              <w:bottom w:val="single" w:sz="4" w:space="0" w:color="auto"/>
              <w:right w:val="single" w:sz="4" w:space="0" w:color="auto"/>
            </w:tcBorders>
            <w:shd w:val="clear" w:color="auto" w:fill="auto"/>
            <w:vAlign w:val="center"/>
          </w:tcPr>
          <w:bookmarkEnd w:id="1152"/>
          <w:p w:rsidR="00C645C9" w:rsidRDefault="00F955D9">
            <w:pPr>
              <w:adjustRightInd w:val="0"/>
              <w:snapToGrid w:val="0"/>
              <w:jc w:val="center"/>
              <w:textAlignment w:val="center"/>
              <w:rPr>
                <w:rFonts w:cs="Times New Roman"/>
                <w:sz w:val="21"/>
                <w:szCs w:val="21"/>
              </w:rPr>
            </w:pPr>
            <w:r>
              <w:rPr>
                <w:rFonts w:cs="Times New Roman"/>
                <w:sz w:val="21"/>
                <w:szCs w:val="21"/>
                <w:lang w:bidi="ar"/>
              </w:rPr>
              <w:t>文件要求</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本</w:t>
            </w:r>
            <w:r>
              <w:rPr>
                <w:rFonts w:cs="Times New Roman" w:hint="eastAsia"/>
                <w:sz w:val="21"/>
                <w:szCs w:val="21"/>
                <w:lang w:bidi="ar"/>
              </w:rPr>
              <w:t>工程</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textAlignment w:val="center"/>
              <w:rPr>
                <w:rFonts w:cs="Times New Roman"/>
                <w:sz w:val="21"/>
                <w:szCs w:val="21"/>
              </w:rPr>
            </w:pPr>
            <w:r>
              <w:rPr>
                <w:rFonts w:cs="Times New Roman"/>
                <w:sz w:val="21"/>
                <w:szCs w:val="21"/>
                <w:lang w:bidi="ar"/>
              </w:rPr>
              <w:t>符合性</w:t>
            </w:r>
          </w:p>
        </w:tc>
      </w:tr>
      <w:tr w:rsidR="00C645C9">
        <w:trPr>
          <w:trHeight w:val="90"/>
          <w:jc w:val="center"/>
        </w:trPr>
        <w:tc>
          <w:tcPr>
            <w:tcW w:w="2285"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pStyle w:val="affff3"/>
              <w:rPr>
                <w:sz w:val="21"/>
              </w:rPr>
            </w:pPr>
            <w:r>
              <w:rPr>
                <w:sz w:val="21"/>
              </w:rPr>
              <w:t>生态保护红线</w:t>
            </w:r>
          </w:p>
        </w:tc>
        <w:tc>
          <w:tcPr>
            <w:tcW w:w="601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pStyle w:val="afff8"/>
              <w:rPr>
                <w:szCs w:val="21"/>
              </w:rPr>
            </w:pPr>
            <w:r>
              <w:rPr>
                <w:szCs w:val="21"/>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rPr>
                <w:rFonts w:cs="Times New Roman"/>
                <w:sz w:val="21"/>
                <w:szCs w:val="21"/>
              </w:rPr>
            </w:pPr>
            <w:r>
              <w:rPr>
                <w:rFonts w:hint="eastAsia"/>
                <w:sz w:val="21"/>
                <w:szCs w:val="21"/>
              </w:rPr>
              <w:t>本</w:t>
            </w:r>
            <w:r>
              <w:rPr>
                <w:rFonts w:hint="eastAsia"/>
                <w:sz w:val="21"/>
                <w:szCs w:val="21"/>
              </w:rPr>
              <w:t>工程</w:t>
            </w:r>
            <w:r>
              <w:rPr>
                <w:rFonts w:hint="eastAsia"/>
                <w:sz w:val="21"/>
                <w:szCs w:val="21"/>
              </w:rPr>
              <w:t>井场属于新和县一般管控单元（环境管控单元编码为</w:t>
            </w:r>
            <w:r>
              <w:rPr>
                <w:rFonts w:hint="eastAsia"/>
                <w:sz w:val="21"/>
                <w:szCs w:val="21"/>
              </w:rPr>
              <w:t>ZH65292530001</w:t>
            </w:r>
            <w:r>
              <w:rPr>
                <w:rFonts w:hint="eastAsia"/>
                <w:sz w:val="21"/>
                <w:szCs w:val="21"/>
              </w:rPr>
              <w:t>）。</w:t>
            </w:r>
            <w:r>
              <w:rPr>
                <w:rFonts w:hint="eastAsia"/>
                <w:sz w:val="21"/>
                <w:szCs w:val="21"/>
              </w:rPr>
              <w:t>本工程周围无自然保护区、风景名胜区、居住区、学校等环境敏感目标。根据《新疆维吾尔自治区生态保护红线划定方案》对比分析，本工程</w:t>
            </w:r>
            <w:r>
              <w:rPr>
                <w:rFonts w:hint="eastAsia"/>
                <w:sz w:val="21"/>
                <w:szCs w:val="21"/>
              </w:rPr>
              <w:t>所在</w:t>
            </w:r>
            <w:r>
              <w:rPr>
                <w:rFonts w:hint="eastAsia"/>
                <w:sz w:val="21"/>
                <w:szCs w:val="21"/>
              </w:rPr>
              <w:t>区域不在生态保护红线内，工程布局</w:t>
            </w:r>
            <w:r>
              <w:rPr>
                <w:rFonts w:hint="eastAsia"/>
                <w:sz w:val="21"/>
                <w:szCs w:val="21"/>
              </w:rPr>
              <w:t>符合</w:t>
            </w:r>
            <w:r>
              <w:rPr>
                <w:rFonts w:hint="eastAsia"/>
                <w:sz w:val="21"/>
                <w:szCs w:val="21"/>
              </w:rPr>
              <w:t>生态保护红线的管控要求。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符合</w:t>
            </w:r>
          </w:p>
        </w:tc>
      </w:tr>
      <w:tr w:rsidR="00C645C9">
        <w:trPr>
          <w:trHeight w:val="90"/>
          <w:jc w:val="center"/>
        </w:trPr>
        <w:tc>
          <w:tcPr>
            <w:tcW w:w="2285"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hint="eastAsia"/>
                <w:sz w:val="21"/>
                <w:szCs w:val="21"/>
              </w:rPr>
              <w:t>环境质量底线</w:t>
            </w:r>
          </w:p>
        </w:tc>
        <w:tc>
          <w:tcPr>
            <w:tcW w:w="601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rPr>
                <w:rFonts w:cs="Times New Roman"/>
                <w:sz w:val="21"/>
                <w:szCs w:val="21"/>
              </w:rPr>
            </w:pPr>
            <w:r>
              <w:rPr>
                <w:rFonts w:hint="eastAsia"/>
                <w:sz w:val="21"/>
                <w:szCs w:val="21"/>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rPr>
                <w:rFonts w:cs="Times New Roman"/>
                <w:sz w:val="21"/>
                <w:szCs w:val="21"/>
              </w:rPr>
            </w:pPr>
            <w:bookmarkStart w:id="1153" w:name="OLE_LINK466"/>
            <w:r>
              <w:rPr>
                <w:rFonts w:hint="eastAsia"/>
                <w:sz w:val="21"/>
                <w:szCs w:val="21"/>
              </w:rPr>
              <w:t>本工程</w:t>
            </w:r>
            <w:r>
              <w:rPr>
                <w:rFonts w:cs="Times New Roman"/>
                <w:sz w:val="21"/>
                <w:szCs w:val="21"/>
              </w:rPr>
              <w:t>为天然气开采项目。</w:t>
            </w:r>
            <w:r>
              <w:rPr>
                <w:rFonts w:cs="Times New Roman"/>
                <w:kern w:val="2"/>
                <w:sz w:val="21"/>
                <w:szCs w:val="21"/>
              </w:rPr>
              <w:t>施工期污水不排入地表水体，不会突破水环境质量底线</w:t>
            </w:r>
            <w:r>
              <w:rPr>
                <w:rFonts w:cs="Times New Roman" w:hint="eastAsia"/>
                <w:kern w:val="2"/>
                <w:sz w:val="21"/>
                <w:szCs w:val="21"/>
              </w:rPr>
              <w:t>。</w:t>
            </w:r>
            <w:r>
              <w:rPr>
                <w:rFonts w:cs="Times New Roman"/>
                <w:kern w:val="2"/>
                <w:sz w:val="21"/>
                <w:szCs w:val="21"/>
              </w:rPr>
              <w:t>施工废料应首先考虑回收利用，不可回收利用部分由库车绿能环保科技有限公司拉运至库车经济开发区工业固废填埋场合规处置</w:t>
            </w:r>
            <w:r>
              <w:rPr>
                <w:rFonts w:cs="Times New Roman" w:hint="eastAsia"/>
                <w:kern w:val="2"/>
                <w:sz w:val="21"/>
                <w:szCs w:val="21"/>
              </w:rPr>
              <w:t>。生</w:t>
            </w:r>
            <w:r>
              <w:rPr>
                <w:rFonts w:cs="Times New Roman" w:hint="eastAsia"/>
                <w:kern w:val="2"/>
                <w:sz w:val="21"/>
                <w:szCs w:val="21"/>
              </w:rPr>
              <w:t>活垃圾集中收集后，委托库车绿能环保科技有限公司清运处置。</w:t>
            </w:r>
            <w:r>
              <w:rPr>
                <w:rFonts w:cs="Times New Roman"/>
                <w:kern w:val="2"/>
                <w:sz w:val="21"/>
                <w:szCs w:val="21"/>
              </w:rPr>
              <w:t>施工过程中产生的噪声采取有效的污染防治措施，能够达标排放，不会突破声环境质量底线。</w:t>
            </w:r>
            <w:r>
              <w:rPr>
                <w:rFonts w:cs="Times New Roman"/>
                <w:sz w:val="21"/>
                <w:szCs w:val="21"/>
                <w:lang w:val="zh-CN"/>
              </w:rPr>
              <w:t>所在区域属于大气环境质量不达标区域，油气采取</w:t>
            </w:r>
            <w:r>
              <w:rPr>
                <w:rFonts w:cs="Times New Roman" w:hint="eastAsia"/>
                <w:sz w:val="21"/>
                <w:szCs w:val="21"/>
              </w:rPr>
              <w:t>凝析</w:t>
            </w:r>
            <w:r>
              <w:rPr>
                <w:rFonts w:cs="Times New Roman"/>
                <w:sz w:val="21"/>
                <w:szCs w:val="21"/>
              </w:rPr>
              <w:t>油稳定工艺</w:t>
            </w:r>
            <w:r>
              <w:rPr>
                <w:rFonts w:cs="Times New Roman"/>
                <w:sz w:val="21"/>
                <w:szCs w:val="21"/>
                <w:lang w:val="zh-CN"/>
              </w:rPr>
              <w:t>，本</w:t>
            </w:r>
            <w:r>
              <w:rPr>
                <w:rFonts w:cs="Times New Roman" w:hint="eastAsia"/>
                <w:sz w:val="21"/>
                <w:szCs w:val="21"/>
              </w:rPr>
              <w:t>工程</w:t>
            </w:r>
            <w:r>
              <w:rPr>
                <w:rFonts w:cs="Times New Roman"/>
                <w:sz w:val="21"/>
                <w:szCs w:val="21"/>
                <w:lang w:val="zh-CN"/>
              </w:rPr>
              <w:t>已提出持续改善、防风固沙、生态修复的要求</w:t>
            </w:r>
            <w:r>
              <w:rPr>
                <w:rFonts w:cs="Times New Roman" w:hint="eastAsia"/>
                <w:sz w:val="21"/>
                <w:szCs w:val="21"/>
                <w:lang w:val="zh-CN"/>
              </w:rPr>
              <w:t>。</w:t>
            </w:r>
            <w:r>
              <w:rPr>
                <w:rFonts w:cs="Times New Roman" w:hint="eastAsia"/>
                <w:sz w:val="21"/>
                <w:szCs w:val="21"/>
              </w:rPr>
              <w:t>本工程</w:t>
            </w:r>
            <w:r>
              <w:rPr>
                <w:rFonts w:cs="Times New Roman"/>
                <w:sz w:val="21"/>
                <w:szCs w:val="21"/>
                <w:lang w:val="zh-CN"/>
              </w:rPr>
              <w:t>实施后建设单位应不断强化大气</w:t>
            </w:r>
            <w:r>
              <w:rPr>
                <w:rFonts w:cs="Times New Roman" w:hint="eastAsia"/>
                <w:sz w:val="21"/>
                <w:szCs w:val="21"/>
                <w:lang w:val="zh-CN"/>
              </w:rPr>
              <w:t>污染</w:t>
            </w:r>
            <w:r>
              <w:rPr>
                <w:rFonts w:cs="Times New Roman"/>
                <w:sz w:val="21"/>
                <w:szCs w:val="21"/>
                <w:lang w:val="zh-CN"/>
              </w:rPr>
              <w:t>防治措施，改善区域环境空气质量。</w:t>
            </w:r>
            <w:r>
              <w:rPr>
                <w:rFonts w:cs="Times New Roman"/>
                <w:kern w:val="2"/>
                <w:sz w:val="21"/>
                <w:szCs w:val="21"/>
              </w:rPr>
              <w:t>符合环境质量底线要求</w:t>
            </w:r>
            <w:bookmarkEnd w:id="1153"/>
            <w:r>
              <w:rPr>
                <w:rFonts w:hint="eastAsia"/>
                <w:sz w:val="21"/>
                <w:szCs w:val="21"/>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z w:val="21"/>
                <w:szCs w:val="21"/>
              </w:rPr>
              <w:t>符合</w:t>
            </w:r>
          </w:p>
        </w:tc>
      </w:tr>
      <w:tr w:rsidR="00C645C9">
        <w:trPr>
          <w:trHeight w:val="2171"/>
          <w:jc w:val="center"/>
        </w:trPr>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rPr>
                <w:rFonts w:cs="Times New Roman"/>
                <w:sz w:val="21"/>
                <w:szCs w:val="21"/>
              </w:rPr>
            </w:pPr>
            <w:r>
              <w:rPr>
                <w:rFonts w:hint="eastAsia"/>
                <w:sz w:val="21"/>
                <w:szCs w:val="21"/>
              </w:rPr>
              <w:lastRenderedPageBreak/>
              <w:t>资源利用上线</w:t>
            </w:r>
          </w:p>
        </w:tc>
        <w:tc>
          <w:tcPr>
            <w:tcW w:w="601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rPr>
                <w:rFonts w:cs="Times New Roman"/>
                <w:sz w:val="21"/>
                <w:szCs w:val="21"/>
              </w:rPr>
            </w:pPr>
            <w:r>
              <w:rPr>
                <w:rFonts w:hint="eastAsia"/>
                <w:sz w:val="21"/>
                <w:szCs w:val="21"/>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eastAsia"/>
                <w:sz w:val="21"/>
                <w:szCs w:val="21"/>
              </w:rPr>
              <w:t>。</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rPr>
                <w:rFonts w:cs="Times New Roman"/>
                <w:sz w:val="21"/>
                <w:szCs w:val="21"/>
              </w:rPr>
            </w:pPr>
            <w:r>
              <w:rPr>
                <w:rFonts w:hint="eastAsia"/>
                <w:sz w:val="21"/>
                <w:szCs w:val="21"/>
              </w:rPr>
              <w:t>本工程占地类型主要为果园、水浇地、农村道路和采矿用地，本工程的建设占用土地资源相对区域资源利用较少，土地资源消耗符合要求。本工程运营期耗水环节为生产以及井下作业用水，用水量较少，节约了水资源，消耗量总体相对区域资源利用总量较少，能源利用均在区域负荷范围内，消耗未超出区域负荷上限。各项资源量在区域的可承受范围内，不逾越资源利用上线，符合资源利用上线要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pacing w:val="-8"/>
                <w:sz w:val="21"/>
                <w:szCs w:val="21"/>
              </w:rPr>
              <w:t>符合</w:t>
            </w:r>
          </w:p>
        </w:tc>
      </w:tr>
      <w:tr w:rsidR="00C645C9">
        <w:trPr>
          <w:trHeight w:val="1781"/>
          <w:jc w:val="center"/>
        </w:trPr>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rPr>
                <w:rFonts w:cs="Times New Roman"/>
                <w:spacing w:val="-19"/>
                <w:sz w:val="21"/>
                <w:szCs w:val="21"/>
              </w:rPr>
            </w:pPr>
            <w:r>
              <w:rPr>
                <w:rFonts w:hint="eastAsia"/>
                <w:sz w:val="21"/>
                <w:szCs w:val="21"/>
              </w:rPr>
              <w:t>生态环境准入清单</w:t>
            </w:r>
          </w:p>
        </w:tc>
        <w:tc>
          <w:tcPr>
            <w:tcW w:w="601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rPr>
                <w:rFonts w:cs="Times New Roman"/>
                <w:sz w:val="21"/>
                <w:szCs w:val="21"/>
                <w:lang w:bidi="ar"/>
              </w:rPr>
            </w:pPr>
            <w:r>
              <w:rPr>
                <w:rFonts w:hint="eastAsia"/>
                <w:sz w:val="21"/>
                <w:szCs w:val="21"/>
              </w:rPr>
              <w:t>环境准入负面清单是基于生态保护红线、环境质量底线和资源利用上线，以清单方式列出的禁止、限制等差别化环境准入条件和要求。要在环评清单式管理试点的基础上，从布局选址、资源利用效率、资源配置方式等方面入手，制定环境准入负面清单，充分发挥负面清单对产业发展和项目准入的指导和约束作用</w:t>
            </w:r>
            <w:r>
              <w:rPr>
                <w:rFonts w:hint="eastAsia"/>
                <w:sz w:val="21"/>
                <w:szCs w:val="21"/>
              </w:rPr>
              <w:t>。</w:t>
            </w:r>
          </w:p>
        </w:tc>
        <w:tc>
          <w:tcPr>
            <w:tcW w:w="514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both"/>
              <w:rPr>
                <w:sz w:val="21"/>
                <w:szCs w:val="21"/>
              </w:rPr>
            </w:pPr>
            <w:r>
              <w:rPr>
                <w:rFonts w:hint="eastAsia"/>
                <w:sz w:val="21"/>
                <w:szCs w:val="21"/>
              </w:rPr>
              <w:t>本工程位于阿克苏地区新和县境内，位于一般管控单元，属于《产业结构调整指导目录（</w:t>
            </w:r>
            <w:r>
              <w:rPr>
                <w:rFonts w:hint="eastAsia"/>
                <w:sz w:val="21"/>
                <w:szCs w:val="21"/>
              </w:rPr>
              <w:t>2024</w:t>
            </w:r>
            <w:r>
              <w:rPr>
                <w:rFonts w:hint="eastAsia"/>
                <w:sz w:val="21"/>
                <w:szCs w:val="21"/>
              </w:rPr>
              <w:t>年本）》中鼓励类，符合国家相关产业政策。</w:t>
            </w:r>
          </w:p>
          <w:p w:rsidR="00C645C9" w:rsidRDefault="00F955D9">
            <w:pPr>
              <w:jc w:val="both"/>
              <w:rPr>
                <w:rFonts w:cs="Times New Roman"/>
                <w:sz w:val="21"/>
                <w:szCs w:val="21"/>
                <w:lang w:bidi="ar"/>
              </w:rPr>
            </w:pPr>
            <w:r>
              <w:rPr>
                <w:rFonts w:hint="eastAsia"/>
                <w:sz w:val="21"/>
                <w:szCs w:val="21"/>
              </w:rPr>
              <w:t>各类污染物均满足国家及地方排放标准要求，落实生态环境保护基本要求，严守生态环境质量底线，不会降低区域生态功</w:t>
            </w:r>
            <w:r>
              <w:rPr>
                <w:rFonts w:hint="eastAsia"/>
                <w:sz w:val="21"/>
                <w:szCs w:val="21"/>
              </w:rPr>
              <w:t>能。</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pacing w:val="-8"/>
                <w:sz w:val="21"/>
                <w:szCs w:val="21"/>
              </w:rPr>
            </w:pPr>
            <w:r>
              <w:rPr>
                <w:rFonts w:cs="Times New Roman"/>
                <w:sz w:val="21"/>
                <w:szCs w:val="21"/>
                <w:lang w:bidi="ar"/>
              </w:rPr>
              <w:t>符合</w:t>
            </w:r>
          </w:p>
        </w:tc>
      </w:tr>
    </w:tbl>
    <w:p w:rsidR="00C645C9" w:rsidRDefault="00C645C9" w:rsidP="005718BB">
      <w:pPr>
        <w:pStyle w:val="a6"/>
        <w:adjustRightInd w:val="0"/>
        <w:snapToGrid w:val="0"/>
        <w:spacing w:line="240" w:lineRule="auto"/>
        <w:ind w:firstLine="420"/>
        <w:jc w:val="center"/>
        <w:rPr>
          <w:rFonts w:eastAsia="黑体"/>
          <w:sz w:val="21"/>
          <w:szCs w:val="21"/>
          <w:lang w:bidi="ar"/>
        </w:rPr>
      </w:pPr>
      <w:bookmarkStart w:id="1154" w:name="OLE_LINK472"/>
    </w:p>
    <w:p w:rsidR="00C645C9" w:rsidRDefault="00F955D9" w:rsidP="005718BB">
      <w:pPr>
        <w:pStyle w:val="a6"/>
        <w:adjustRightInd w:val="0"/>
        <w:snapToGrid w:val="0"/>
        <w:spacing w:line="240" w:lineRule="auto"/>
        <w:ind w:firstLine="420"/>
        <w:jc w:val="center"/>
      </w:pPr>
      <w:r>
        <w:rPr>
          <w:rFonts w:eastAsia="黑体"/>
          <w:sz w:val="21"/>
          <w:szCs w:val="21"/>
          <w:lang w:bidi="ar"/>
        </w:rPr>
        <w:t>表</w:t>
      </w:r>
      <w:r>
        <w:rPr>
          <w:rFonts w:eastAsia="黑体"/>
          <w:sz w:val="21"/>
          <w:szCs w:val="21"/>
          <w:lang w:bidi="ar"/>
        </w:rPr>
        <w:t>3.</w:t>
      </w:r>
      <w:r>
        <w:rPr>
          <w:rFonts w:eastAsia="黑体" w:hint="eastAsia"/>
          <w:sz w:val="21"/>
          <w:szCs w:val="21"/>
          <w:lang w:bidi="ar"/>
        </w:rPr>
        <w:t>4-4</w:t>
      </w:r>
      <w:r>
        <w:rPr>
          <w:rFonts w:eastAsia="黑体"/>
          <w:sz w:val="21"/>
          <w:szCs w:val="21"/>
          <w:lang w:bidi="ar"/>
        </w:rPr>
        <w:t xml:space="preserve">   </w:t>
      </w:r>
      <w:r>
        <w:rPr>
          <w:rFonts w:eastAsia="黑体" w:hint="eastAsia"/>
          <w:sz w:val="21"/>
          <w:szCs w:val="21"/>
          <w:lang w:bidi="ar"/>
        </w:rPr>
        <w:t>本工程</w:t>
      </w:r>
      <w:r>
        <w:rPr>
          <w:rFonts w:eastAsia="黑体"/>
          <w:sz w:val="21"/>
          <w:szCs w:val="21"/>
          <w:lang w:bidi="ar"/>
        </w:rPr>
        <w:t>与阿克苏地区生态环境准入清单符合性分析一览表符合性分析</w:t>
      </w:r>
      <w:bookmarkEnd w:id="1154"/>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88"/>
        <w:gridCol w:w="3440"/>
        <w:gridCol w:w="2572"/>
        <w:gridCol w:w="1758"/>
        <w:gridCol w:w="4307"/>
      </w:tblGrid>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单元编码</w:t>
            </w:r>
          </w:p>
        </w:tc>
        <w:tc>
          <w:tcPr>
            <w:tcW w:w="1197"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单元名称</w:t>
            </w:r>
          </w:p>
        </w:tc>
        <w:tc>
          <w:tcPr>
            <w:tcW w:w="895"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单元属性</w:t>
            </w:r>
          </w:p>
        </w:tc>
        <w:tc>
          <w:tcPr>
            <w:tcW w:w="612"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单元特征</w:t>
            </w:r>
          </w:p>
        </w:tc>
        <w:tc>
          <w:tcPr>
            <w:tcW w:w="1498"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环境要素属性</w:t>
            </w:r>
          </w:p>
        </w:tc>
      </w:tr>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ZH65292530001</w:t>
            </w:r>
          </w:p>
        </w:tc>
        <w:tc>
          <w:tcPr>
            <w:tcW w:w="1197"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新和县一般管控单元</w:t>
            </w:r>
          </w:p>
        </w:tc>
        <w:tc>
          <w:tcPr>
            <w:tcW w:w="895"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一般管控单元</w:t>
            </w:r>
          </w:p>
        </w:tc>
        <w:tc>
          <w:tcPr>
            <w:tcW w:w="612" w:type="pct"/>
            <w:vAlign w:val="center"/>
          </w:tcPr>
          <w:p w:rsidR="00C645C9" w:rsidRDefault="00C645C9">
            <w:pPr>
              <w:pStyle w:val="000"/>
              <w:widowControl w:val="0"/>
              <w:spacing w:line="240" w:lineRule="auto"/>
              <w:ind w:firstLineChars="0" w:firstLine="0"/>
              <w:rPr>
                <w:rFonts w:ascii="Times New Roman" w:eastAsia="宋体" w:hAnsi="Times New Roman" w:cs="Times New Roman"/>
                <w:sz w:val="21"/>
                <w:szCs w:val="21"/>
              </w:rPr>
            </w:pPr>
          </w:p>
        </w:tc>
        <w:tc>
          <w:tcPr>
            <w:tcW w:w="1498" w:type="pct"/>
            <w:vAlign w:val="center"/>
          </w:tcPr>
          <w:p w:rsidR="00C645C9" w:rsidRDefault="00C645C9">
            <w:pPr>
              <w:pStyle w:val="000"/>
              <w:widowControl w:val="0"/>
              <w:spacing w:line="240" w:lineRule="auto"/>
              <w:ind w:firstLineChars="0" w:firstLine="0"/>
              <w:rPr>
                <w:rFonts w:ascii="Times New Roman" w:eastAsia="宋体" w:hAnsi="Times New Roman" w:cs="Times New Roman"/>
                <w:sz w:val="21"/>
                <w:szCs w:val="21"/>
              </w:rPr>
            </w:pPr>
          </w:p>
        </w:tc>
      </w:tr>
      <w:tr w:rsidR="00C645C9">
        <w:trPr>
          <w:trHeight w:val="306"/>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控维度</w:t>
            </w:r>
          </w:p>
        </w:tc>
        <w:tc>
          <w:tcPr>
            <w:tcW w:w="2704" w:type="pct"/>
            <w:gridSpan w:val="3"/>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管控要求</w:t>
            </w:r>
          </w:p>
        </w:tc>
        <w:tc>
          <w:tcPr>
            <w:tcW w:w="1498"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符合性</w:t>
            </w:r>
          </w:p>
        </w:tc>
      </w:tr>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空间布局约束</w:t>
            </w:r>
          </w:p>
        </w:tc>
        <w:tc>
          <w:tcPr>
            <w:tcW w:w="2704" w:type="pct"/>
            <w:gridSpan w:val="3"/>
            <w:vAlign w:val="center"/>
          </w:tcPr>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执行阿克苏地区总体管控要求中空间布局约束的要求。</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任何单位和个人不得擅自占用基本农田。禁止在基本农田内从事非农业生产的活动。除法律规定的重点建设项目选址确实无法避让外，其他任何建设不得占用。</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对违反资源环境法律法规、规划，污染环境、破坏生态、乱采滥挖的露天矿山，依法整治</w:t>
            </w:r>
            <w:r>
              <w:rPr>
                <w:rFonts w:ascii="Times New Roman" w:eastAsia="宋体" w:hAnsi="Times New Roman" w:cs="Times New Roman" w:hint="eastAsia"/>
                <w:sz w:val="21"/>
                <w:szCs w:val="21"/>
              </w:rPr>
              <w:t>；</w:t>
            </w:r>
            <w:r>
              <w:rPr>
                <w:rFonts w:ascii="Times New Roman" w:eastAsia="宋体" w:hAnsi="Times New Roman" w:cs="Times New Roman"/>
                <w:sz w:val="21"/>
                <w:szCs w:val="21"/>
              </w:rPr>
              <w:t>对污染治理不规范的露天矿山，依法责令停产整治，对拒不停产或擅自恢复生产的依法强制关闭</w:t>
            </w:r>
            <w:r>
              <w:rPr>
                <w:rFonts w:ascii="Times New Roman" w:eastAsia="宋体" w:hAnsi="Times New Roman" w:cs="Times New Roman" w:hint="eastAsia"/>
                <w:sz w:val="21"/>
                <w:szCs w:val="21"/>
              </w:rPr>
              <w:t>；</w:t>
            </w:r>
            <w:r>
              <w:rPr>
                <w:rFonts w:ascii="Times New Roman" w:eastAsia="宋体" w:hAnsi="Times New Roman" w:cs="Times New Roman"/>
                <w:sz w:val="21"/>
                <w:szCs w:val="21"/>
              </w:rPr>
              <w:t>对责任主体灭失的露天矿山，要加强修复绿化、减尘抑尘。</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严格控制在优先保护类耕地集中区域新建土壤环境监管重点行业项目。</w:t>
            </w:r>
          </w:p>
        </w:tc>
        <w:tc>
          <w:tcPr>
            <w:tcW w:w="1498" w:type="pct"/>
            <w:vAlign w:val="center"/>
          </w:tcPr>
          <w:p w:rsidR="00C645C9" w:rsidRDefault="00F955D9">
            <w:pPr>
              <w:jc w:val="both"/>
              <w:textAlignment w:val="center"/>
              <w:rPr>
                <w:rFonts w:cs="Times New Roman"/>
                <w:sz w:val="21"/>
                <w:szCs w:val="21"/>
              </w:rPr>
            </w:pPr>
            <w:r>
              <w:rPr>
                <w:rFonts w:hint="eastAsia"/>
                <w:sz w:val="21"/>
                <w:szCs w:val="21"/>
              </w:rPr>
              <w:t>本工程</w:t>
            </w:r>
            <w:r>
              <w:rPr>
                <w:rFonts w:hint="eastAsia"/>
                <w:sz w:val="21"/>
                <w:szCs w:val="21"/>
              </w:rPr>
              <w:t>占地类型为</w:t>
            </w:r>
            <w:r>
              <w:rPr>
                <w:rFonts w:hint="eastAsia"/>
                <w:sz w:val="21"/>
                <w:szCs w:val="21"/>
              </w:rPr>
              <w:t>果园、水浇地、农村道路和采矿用地</w:t>
            </w:r>
            <w:r>
              <w:rPr>
                <w:rFonts w:hint="eastAsia"/>
                <w:sz w:val="21"/>
                <w:szCs w:val="21"/>
              </w:rPr>
              <w:t>，为</w:t>
            </w:r>
            <w:r>
              <w:rPr>
                <w:rFonts w:hint="eastAsia"/>
                <w:sz w:val="21"/>
                <w:szCs w:val="21"/>
              </w:rPr>
              <w:t>一般农田</w:t>
            </w:r>
            <w:r>
              <w:rPr>
                <w:rFonts w:hint="eastAsia"/>
                <w:sz w:val="21"/>
                <w:szCs w:val="21"/>
              </w:rPr>
              <w:t>，</w:t>
            </w:r>
            <w:r>
              <w:rPr>
                <w:rFonts w:hint="eastAsia"/>
                <w:sz w:val="21"/>
                <w:szCs w:val="21"/>
              </w:rPr>
              <w:t>不占用永久基本农田，评价范围涉及永久基本农田</w:t>
            </w:r>
            <w:r>
              <w:rPr>
                <w:rFonts w:hint="eastAsia"/>
                <w:sz w:val="21"/>
                <w:szCs w:val="21"/>
              </w:rPr>
              <w:t>。</w:t>
            </w:r>
            <w:r>
              <w:rPr>
                <w:rFonts w:hint="eastAsia"/>
                <w:sz w:val="21"/>
                <w:szCs w:val="21"/>
              </w:rPr>
              <w:t>本工程产生的有害物质、危险废物均能妥善处置。</w:t>
            </w:r>
          </w:p>
        </w:tc>
      </w:tr>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污染物排放</w:t>
            </w:r>
          </w:p>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lastRenderedPageBreak/>
              <w:t>管控</w:t>
            </w:r>
          </w:p>
        </w:tc>
        <w:tc>
          <w:tcPr>
            <w:tcW w:w="2704" w:type="pct"/>
            <w:gridSpan w:val="3"/>
            <w:vAlign w:val="center"/>
          </w:tcPr>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lastRenderedPageBreak/>
              <w:t>1.</w:t>
            </w:r>
            <w:r>
              <w:rPr>
                <w:rFonts w:ascii="Times New Roman" w:eastAsia="宋体" w:hAnsi="Times New Roman" w:cs="Times New Roman"/>
                <w:sz w:val="21"/>
                <w:szCs w:val="21"/>
              </w:rPr>
              <w:t>执行阿克苏地区总体管控要求中关于污染物排放管控的准入要求。</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lastRenderedPageBreak/>
              <w:t>2.</w:t>
            </w:r>
            <w:r>
              <w:rPr>
                <w:rFonts w:ascii="Times New Roman" w:eastAsia="宋体" w:hAnsi="Times New Roman" w:cs="Times New Roman"/>
                <w:sz w:val="21"/>
                <w:szCs w:val="21"/>
              </w:rPr>
              <w:t>强化畜禽养殖粪污资源化利用，提高畜禽粪污综合利用率，减少恶臭气体挥发排放。</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严格控制林地、草地、园地农药使用量，禁止使用高毒、高残留农药。</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加强农村生活垃圾的清运、收集、处置。严禁将城镇生活垃圾、污泥、工业废物直接用作肥料。</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鼓励和支持散养密集区实行畜禽粪污分户收集、集中处理</w:t>
            </w:r>
          </w:p>
        </w:tc>
        <w:tc>
          <w:tcPr>
            <w:tcW w:w="1498" w:type="pct"/>
            <w:vAlign w:val="center"/>
          </w:tcPr>
          <w:p w:rsidR="00C645C9" w:rsidRDefault="00F955D9">
            <w:pPr>
              <w:jc w:val="both"/>
              <w:textAlignment w:val="center"/>
              <w:rPr>
                <w:rFonts w:cs="Times New Roman"/>
                <w:sz w:val="21"/>
                <w:szCs w:val="21"/>
              </w:rPr>
            </w:pPr>
            <w:r>
              <w:rPr>
                <w:sz w:val="21"/>
                <w:szCs w:val="21"/>
              </w:rPr>
              <w:lastRenderedPageBreak/>
              <w:t>本工程</w:t>
            </w:r>
            <w:r>
              <w:rPr>
                <w:rFonts w:hint="eastAsia"/>
                <w:sz w:val="21"/>
                <w:szCs w:val="21"/>
              </w:rPr>
              <w:t>不涉及畜禽养殖。</w:t>
            </w:r>
            <w:r>
              <w:rPr>
                <w:rFonts w:hint="eastAsia"/>
                <w:sz w:val="21"/>
                <w:szCs w:val="21"/>
              </w:rPr>
              <w:t>本工程</w:t>
            </w:r>
            <w:r>
              <w:rPr>
                <w:rFonts w:hint="eastAsia"/>
                <w:sz w:val="21"/>
                <w:szCs w:val="21"/>
              </w:rPr>
              <w:t>不使用高毒、</w:t>
            </w:r>
            <w:r>
              <w:rPr>
                <w:rFonts w:hint="eastAsia"/>
                <w:sz w:val="21"/>
                <w:szCs w:val="21"/>
              </w:rPr>
              <w:lastRenderedPageBreak/>
              <w:t>高残留农药</w:t>
            </w:r>
            <w:r>
              <w:rPr>
                <w:rFonts w:hint="eastAsia"/>
                <w:sz w:val="21"/>
                <w:szCs w:val="21"/>
              </w:rPr>
              <w:t>。</w:t>
            </w:r>
            <w:r>
              <w:rPr>
                <w:rFonts w:hint="eastAsia"/>
                <w:sz w:val="21"/>
                <w:szCs w:val="21"/>
              </w:rPr>
              <w:t>本工程产生的废润滑油委托持有危险废物经营许可证的单位清运处置。本工程产生的生活垃圾集中收集后，委托库车绿能环保科技有限公司清运处置。本工程对土壤的污染影响在可控范围内</w:t>
            </w:r>
            <w:r>
              <w:rPr>
                <w:rFonts w:cs="Times New Roman"/>
                <w:sz w:val="21"/>
                <w:szCs w:val="21"/>
                <w:lang w:bidi="ar"/>
              </w:rPr>
              <w:t>。</w:t>
            </w:r>
          </w:p>
        </w:tc>
      </w:tr>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lastRenderedPageBreak/>
              <w:t>环境风险防控</w:t>
            </w:r>
          </w:p>
        </w:tc>
        <w:tc>
          <w:tcPr>
            <w:tcW w:w="2704" w:type="pct"/>
            <w:gridSpan w:val="3"/>
            <w:vAlign w:val="center"/>
          </w:tcPr>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执行阿克苏地区总体管控要求中关于环境风险防控的准入要求。</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加强对矿山、油田等矿产资源开采影响区域内未利用地的环境监管，发现土壤污染问题的，要坚决查处，并及时督促有关单位采取有效防治措施消除或减轻污染。</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对排查出的危库和病库以及风险评估有严重环境安全隐患的尾矿库，要求企业完善污染治理设施、进行治理和修复。全面整治历史遗留尾矿库，完善覆膜、压土、排洪、堤坝加固等隐患治理和闭库措施。</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加强油</w:t>
            </w:r>
            <w:r>
              <w:rPr>
                <w:rFonts w:ascii="Times New Roman" w:eastAsia="宋体" w:hAnsi="Times New Roman" w:cs="Times New Roman" w:hint="eastAsia"/>
                <w:sz w:val="21"/>
                <w:szCs w:val="21"/>
              </w:rPr>
              <w:t>（</w:t>
            </w:r>
            <w:r>
              <w:rPr>
                <w:rFonts w:ascii="Times New Roman" w:eastAsia="宋体" w:hAnsi="Times New Roman" w:cs="Times New Roman"/>
                <w:sz w:val="21"/>
                <w:szCs w:val="21"/>
              </w:rPr>
              <w:t>气</w:t>
            </w:r>
            <w:r>
              <w:rPr>
                <w:rFonts w:ascii="Times New Roman" w:eastAsia="宋体" w:hAnsi="Times New Roman" w:cs="Times New Roman" w:hint="eastAsia"/>
                <w:sz w:val="21"/>
                <w:szCs w:val="21"/>
              </w:rPr>
              <w:t>）</w:t>
            </w:r>
            <w:r>
              <w:rPr>
                <w:rFonts w:ascii="Times New Roman" w:eastAsia="宋体" w:hAnsi="Times New Roman" w:cs="Times New Roman"/>
                <w:sz w:val="21"/>
                <w:szCs w:val="21"/>
              </w:rPr>
              <w:t>田勘探、开发、运行过程中及排放产生的废弃物对土壤的污染。开展油</w:t>
            </w:r>
            <w:r>
              <w:rPr>
                <w:rFonts w:ascii="Times New Roman" w:eastAsia="宋体" w:hAnsi="Times New Roman" w:cs="Times New Roman" w:hint="eastAsia"/>
                <w:sz w:val="21"/>
                <w:szCs w:val="21"/>
              </w:rPr>
              <w:t>（</w:t>
            </w:r>
            <w:r>
              <w:rPr>
                <w:rFonts w:ascii="Times New Roman" w:eastAsia="宋体" w:hAnsi="Times New Roman" w:cs="Times New Roman"/>
                <w:sz w:val="21"/>
                <w:szCs w:val="21"/>
              </w:rPr>
              <w:t>气</w:t>
            </w:r>
            <w:r>
              <w:rPr>
                <w:rFonts w:ascii="Times New Roman" w:eastAsia="宋体" w:hAnsi="Times New Roman" w:cs="Times New Roman" w:hint="eastAsia"/>
                <w:sz w:val="21"/>
                <w:szCs w:val="21"/>
              </w:rPr>
              <w:t>）</w:t>
            </w:r>
            <w:r>
              <w:rPr>
                <w:rFonts w:ascii="Times New Roman" w:eastAsia="宋体" w:hAnsi="Times New Roman" w:cs="Times New Roman"/>
                <w:sz w:val="21"/>
                <w:szCs w:val="21"/>
              </w:rPr>
              <w:t>资源开发区历史遗留污染场地治理。</w:t>
            </w:r>
          </w:p>
        </w:tc>
        <w:tc>
          <w:tcPr>
            <w:tcW w:w="1498" w:type="pct"/>
            <w:vAlign w:val="center"/>
          </w:tcPr>
          <w:p w:rsidR="00C645C9" w:rsidRDefault="00F955D9">
            <w:pPr>
              <w:jc w:val="both"/>
              <w:textAlignment w:val="center"/>
              <w:rPr>
                <w:rFonts w:cs="Times New Roman"/>
                <w:sz w:val="21"/>
                <w:szCs w:val="21"/>
              </w:rPr>
            </w:pPr>
            <w:r>
              <w:rPr>
                <w:sz w:val="21"/>
                <w:szCs w:val="21"/>
              </w:rPr>
              <w:t>本工程纳入</w:t>
            </w:r>
            <w:r>
              <w:rPr>
                <w:sz w:val="21"/>
                <w:szCs w:val="21"/>
              </w:rPr>
              <w:t>中国石油化工股份有限公司西北油田分公司突发环境事件应急预案</w:t>
            </w:r>
            <w:r>
              <w:rPr>
                <w:rFonts w:hint="eastAsia"/>
                <w:sz w:val="21"/>
                <w:szCs w:val="21"/>
              </w:rPr>
              <w:t>。</w:t>
            </w:r>
            <w:r>
              <w:rPr>
                <w:rFonts w:hint="eastAsia"/>
                <w:sz w:val="21"/>
                <w:szCs w:val="21"/>
              </w:rPr>
              <w:t>本工程产生的污染物合理处置，不向外环境排放。本工程对</w:t>
            </w:r>
            <w:r>
              <w:rPr>
                <w:rFonts w:ascii="宋体" w:hAnsi="宋体" w:hint="eastAsia"/>
                <w:sz w:val="21"/>
                <w:szCs w:val="21"/>
              </w:rPr>
              <w:t>井场进行</w:t>
            </w:r>
            <w:r>
              <w:rPr>
                <w:rFonts w:ascii="宋体" w:hAnsi="宋体" w:hint="eastAsia"/>
                <w:sz w:val="21"/>
                <w:szCs w:val="21"/>
              </w:rPr>
              <w:t>了严格的</w:t>
            </w:r>
            <w:r>
              <w:rPr>
                <w:rFonts w:ascii="宋体" w:hAnsi="宋体" w:hint="eastAsia"/>
                <w:sz w:val="21"/>
                <w:szCs w:val="21"/>
              </w:rPr>
              <w:t>分区防渗</w:t>
            </w:r>
            <w:r>
              <w:rPr>
                <w:rFonts w:ascii="宋体" w:hAnsi="宋体" w:hint="eastAsia"/>
                <w:sz w:val="21"/>
                <w:szCs w:val="21"/>
              </w:rPr>
              <w:t>，</w:t>
            </w:r>
            <w:r>
              <w:rPr>
                <w:rFonts w:ascii="宋体" w:hAnsi="宋体" w:hint="eastAsia"/>
                <w:sz w:val="21"/>
                <w:szCs w:val="21"/>
              </w:rPr>
              <w:t>能有效防止污染土壤和地下水</w:t>
            </w:r>
            <w:r>
              <w:rPr>
                <w:rFonts w:cs="Times New Roman"/>
                <w:sz w:val="21"/>
                <w:szCs w:val="21"/>
                <w:lang w:bidi="ar"/>
              </w:rPr>
              <w:t>。</w:t>
            </w:r>
            <w:r>
              <w:rPr>
                <w:rFonts w:cs="Times New Roman"/>
                <w:sz w:val="21"/>
                <w:szCs w:val="21"/>
              </w:rPr>
              <w:t>符合本单元管控要求</w:t>
            </w:r>
            <w:r>
              <w:rPr>
                <w:rFonts w:cs="Times New Roman" w:hint="eastAsia"/>
                <w:sz w:val="21"/>
                <w:szCs w:val="21"/>
              </w:rPr>
              <w:t>。</w:t>
            </w:r>
          </w:p>
        </w:tc>
      </w:tr>
      <w:tr w:rsidR="00C645C9">
        <w:trPr>
          <w:jc w:val="center"/>
        </w:trPr>
        <w:tc>
          <w:tcPr>
            <w:tcW w:w="796" w:type="pct"/>
            <w:vAlign w:val="center"/>
          </w:tcPr>
          <w:p w:rsidR="00C645C9" w:rsidRDefault="00F955D9">
            <w:pPr>
              <w:pStyle w:val="000"/>
              <w:widowControl w:val="0"/>
              <w:spacing w:line="240" w:lineRule="auto"/>
              <w:ind w:firstLineChars="0" w:firstLine="0"/>
              <w:jc w:val="center"/>
              <w:rPr>
                <w:rFonts w:ascii="Times New Roman" w:eastAsia="宋体" w:hAnsi="Times New Roman" w:cs="Times New Roman"/>
                <w:b/>
                <w:bCs w:val="0"/>
                <w:sz w:val="21"/>
                <w:szCs w:val="21"/>
              </w:rPr>
            </w:pPr>
            <w:r>
              <w:rPr>
                <w:rFonts w:ascii="Times New Roman" w:eastAsia="宋体" w:hAnsi="Times New Roman" w:cs="Times New Roman"/>
                <w:b/>
                <w:bCs w:val="0"/>
                <w:sz w:val="21"/>
                <w:szCs w:val="21"/>
              </w:rPr>
              <w:t>资源利用效率</w:t>
            </w:r>
          </w:p>
        </w:tc>
        <w:tc>
          <w:tcPr>
            <w:tcW w:w="2704" w:type="pct"/>
            <w:gridSpan w:val="3"/>
            <w:vAlign w:val="center"/>
          </w:tcPr>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执行阿克苏地区总体管控要求中关于资源利用效率的准入要求。</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全面推进秸秆综合利用，鼓励秸秆资源化、饲料化、肥料化利用，推动秸秆还田与离田收集。</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减少化肥农药使用量，增加有机肥使用量，逐步实现化肥农药使用量零增长。</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推进矿井水综合利用，煤矿废水全部处理达标后用于补充矿区生产用水和生态用水，加强洗煤废水循环利用。</w:t>
            </w:r>
          </w:p>
          <w:p w:rsidR="00C645C9" w:rsidRDefault="00F955D9">
            <w:pPr>
              <w:pStyle w:val="000"/>
              <w:widowControl w:val="0"/>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推广渠道防渗、管道输水、喷灌、微灌等节水灌溉技术，完善灌溉用水计量设施。推进规模化高效节水灌溉，推广农作物节水</w:t>
            </w:r>
            <w:r>
              <w:rPr>
                <w:rFonts w:ascii="Times New Roman" w:eastAsia="宋体" w:hAnsi="Times New Roman" w:cs="Times New Roman"/>
                <w:sz w:val="21"/>
                <w:szCs w:val="21"/>
              </w:rPr>
              <w:t>抗旱</w:t>
            </w:r>
            <w:r>
              <w:rPr>
                <w:rFonts w:ascii="Times New Roman" w:eastAsia="宋体" w:hAnsi="Times New Roman" w:cs="Times New Roman"/>
                <w:sz w:val="21"/>
                <w:szCs w:val="21"/>
              </w:rPr>
              <w:t>技术。建立灌区墒情测报网络，提高农业用水效率。</w:t>
            </w:r>
          </w:p>
        </w:tc>
        <w:tc>
          <w:tcPr>
            <w:tcW w:w="1498" w:type="pct"/>
            <w:vAlign w:val="center"/>
          </w:tcPr>
          <w:p w:rsidR="00C645C9" w:rsidRDefault="00F955D9">
            <w:pPr>
              <w:jc w:val="both"/>
              <w:textAlignment w:val="center"/>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会消耗一定量的水资源，但资源消耗量对于区域资源利用总量较少，符合本单元管控要求</w:t>
            </w:r>
            <w:r>
              <w:rPr>
                <w:rFonts w:cs="Times New Roman"/>
                <w:sz w:val="21"/>
                <w:szCs w:val="21"/>
                <w:lang w:bidi="ar"/>
              </w:rPr>
              <w:t>。</w:t>
            </w:r>
          </w:p>
        </w:tc>
      </w:tr>
    </w:tbl>
    <w:p w:rsidR="00C645C9" w:rsidRDefault="00C645C9">
      <w:pPr>
        <w:pStyle w:val="YJ0"/>
        <w:rPr>
          <w:rFonts w:ascii="Times New Roman" w:eastAsia="黑体" w:hAnsi="Times New Roman" w:cs="Times New Roman"/>
          <w:b w:val="0"/>
          <w:szCs w:val="21"/>
          <w:lang w:bidi="ar"/>
        </w:rPr>
      </w:pPr>
    </w:p>
    <w:p w:rsidR="00C645C9" w:rsidRDefault="00C645C9">
      <w:pPr>
        <w:pStyle w:val="YJ0"/>
        <w:rPr>
          <w:rFonts w:ascii="Times New Roman" w:eastAsia="黑体" w:hAnsi="Times New Roman" w:cs="Times New Roman"/>
          <w:b w:val="0"/>
          <w:szCs w:val="21"/>
          <w:lang w:bidi="ar"/>
        </w:rPr>
      </w:pPr>
    </w:p>
    <w:p w:rsidR="00C645C9" w:rsidRDefault="00C645C9">
      <w:pPr>
        <w:pStyle w:val="YJ0"/>
        <w:jc w:val="both"/>
        <w:rPr>
          <w:rFonts w:ascii="Times New Roman" w:eastAsia="黑体" w:hAnsi="Times New Roman" w:cs="Times New Roman"/>
          <w:b w:val="0"/>
          <w:szCs w:val="21"/>
          <w:lang w:bidi="ar"/>
        </w:rPr>
      </w:pPr>
    </w:p>
    <w:p w:rsidR="00C645C9" w:rsidRDefault="00F955D9">
      <w:pPr>
        <w:pStyle w:val="YJ0"/>
        <w:rPr>
          <w:rFonts w:ascii="黑体" w:eastAsia="黑体" w:hAnsi="黑体" w:cs="黑体"/>
          <w:bCs/>
        </w:rPr>
      </w:pPr>
      <w:r>
        <w:rPr>
          <w:rFonts w:ascii="Times New Roman" w:eastAsia="黑体" w:hAnsi="Times New Roman" w:cs="Times New Roman"/>
          <w:b w:val="0"/>
          <w:szCs w:val="21"/>
          <w:lang w:bidi="ar"/>
        </w:rPr>
        <w:lastRenderedPageBreak/>
        <w:t>表</w:t>
      </w:r>
      <w:r>
        <w:rPr>
          <w:rFonts w:ascii="Times New Roman" w:eastAsia="黑体" w:hAnsi="Times New Roman" w:cs="Times New Roman"/>
          <w:b w:val="0"/>
          <w:szCs w:val="21"/>
          <w:lang w:bidi="ar"/>
        </w:rPr>
        <w:t>3.</w:t>
      </w:r>
      <w:r>
        <w:rPr>
          <w:rFonts w:ascii="Times New Roman" w:eastAsia="黑体" w:hAnsi="Times New Roman" w:cs="Times New Roman" w:hint="eastAsia"/>
          <w:b w:val="0"/>
          <w:szCs w:val="21"/>
          <w:lang w:bidi="ar"/>
        </w:rPr>
        <w:t>4-5</w:t>
      </w:r>
      <w:r>
        <w:rPr>
          <w:rFonts w:ascii="Times New Roman" w:eastAsia="黑体" w:hAnsi="Times New Roman" w:cs="Times New Roman"/>
          <w:b w:val="0"/>
          <w:szCs w:val="21"/>
          <w:lang w:bidi="ar"/>
        </w:rPr>
        <w:t xml:space="preserve">   </w:t>
      </w:r>
      <w:r>
        <w:rPr>
          <w:rFonts w:ascii="Times New Roman" w:eastAsia="黑体" w:hAnsi="Times New Roman" w:cs="Times New Roman" w:hint="eastAsia"/>
          <w:b w:val="0"/>
          <w:szCs w:val="21"/>
          <w:lang w:bidi="ar"/>
        </w:rPr>
        <w:t>本工程</w:t>
      </w:r>
      <w:r>
        <w:rPr>
          <w:rFonts w:ascii="Times New Roman" w:eastAsia="黑体" w:hAnsi="Times New Roman" w:cs="Times New Roman"/>
          <w:b w:val="0"/>
          <w:szCs w:val="21"/>
          <w:lang w:bidi="ar"/>
        </w:rPr>
        <w:t>与《新疆维吾尔自治区</w:t>
      </w:r>
      <w:bookmarkStart w:id="1155" w:name="OLE_LINK464"/>
      <w:r>
        <w:rPr>
          <w:rFonts w:ascii="Times New Roman" w:eastAsia="黑体" w:hAnsi="Times New Roman" w:cs="Times New Roman"/>
          <w:b w:val="0"/>
          <w:szCs w:val="21"/>
          <w:lang w:bidi="ar"/>
        </w:rPr>
        <w:t>七大片区</w:t>
      </w:r>
      <w:bookmarkEnd w:id="1155"/>
      <w:r>
        <w:rPr>
          <w:rFonts w:ascii="Times New Roman" w:eastAsia="黑体" w:hAnsi="Times New Roman" w:cs="Times New Roman"/>
          <w:b w:val="0"/>
          <w:szCs w:val="21"/>
          <w:lang w:bidi="ar"/>
        </w:rPr>
        <w:t>“</w:t>
      </w:r>
      <w:r>
        <w:rPr>
          <w:rFonts w:ascii="Times New Roman" w:eastAsia="黑体" w:hAnsi="Times New Roman" w:cs="Times New Roman"/>
          <w:b w:val="0"/>
          <w:szCs w:val="21"/>
          <w:lang w:bidi="ar"/>
        </w:rPr>
        <w:t>三线一单</w:t>
      </w:r>
      <w:r>
        <w:rPr>
          <w:rFonts w:ascii="Times New Roman" w:eastAsia="黑体" w:hAnsi="Times New Roman" w:cs="Times New Roman"/>
          <w:b w:val="0"/>
          <w:szCs w:val="21"/>
          <w:lang w:bidi="ar"/>
        </w:rPr>
        <w:t>”</w:t>
      </w:r>
      <w:r>
        <w:rPr>
          <w:rFonts w:ascii="Times New Roman" w:eastAsia="黑体" w:hAnsi="Times New Roman" w:cs="Times New Roman"/>
          <w:b w:val="0"/>
          <w:szCs w:val="21"/>
          <w:lang w:bidi="ar"/>
        </w:rPr>
        <w:t>生态环境分区管控要求》符合性分析</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8"/>
        <w:gridCol w:w="5494"/>
        <w:gridCol w:w="6707"/>
        <w:gridCol w:w="1201"/>
      </w:tblGrid>
      <w:tr w:rsidR="00C645C9">
        <w:trPr>
          <w:trHeight w:val="397"/>
          <w:tblHeader/>
          <w:jc w:val="center"/>
        </w:trPr>
        <w:tc>
          <w:tcPr>
            <w:tcW w:w="314"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名称</w:t>
            </w:r>
          </w:p>
        </w:tc>
        <w:tc>
          <w:tcPr>
            <w:tcW w:w="19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管控要求</w:t>
            </w:r>
          </w:p>
        </w:tc>
        <w:tc>
          <w:tcPr>
            <w:tcW w:w="2344"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本</w:t>
            </w:r>
            <w:r>
              <w:rPr>
                <w:rFonts w:cs="Times New Roman" w:hint="eastAsia"/>
                <w:spacing w:val="-10"/>
                <w:sz w:val="21"/>
                <w:szCs w:val="21"/>
              </w:rPr>
              <w:t>工程</w:t>
            </w:r>
          </w:p>
        </w:tc>
        <w:tc>
          <w:tcPr>
            <w:tcW w:w="4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符合性</w:t>
            </w:r>
          </w:p>
        </w:tc>
      </w:tr>
      <w:tr w:rsidR="00C645C9">
        <w:trPr>
          <w:trHeight w:val="397"/>
          <w:jc w:val="center"/>
        </w:trPr>
        <w:tc>
          <w:tcPr>
            <w:tcW w:w="314" w:type="pct"/>
            <w:vMerge w:val="restart"/>
            <w:vAlign w:val="center"/>
          </w:tcPr>
          <w:p w:rsidR="00C645C9" w:rsidRDefault="00F955D9">
            <w:pPr>
              <w:autoSpaceDE w:val="0"/>
              <w:autoSpaceDN w:val="0"/>
              <w:adjustRightInd w:val="0"/>
              <w:spacing w:line="0" w:lineRule="atLeast"/>
              <w:jc w:val="center"/>
              <w:rPr>
                <w:rFonts w:cs="Times New Roman"/>
                <w:spacing w:val="-10"/>
                <w:sz w:val="21"/>
                <w:szCs w:val="21"/>
              </w:rPr>
            </w:pPr>
            <w:bookmarkStart w:id="1156" w:name="_Hlk120542022"/>
            <w:r>
              <w:rPr>
                <w:rFonts w:cs="Times New Roman"/>
                <w:spacing w:val="-10"/>
                <w:sz w:val="21"/>
                <w:szCs w:val="21"/>
              </w:rPr>
              <w:t>天山南坡片区总体管控要求</w:t>
            </w:r>
            <w:bookmarkEnd w:id="1156"/>
          </w:p>
        </w:tc>
        <w:tc>
          <w:tcPr>
            <w:tcW w:w="1920" w:type="pct"/>
            <w:vAlign w:val="center"/>
          </w:tcPr>
          <w:p w:rsidR="00C645C9" w:rsidRDefault="00F955D9">
            <w:pPr>
              <w:spacing w:line="0" w:lineRule="atLeast"/>
              <w:jc w:val="both"/>
              <w:rPr>
                <w:rFonts w:cs="Times New Roman"/>
                <w:spacing w:val="-10"/>
                <w:sz w:val="21"/>
                <w:szCs w:val="21"/>
                <w:lang w:bidi="ar"/>
              </w:rPr>
            </w:pPr>
            <w:r>
              <w:rPr>
                <w:rFonts w:cs="Times New Roman"/>
                <w:spacing w:val="-10"/>
                <w:sz w:val="21"/>
                <w:szCs w:val="21"/>
                <w:lang w:bidi="ar"/>
              </w:rPr>
              <w:t>切实保护托木尔峰和天山南坡中段冰雪水源及生物多样性保护生态功能区内的托木尔峰自然景观、高山冰川、野生动物、森林和草原</w:t>
            </w:r>
            <w:r>
              <w:rPr>
                <w:rFonts w:cs="Times New Roman" w:hint="eastAsia"/>
                <w:spacing w:val="-10"/>
                <w:sz w:val="21"/>
                <w:szCs w:val="21"/>
                <w:lang w:bidi="ar"/>
              </w:rPr>
              <w:t>，</w:t>
            </w:r>
            <w:r>
              <w:rPr>
                <w:rFonts w:cs="Times New Roman"/>
                <w:spacing w:val="-10"/>
                <w:sz w:val="21"/>
                <w:szCs w:val="21"/>
                <w:lang w:bidi="ar"/>
              </w:rPr>
              <w:t>合理利用天然草地，稳步推进草原减牧，加强保护区管理，维护自然景观和生物多样性。</w:t>
            </w:r>
          </w:p>
        </w:tc>
        <w:tc>
          <w:tcPr>
            <w:tcW w:w="2344" w:type="pct"/>
            <w:vAlign w:val="center"/>
          </w:tcPr>
          <w:p w:rsidR="00C645C9" w:rsidRDefault="00F955D9">
            <w:pPr>
              <w:adjustRightInd w:val="0"/>
              <w:spacing w:line="0" w:lineRule="atLeast"/>
              <w:jc w:val="both"/>
              <w:rPr>
                <w:rFonts w:cs="Times New Roman"/>
                <w:spacing w:val="-10"/>
                <w:sz w:val="21"/>
                <w:szCs w:val="21"/>
              </w:rPr>
            </w:pPr>
            <w:r>
              <w:rPr>
                <w:rFonts w:cs="Times New Roman"/>
                <w:spacing w:val="-10"/>
                <w:sz w:val="21"/>
                <w:szCs w:val="21"/>
                <w:lang w:bidi="ar"/>
              </w:rPr>
              <w:t>本</w:t>
            </w:r>
            <w:r>
              <w:rPr>
                <w:rFonts w:cs="Times New Roman"/>
                <w:spacing w:val="-10"/>
                <w:sz w:val="21"/>
                <w:szCs w:val="21"/>
                <w:lang w:bidi="ar"/>
              </w:rPr>
              <w:t>工程</w:t>
            </w:r>
            <w:r>
              <w:rPr>
                <w:rFonts w:cs="Times New Roman"/>
                <w:spacing w:val="-10"/>
                <w:sz w:val="21"/>
                <w:szCs w:val="21"/>
                <w:lang w:bidi="ar"/>
              </w:rPr>
              <w:t>不位于托木尔峰和天山南坡中段冰雪水源及生物多样性保护生态功能区</w:t>
            </w:r>
          </w:p>
        </w:tc>
        <w:tc>
          <w:tcPr>
            <w:tcW w:w="4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符合</w:t>
            </w:r>
          </w:p>
        </w:tc>
      </w:tr>
      <w:tr w:rsidR="00C645C9">
        <w:trPr>
          <w:trHeight w:val="397"/>
          <w:jc w:val="center"/>
        </w:trPr>
        <w:tc>
          <w:tcPr>
            <w:tcW w:w="314" w:type="pct"/>
            <w:vMerge/>
            <w:vAlign w:val="center"/>
          </w:tcPr>
          <w:p w:rsidR="00C645C9" w:rsidRDefault="00C645C9">
            <w:pPr>
              <w:autoSpaceDE w:val="0"/>
              <w:autoSpaceDN w:val="0"/>
              <w:adjustRightInd w:val="0"/>
              <w:spacing w:line="0" w:lineRule="atLeast"/>
              <w:jc w:val="center"/>
              <w:rPr>
                <w:rFonts w:cs="Times New Roman"/>
                <w:spacing w:val="-10"/>
                <w:sz w:val="21"/>
                <w:szCs w:val="21"/>
              </w:rPr>
            </w:pPr>
          </w:p>
        </w:tc>
        <w:tc>
          <w:tcPr>
            <w:tcW w:w="1920" w:type="pct"/>
            <w:vAlign w:val="center"/>
          </w:tcPr>
          <w:p w:rsidR="00C645C9" w:rsidRDefault="00F955D9">
            <w:pPr>
              <w:spacing w:line="0" w:lineRule="atLeast"/>
              <w:jc w:val="both"/>
              <w:rPr>
                <w:rFonts w:cs="Times New Roman"/>
                <w:spacing w:val="-10"/>
                <w:sz w:val="21"/>
                <w:szCs w:val="21"/>
                <w:lang w:bidi="ar"/>
              </w:rPr>
            </w:pPr>
            <w:r>
              <w:rPr>
                <w:rFonts w:cs="Times New Roman"/>
                <w:spacing w:val="-10"/>
                <w:sz w:val="21"/>
                <w:szCs w:val="21"/>
                <w:lang w:bidi="ar"/>
              </w:rPr>
              <w:t>重点做好塔里木盆地北缘荒漠化防治。加强荒漠植被及河岸荒漠林保护，规范油气勘探开发作业，建立油田和公路扰动区域工程与生物相结合的防风固沙体系，逐步形成生态屏障。</w:t>
            </w:r>
          </w:p>
        </w:tc>
        <w:tc>
          <w:tcPr>
            <w:tcW w:w="2344" w:type="pct"/>
            <w:vAlign w:val="center"/>
          </w:tcPr>
          <w:p w:rsidR="00C645C9" w:rsidRDefault="00F955D9">
            <w:pPr>
              <w:adjustRightInd w:val="0"/>
              <w:spacing w:line="0" w:lineRule="atLeast"/>
              <w:jc w:val="both"/>
              <w:rPr>
                <w:rFonts w:cs="Times New Roman"/>
                <w:spacing w:val="-10"/>
                <w:sz w:val="21"/>
                <w:szCs w:val="21"/>
                <w:lang w:bidi="ar"/>
              </w:rPr>
            </w:pPr>
            <w:r>
              <w:rPr>
                <w:rFonts w:cs="Times New Roman"/>
                <w:spacing w:val="-10"/>
                <w:sz w:val="21"/>
                <w:szCs w:val="21"/>
                <w:lang w:bidi="ar"/>
              </w:rPr>
              <w:t>本</w:t>
            </w:r>
            <w:r>
              <w:rPr>
                <w:rFonts w:cs="Times New Roman" w:hint="eastAsia"/>
                <w:spacing w:val="-10"/>
                <w:sz w:val="21"/>
                <w:szCs w:val="21"/>
                <w:lang w:bidi="ar"/>
              </w:rPr>
              <w:t>工程</w:t>
            </w:r>
            <w:r>
              <w:rPr>
                <w:rFonts w:cs="Times New Roman"/>
                <w:spacing w:val="-10"/>
                <w:sz w:val="21"/>
                <w:szCs w:val="21"/>
                <w:lang w:bidi="ar"/>
              </w:rPr>
              <w:t>已提出持续改善、防风固沙、生态修复的要求，施工过程中严格控制施工占地，井场建设完成后，采取措施及时恢复占地，进行生态恢复，尽可能减少对区域生态环境的影响。</w:t>
            </w:r>
          </w:p>
        </w:tc>
        <w:tc>
          <w:tcPr>
            <w:tcW w:w="4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符合</w:t>
            </w:r>
          </w:p>
        </w:tc>
      </w:tr>
      <w:tr w:rsidR="00C645C9">
        <w:trPr>
          <w:trHeight w:val="397"/>
          <w:jc w:val="center"/>
        </w:trPr>
        <w:tc>
          <w:tcPr>
            <w:tcW w:w="314" w:type="pct"/>
            <w:vMerge/>
            <w:vAlign w:val="center"/>
          </w:tcPr>
          <w:p w:rsidR="00C645C9" w:rsidRDefault="00C645C9">
            <w:pPr>
              <w:autoSpaceDE w:val="0"/>
              <w:autoSpaceDN w:val="0"/>
              <w:adjustRightInd w:val="0"/>
              <w:spacing w:line="0" w:lineRule="atLeast"/>
              <w:jc w:val="center"/>
              <w:rPr>
                <w:rFonts w:cs="Times New Roman"/>
                <w:spacing w:val="-10"/>
                <w:sz w:val="21"/>
                <w:szCs w:val="21"/>
              </w:rPr>
            </w:pPr>
          </w:p>
        </w:tc>
        <w:tc>
          <w:tcPr>
            <w:tcW w:w="1920" w:type="pct"/>
            <w:vAlign w:val="center"/>
          </w:tcPr>
          <w:p w:rsidR="00C645C9" w:rsidRDefault="00F955D9">
            <w:pPr>
              <w:spacing w:line="0" w:lineRule="atLeast"/>
              <w:jc w:val="both"/>
              <w:rPr>
                <w:rFonts w:cs="Times New Roman"/>
                <w:spacing w:val="-10"/>
                <w:sz w:val="21"/>
                <w:szCs w:val="21"/>
                <w:lang w:bidi="ar"/>
              </w:rPr>
            </w:pPr>
            <w:r>
              <w:rPr>
                <w:rFonts w:cs="Times New Roman"/>
                <w:spacing w:val="-10"/>
                <w:sz w:val="21"/>
                <w:szCs w:val="21"/>
                <w:lang w:bidi="ar"/>
              </w:rPr>
              <w:t>推进塔里木河流域用水结构调整，维护塔里木河、博斯腾湖基本生态用水。</w:t>
            </w:r>
          </w:p>
          <w:p w:rsidR="00C645C9" w:rsidRDefault="00F955D9">
            <w:pPr>
              <w:spacing w:line="0" w:lineRule="atLeast"/>
              <w:jc w:val="both"/>
              <w:rPr>
                <w:rFonts w:cs="Times New Roman"/>
                <w:spacing w:val="-10"/>
                <w:sz w:val="21"/>
                <w:szCs w:val="21"/>
                <w:lang w:bidi="ar"/>
              </w:rPr>
            </w:pPr>
            <w:r>
              <w:rPr>
                <w:rFonts w:cs="Times New Roman"/>
                <w:spacing w:val="-10"/>
                <w:sz w:val="21"/>
                <w:szCs w:val="21"/>
                <w:lang w:bidi="ar"/>
              </w:rPr>
              <w:t>加强塔里木河流域水环境风险管控。加大博斯腾湖污染源头达标排放治理和监督力度，实施博斯腾湖综合治理。</w:t>
            </w:r>
          </w:p>
        </w:tc>
        <w:tc>
          <w:tcPr>
            <w:tcW w:w="2344" w:type="pct"/>
            <w:vAlign w:val="center"/>
          </w:tcPr>
          <w:p w:rsidR="00C645C9" w:rsidRDefault="00F955D9">
            <w:pPr>
              <w:adjustRightInd w:val="0"/>
              <w:spacing w:line="0" w:lineRule="atLeast"/>
              <w:jc w:val="both"/>
              <w:rPr>
                <w:rFonts w:cs="Times New Roman"/>
                <w:spacing w:val="-10"/>
                <w:sz w:val="21"/>
                <w:szCs w:val="21"/>
                <w:lang w:bidi="ar"/>
              </w:rPr>
            </w:pPr>
            <w:r>
              <w:rPr>
                <w:rFonts w:cs="Times New Roman"/>
                <w:spacing w:val="-10"/>
                <w:sz w:val="21"/>
                <w:szCs w:val="21"/>
                <w:lang w:bidi="ar"/>
              </w:rPr>
              <w:t>本</w:t>
            </w:r>
            <w:r>
              <w:rPr>
                <w:rFonts w:cs="Times New Roman" w:hint="eastAsia"/>
                <w:spacing w:val="-10"/>
                <w:sz w:val="21"/>
                <w:szCs w:val="21"/>
                <w:lang w:bidi="ar"/>
              </w:rPr>
              <w:t>工程</w:t>
            </w:r>
            <w:r>
              <w:rPr>
                <w:rFonts w:cs="Times New Roman"/>
                <w:spacing w:val="-10"/>
                <w:sz w:val="21"/>
                <w:szCs w:val="21"/>
                <w:lang w:bidi="ar"/>
              </w:rPr>
              <w:t>位于新和县，距离塔里木河</w:t>
            </w:r>
            <w:r>
              <w:rPr>
                <w:rFonts w:cs="Times New Roman"/>
                <w:spacing w:val="-10"/>
                <w:sz w:val="21"/>
                <w:szCs w:val="21"/>
                <w:lang w:bidi="ar"/>
              </w:rPr>
              <w:t>较远</w:t>
            </w:r>
            <w:r>
              <w:rPr>
                <w:rFonts w:cs="Times New Roman"/>
                <w:spacing w:val="-10"/>
                <w:sz w:val="21"/>
                <w:szCs w:val="21"/>
                <w:lang w:bidi="ar"/>
              </w:rPr>
              <w:t>，运营期耗水环节为</w:t>
            </w:r>
            <w:r>
              <w:rPr>
                <w:rFonts w:cs="Times New Roman" w:hint="eastAsia"/>
                <w:spacing w:val="-10"/>
                <w:sz w:val="21"/>
                <w:szCs w:val="21"/>
                <w:lang w:bidi="ar"/>
              </w:rPr>
              <w:t>生产以及</w:t>
            </w:r>
            <w:r>
              <w:rPr>
                <w:rFonts w:cs="Times New Roman"/>
                <w:spacing w:val="-10"/>
                <w:sz w:val="21"/>
                <w:szCs w:val="21"/>
                <w:lang w:bidi="ar"/>
              </w:rPr>
              <w:t>井下作业用水，用水量较少，</w:t>
            </w:r>
            <w:r>
              <w:rPr>
                <w:rFonts w:cs="Times New Roman" w:hint="eastAsia"/>
                <w:spacing w:val="-10"/>
                <w:sz w:val="21"/>
                <w:szCs w:val="21"/>
                <w:lang w:bidi="ar"/>
              </w:rPr>
              <w:t>生产废水</w:t>
            </w:r>
            <w:r>
              <w:rPr>
                <w:rFonts w:cs="Times New Roman"/>
                <w:spacing w:val="-10"/>
                <w:sz w:val="21"/>
                <w:szCs w:val="21"/>
                <w:lang w:bidi="ar"/>
              </w:rPr>
              <w:t>等进行综合利用，不挤占塔里木河生态用水。运营期加强环境风险防控，基本不会对塔里木河水环境产生影响。</w:t>
            </w:r>
          </w:p>
        </w:tc>
        <w:tc>
          <w:tcPr>
            <w:tcW w:w="4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符合</w:t>
            </w:r>
          </w:p>
        </w:tc>
      </w:tr>
      <w:tr w:rsidR="00C645C9">
        <w:trPr>
          <w:trHeight w:val="397"/>
          <w:jc w:val="center"/>
        </w:trPr>
        <w:tc>
          <w:tcPr>
            <w:tcW w:w="314" w:type="pct"/>
            <w:vMerge/>
            <w:vAlign w:val="center"/>
          </w:tcPr>
          <w:p w:rsidR="00C645C9" w:rsidRDefault="00C645C9">
            <w:pPr>
              <w:autoSpaceDE w:val="0"/>
              <w:autoSpaceDN w:val="0"/>
              <w:adjustRightInd w:val="0"/>
              <w:spacing w:line="0" w:lineRule="atLeast"/>
              <w:jc w:val="center"/>
              <w:rPr>
                <w:rFonts w:cs="Times New Roman"/>
                <w:spacing w:val="-10"/>
                <w:sz w:val="21"/>
                <w:szCs w:val="21"/>
              </w:rPr>
            </w:pPr>
          </w:p>
        </w:tc>
        <w:tc>
          <w:tcPr>
            <w:tcW w:w="1920" w:type="pct"/>
            <w:vAlign w:val="center"/>
          </w:tcPr>
          <w:p w:rsidR="00C645C9" w:rsidRDefault="00F955D9">
            <w:pPr>
              <w:spacing w:line="0" w:lineRule="atLeast"/>
              <w:jc w:val="both"/>
              <w:rPr>
                <w:rFonts w:cs="Times New Roman"/>
                <w:spacing w:val="-10"/>
                <w:sz w:val="21"/>
                <w:szCs w:val="21"/>
                <w:lang w:bidi="ar"/>
              </w:rPr>
            </w:pPr>
            <w:r>
              <w:rPr>
                <w:rFonts w:cs="Times New Roman"/>
                <w:spacing w:val="-10"/>
                <w:sz w:val="21"/>
                <w:szCs w:val="21"/>
                <w:lang w:bidi="ar"/>
              </w:rPr>
              <w:t>加强油（气）资源开发区土壤环境污染综合整治。强化涉重金属行业污染防控与工业废物处理处置。</w:t>
            </w:r>
          </w:p>
        </w:tc>
        <w:tc>
          <w:tcPr>
            <w:tcW w:w="2344" w:type="pct"/>
            <w:vAlign w:val="center"/>
          </w:tcPr>
          <w:p w:rsidR="00C645C9" w:rsidRDefault="00F955D9">
            <w:pPr>
              <w:adjustRightInd w:val="0"/>
              <w:spacing w:line="0" w:lineRule="atLeast"/>
              <w:jc w:val="both"/>
              <w:rPr>
                <w:rFonts w:cs="Times New Roman"/>
                <w:spacing w:val="-10"/>
                <w:sz w:val="21"/>
                <w:szCs w:val="21"/>
                <w:lang w:bidi="ar"/>
              </w:rPr>
            </w:pPr>
            <w:r>
              <w:rPr>
                <w:rFonts w:cs="Times New Roman"/>
                <w:spacing w:val="-10"/>
                <w:sz w:val="21"/>
                <w:szCs w:val="21"/>
              </w:rPr>
              <w:t>本</w:t>
            </w:r>
            <w:r>
              <w:rPr>
                <w:rFonts w:cs="Times New Roman" w:hint="eastAsia"/>
                <w:spacing w:val="-10"/>
                <w:sz w:val="21"/>
                <w:szCs w:val="21"/>
              </w:rPr>
              <w:t>工程</w:t>
            </w:r>
            <w:r>
              <w:rPr>
                <w:rFonts w:cs="Times New Roman"/>
                <w:spacing w:val="-10"/>
                <w:sz w:val="21"/>
                <w:szCs w:val="21"/>
              </w:rPr>
              <w:t>已提出土壤污染防治措施，本</w:t>
            </w:r>
            <w:r>
              <w:rPr>
                <w:rFonts w:cs="Times New Roman" w:hint="eastAsia"/>
                <w:spacing w:val="-10"/>
                <w:sz w:val="21"/>
                <w:szCs w:val="21"/>
              </w:rPr>
              <w:t>工程</w:t>
            </w:r>
            <w:r>
              <w:rPr>
                <w:rFonts w:cs="Times New Roman"/>
                <w:spacing w:val="-10"/>
                <w:sz w:val="21"/>
                <w:szCs w:val="21"/>
              </w:rPr>
              <w:t>不涉及涉重金属行业污染防控，产生的危险废物委托有</w:t>
            </w:r>
            <w:r>
              <w:rPr>
                <w:rFonts w:cs="Times New Roman" w:hint="eastAsia"/>
                <w:spacing w:val="-10"/>
                <w:sz w:val="21"/>
                <w:szCs w:val="21"/>
              </w:rPr>
              <w:t>危险废物经营许可证的单位利用</w:t>
            </w:r>
            <w:r>
              <w:rPr>
                <w:rFonts w:cs="Times New Roman"/>
                <w:spacing w:val="-10"/>
                <w:sz w:val="21"/>
                <w:szCs w:val="21"/>
              </w:rPr>
              <w:t>处置。</w:t>
            </w:r>
          </w:p>
        </w:tc>
        <w:tc>
          <w:tcPr>
            <w:tcW w:w="420" w:type="pct"/>
            <w:vAlign w:val="center"/>
          </w:tcPr>
          <w:p w:rsidR="00C645C9" w:rsidRDefault="00F955D9">
            <w:pPr>
              <w:autoSpaceDE w:val="0"/>
              <w:autoSpaceDN w:val="0"/>
              <w:adjustRightInd w:val="0"/>
              <w:spacing w:line="0" w:lineRule="atLeast"/>
              <w:jc w:val="center"/>
              <w:rPr>
                <w:rFonts w:cs="Times New Roman"/>
                <w:spacing w:val="-10"/>
                <w:sz w:val="21"/>
                <w:szCs w:val="21"/>
              </w:rPr>
            </w:pPr>
            <w:r>
              <w:rPr>
                <w:rFonts w:cs="Times New Roman"/>
                <w:spacing w:val="-10"/>
                <w:sz w:val="21"/>
                <w:szCs w:val="21"/>
              </w:rPr>
              <w:t>符合</w:t>
            </w:r>
          </w:p>
        </w:tc>
      </w:tr>
    </w:tbl>
    <w:p w:rsidR="00C645C9" w:rsidRDefault="00C645C9" w:rsidP="005718BB">
      <w:pPr>
        <w:pStyle w:val="24"/>
        <w:ind w:left="480" w:firstLine="883"/>
        <w:sectPr w:rsidR="00C645C9">
          <w:pgSz w:w="16838" w:h="11905" w:orient="landscape"/>
          <w:pgMar w:top="1769" w:right="1389" w:bottom="1729" w:left="1202" w:header="935" w:footer="1134" w:gutter="0"/>
          <w:cols w:space="0"/>
          <w:docGrid w:linePitch="312"/>
        </w:sectPr>
      </w:pPr>
    </w:p>
    <w:p w:rsidR="00C645C9" w:rsidRDefault="00C645C9">
      <w:pPr>
        <w:pStyle w:val="a4"/>
        <w:ind w:firstLine="0"/>
        <w:jc w:val="center"/>
        <w:rPr>
          <w:rFonts w:ascii="Times New Roman" w:eastAsia="黑体" w:hAnsi="Times New Roman" w:cs="Times New Roman"/>
          <w:sz w:val="21"/>
          <w:szCs w:val="21"/>
        </w:rPr>
      </w:pPr>
    </w:p>
    <w:p w:rsidR="00C645C9" w:rsidRDefault="00F955D9">
      <w:pPr>
        <w:pStyle w:val="a4"/>
        <w:jc w:val="center"/>
        <w:rPr>
          <w:rFonts w:ascii="Times New Roman" w:eastAsia="黑体" w:hAnsi="Times New Roman" w:cs="Times New Roman"/>
          <w:sz w:val="21"/>
          <w:szCs w:val="21"/>
        </w:rPr>
      </w:pPr>
      <w:r>
        <w:rPr>
          <w:rFonts w:ascii="Times New Roman" w:eastAsia="黑体" w:hAnsi="Times New Roman" w:cs="Times New Roman"/>
          <w:sz w:val="21"/>
          <w:szCs w:val="21"/>
        </w:rPr>
        <w:t>图</w:t>
      </w:r>
      <w:r>
        <w:rPr>
          <w:rFonts w:ascii="Times New Roman" w:eastAsia="黑体" w:hAnsi="Times New Roman" w:cs="Times New Roman"/>
          <w:sz w:val="21"/>
          <w:szCs w:val="21"/>
        </w:rPr>
        <w:t>3.</w:t>
      </w:r>
      <w:r>
        <w:rPr>
          <w:rFonts w:ascii="Times New Roman" w:eastAsia="黑体" w:hAnsi="Times New Roman" w:cs="Times New Roman" w:hint="eastAsia"/>
          <w:sz w:val="21"/>
          <w:szCs w:val="21"/>
        </w:rPr>
        <w:t>4</w:t>
      </w:r>
      <w:r>
        <w:rPr>
          <w:rFonts w:ascii="Times New Roman" w:eastAsia="黑体" w:hAnsi="Times New Roman" w:cs="Times New Roman"/>
          <w:sz w:val="21"/>
          <w:szCs w:val="21"/>
        </w:rPr>
        <w:t xml:space="preserve">-1   </w:t>
      </w:r>
      <w:r>
        <w:rPr>
          <w:rFonts w:ascii="Times New Roman" w:eastAsia="黑体" w:hAnsi="Times New Roman" w:cs="Times New Roman"/>
          <w:sz w:val="21"/>
          <w:szCs w:val="21"/>
        </w:rPr>
        <w:t>本</w:t>
      </w:r>
      <w:r>
        <w:rPr>
          <w:rFonts w:ascii="Times New Roman" w:eastAsia="黑体" w:hAnsi="Times New Roman" w:cs="Times New Roman" w:hint="eastAsia"/>
          <w:sz w:val="21"/>
          <w:szCs w:val="21"/>
        </w:rPr>
        <w:t>工程</w:t>
      </w:r>
      <w:r>
        <w:rPr>
          <w:rFonts w:ascii="Times New Roman" w:eastAsia="黑体" w:hAnsi="Times New Roman" w:cs="Times New Roman"/>
          <w:sz w:val="21"/>
          <w:szCs w:val="21"/>
        </w:rPr>
        <w:t>在环境管控单元分布图中的位置图</w:t>
      </w:r>
    </w:p>
    <w:p w:rsidR="00C645C9" w:rsidRDefault="00C645C9">
      <w:pPr>
        <w:rPr>
          <w:rFonts w:cs="Times New Roman"/>
        </w:rPr>
        <w:sectPr w:rsidR="00C645C9">
          <w:pgSz w:w="16838" w:h="11905" w:orient="landscape"/>
          <w:pgMar w:top="1769" w:right="1389" w:bottom="1729" w:left="1202" w:header="935" w:footer="1134" w:gutter="0"/>
          <w:cols w:space="0"/>
          <w:docGrid w:linePitch="312"/>
        </w:sectPr>
      </w:pPr>
    </w:p>
    <w:p w:rsidR="00C645C9" w:rsidRDefault="00F955D9">
      <w:pPr>
        <w:pStyle w:val="2"/>
        <w:widowControl w:val="0"/>
        <w:adjustRightInd w:val="0"/>
        <w:snapToGrid w:val="0"/>
        <w:spacing w:line="360" w:lineRule="auto"/>
        <w:rPr>
          <w:rFonts w:ascii="Times New Roman" w:hAnsi="Times New Roman" w:cs="Times New Roman"/>
          <w:color w:val="auto"/>
          <w:lang w:eastAsia="zh-CN"/>
        </w:rPr>
      </w:pPr>
      <w:bookmarkStart w:id="1157" w:name="_Toc30990"/>
      <w:r>
        <w:rPr>
          <w:rFonts w:ascii="Times New Roman" w:hAnsi="Times New Roman" w:cs="Times New Roman"/>
          <w:color w:val="auto"/>
          <w:lang w:eastAsia="zh-CN"/>
        </w:rPr>
        <w:lastRenderedPageBreak/>
        <w:t>3.</w:t>
      </w:r>
      <w:r>
        <w:rPr>
          <w:rFonts w:ascii="Times New Roman" w:hAnsi="Times New Roman" w:cs="Times New Roman" w:hint="eastAsia"/>
          <w:color w:val="auto"/>
          <w:lang w:eastAsia="zh-CN"/>
        </w:rPr>
        <w:t>5</w:t>
      </w:r>
      <w:r>
        <w:rPr>
          <w:rFonts w:ascii="Times New Roman" w:hAnsi="Times New Roman" w:cs="Times New Roman"/>
          <w:color w:val="auto"/>
          <w:lang w:eastAsia="zh-CN"/>
        </w:rPr>
        <w:t>选址选线合理性分析</w:t>
      </w:r>
      <w:bookmarkEnd w:id="1145"/>
      <w:bookmarkEnd w:id="1157"/>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本</w:t>
      </w:r>
      <w:r>
        <w:rPr>
          <w:rFonts w:ascii="Times New Roman" w:hAnsi="Times New Roman" w:cs="Times New Roman" w:hint="eastAsia"/>
        </w:rPr>
        <w:t>工程建设</w:t>
      </w:r>
      <w:bookmarkStart w:id="1158" w:name="OLE_LINK831"/>
      <w:r>
        <w:rPr>
          <w:rFonts w:ascii="Times New Roman" w:hAnsi="Times New Roman" w:cs="Times New Roman" w:hint="eastAsia"/>
        </w:rPr>
        <w:t>新北</w:t>
      </w:r>
      <w:r>
        <w:rPr>
          <w:rFonts w:ascii="Times New Roman" w:hAnsi="Times New Roman" w:cs="Times New Roman" w:hint="eastAsia"/>
        </w:rPr>
        <w:t>1X</w:t>
      </w:r>
      <w:r>
        <w:rPr>
          <w:rFonts w:ascii="Times New Roman" w:hAnsi="Times New Roman" w:cs="Times New Roman" w:hint="eastAsia"/>
        </w:rPr>
        <w:t>井井场</w:t>
      </w:r>
      <w:bookmarkEnd w:id="1158"/>
      <w:r>
        <w:rPr>
          <w:rFonts w:ascii="Times New Roman" w:hAnsi="Times New Roman" w:cs="Times New Roman" w:hint="eastAsia"/>
        </w:rPr>
        <w:t>和新北</w:t>
      </w:r>
      <w:r>
        <w:rPr>
          <w:rFonts w:ascii="Times New Roman" w:hAnsi="Times New Roman" w:cs="Times New Roman" w:hint="eastAsia"/>
        </w:rPr>
        <w:t>7</w:t>
      </w:r>
      <w:r>
        <w:rPr>
          <w:rFonts w:ascii="Times New Roman" w:hAnsi="Times New Roman" w:cs="Times New Roman" w:hint="eastAsia"/>
        </w:rPr>
        <w:t>井井场</w:t>
      </w:r>
      <w:bookmarkStart w:id="1159" w:name="OLE_LINK832"/>
      <w:r>
        <w:rPr>
          <w:rFonts w:ascii="Times New Roman" w:hAnsi="Times New Roman" w:cs="Times New Roman" w:hint="eastAsia"/>
        </w:rPr>
        <w:t>。其中，</w:t>
      </w:r>
      <w:r>
        <w:rPr>
          <w:rFonts w:ascii="Times New Roman" w:hAnsi="Times New Roman" w:cs="Times New Roman" w:hint="eastAsia"/>
        </w:rPr>
        <w:t>新北</w:t>
      </w:r>
      <w:r>
        <w:rPr>
          <w:rFonts w:ascii="Times New Roman" w:hAnsi="Times New Roman" w:cs="Times New Roman" w:hint="eastAsia"/>
        </w:rPr>
        <w:t>7</w:t>
      </w:r>
      <w:r>
        <w:rPr>
          <w:rFonts w:ascii="Times New Roman" w:hAnsi="Times New Roman" w:cs="Times New Roman"/>
        </w:rPr>
        <w:t>井为新钻井</w:t>
      </w:r>
      <w:r>
        <w:rPr>
          <w:rFonts w:ascii="Times New Roman" w:hAnsi="Times New Roman" w:cs="Times New Roman" w:hint="eastAsia"/>
        </w:rPr>
        <w:t>，</w:t>
      </w:r>
      <w:r>
        <w:rPr>
          <w:rFonts w:ascii="Times New Roman" w:hAnsi="Times New Roman" w:cs="Times New Roman" w:hint="eastAsia"/>
        </w:rPr>
        <w:t>新北</w:t>
      </w:r>
      <w:r>
        <w:rPr>
          <w:rFonts w:ascii="Times New Roman" w:hAnsi="Times New Roman" w:cs="Times New Roman" w:hint="eastAsia"/>
        </w:rPr>
        <w:t>1X</w:t>
      </w:r>
      <w:r>
        <w:rPr>
          <w:rFonts w:ascii="Times New Roman" w:hAnsi="Times New Roman" w:cs="Times New Roman" w:hint="eastAsia"/>
        </w:rPr>
        <w:t>井由勘探井转为产能井，</w:t>
      </w:r>
      <w:bookmarkEnd w:id="1159"/>
      <w:r>
        <w:rPr>
          <w:rFonts w:ascii="Times New Roman" w:hAnsi="Times New Roman" w:cs="Times New Roman" w:hint="eastAsia"/>
        </w:rPr>
        <w:t>新增部分周边用地，工程</w:t>
      </w:r>
      <w:r>
        <w:rPr>
          <w:rFonts w:ascii="Times New Roman" w:hAnsi="Times New Roman" w:cs="Times New Roman"/>
        </w:rPr>
        <w:t>组成</w:t>
      </w:r>
      <w:r>
        <w:rPr>
          <w:rFonts w:ascii="Times New Roman" w:hAnsi="Times New Roman" w:cs="Times New Roman" w:hint="eastAsia"/>
        </w:rPr>
        <w:t>为钻井工程和</w:t>
      </w:r>
      <w:r>
        <w:rPr>
          <w:rFonts w:ascii="Times New Roman" w:hAnsi="Times New Roman" w:cs="Times New Roman"/>
        </w:rPr>
        <w:t>地面工程</w:t>
      </w:r>
      <w:r>
        <w:rPr>
          <w:rFonts w:ascii="Times New Roman" w:hAnsi="Times New Roman" w:cs="Times New Roman" w:hint="eastAsia"/>
        </w:rPr>
        <w:t>。</w:t>
      </w:r>
      <w:r>
        <w:rPr>
          <w:rFonts w:ascii="Times New Roman" w:hAnsi="Times New Roman" w:cs="Times New Roman"/>
        </w:rPr>
        <w:t>根据现场调查和资料搜集，</w:t>
      </w:r>
      <w:r>
        <w:rPr>
          <w:rFonts w:ascii="Times New Roman" w:hAnsi="Times New Roman" w:cs="Times New Roman" w:hint="eastAsia"/>
        </w:rPr>
        <w:t>本工程所在区域</w:t>
      </w:r>
      <w:r>
        <w:rPr>
          <w:rFonts w:ascii="Times New Roman" w:hAnsi="Times New Roman" w:cs="Times New Roman"/>
        </w:rPr>
        <w:t>不涉及依法划定的自然保护区、饮用水源保护区、风景名胜区、森林公园等</w:t>
      </w:r>
      <w:r>
        <w:rPr>
          <w:rFonts w:ascii="Times New Roman" w:hAnsi="Times New Roman" w:cs="Times New Roman"/>
        </w:rPr>
        <w:t>自然保护地</w:t>
      </w:r>
      <w:r>
        <w:rPr>
          <w:rFonts w:ascii="Times New Roman" w:hAnsi="Times New Roman" w:cs="Times New Roman"/>
        </w:rPr>
        <w:t>，</w:t>
      </w:r>
      <w:r>
        <w:rPr>
          <w:rFonts w:ascii="Times New Roman" w:hAnsi="Times New Roman" w:cs="Times New Roman"/>
        </w:rPr>
        <w:t>不涉及生态保护红线</w:t>
      </w:r>
      <w:r>
        <w:rPr>
          <w:rFonts w:ascii="Times New Roman" w:hAnsi="Times New Roman" w:cs="Times New Roman"/>
        </w:rPr>
        <w:t>。</w:t>
      </w:r>
    </w:p>
    <w:p w:rsidR="00C645C9" w:rsidRDefault="00F955D9">
      <w:pPr>
        <w:pStyle w:val="a5"/>
        <w:widowControl w:val="0"/>
        <w:snapToGrid w:val="0"/>
        <w:ind w:firstLineChars="200" w:firstLine="480"/>
      </w:pPr>
      <w:r>
        <w:rPr>
          <w:rFonts w:ascii="Times New Roman" w:hAnsi="Times New Roman" w:cs="Times New Roman"/>
        </w:rPr>
        <w:t>根据</w:t>
      </w:r>
      <w:r>
        <w:rPr>
          <w:rFonts w:ascii="Times New Roman" w:hAnsi="Times New Roman" w:cs="Times New Roman" w:hint="eastAsia"/>
        </w:rPr>
        <w:t>本</w:t>
      </w:r>
      <w:r>
        <w:rPr>
          <w:rFonts w:ascii="Times New Roman" w:hAnsi="Times New Roman" w:cs="Times New Roman"/>
        </w:rPr>
        <w:t>工程周边关系，</w:t>
      </w:r>
      <w:r>
        <w:rPr>
          <w:rFonts w:ascii="Times New Roman" w:hAnsi="Times New Roman" w:cs="Times New Roman" w:hint="eastAsia"/>
        </w:rPr>
        <w:t>本工程</w:t>
      </w:r>
      <w:r>
        <w:rPr>
          <w:rFonts w:ascii="Times New Roman" w:hAnsi="Times New Roman" w:cs="Times New Roman"/>
        </w:rPr>
        <w:t>位于</w:t>
      </w:r>
      <w:r>
        <w:rPr>
          <w:rFonts w:ascii="Times New Roman" w:hAnsi="Times New Roman" w:cs="Times New Roman" w:hint="eastAsia"/>
        </w:rPr>
        <w:t>新疆维吾尔自治区</w:t>
      </w:r>
      <w:r>
        <w:rPr>
          <w:rFonts w:ascii="Times New Roman" w:hAnsi="Times New Roman" w:cs="Times New Roman"/>
        </w:rPr>
        <w:t>阿克苏地区新和县境内，</w:t>
      </w:r>
      <w:r>
        <w:rPr>
          <w:rFonts w:ascii="Times New Roman" w:hAnsi="Times New Roman" w:cs="Times New Roman" w:hint="eastAsia"/>
        </w:rPr>
        <w:t>新北井区</w:t>
      </w:r>
      <w:r>
        <w:rPr>
          <w:rFonts w:ascii="Times New Roman" w:hAnsi="Times New Roman" w:cs="Times New Roman"/>
        </w:rPr>
        <w:t>内。</w:t>
      </w:r>
      <w:r>
        <w:rPr>
          <w:rFonts w:ascii="Times New Roman" w:hAnsi="Times New Roman" w:cs="Times New Roman" w:hint="eastAsia"/>
        </w:rPr>
        <w:t>本工程</w:t>
      </w:r>
      <w:r>
        <w:t>井场占地土地类型主要为</w:t>
      </w:r>
      <w:r>
        <w:rPr>
          <w:rFonts w:hint="eastAsia"/>
        </w:rPr>
        <w:t>果园、水浇地、农村道路和采矿用地，不占用永久基本农田，评价范围涉及永久基本农田。</w:t>
      </w:r>
      <w:r>
        <w:rPr>
          <w:rFonts w:ascii="Times New Roman" w:hAnsi="Times New Roman" w:cs="Times New Roman" w:hint="eastAsia"/>
        </w:rPr>
        <w:t>新北</w:t>
      </w:r>
      <w:r>
        <w:rPr>
          <w:rFonts w:ascii="Times New Roman" w:hAnsi="Times New Roman" w:cs="Times New Roman" w:hint="eastAsia"/>
        </w:rPr>
        <w:t>7</w:t>
      </w:r>
      <w:r>
        <w:rPr>
          <w:rFonts w:ascii="Times New Roman" w:hAnsi="Times New Roman" w:cs="Times New Roman"/>
        </w:rPr>
        <w:t>井</w:t>
      </w:r>
      <w:r>
        <w:rPr>
          <w:rFonts w:ascii="Times New Roman" w:hAnsi="Times New Roman" w:cs="Times New Roman" w:hint="eastAsia"/>
        </w:rPr>
        <w:t>和</w:t>
      </w:r>
      <w:r>
        <w:rPr>
          <w:rFonts w:hint="eastAsia"/>
        </w:rPr>
        <w:t>新北</w:t>
      </w:r>
      <w:r>
        <w:rPr>
          <w:rFonts w:hint="eastAsia"/>
        </w:rPr>
        <w:t>1X</w:t>
      </w:r>
      <w:r>
        <w:rPr>
          <w:rFonts w:hint="eastAsia"/>
        </w:rPr>
        <w:t>井井场新增用地，</w:t>
      </w:r>
      <w:bookmarkStart w:id="1160" w:name="OLE_LINK463"/>
      <w:r>
        <w:rPr>
          <w:rFonts w:hint="eastAsia"/>
        </w:rPr>
        <w:t>正在</w:t>
      </w:r>
      <w:r>
        <w:t>办理征地手续</w:t>
      </w:r>
      <w:bookmarkEnd w:id="1160"/>
      <w:r>
        <w:rPr>
          <w:rFonts w:hint="eastAsia"/>
        </w:rPr>
        <w:t>。</w:t>
      </w:r>
      <w:r>
        <w:rPr>
          <w:rFonts w:ascii="Times New Roman" w:hAnsi="Times New Roman" w:hint="eastAsia"/>
        </w:rPr>
        <w:t>本</w:t>
      </w:r>
      <w:r>
        <w:rPr>
          <w:rFonts w:ascii="Times New Roman" w:hAnsi="Times New Roman"/>
        </w:rPr>
        <w:t>工程新建管线</w:t>
      </w:r>
      <w:r>
        <w:rPr>
          <w:rFonts w:ascii="Times New Roman" w:hAnsi="Times New Roman" w:hint="eastAsia"/>
        </w:rPr>
        <w:t>主要为单井至</w:t>
      </w:r>
      <w:r>
        <w:rPr>
          <w:rFonts w:hint="eastAsia"/>
        </w:rPr>
        <w:t>储罐</w:t>
      </w:r>
      <w:r>
        <w:rPr>
          <w:rFonts w:ascii="Times New Roman" w:hAnsi="Times New Roman" w:hint="eastAsia"/>
        </w:rPr>
        <w:t>管线，均在井场内，纳入井场</w:t>
      </w:r>
      <w:r>
        <w:t>征地手续</w:t>
      </w:r>
      <w:r>
        <w:rPr>
          <w:rFonts w:hint="eastAsia"/>
        </w:rPr>
        <w:t>范围内</w:t>
      </w:r>
      <w:r>
        <w:rPr>
          <w:rFonts w:ascii="Times New Roman" w:hAnsi="Times New Roman"/>
        </w:rPr>
        <w:t>。</w:t>
      </w:r>
      <w:r>
        <w:t>可研设计阶段已选择植被相对稀疏地带，建设单位施工前应根据相关要求，办理占地手续后方可开工建设</w:t>
      </w:r>
      <w:r>
        <w:rPr>
          <w:rFonts w:hint="eastAsia"/>
        </w:rPr>
        <w:t>。</w:t>
      </w:r>
    </w:p>
    <w:p w:rsidR="00C645C9" w:rsidRDefault="00F955D9" w:rsidP="005718BB">
      <w:pPr>
        <w:pStyle w:val="a6"/>
        <w:adjustRightInd w:val="0"/>
        <w:snapToGrid w:val="0"/>
        <w:ind w:firstLine="480"/>
      </w:pPr>
      <w:bookmarkStart w:id="1161" w:name="OLE_LINK510"/>
      <w:r>
        <w:rPr>
          <w:rFonts w:hAnsi="宋体" w:cs="宋体" w:hint="eastAsia"/>
        </w:rPr>
        <w:t>综上</w:t>
      </w:r>
      <w:bookmarkEnd w:id="1161"/>
      <w:r>
        <w:rPr>
          <w:rFonts w:hAnsi="宋体" w:cs="宋体" w:hint="eastAsia"/>
        </w:rPr>
        <w:t>所述，</w:t>
      </w:r>
      <w:r>
        <w:rPr>
          <w:rFonts w:hAnsi="宋体" w:cs="宋体" w:hint="eastAsia"/>
        </w:rPr>
        <w:t>本工程</w:t>
      </w:r>
      <w:r>
        <w:rPr>
          <w:rFonts w:hAnsi="宋体" w:cs="宋体" w:hint="eastAsia"/>
        </w:rPr>
        <w:t>选址符合生态环境分区管控要求，不涉及法律法规明令禁止建设的区域，不在生态保护红线范围内，远离居民集中区、医院、学校等环境敏感区。</w:t>
      </w:r>
      <w:r>
        <w:t>本</w:t>
      </w:r>
      <w:r>
        <w:rPr>
          <w:rFonts w:hint="eastAsia"/>
        </w:rPr>
        <w:t>工程</w:t>
      </w:r>
      <w:r>
        <w:t>选址选线合理</w:t>
      </w:r>
      <w:r>
        <w:rPr>
          <w:rFonts w:hint="eastAsia"/>
        </w:rPr>
        <w:t>。</w:t>
      </w:r>
    </w:p>
    <w:p w:rsidR="00C645C9" w:rsidRDefault="00C645C9">
      <w:pPr>
        <w:pStyle w:val="1"/>
        <w:widowControl w:val="0"/>
        <w:adjustRightInd w:val="0"/>
        <w:snapToGrid w:val="0"/>
        <w:spacing w:before="0" w:after="0" w:line="360" w:lineRule="auto"/>
        <w:rPr>
          <w:rFonts w:ascii="Times New Roman" w:hAnsi="Times New Roman" w:cs="Times New Roman"/>
          <w:color w:val="auto"/>
          <w:sz w:val="36"/>
          <w:szCs w:val="36"/>
          <w:lang w:eastAsia="zh-CN"/>
        </w:rPr>
        <w:sectPr w:rsidR="00C645C9">
          <w:footerReference w:type="default" r:id="rId32"/>
          <w:pgSz w:w="11906" w:h="16838"/>
          <w:pgMar w:top="1440" w:right="1800" w:bottom="1440" w:left="1800" w:header="851" w:footer="992" w:gutter="0"/>
          <w:cols w:space="425"/>
          <w:docGrid w:type="lines" w:linePitch="312"/>
        </w:sectPr>
      </w:pPr>
      <w:bookmarkStart w:id="1162" w:name="_Toc7750"/>
      <w:bookmarkStart w:id="1163" w:name="_Toc75438891"/>
    </w:p>
    <w:p w:rsidR="00C645C9" w:rsidRDefault="00F955D9">
      <w:pPr>
        <w:pStyle w:val="1"/>
        <w:widowControl w:val="0"/>
        <w:adjustRightInd w:val="0"/>
        <w:snapToGrid w:val="0"/>
        <w:spacing w:before="0" w:after="0" w:line="360" w:lineRule="auto"/>
        <w:rPr>
          <w:rFonts w:ascii="Times New Roman" w:hAnsi="Times New Roman" w:cs="Times New Roman"/>
          <w:color w:val="auto"/>
          <w:sz w:val="36"/>
          <w:szCs w:val="36"/>
          <w:lang w:eastAsia="zh-CN"/>
        </w:rPr>
      </w:pPr>
      <w:bookmarkStart w:id="1164" w:name="_Toc27602"/>
      <w:r>
        <w:rPr>
          <w:rFonts w:ascii="Times New Roman" w:hAnsi="Times New Roman" w:cs="Times New Roman"/>
          <w:color w:val="auto"/>
          <w:sz w:val="36"/>
          <w:szCs w:val="36"/>
          <w:lang w:eastAsia="zh-CN"/>
        </w:rPr>
        <w:lastRenderedPageBreak/>
        <w:t>4</w:t>
      </w:r>
      <w:bookmarkEnd w:id="1162"/>
      <w:bookmarkEnd w:id="1163"/>
      <w:r>
        <w:rPr>
          <w:rFonts w:ascii="Times New Roman" w:hAnsi="Times New Roman" w:cs="Times New Roman"/>
          <w:color w:val="auto"/>
          <w:sz w:val="36"/>
          <w:szCs w:val="36"/>
          <w:lang w:eastAsia="zh-CN"/>
        </w:rPr>
        <w:t>环境现状调查与评价</w:t>
      </w:r>
      <w:bookmarkEnd w:id="1164"/>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165" w:name="_Toc42981108"/>
      <w:bookmarkStart w:id="1166" w:name="_Toc508291886"/>
      <w:bookmarkStart w:id="1167" w:name="_Toc374724183"/>
      <w:bookmarkStart w:id="1168" w:name="_Toc26151"/>
      <w:bookmarkStart w:id="1169" w:name="_Toc75438892"/>
      <w:bookmarkStart w:id="1170" w:name="_Toc28671"/>
      <w:r>
        <w:rPr>
          <w:rFonts w:ascii="Times New Roman" w:hAnsi="Times New Roman" w:cs="Times New Roman"/>
          <w:color w:val="auto"/>
          <w:lang w:eastAsia="zh-CN"/>
        </w:rPr>
        <w:t>4.1</w:t>
      </w:r>
      <w:bookmarkEnd w:id="1165"/>
      <w:bookmarkEnd w:id="1166"/>
      <w:bookmarkEnd w:id="1167"/>
      <w:bookmarkEnd w:id="1168"/>
      <w:bookmarkEnd w:id="1169"/>
      <w:r>
        <w:rPr>
          <w:rFonts w:ascii="Times New Roman" w:hAnsi="Times New Roman" w:cs="Times New Roman"/>
          <w:color w:val="auto"/>
          <w:lang w:eastAsia="zh-CN"/>
        </w:rPr>
        <w:t>自然环境概况</w:t>
      </w:r>
      <w:bookmarkEnd w:id="1170"/>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71" w:name="_Toc14219"/>
      <w:bookmarkStart w:id="1172" w:name="_Toc2407"/>
      <w:bookmarkStart w:id="1173" w:name="_Toc30227"/>
      <w:r>
        <w:rPr>
          <w:rFonts w:ascii="Times New Roman" w:hAnsi="Times New Roman" w:cs="Times New Roman"/>
          <w:color w:val="auto"/>
          <w:lang w:eastAsia="zh-CN"/>
        </w:rPr>
        <w:t>4.1.1</w:t>
      </w:r>
      <w:bookmarkEnd w:id="1171"/>
      <w:bookmarkEnd w:id="1172"/>
      <w:bookmarkEnd w:id="1173"/>
      <w:r>
        <w:rPr>
          <w:rFonts w:ascii="Times New Roman" w:hAnsi="Times New Roman" w:cs="Times New Roman"/>
          <w:color w:val="auto"/>
          <w:lang w:eastAsia="zh-CN"/>
        </w:rPr>
        <w:t>地理位置</w:t>
      </w:r>
    </w:p>
    <w:p w:rsidR="00C645C9" w:rsidRDefault="00F955D9">
      <w:pPr>
        <w:adjustRightInd w:val="0"/>
        <w:snapToGrid w:val="0"/>
        <w:spacing w:line="360" w:lineRule="auto"/>
        <w:ind w:firstLineChars="200" w:firstLine="480"/>
        <w:rPr>
          <w:rFonts w:cs="Times New Roman"/>
        </w:rPr>
      </w:pPr>
      <w:bookmarkStart w:id="1174" w:name="OLE_LINK512"/>
      <w:bookmarkStart w:id="1175" w:name="OLE_LINK516"/>
      <w:r>
        <w:rPr>
          <w:rFonts w:cs="Times New Roman" w:hint="eastAsia"/>
        </w:rPr>
        <w:t>新和</w:t>
      </w:r>
      <w:bookmarkEnd w:id="1174"/>
      <w:r>
        <w:rPr>
          <w:rFonts w:cs="Times New Roman" w:hint="eastAsia"/>
        </w:rPr>
        <w:t>县</w:t>
      </w:r>
      <w:bookmarkEnd w:id="1175"/>
      <w:r>
        <w:rPr>
          <w:rFonts w:cs="Times New Roman" w:hint="eastAsia"/>
        </w:rPr>
        <w:t>位于新疆维吾尔自治区阿克苏地区东部，地处天山南麓、塔里木盆地北缘。地理坐标为</w:t>
      </w:r>
      <w:r>
        <w:rPr>
          <w:rFonts w:cs="Times New Roman" w:hint="eastAsia"/>
        </w:rPr>
        <w:t>**</w:t>
      </w:r>
      <w:r>
        <w:rPr>
          <w:rFonts w:cs="Times New Roman"/>
        </w:rPr>
        <w:t>。东隔渭干河与库车</w:t>
      </w:r>
      <w:r>
        <w:rPr>
          <w:rFonts w:cs="Times New Roman" w:hint="eastAsia"/>
        </w:rPr>
        <w:t>市</w:t>
      </w:r>
      <w:r>
        <w:rPr>
          <w:rFonts w:cs="Times New Roman"/>
        </w:rPr>
        <w:t>相望</w:t>
      </w:r>
      <w:r>
        <w:rPr>
          <w:rFonts w:cs="Times New Roman" w:hint="eastAsia"/>
        </w:rPr>
        <w:t>，西以喀拉玉尔滚山为界与阿克苏市、温宿县相交，北依天山支脉却勒塔格山与拜城县毗邻，南与沙雅县英买力乡、二牧场接壤，属暖温带大陆干旱性气候，冬季干冷、夏季干热，总面积</w:t>
      </w:r>
      <w:r>
        <w:rPr>
          <w:rFonts w:cs="Times New Roman" w:hint="eastAsia"/>
        </w:rPr>
        <w:t>5820.46</w:t>
      </w:r>
      <w:r>
        <w:rPr>
          <w:rFonts w:cs="Times New Roman" w:hint="eastAsia"/>
        </w:rPr>
        <w:t>平方千米。</w:t>
      </w:r>
      <w:bookmarkStart w:id="1176" w:name="OLE_LINK511"/>
    </w:p>
    <w:p w:rsidR="00C645C9" w:rsidRDefault="00F955D9">
      <w:pPr>
        <w:adjustRightInd w:val="0"/>
        <w:snapToGrid w:val="0"/>
        <w:spacing w:line="360" w:lineRule="auto"/>
        <w:ind w:firstLineChars="200" w:firstLine="480"/>
        <w:jc w:val="both"/>
        <w:rPr>
          <w:rFonts w:cs="Times New Roman"/>
        </w:rPr>
      </w:pPr>
      <w:r>
        <w:rPr>
          <w:rFonts w:cs="Times New Roman" w:hint="eastAsia"/>
        </w:rPr>
        <w:t>本工程位于新和县北部，中心地理坐标为</w:t>
      </w:r>
      <w:r>
        <w:rPr>
          <w:rFonts w:cs="Times New Roman" w:hint="eastAsia"/>
        </w:rPr>
        <w:t>**</w:t>
      </w:r>
      <w:r>
        <w:rPr>
          <w:rFonts w:cs="Times New Roman" w:hint="eastAsia"/>
        </w:rPr>
        <w:t>，地理位置见图</w:t>
      </w:r>
      <w:r>
        <w:rPr>
          <w:rFonts w:cs="Times New Roman" w:hint="eastAsia"/>
        </w:rPr>
        <w:t>3.2-1</w:t>
      </w:r>
      <w:r>
        <w:rPr>
          <w:rFonts w:cs="Times New Roman" w:hint="eastAsia"/>
        </w:rPr>
        <w:t>。</w:t>
      </w:r>
      <w:r>
        <w:rPr>
          <w:rFonts w:cs="Times New Roman" w:hint="eastAsia"/>
        </w:rPr>
        <w:t xml:space="preserve"> </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77" w:name="_Toc18201"/>
      <w:bookmarkStart w:id="1178" w:name="_Toc21001"/>
      <w:bookmarkStart w:id="1179" w:name="_Toc6707"/>
      <w:bookmarkEnd w:id="1176"/>
      <w:r>
        <w:rPr>
          <w:rFonts w:ascii="Times New Roman" w:hAnsi="Times New Roman" w:cs="Times New Roman"/>
          <w:color w:val="auto"/>
          <w:lang w:eastAsia="zh-CN"/>
        </w:rPr>
        <w:t>4.1.2</w:t>
      </w:r>
      <w:bookmarkStart w:id="1180" w:name="OLE_LINK517"/>
      <w:bookmarkEnd w:id="1177"/>
      <w:bookmarkEnd w:id="1178"/>
      <w:bookmarkEnd w:id="1179"/>
      <w:r>
        <w:rPr>
          <w:rFonts w:ascii="Times New Roman" w:hAnsi="Times New Roman" w:cs="Times New Roman"/>
          <w:color w:val="auto"/>
          <w:lang w:eastAsia="zh-CN"/>
        </w:rPr>
        <w:t>地形地貌</w:t>
      </w:r>
      <w:bookmarkEnd w:id="1180"/>
      <w:r>
        <w:rPr>
          <w:rFonts w:ascii="Times New Roman" w:hAnsi="Times New Roman" w:cs="Times New Roman"/>
          <w:color w:val="auto"/>
          <w:lang w:eastAsia="zh-CN"/>
        </w:rPr>
        <w:t xml:space="preserve"> </w:t>
      </w:r>
      <w:bookmarkStart w:id="1181" w:name="_Toc30359"/>
      <w:bookmarkStart w:id="1182" w:name="_Toc20882"/>
      <w:bookmarkStart w:id="1183" w:name="_Toc28229"/>
    </w:p>
    <w:p w:rsidR="00C645C9" w:rsidRDefault="00F955D9">
      <w:pPr>
        <w:adjustRightInd w:val="0"/>
        <w:snapToGrid w:val="0"/>
        <w:spacing w:line="360" w:lineRule="auto"/>
        <w:ind w:firstLineChars="200" w:firstLine="480"/>
        <w:rPr>
          <w:rFonts w:cs="Times New Roman"/>
        </w:rPr>
      </w:pPr>
      <w:bookmarkStart w:id="1184" w:name="OLE_LINK513"/>
      <w:r>
        <w:rPr>
          <w:rFonts w:cs="Times New Roman" w:hint="eastAsia"/>
        </w:rPr>
        <w:t>新和</w:t>
      </w:r>
      <w:r>
        <w:rPr>
          <w:rFonts w:cs="Times New Roman" w:hint="eastAsia"/>
        </w:rPr>
        <w:t>县地貌可分为平原和山地两大类型。天山支脉却勒塔格山蜿蜒县境北部，呈东西走向，由第三纪红色岩构成，表层岩石出露，占全县总面积的</w:t>
      </w:r>
      <w:r>
        <w:rPr>
          <w:rFonts w:cs="Times New Roman" w:hint="eastAsia"/>
        </w:rPr>
        <w:t>12.8%</w:t>
      </w:r>
      <w:r>
        <w:rPr>
          <w:rFonts w:cs="Times New Roman" w:hint="eastAsia"/>
        </w:rPr>
        <w:t>，山峰最高点为海拔</w:t>
      </w:r>
      <w:r>
        <w:rPr>
          <w:rFonts w:cs="Times New Roman" w:hint="eastAsia"/>
        </w:rPr>
        <w:t>2212m</w:t>
      </w:r>
      <w:r>
        <w:rPr>
          <w:rFonts w:cs="Times New Roman" w:hint="eastAsia"/>
        </w:rPr>
        <w:t>。平原可分为</w:t>
      </w:r>
      <w:bookmarkStart w:id="1185" w:name="OLE_LINK518"/>
      <w:r>
        <w:rPr>
          <w:rFonts w:cs="Times New Roman" w:hint="eastAsia"/>
        </w:rPr>
        <w:t>渭干河冲积平原</w:t>
      </w:r>
      <w:bookmarkEnd w:id="1185"/>
      <w:r>
        <w:rPr>
          <w:rFonts w:cs="Times New Roman" w:hint="eastAsia"/>
        </w:rPr>
        <w:t>和却勒塔格山洪积平原。地形北高南低，由东北向西南倾斜，以渭</w:t>
      </w:r>
      <w:r>
        <w:rPr>
          <w:rFonts w:cs="Times New Roman" w:hint="eastAsia"/>
        </w:rPr>
        <w:t>干河龙口为中心，呈扇形辐射状。自然坡降为</w:t>
      </w:r>
      <w:r>
        <w:rPr>
          <w:rFonts w:cs="Times New Roman" w:hint="eastAsia"/>
        </w:rPr>
        <w:t>1/100~1/200</w:t>
      </w:r>
      <w:r>
        <w:rPr>
          <w:rFonts w:cs="Times New Roman" w:hint="eastAsia"/>
        </w:rPr>
        <w:t>、</w:t>
      </w:r>
      <w:r>
        <w:rPr>
          <w:rFonts w:cs="Times New Roman" w:hint="eastAsia"/>
        </w:rPr>
        <w:t>1/400~1/1000</w:t>
      </w:r>
      <w:r>
        <w:rPr>
          <w:rFonts w:cs="Times New Roman" w:hint="eastAsia"/>
        </w:rPr>
        <w:t>，南部为</w:t>
      </w:r>
      <w:r>
        <w:rPr>
          <w:rFonts w:cs="Times New Roman" w:hint="eastAsia"/>
        </w:rPr>
        <w:t>1/2000~1/14500</w:t>
      </w:r>
      <w:r>
        <w:rPr>
          <w:rFonts w:cs="Times New Roman" w:hint="eastAsia"/>
        </w:rPr>
        <w:t>，平原北部山区海拔最高点</w:t>
      </w:r>
      <w:r>
        <w:rPr>
          <w:rFonts w:cs="Times New Roman" w:hint="eastAsia"/>
        </w:rPr>
        <w:t>1030m</w:t>
      </w:r>
      <w:r>
        <w:rPr>
          <w:rFonts w:cs="Times New Roman" w:hint="eastAsia"/>
        </w:rPr>
        <w:t>，平均海拔</w:t>
      </w:r>
      <w:r>
        <w:rPr>
          <w:rFonts w:cs="Times New Roman" w:hint="eastAsia"/>
        </w:rPr>
        <w:t>1015m</w:t>
      </w:r>
      <w:r>
        <w:rPr>
          <w:rFonts w:cs="Times New Roman" w:hint="eastAsia"/>
        </w:rPr>
        <w:t>，海拔最低点</w:t>
      </w:r>
      <w:r>
        <w:rPr>
          <w:rFonts w:cs="Times New Roman" w:hint="eastAsia"/>
        </w:rPr>
        <w:t>980m</w:t>
      </w:r>
      <w:r>
        <w:rPr>
          <w:rFonts w:cs="Times New Roman" w:hint="eastAsia"/>
        </w:rPr>
        <w:t>。东北部的渭干河出山后，即成散流，形成渭干河冲积平原。平原面积为</w:t>
      </w:r>
      <w:r>
        <w:rPr>
          <w:rFonts w:cs="Times New Roman" w:hint="eastAsia"/>
        </w:rPr>
        <w:t>4995km</w:t>
      </w:r>
      <w:r>
        <w:rPr>
          <w:rFonts w:cs="Times New Roman" w:hint="eastAsia"/>
          <w:vertAlign w:val="superscript"/>
        </w:rPr>
        <w:t>2</w:t>
      </w:r>
      <w:r>
        <w:rPr>
          <w:rFonts w:cs="Times New Roman" w:hint="eastAsia"/>
        </w:rPr>
        <w:t>，占总面积的</w:t>
      </w:r>
      <w:r>
        <w:rPr>
          <w:rFonts w:cs="Times New Roman" w:hint="eastAsia"/>
        </w:rPr>
        <w:t>85.8%</w:t>
      </w:r>
      <w:r>
        <w:rPr>
          <w:rFonts w:cs="Times New Roman" w:hint="eastAsia"/>
        </w:rPr>
        <w:t>。</w:t>
      </w:r>
    </w:p>
    <w:p w:rsidR="00C645C9" w:rsidRDefault="00F955D9">
      <w:pPr>
        <w:adjustRightInd w:val="0"/>
        <w:snapToGrid w:val="0"/>
        <w:spacing w:line="360" w:lineRule="auto"/>
        <w:ind w:firstLineChars="200" w:firstLine="480"/>
        <w:rPr>
          <w:rFonts w:cs="Times New Roman"/>
        </w:rPr>
      </w:pPr>
      <w:r>
        <w:rPr>
          <w:rFonts w:cs="Times New Roman" w:hint="eastAsia"/>
        </w:rPr>
        <w:t>本工程所在区域地处于渭干河冲积平原，地势平坦，土壤多盐碱，</w:t>
      </w:r>
      <w:r>
        <w:rPr>
          <w:rFonts w:cs="Times New Roman" w:hint="eastAsia"/>
        </w:rPr>
        <w:t>海拔</w:t>
      </w:r>
      <w:r>
        <w:rPr>
          <w:rFonts w:cs="Times New Roman" w:hint="eastAsia"/>
        </w:rPr>
        <w:t>为</w:t>
      </w:r>
      <w:r>
        <w:rPr>
          <w:rFonts w:cs="Times New Roman" w:hint="eastAsia"/>
        </w:rPr>
        <w:t>1000m</w:t>
      </w:r>
      <w:r>
        <w:rPr>
          <w:rFonts w:cs="Times New Roman" w:hint="eastAsia"/>
        </w:rPr>
        <w:t>左右，自然坡降为</w:t>
      </w:r>
      <w:r>
        <w:rPr>
          <w:rFonts w:cs="Times New Roman" w:hint="eastAsia"/>
        </w:rPr>
        <w:t>1/14500</w:t>
      </w:r>
      <w:r>
        <w:rPr>
          <w:rFonts w:cs="Times New Roman" w:hint="eastAsia"/>
        </w:rPr>
        <w:t>，局部地段地表层被风积沙覆盖。</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86" w:name="_Toc31167"/>
      <w:bookmarkStart w:id="1187" w:name="_Toc17245"/>
      <w:bookmarkStart w:id="1188" w:name="_Toc21624"/>
      <w:bookmarkEnd w:id="1184"/>
      <w:r>
        <w:rPr>
          <w:rFonts w:ascii="Times New Roman" w:hAnsi="Times New Roman" w:cs="Times New Roman"/>
          <w:color w:val="auto"/>
          <w:lang w:eastAsia="zh-CN"/>
        </w:rPr>
        <w:t>4.1.</w:t>
      </w:r>
      <w:r>
        <w:rPr>
          <w:rFonts w:ascii="Times New Roman" w:hAnsi="Times New Roman" w:cs="Times New Roman"/>
          <w:color w:val="auto"/>
          <w:lang w:eastAsia="zh-CN"/>
        </w:rPr>
        <w:t>3</w:t>
      </w:r>
      <w:r>
        <w:rPr>
          <w:rFonts w:ascii="Times New Roman" w:hAnsi="Times New Roman" w:cs="Times New Roman"/>
          <w:color w:val="auto"/>
          <w:lang w:eastAsia="zh-CN"/>
        </w:rPr>
        <w:t>工程地</w:t>
      </w:r>
      <w:r>
        <w:rPr>
          <w:rFonts w:ascii="Times New Roman" w:hAnsi="Times New Roman" w:cs="Times New Roman"/>
          <w:color w:val="auto"/>
          <w:lang w:eastAsia="zh-CN"/>
        </w:rPr>
        <w:t>质</w:t>
      </w:r>
    </w:p>
    <w:p w:rsidR="00C645C9" w:rsidRDefault="00F955D9">
      <w:pPr>
        <w:adjustRightInd w:val="0"/>
        <w:snapToGrid w:val="0"/>
        <w:spacing w:line="360" w:lineRule="auto"/>
        <w:ind w:firstLineChars="200" w:firstLine="480"/>
        <w:jc w:val="both"/>
      </w:pPr>
      <w:bookmarkStart w:id="1189" w:name="OLE_LINK520"/>
      <w:r>
        <w:rPr>
          <w:rFonts w:cs="Times New Roman" w:hint="eastAsia"/>
        </w:rPr>
        <w:t>本工程所在区域构造位置属于库车坳陷和沙雅隆起的结合部位，位于沙雅隆起大尤</w:t>
      </w:r>
      <w:bookmarkEnd w:id="1189"/>
      <w:r>
        <w:rPr>
          <w:rFonts w:cs="Times New Roman" w:hint="eastAsia"/>
        </w:rPr>
        <w:t>都斯断裂带。沿大尤都斯断裂带</w:t>
      </w:r>
      <w:r>
        <w:rPr>
          <w:rFonts w:cs="Times New Roman" w:hint="eastAsia"/>
        </w:rPr>
        <w:t>-</w:t>
      </w:r>
      <w:r>
        <w:rPr>
          <w:rFonts w:cs="Times New Roman" w:hint="eastAsia"/>
        </w:rPr>
        <w:t>牙哈断裂带分布有羊塔克、牙哈、大涝坝等油气田，主要含油气层系为古近系、白垩系及潜山，是油气有利运聚区。冻土深度一般冻土深度</w:t>
      </w:r>
      <w:r>
        <w:rPr>
          <w:rFonts w:cs="Times New Roman" w:hint="eastAsia"/>
        </w:rPr>
        <w:t>0.8m</w:t>
      </w:r>
      <w:r>
        <w:rPr>
          <w:rFonts w:cs="Times New Roman" w:hint="eastAsia"/>
        </w:rPr>
        <w:t>，最大冻土深度</w:t>
      </w:r>
      <w:r>
        <w:rPr>
          <w:rFonts w:cs="Times New Roman" w:hint="eastAsia"/>
        </w:rPr>
        <w:t>1.2m</w:t>
      </w:r>
      <w:r>
        <w:rPr>
          <w:rFonts w:cs="Times New Roman" w:hint="eastAsia"/>
        </w:rPr>
        <w:t>。地震基本烈度为</w:t>
      </w:r>
      <w:r>
        <w:rPr>
          <w:rFonts w:cs="Times New Roman" w:hint="eastAsia"/>
        </w:rPr>
        <w:t>7</w:t>
      </w:r>
      <w:r>
        <w:rPr>
          <w:rFonts w:cs="Times New Roman" w:hint="eastAsia"/>
        </w:rPr>
        <w:t>度，地基承载力标准为</w:t>
      </w:r>
      <w:r>
        <w:rPr>
          <w:rFonts w:cs="Times New Roman" w:hint="eastAsia"/>
        </w:rPr>
        <w:t>110kPa</w:t>
      </w:r>
      <w:r>
        <w:rPr>
          <w:rFonts w:cs="Times New Roman" w:hint="eastAsia"/>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90" w:name="OLE_LINK270"/>
      <w:bookmarkStart w:id="1191" w:name="OLE_LINK519"/>
      <w:r>
        <w:rPr>
          <w:rFonts w:ascii="Times New Roman" w:hAnsi="Times New Roman" w:cs="Times New Roman"/>
          <w:color w:val="auto"/>
          <w:lang w:eastAsia="zh-CN"/>
        </w:rPr>
        <w:t>4.1</w:t>
      </w:r>
      <w:r>
        <w:rPr>
          <w:rFonts w:ascii="Times New Roman" w:hAnsi="Times New Roman" w:cs="Times New Roman"/>
          <w:color w:val="auto"/>
          <w:lang w:eastAsia="zh-CN"/>
        </w:rPr>
        <w:t>.</w:t>
      </w:r>
      <w:bookmarkEnd w:id="1186"/>
      <w:bookmarkEnd w:id="1187"/>
      <w:bookmarkEnd w:id="1188"/>
      <w:r>
        <w:rPr>
          <w:rFonts w:ascii="Times New Roman" w:hAnsi="Times New Roman" w:cs="Times New Roman" w:hint="eastAsia"/>
          <w:color w:val="auto"/>
          <w:lang w:eastAsia="zh-CN"/>
        </w:rPr>
        <w:t>4</w:t>
      </w:r>
      <w:r>
        <w:rPr>
          <w:rFonts w:ascii="Times New Roman" w:hAnsi="Times New Roman" w:cs="Times New Roman"/>
          <w:color w:val="auto"/>
          <w:lang w:eastAsia="zh-CN"/>
        </w:rPr>
        <w:t>水文及水文地质</w:t>
      </w:r>
      <w:bookmarkEnd w:id="1190"/>
    </w:p>
    <w:p w:rsidR="00C645C9" w:rsidRDefault="00F955D9">
      <w:pPr>
        <w:adjustRightInd w:val="0"/>
        <w:snapToGrid w:val="0"/>
        <w:spacing w:line="360" w:lineRule="auto"/>
        <w:ind w:firstLineChars="200" w:firstLine="480"/>
        <w:jc w:val="both"/>
      </w:pPr>
      <w:bookmarkStart w:id="1192" w:name="OLE_LINK521"/>
      <w:r>
        <w:rPr>
          <w:rFonts w:cs="Times New Roman" w:hint="eastAsia"/>
        </w:rPr>
        <w:t>新和县</w:t>
      </w:r>
      <w:bookmarkEnd w:id="1192"/>
      <w:r>
        <w:rPr>
          <w:rFonts w:cs="Times New Roman" w:hint="eastAsia"/>
        </w:rPr>
        <w:t>拥有水资源量为</w:t>
      </w:r>
      <w:r>
        <w:rPr>
          <w:rFonts w:cs="Times New Roman" w:hint="eastAsia"/>
        </w:rPr>
        <w:t>7.8</w:t>
      </w:r>
      <w:r>
        <w:rPr>
          <w:rFonts w:cs="Times New Roman" w:hint="eastAsia"/>
        </w:rPr>
        <w:t>亿立方米，其中地表水</w:t>
      </w:r>
      <w:r>
        <w:rPr>
          <w:rFonts w:cs="Times New Roman" w:hint="eastAsia"/>
        </w:rPr>
        <w:t>6.33</w:t>
      </w:r>
      <w:r>
        <w:rPr>
          <w:rFonts w:cs="Times New Roman" w:hint="eastAsia"/>
        </w:rPr>
        <w:t>亿立方米，主要来自渭干河，渭干河多年径流量</w:t>
      </w:r>
      <w:r>
        <w:rPr>
          <w:rFonts w:cs="Times New Roman" w:hint="eastAsia"/>
        </w:rPr>
        <w:t>22.4</w:t>
      </w:r>
      <w:r>
        <w:rPr>
          <w:rFonts w:cs="Times New Roman" w:hint="eastAsia"/>
        </w:rPr>
        <w:t>亿立方米。全县</w:t>
      </w:r>
      <w:r>
        <w:rPr>
          <w:rFonts w:cs="Times New Roman" w:hint="eastAsia"/>
        </w:rPr>
        <w:t>平均每年</w:t>
      </w:r>
      <w:r>
        <w:rPr>
          <w:rFonts w:cs="Times New Roman" w:hint="eastAsia"/>
        </w:rPr>
        <w:t>引水量为</w:t>
      </w:r>
      <w:r>
        <w:rPr>
          <w:rFonts w:cs="Times New Roman" w:hint="eastAsia"/>
        </w:rPr>
        <w:t>6.04</w:t>
      </w:r>
      <w:r>
        <w:rPr>
          <w:rFonts w:cs="Times New Roman" w:hint="eastAsia"/>
        </w:rPr>
        <w:t>亿立方</w:t>
      </w:r>
      <w:r>
        <w:rPr>
          <w:rFonts w:cs="Times New Roman" w:hint="eastAsia"/>
        </w:rPr>
        <w:lastRenderedPageBreak/>
        <w:t>米，实际从渭干河引水量约在</w:t>
      </w:r>
      <w:r>
        <w:rPr>
          <w:rFonts w:cs="Times New Roman" w:hint="eastAsia"/>
        </w:rPr>
        <w:t>7.92</w:t>
      </w:r>
      <w:r>
        <w:rPr>
          <w:rFonts w:cs="Times New Roman" w:hint="eastAsia"/>
        </w:rPr>
        <w:t>亿立方米。渭干河年径流量较稳定，克孜尔水库多年平均流量</w:t>
      </w:r>
      <w:r>
        <w:rPr>
          <w:rFonts w:cs="Times New Roman" w:hint="eastAsia"/>
        </w:rPr>
        <w:t>75.0</w:t>
      </w:r>
      <w:r>
        <w:rPr>
          <w:rFonts w:cs="Times New Roman" w:hint="eastAsia"/>
        </w:rPr>
        <w:t>立方米每秒</w:t>
      </w:r>
      <w:r>
        <w:rPr>
          <w:rFonts w:cs="Times New Roman" w:hint="eastAsia"/>
        </w:rPr>
        <w:t>，年径流量</w:t>
      </w:r>
      <w:r>
        <w:rPr>
          <w:rFonts w:cs="Times New Roman" w:hint="eastAsia"/>
        </w:rPr>
        <w:t>23.7</w:t>
      </w:r>
      <w:r>
        <w:rPr>
          <w:rFonts w:cs="Times New Roman" w:hint="eastAsia"/>
        </w:rPr>
        <w:t>×</w:t>
      </w:r>
      <w:r>
        <w:rPr>
          <w:rFonts w:cs="Times New Roman" w:hint="eastAsia"/>
        </w:rPr>
        <w:t>10</w:t>
      </w:r>
      <w:r>
        <w:rPr>
          <w:rFonts w:cs="Times New Roman" w:hint="eastAsia"/>
          <w:vertAlign w:val="superscript"/>
        </w:rPr>
        <w:t>8</w:t>
      </w:r>
      <w:r>
        <w:rPr>
          <w:rFonts w:cs="Times New Roman" w:hint="eastAsia"/>
        </w:rPr>
        <w:t>立方米，实测最大流量</w:t>
      </w:r>
      <w:r>
        <w:rPr>
          <w:rFonts w:cs="Times New Roman" w:hint="eastAsia"/>
        </w:rPr>
        <w:t xml:space="preserve"> 1840</w:t>
      </w:r>
      <w:r>
        <w:rPr>
          <w:rFonts w:cs="Times New Roman" w:hint="eastAsia"/>
        </w:rPr>
        <w:t>立方米每秒</w:t>
      </w:r>
      <w:r>
        <w:rPr>
          <w:rFonts w:cs="Times New Roman" w:hint="eastAsia"/>
        </w:rPr>
        <w:t>，实测最小流量</w:t>
      </w:r>
      <w:r>
        <w:rPr>
          <w:rFonts w:cs="Times New Roman" w:hint="eastAsia"/>
        </w:rPr>
        <w:t>14.4</w:t>
      </w:r>
      <w:r>
        <w:rPr>
          <w:rFonts w:cs="Times New Roman" w:hint="eastAsia"/>
        </w:rPr>
        <w:t>立方米每秒</w:t>
      </w:r>
      <w:r>
        <w:rPr>
          <w:rFonts w:cs="Times New Roman" w:hint="eastAsia"/>
        </w:rPr>
        <w:t>。渭干河径流量年内变化大，季节分配不平衡，</w:t>
      </w:r>
      <w:r>
        <w:rPr>
          <w:rFonts w:cs="Times New Roman" w:hint="eastAsia"/>
        </w:rPr>
        <w:t>6</w:t>
      </w:r>
      <w:r>
        <w:rPr>
          <w:rFonts w:cs="Times New Roman" w:hint="eastAsia"/>
        </w:rPr>
        <w:t>～</w:t>
      </w:r>
      <w:r>
        <w:rPr>
          <w:rFonts w:cs="Times New Roman" w:hint="eastAsia"/>
        </w:rPr>
        <w:t>8</w:t>
      </w:r>
      <w:r>
        <w:rPr>
          <w:rFonts w:cs="Times New Roman" w:hint="eastAsia"/>
        </w:rPr>
        <w:t>月径流量占全年径流量的</w:t>
      </w:r>
      <w:r>
        <w:rPr>
          <w:rFonts w:cs="Times New Roman" w:hint="eastAsia"/>
        </w:rPr>
        <w:t>48.4%</w:t>
      </w:r>
      <w:r>
        <w:rPr>
          <w:rFonts w:cs="Times New Roman" w:hint="eastAsia"/>
        </w:rPr>
        <w:t>，</w:t>
      </w:r>
      <w:r>
        <w:rPr>
          <w:rFonts w:cs="Times New Roman" w:hint="eastAsia"/>
        </w:rPr>
        <w:t>9</w:t>
      </w:r>
      <w:r>
        <w:rPr>
          <w:rFonts w:cs="Times New Roman" w:hint="eastAsia"/>
        </w:rPr>
        <w:t>～</w:t>
      </w:r>
      <w:r>
        <w:rPr>
          <w:rFonts w:cs="Times New Roman" w:hint="eastAsia"/>
        </w:rPr>
        <w:t>11</w:t>
      </w:r>
      <w:r>
        <w:rPr>
          <w:rFonts w:cs="Times New Roman" w:hint="eastAsia"/>
        </w:rPr>
        <w:t>月占全年径流量的</w:t>
      </w:r>
      <w:r>
        <w:rPr>
          <w:rFonts w:cs="Times New Roman" w:hint="eastAsia"/>
        </w:rPr>
        <w:t xml:space="preserve"> 22.11%</w:t>
      </w:r>
      <w:r>
        <w:rPr>
          <w:rFonts w:cs="Times New Roman" w:hint="eastAsia"/>
        </w:rPr>
        <w:t>，</w:t>
      </w:r>
      <w:r>
        <w:rPr>
          <w:rFonts w:cs="Times New Roman" w:hint="eastAsia"/>
        </w:rPr>
        <w:t>12</w:t>
      </w:r>
      <w:r>
        <w:rPr>
          <w:rFonts w:cs="Times New Roman" w:hint="eastAsia"/>
        </w:rPr>
        <w:t>月至次年</w:t>
      </w:r>
      <w:r>
        <w:rPr>
          <w:rFonts w:cs="Times New Roman" w:hint="eastAsia"/>
        </w:rPr>
        <w:t>2</w:t>
      </w:r>
      <w:r>
        <w:rPr>
          <w:rFonts w:cs="Times New Roman" w:hint="eastAsia"/>
        </w:rPr>
        <w:t>月占全年径流量的</w:t>
      </w:r>
      <w:r>
        <w:rPr>
          <w:rFonts w:cs="Times New Roman" w:hint="eastAsia"/>
        </w:rPr>
        <w:t>15%</w:t>
      </w:r>
      <w:r>
        <w:rPr>
          <w:rFonts w:cs="Times New Roman" w:hint="eastAsia"/>
        </w:rPr>
        <w:t>，</w:t>
      </w:r>
      <w:r>
        <w:rPr>
          <w:rFonts w:cs="Times New Roman" w:hint="eastAsia"/>
        </w:rPr>
        <w:t>3</w:t>
      </w:r>
      <w:r>
        <w:rPr>
          <w:rFonts w:cs="Times New Roman" w:hint="eastAsia"/>
        </w:rPr>
        <w:t>～</w:t>
      </w:r>
      <w:r>
        <w:rPr>
          <w:rFonts w:cs="Times New Roman" w:hint="eastAsia"/>
        </w:rPr>
        <w:t>5</w:t>
      </w:r>
      <w:r>
        <w:rPr>
          <w:rFonts w:cs="Times New Roman" w:hint="eastAsia"/>
        </w:rPr>
        <w:t>月占全年径流量的</w:t>
      </w:r>
      <w:r>
        <w:rPr>
          <w:rFonts w:cs="Times New Roman" w:hint="eastAsia"/>
        </w:rPr>
        <w:t>14.5%</w:t>
      </w:r>
      <w:r>
        <w:rPr>
          <w:rFonts w:cs="Times New Roman" w:hint="eastAsia"/>
        </w:rPr>
        <w:t>。新和县近</w:t>
      </w:r>
      <w:r>
        <w:rPr>
          <w:rFonts w:cs="Times New Roman" w:hint="eastAsia"/>
        </w:rPr>
        <w:t>10</w:t>
      </w:r>
      <w:r>
        <w:rPr>
          <w:rFonts w:cs="Times New Roman" w:hint="eastAsia"/>
        </w:rPr>
        <w:t>年灌区平均引水量</w:t>
      </w:r>
      <w:r>
        <w:rPr>
          <w:rFonts w:cs="Times New Roman" w:hint="eastAsia"/>
        </w:rPr>
        <w:t>6.44</w:t>
      </w:r>
      <w:r>
        <w:rPr>
          <w:rFonts w:cs="Times New Roman" w:hint="eastAsia"/>
        </w:rPr>
        <w:t>亿立方米，其中春季</w:t>
      </w:r>
      <w:r>
        <w:rPr>
          <w:rFonts w:cs="Times New Roman" w:hint="eastAsia"/>
        </w:rPr>
        <w:t>3</w:t>
      </w:r>
      <w:r>
        <w:rPr>
          <w:rFonts w:cs="Times New Roman" w:hint="eastAsia"/>
        </w:rPr>
        <w:t>～</w:t>
      </w:r>
      <w:r>
        <w:rPr>
          <w:rFonts w:cs="Times New Roman" w:hint="eastAsia"/>
        </w:rPr>
        <w:t>5</w:t>
      </w:r>
      <w:r>
        <w:rPr>
          <w:rFonts w:cs="Times New Roman" w:hint="eastAsia"/>
        </w:rPr>
        <w:t>月引水量</w:t>
      </w:r>
      <w:r>
        <w:rPr>
          <w:rFonts w:cs="Times New Roman" w:hint="eastAsia"/>
        </w:rPr>
        <w:t xml:space="preserve">13846.8 </w:t>
      </w:r>
      <w:r>
        <w:rPr>
          <w:rFonts w:cs="Times New Roman" w:hint="eastAsia"/>
        </w:rPr>
        <w:t>万立方米，夏季</w:t>
      </w:r>
      <w:r>
        <w:rPr>
          <w:rFonts w:cs="Times New Roman" w:hint="eastAsia"/>
        </w:rPr>
        <w:t>6</w:t>
      </w:r>
      <w:r>
        <w:rPr>
          <w:rFonts w:cs="Times New Roman" w:hint="eastAsia"/>
        </w:rPr>
        <w:t>～</w:t>
      </w:r>
      <w:r>
        <w:rPr>
          <w:rFonts w:cs="Times New Roman" w:hint="eastAsia"/>
        </w:rPr>
        <w:t>8</w:t>
      </w:r>
      <w:r>
        <w:rPr>
          <w:rFonts w:cs="Times New Roman" w:hint="eastAsia"/>
        </w:rPr>
        <w:t>月引水量</w:t>
      </w:r>
      <w:r>
        <w:rPr>
          <w:rFonts w:cs="Times New Roman" w:hint="eastAsia"/>
        </w:rPr>
        <w:t>29622.4</w:t>
      </w:r>
      <w:r>
        <w:rPr>
          <w:rFonts w:cs="Times New Roman" w:hint="eastAsia"/>
        </w:rPr>
        <w:t>万立方米，秋季</w:t>
      </w:r>
      <w:r>
        <w:rPr>
          <w:rFonts w:cs="Times New Roman" w:hint="eastAsia"/>
        </w:rPr>
        <w:t>9</w:t>
      </w:r>
      <w:r>
        <w:rPr>
          <w:rFonts w:cs="Times New Roman" w:hint="eastAsia"/>
        </w:rPr>
        <w:t>～</w:t>
      </w:r>
      <w:r>
        <w:rPr>
          <w:rFonts w:cs="Times New Roman" w:hint="eastAsia"/>
        </w:rPr>
        <w:t>11</w:t>
      </w:r>
      <w:r>
        <w:rPr>
          <w:rFonts w:cs="Times New Roman" w:hint="eastAsia"/>
        </w:rPr>
        <w:t>月引水量</w:t>
      </w:r>
      <w:r>
        <w:rPr>
          <w:rFonts w:cs="Times New Roman" w:hint="eastAsia"/>
        </w:rPr>
        <w:t xml:space="preserve">12228.4 </w:t>
      </w:r>
      <w:r>
        <w:rPr>
          <w:rFonts w:cs="Times New Roman" w:hint="eastAsia"/>
        </w:rPr>
        <w:t>万立方米，冬季</w:t>
      </w:r>
      <w:r>
        <w:rPr>
          <w:rFonts w:cs="Times New Roman" w:hint="eastAsia"/>
        </w:rPr>
        <w:t>12</w:t>
      </w:r>
      <w:r>
        <w:rPr>
          <w:rFonts w:cs="Times New Roman" w:hint="eastAsia"/>
        </w:rPr>
        <w:t>月至次年</w:t>
      </w:r>
      <w:r>
        <w:rPr>
          <w:rFonts w:cs="Times New Roman" w:hint="eastAsia"/>
        </w:rPr>
        <w:t>2</w:t>
      </w:r>
      <w:r>
        <w:rPr>
          <w:rFonts w:cs="Times New Roman" w:hint="eastAsia"/>
        </w:rPr>
        <w:t>月引水量</w:t>
      </w:r>
      <w:r>
        <w:rPr>
          <w:rFonts w:cs="Times New Roman" w:hint="eastAsia"/>
        </w:rPr>
        <w:t>8652.96</w:t>
      </w:r>
      <w:r>
        <w:rPr>
          <w:rFonts w:cs="Times New Roman" w:hint="eastAsia"/>
        </w:rPr>
        <w:t>万立方米。</w:t>
      </w:r>
    </w:p>
    <w:p w:rsidR="00C645C9" w:rsidRDefault="00F955D9">
      <w:pPr>
        <w:adjustRightInd w:val="0"/>
        <w:snapToGrid w:val="0"/>
        <w:spacing w:line="360" w:lineRule="auto"/>
        <w:ind w:firstLineChars="200" w:firstLine="480"/>
        <w:jc w:val="both"/>
        <w:rPr>
          <w:rFonts w:cs="Times New Roman"/>
        </w:rPr>
      </w:pPr>
      <w:r>
        <w:rPr>
          <w:rFonts w:cs="Times New Roman" w:hint="eastAsia"/>
        </w:rPr>
        <w:t>地下水主要来自渭干河、水库、各干支渠及田间渗漏补给。地下水可分为第四纪孔隙潜水和孔隙承压水两大类。新和县地下水有三层含水层，即一层潜水含水层和两层承压水层，潜水含水层隔水层底板埋深在</w:t>
      </w:r>
      <w:r>
        <w:rPr>
          <w:rFonts w:cs="Times New Roman" w:hint="eastAsia"/>
        </w:rPr>
        <w:t>50</w:t>
      </w:r>
      <w:r>
        <w:rPr>
          <w:rFonts w:cs="Times New Roman" w:hint="eastAsia"/>
        </w:rPr>
        <w:t>～</w:t>
      </w:r>
      <w:r>
        <w:rPr>
          <w:rFonts w:cs="Times New Roman" w:hint="eastAsia"/>
        </w:rPr>
        <w:t>80</w:t>
      </w:r>
      <w:r>
        <w:rPr>
          <w:rFonts w:cs="Times New Roman" w:hint="eastAsia"/>
        </w:rPr>
        <w:t>米，含水层水质较差；第一层</w:t>
      </w:r>
      <w:r>
        <w:rPr>
          <w:rFonts w:cs="Times New Roman" w:hint="eastAsia"/>
        </w:rPr>
        <w:t>承压水位</w:t>
      </w:r>
      <w:r>
        <w:rPr>
          <w:rFonts w:cs="Times New Roman" w:hint="eastAsia"/>
        </w:rPr>
        <w:t>80</w:t>
      </w:r>
      <w:r>
        <w:rPr>
          <w:rFonts w:cs="Times New Roman" w:hint="eastAsia"/>
        </w:rPr>
        <w:t>～</w:t>
      </w:r>
      <w:r>
        <w:rPr>
          <w:rFonts w:cs="Times New Roman" w:hint="eastAsia"/>
        </w:rPr>
        <w:t>110</w:t>
      </w:r>
      <w:r>
        <w:rPr>
          <w:rFonts w:cs="Times New Roman" w:hint="eastAsia"/>
        </w:rPr>
        <w:t>米，水量可达</w:t>
      </w:r>
      <w:r>
        <w:rPr>
          <w:rFonts w:cs="Times New Roman" w:hint="eastAsia"/>
        </w:rPr>
        <w:t>1000</w:t>
      </w:r>
      <w:r>
        <w:rPr>
          <w:rFonts w:cs="Times New Roman" w:hint="eastAsia"/>
        </w:rPr>
        <w:t>～</w:t>
      </w:r>
      <w:r>
        <w:rPr>
          <w:rFonts w:cs="Times New Roman" w:hint="eastAsia"/>
        </w:rPr>
        <w:t>3500</w:t>
      </w:r>
      <w:r>
        <w:rPr>
          <w:rFonts w:cs="Times New Roman" w:hint="eastAsia"/>
        </w:rPr>
        <w:t>吨</w:t>
      </w:r>
      <w:r>
        <w:rPr>
          <w:rFonts w:cs="Times New Roman" w:hint="eastAsia"/>
        </w:rPr>
        <w:t>/</w:t>
      </w:r>
      <w:r>
        <w:rPr>
          <w:rFonts w:cs="Times New Roman" w:hint="eastAsia"/>
        </w:rPr>
        <w:t>日，第二层</w:t>
      </w:r>
      <w:r>
        <w:rPr>
          <w:rFonts w:cs="Times New Roman" w:hint="eastAsia"/>
        </w:rPr>
        <w:t>承压水位</w:t>
      </w:r>
      <w:r>
        <w:rPr>
          <w:rFonts w:cs="Times New Roman" w:hint="eastAsia"/>
        </w:rPr>
        <w:t>130</w:t>
      </w:r>
      <w:r>
        <w:rPr>
          <w:rFonts w:cs="Times New Roman" w:hint="eastAsia"/>
        </w:rPr>
        <w:t>米以下，水量可达</w:t>
      </w:r>
      <w:r>
        <w:rPr>
          <w:rFonts w:cs="Times New Roman" w:hint="eastAsia"/>
        </w:rPr>
        <w:t>1000</w:t>
      </w:r>
      <w:r>
        <w:rPr>
          <w:rFonts w:cs="Times New Roman" w:hint="eastAsia"/>
        </w:rPr>
        <w:t>～</w:t>
      </w:r>
      <w:r>
        <w:rPr>
          <w:rFonts w:cs="Times New Roman" w:hint="eastAsia"/>
        </w:rPr>
        <w:t>25000</w:t>
      </w:r>
      <w:r>
        <w:rPr>
          <w:rFonts w:cs="Times New Roman" w:hint="eastAsia"/>
        </w:rPr>
        <w:t>吨</w:t>
      </w:r>
      <w:r>
        <w:rPr>
          <w:rFonts w:cs="Times New Roman" w:hint="eastAsia"/>
        </w:rPr>
        <w:t>/</w:t>
      </w:r>
      <w:r>
        <w:rPr>
          <w:rFonts w:cs="Times New Roman" w:hint="eastAsia"/>
        </w:rPr>
        <w:t>日，水质较好，适宜开采。地</w:t>
      </w:r>
      <w:r>
        <w:rPr>
          <w:rFonts w:cs="Times New Roman" w:hint="eastAsia"/>
        </w:rPr>
        <w:t>下水主要分布在渭干乡的布喀塔木村、尤鲁都斯巴格镇、玉奇喀特镇、依其艾日克镇、桑塔木村、塔木托格拉克乡等</w:t>
      </w:r>
      <w:r>
        <w:rPr>
          <w:rFonts w:cs="Times New Roman" w:hint="eastAsia"/>
        </w:rPr>
        <w:t>6</w:t>
      </w:r>
      <w:r>
        <w:rPr>
          <w:rFonts w:cs="Times New Roman" w:hint="eastAsia"/>
        </w:rPr>
        <w:t>个</w:t>
      </w:r>
      <w:r>
        <w:rPr>
          <w:rFonts w:cs="Times New Roman" w:hint="eastAsia"/>
        </w:rPr>
        <w:t>水源地。地下水年补给量</w:t>
      </w:r>
      <w:r>
        <w:rPr>
          <w:rFonts w:cs="Times New Roman" w:hint="eastAsia"/>
        </w:rPr>
        <w:t>3.47</w:t>
      </w:r>
      <w:r>
        <w:rPr>
          <w:rFonts w:cs="Times New Roman" w:hint="eastAsia"/>
        </w:rPr>
        <w:t>亿立方米，可开采量</w:t>
      </w:r>
      <w:r>
        <w:rPr>
          <w:rFonts w:cs="Times New Roman" w:hint="eastAsia"/>
        </w:rPr>
        <w:t>1.56</w:t>
      </w:r>
      <w:r>
        <w:rPr>
          <w:rFonts w:cs="Times New Roman" w:hint="eastAsia"/>
        </w:rPr>
        <w:t>亿立方米，已开采量约</w:t>
      </w:r>
      <w:r>
        <w:rPr>
          <w:rFonts w:cs="Times New Roman" w:hint="eastAsia"/>
        </w:rPr>
        <w:t>0.92</w:t>
      </w:r>
      <w:r>
        <w:rPr>
          <w:rFonts w:cs="Times New Roman" w:hint="eastAsia"/>
        </w:rPr>
        <w:t>亿立方米，地下水利用率仅为</w:t>
      </w:r>
      <w:r>
        <w:rPr>
          <w:rFonts w:cs="Times New Roman" w:hint="eastAsia"/>
        </w:rPr>
        <w:t>4.6%</w:t>
      </w:r>
      <w:r>
        <w:rPr>
          <w:rFonts w:cs="Times New Roman" w:hint="eastAsia"/>
        </w:rPr>
        <w:t>。</w:t>
      </w:r>
    </w:p>
    <w:p w:rsidR="00C645C9" w:rsidRDefault="00F955D9">
      <w:pPr>
        <w:adjustRightInd w:val="0"/>
        <w:snapToGrid w:val="0"/>
        <w:spacing w:line="360" w:lineRule="auto"/>
        <w:ind w:firstLineChars="200" w:firstLine="480"/>
        <w:jc w:val="both"/>
        <w:rPr>
          <w:rFonts w:cs="Times New Roman"/>
        </w:rPr>
      </w:pPr>
      <w:bookmarkStart w:id="1193" w:name="OLE_LINK522"/>
      <w:r>
        <w:rPr>
          <w:rFonts w:cs="Times New Roman" w:hint="eastAsia"/>
        </w:rPr>
        <w:t>新和县县域内有</w:t>
      </w:r>
      <w:bookmarkEnd w:id="1193"/>
      <w:r>
        <w:rPr>
          <w:rFonts w:cs="Times New Roman" w:hint="eastAsia"/>
        </w:rPr>
        <w:t>五一水库</w:t>
      </w:r>
      <w:r>
        <w:rPr>
          <w:rFonts w:cs="Times New Roman" w:hint="eastAsia"/>
        </w:rPr>
        <w:t>1</w:t>
      </w:r>
      <w:r>
        <w:rPr>
          <w:rFonts w:cs="Times New Roman" w:hint="eastAsia"/>
        </w:rPr>
        <w:t>座，设计库容</w:t>
      </w:r>
      <w:r>
        <w:rPr>
          <w:rFonts w:cs="Times New Roman" w:hint="eastAsia"/>
        </w:rPr>
        <w:t>4690</w:t>
      </w:r>
      <w:r>
        <w:rPr>
          <w:rFonts w:cs="Times New Roman" w:hint="eastAsia"/>
        </w:rPr>
        <w:t>万立方米。水库自新沙分水闸引水，控制灌溉面积</w:t>
      </w:r>
      <w:r>
        <w:rPr>
          <w:rFonts w:cs="Times New Roman" w:hint="eastAsia"/>
        </w:rPr>
        <w:t>8000</w:t>
      </w:r>
      <w:r>
        <w:rPr>
          <w:rFonts w:cs="Times New Roman" w:hint="eastAsia"/>
        </w:rPr>
        <w:t>公顷，库区面积</w:t>
      </w:r>
      <w:r>
        <w:rPr>
          <w:rFonts w:cs="Times New Roman" w:hint="eastAsia"/>
        </w:rPr>
        <w:t>14</w:t>
      </w:r>
      <w:r>
        <w:rPr>
          <w:rFonts w:cs="Times New Roman" w:hint="eastAsia"/>
        </w:rPr>
        <w:t>平方千米，</w:t>
      </w:r>
      <w:r>
        <w:rPr>
          <w:rFonts w:cs="Times New Roman" w:hint="eastAsia"/>
        </w:rPr>
        <w:t>2002</w:t>
      </w:r>
      <w:r>
        <w:rPr>
          <w:rFonts w:cs="Times New Roman" w:hint="eastAsia"/>
        </w:rPr>
        <w:t>年该水库除险加固后设计水位</w:t>
      </w:r>
      <w:r>
        <w:rPr>
          <w:rFonts w:cs="Times New Roman" w:hint="eastAsia"/>
        </w:rPr>
        <w:t>1028.5</w:t>
      </w:r>
      <w:r>
        <w:rPr>
          <w:rFonts w:cs="Times New Roman" w:hint="eastAsia"/>
        </w:rPr>
        <w:t>米，设计库容</w:t>
      </w:r>
      <w:r>
        <w:rPr>
          <w:rFonts w:cs="Times New Roman" w:hint="eastAsia"/>
        </w:rPr>
        <w:t>3900</w:t>
      </w:r>
      <w:r>
        <w:rPr>
          <w:rFonts w:cs="Times New Roman" w:hint="eastAsia"/>
        </w:rPr>
        <w:t>万立方米，为调节水库。</w:t>
      </w:r>
    </w:p>
    <w:p w:rsidR="00C645C9" w:rsidRDefault="00F955D9">
      <w:pPr>
        <w:adjustRightInd w:val="0"/>
        <w:snapToGrid w:val="0"/>
        <w:spacing w:line="360" w:lineRule="auto"/>
        <w:ind w:firstLineChars="200" w:firstLine="480"/>
        <w:jc w:val="both"/>
      </w:pPr>
      <w:r>
        <w:rPr>
          <w:rFonts w:cs="Times New Roman" w:hint="eastAsia"/>
        </w:rPr>
        <w:t>新和县县域内有湖泊</w:t>
      </w:r>
      <w:r>
        <w:rPr>
          <w:rFonts w:cs="Times New Roman" w:hint="eastAsia"/>
        </w:rPr>
        <w:t>5</w:t>
      </w:r>
      <w:r>
        <w:rPr>
          <w:rFonts w:cs="Times New Roman" w:hint="eastAsia"/>
        </w:rPr>
        <w:t>处（野鸭湖、素喀库勒湖、阿勒吞达希湖、依干库勒湖、</w:t>
      </w:r>
      <w:r>
        <w:rPr>
          <w:rFonts w:cs="Times New Roman" w:hint="eastAsia"/>
        </w:rPr>
        <w:t>硝尔库勒湖），但大多数是农区排碱渠水溢出在洼地上形成，少数是地下水位高，溢出地面而形成湖泊。</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194" w:name="_Toc21505"/>
      <w:bookmarkStart w:id="1195" w:name="_Toc6462"/>
      <w:bookmarkStart w:id="1196" w:name="_Toc16350"/>
      <w:bookmarkEnd w:id="1191"/>
      <w:r>
        <w:rPr>
          <w:rFonts w:ascii="Times New Roman" w:hAnsi="Times New Roman" w:cs="Times New Roman"/>
          <w:color w:val="auto"/>
          <w:lang w:eastAsia="zh-CN"/>
        </w:rPr>
        <w:t>4.1.</w:t>
      </w:r>
      <w:r>
        <w:rPr>
          <w:rFonts w:ascii="Times New Roman" w:hAnsi="Times New Roman" w:cs="Times New Roman" w:hint="eastAsia"/>
          <w:color w:val="auto"/>
          <w:lang w:eastAsia="zh-CN"/>
        </w:rPr>
        <w:t>5</w:t>
      </w:r>
      <w:r>
        <w:rPr>
          <w:rFonts w:ascii="Times New Roman" w:hAnsi="Times New Roman" w:cs="Times New Roman"/>
          <w:color w:val="auto"/>
          <w:lang w:eastAsia="zh-CN"/>
        </w:rPr>
        <w:t>气候气象</w:t>
      </w:r>
      <w:bookmarkEnd w:id="1194"/>
      <w:bookmarkEnd w:id="1195"/>
      <w:bookmarkEnd w:id="1196"/>
    </w:p>
    <w:p w:rsidR="00C645C9" w:rsidRDefault="00F955D9">
      <w:pPr>
        <w:adjustRightInd w:val="0"/>
        <w:snapToGrid w:val="0"/>
        <w:spacing w:line="360" w:lineRule="auto"/>
        <w:ind w:firstLineChars="200" w:firstLine="480"/>
        <w:rPr>
          <w:rFonts w:cs="Times New Roman"/>
        </w:rPr>
      </w:pPr>
      <w:r>
        <w:rPr>
          <w:rFonts w:cs="Times New Roman"/>
        </w:rPr>
        <w:t>新和县地处暖温带，属暖温带大陆性干旱气候</w:t>
      </w:r>
      <w:r>
        <w:rPr>
          <w:rFonts w:cs="Times New Roman" w:hint="eastAsia"/>
        </w:rPr>
        <w:t>，光照充足，</w:t>
      </w:r>
      <w:r>
        <w:rPr>
          <w:rFonts w:cs="Times New Roman"/>
        </w:rPr>
        <w:t>热量丰富，气候干燥，降水稀少，蒸发强烈，风沙活动频繁</w:t>
      </w:r>
      <w:r>
        <w:rPr>
          <w:rFonts w:cs="Times New Roman" w:hint="eastAsia"/>
        </w:rPr>
        <w:t>，</w:t>
      </w:r>
      <w:r>
        <w:rPr>
          <w:rFonts w:cs="Times New Roman"/>
        </w:rPr>
        <w:t>夏季炎热，冬季干冷，年温差和日温差</w:t>
      </w:r>
      <w:r>
        <w:rPr>
          <w:rFonts w:cs="Times New Roman" w:hint="eastAsia"/>
        </w:rPr>
        <w:t>均较</w:t>
      </w:r>
      <w:r>
        <w:rPr>
          <w:rFonts w:cs="Times New Roman"/>
        </w:rPr>
        <w:t>大。据新和县气象站多年观测资料统计，主要常规气象要素统计资料见表</w:t>
      </w:r>
      <w:r>
        <w:rPr>
          <w:rFonts w:cs="Times New Roman" w:hint="eastAsia"/>
        </w:rPr>
        <w:t>4.1-1</w:t>
      </w:r>
      <w:r>
        <w:rPr>
          <w:rFonts w:cs="Times New Roman" w:hint="eastAsia"/>
        </w:rPr>
        <w:t>。</w:t>
      </w:r>
    </w:p>
    <w:p w:rsidR="00C645C9" w:rsidRDefault="00F955D9">
      <w:pPr>
        <w:jc w:val="center"/>
        <w:rPr>
          <w:rFonts w:eastAsia="黑体" w:cs="Times New Roman"/>
          <w:sz w:val="21"/>
          <w:szCs w:val="21"/>
          <w:lang w:bidi="ar"/>
        </w:rPr>
      </w:pPr>
      <w:r>
        <w:rPr>
          <w:rFonts w:eastAsia="黑体" w:cs="Times New Roman" w:hint="eastAsia"/>
          <w:sz w:val="21"/>
          <w:szCs w:val="21"/>
          <w:lang w:bidi="ar"/>
        </w:rPr>
        <w:t>表</w:t>
      </w:r>
      <w:r>
        <w:rPr>
          <w:rFonts w:eastAsia="黑体" w:cs="Times New Roman" w:hint="eastAsia"/>
          <w:sz w:val="21"/>
          <w:szCs w:val="21"/>
          <w:lang w:bidi="ar"/>
        </w:rPr>
        <w:t>4.1-</w:t>
      </w:r>
      <w:r>
        <w:rPr>
          <w:rFonts w:eastAsia="黑体" w:cs="Times New Roman" w:hint="eastAsia"/>
          <w:sz w:val="21"/>
          <w:szCs w:val="21"/>
          <w:lang w:bidi="ar"/>
        </w:rPr>
        <w:t xml:space="preserve">1   </w:t>
      </w:r>
      <w:r>
        <w:rPr>
          <w:rFonts w:eastAsia="黑体" w:cs="Times New Roman" w:hint="eastAsia"/>
          <w:sz w:val="21"/>
          <w:szCs w:val="21"/>
          <w:lang w:bidi="ar"/>
        </w:rPr>
        <w:t>新和县主要气候气象参数一览表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2"/>
        <w:gridCol w:w="2448"/>
        <w:gridCol w:w="1179"/>
        <w:gridCol w:w="604"/>
        <w:gridCol w:w="2183"/>
        <w:gridCol w:w="1393"/>
      </w:tblGrid>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bookmarkStart w:id="1197" w:name="OLE_LINK986"/>
            <w:r>
              <w:rPr>
                <w:rFonts w:cs="Times New Roman"/>
                <w:sz w:val="21"/>
                <w:szCs w:val="21"/>
              </w:rPr>
              <w:t>序号</w:t>
            </w:r>
          </w:p>
        </w:tc>
        <w:tc>
          <w:tcPr>
            <w:tcW w:w="1463" w:type="pct"/>
            <w:vAlign w:val="center"/>
          </w:tcPr>
          <w:p w:rsidR="00C645C9" w:rsidRDefault="00F955D9">
            <w:pPr>
              <w:spacing w:line="0" w:lineRule="atLeast"/>
              <w:jc w:val="center"/>
              <w:rPr>
                <w:rFonts w:cs="Times New Roman"/>
                <w:sz w:val="21"/>
                <w:szCs w:val="21"/>
              </w:rPr>
            </w:pPr>
            <w:r>
              <w:rPr>
                <w:rFonts w:cs="Times New Roman"/>
                <w:sz w:val="21"/>
                <w:szCs w:val="21"/>
              </w:rPr>
              <w:t>项目</w:t>
            </w:r>
          </w:p>
        </w:tc>
        <w:tc>
          <w:tcPr>
            <w:tcW w:w="705" w:type="pct"/>
            <w:vAlign w:val="center"/>
          </w:tcPr>
          <w:p w:rsidR="00C645C9" w:rsidRDefault="00F955D9">
            <w:pPr>
              <w:spacing w:line="0" w:lineRule="atLeast"/>
              <w:jc w:val="center"/>
              <w:rPr>
                <w:rFonts w:cs="Times New Roman"/>
                <w:sz w:val="21"/>
                <w:szCs w:val="21"/>
              </w:rPr>
            </w:pPr>
            <w:r>
              <w:rPr>
                <w:rFonts w:cs="Times New Roman"/>
                <w:sz w:val="21"/>
                <w:szCs w:val="21"/>
              </w:rPr>
              <w:t>统计结果</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序号</w:t>
            </w:r>
          </w:p>
        </w:tc>
        <w:tc>
          <w:tcPr>
            <w:tcW w:w="1305" w:type="pct"/>
            <w:vAlign w:val="center"/>
          </w:tcPr>
          <w:p w:rsidR="00C645C9" w:rsidRDefault="00F955D9">
            <w:pPr>
              <w:spacing w:line="0" w:lineRule="atLeast"/>
              <w:jc w:val="center"/>
              <w:rPr>
                <w:rFonts w:cs="Times New Roman"/>
                <w:sz w:val="21"/>
                <w:szCs w:val="21"/>
              </w:rPr>
            </w:pPr>
            <w:r>
              <w:rPr>
                <w:rFonts w:cs="Times New Roman"/>
                <w:sz w:val="21"/>
                <w:szCs w:val="21"/>
              </w:rPr>
              <w:t>项目</w:t>
            </w:r>
          </w:p>
        </w:tc>
        <w:tc>
          <w:tcPr>
            <w:tcW w:w="833" w:type="pct"/>
            <w:vAlign w:val="center"/>
          </w:tcPr>
          <w:p w:rsidR="00C645C9" w:rsidRDefault="00F955D9">
            <w:pPr>
              <w:spacing w:line="0" w:lineRule="atLeast"/>
              <w:jc w:val="center"/>
              <w:rPr>
                <w:rFonts w:cs="Times New Roman"/>
                <w:sz w:val="21"/>
                <w:szCs w:val="21"/>
              </w:rPr>
            </w:pPr>
            <w:r>
              <w:rPr>
                <w:rFonts w:cs="Times New Roman"/>
                <w:sz w:val="21"/>
                <w:szCs w:val="21"/>
              </w:rPr>
              <w:t>统计结果</w:t>
            </w:r>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t>1</w:t>
            </w:r>
          </w:p>
        </w:tc>
        <w:tc>
          <w:tcPr>
            <w:tcW w:w="1463" w:type="pct"/>
            <w:vAlign w:val="center"/>
          </w:tcPr>
          <w:p w:rsidR="00C645C9" w:rsidRDefault="00F955D9">
            <w:pPr>
              <w:spacing w:line="0" w:lineRule="atLeast"/>
              <w:jc w:val="center"/>
              <w:rPr>
                <w:rFonts w:cs="Times New Roman"/>
                <w:sz w:val="21"/>
                <w:szCs w:val="21"/>
              </w:rPr>
            </w:pPr>
            <w:r>
              <w:rPr>
                <w:rFonts w:cs="Times New Roman"/>
                <w:sz w:val="21"/>
                <w:szCs w:val="21"/>
              </w:rPr>
              <w:t>年平均气温</w:t>
            </w:r>
          </w:p>
        </w:tc>
        <w:tc>
          <w:tcPr>
            <w:tcW w:w="705" w:type="pct"/>
            <w:vAlign w:val="center"/>
          </w:tcPr>
          <w:p w:rsidR="00C645C9" w:rsidRDefault="00F955D9">
            <w:pPr>
              <w:spacing w:line="0" w:lineRule="atLeast"/>
              <w:jc w:val="center"/>
              <w:rPr>
                <w:rFonts w:cs="Times New Roman"/>
                <w:sz w:val="21"/>
                <w:szCs w:val="21"/>
              </w:rPr>
            </w:pPr>
            <w:r>
              <w:rPr>
                <w:rFonts w:cs="Times New Roman"/>
                <w:sz w:val="21"/>
                <w:szCs w:val="21"/>
              </w:rPr>
              <w:t>11.</w:t>
            </w:r>
            <w:r>
              <w:rPr>
                <w:rFonts w:cs="Times New Roman" w:hint="eastAsia"/>
                <w:sz w:val="21"/>
                <w:szCs w:val="21"/>
              </w:rPr>
              <w:t>4</w:t>
            </w:r>
            <w:r>
              <w:rPr>
                <w:rFonts w:cs="Times New Roman"/>
                <w:sz w:val="21"/>
                <w:szCs w:val="21"/>
              </w:rPr>
              <w:t>℃</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7</w:t>
            </w:r>
          </w:p>
        </w:tc>
        <w:tc>
          <w:tcPr>
            <w:tcW w:w="1305" w:type="pct"/>
            <w:vAlign w:val="center"/>
          </w:tcPr>
          <w:p w:rsidR="00C645C9" w:rsidRDefault="00F955D9">
            <w:pPr>
              <w:spacing w:line="0" w:lineRule="atLeast"/>
              <w:jc w:val="center"/>
              <w:rPr>
                <w:rFonts w:cs="Times New Roman"/>
                <w:sz w:val="21"/>
                <w:szCs w:val="21"/>
              </w:rPr>
            </w:pPr>
            <w:r>
              <w:rPr>
                <w:rFonts w:cs="Times New Roman"/>
                <w:sz w:val="21"/>
                <w:szCs w:val="21"/>
              </w:rPr>
              <w:t>年平均风速</w:t>
            </w:r>
          </w:p>
        </w:tc>
        <w:tc>
          <w:tcPr>
            <w:tcW w:w="833" w:type="pct"/>
            <w:vAlign w:val="center"/>
          </w:tcPr>
          <w:p w:rsidR="00C645C9" w:rsidRDefault="00F955D9">
            <w:pPr>
              <w:spacing w:line="0" w:lineRule="atLeast"/>
              <w:jc w:val="center"/>
              <w:rPr>
                <w:rFonts w:cs="Times New Roman"/>
                <w:sz w:val="21"/>
                <w:szCs w:val="21"/>
              </w:rPr>
            </w:pPr>
            <w:bookmarkStart w:id="1198" w:name="OLE_LINK523"/>
            <w:r>
              <w:rPr>
                <w:rFonts w:cs="Times New Roman" w:hint="eastAsia"/>
                <w:sz w:val="21"/>
                <w:szCs w:val="21"/>
              </w:rPr>
              <w:t>1.5</w:t>
            </w:r>
            <w:r>
              <w:rPr>
                <w:rFonts w:cs="Times New Roman"/>
                <w:sz w:val="21"/>
                <w:szCs w:val="21"/>
              </w:rPr>
              <w:t>m/s</w:t>
            </w:r>
            <w:bookmarkEnd w:id="1198"/>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lastRenderedPageBreak/>
              <w:t>2</w:t>
            </w:r>
          </w:p>
        </w:tc>
        <w:tc>
          <w:tcPr>
            <w:tcW w:w="1463" w:type="pct"/>
            <w:vAlign w:val="center"/>
          </w:tcPr>
          <w:p w:rsidR="00C645C9" w:rsidRDefault="00F955D9">
            <w:pPr>
              <w:spacing w:line="0" w:lineRule="atLeast"/>
              <w:jc w:val="center"/>
              <w:rPr>
                <w:rFonts w:cs="Times New Roman"/>
                <w:sz w:val="21"/>
                <w:szCs w:val="21"/>
              </w:rPr>
            </w:pPr>
            <w:r>
              <w:rPr>
                <w:rFonts w:cs="Times New Roman"/>
                <w:sz w:val="21"/>
                <w:szCs w:val="21"/>
              </w:rPr>
              <w:t>极端最高气温</w:t>
            </w:r>
          </w:p>
        </w:tc>
        <w:tc>
          <w:tcPr>
            <w:tcW w:w="705" w:type="pct"/>
            <w:vAlign w:val="center"/>
          </w:tcPr>
          <w:p w:rsidR="00C645C9" w:rsidRDefault="00F955D9">
            <w:pPr>
              <w:spacing w:line="0" w:lineRule="atLeast"/>
              <w:jc w:val="center"/>
              <w:rPr>
                <w:rFonts w:cs="Times New Roman"/>
                <w:sz w:val="21"/>
                <w:szCs w:val="21"/>
              </w:rPr>
            </w:pPr>
            <w:r>
              <w:rPr>
                <w:rFonts w:cs="Times New Roman"/>
                <w:sz w:val="21"/>
                <w:szCs w:val="21"/>
              </w:rPr>
              <w:t>4</w:t>
            </w:r>
            <w:r>
              <w:rPr>
                <w:rFonts w:cs="Times New Roman" w:hint="eastAsia"/>
                <w:sz w:val="21"/>
                <w:szCs w:val="21"/>
              </w:rPr>
              <w:t>1.5</w:t>
            </w:r>
            <w:r>
              <w:rPr>
                <w:rFonts w:cs="Times New Roman"/>
                <w:sz w:val="21"/>
                <w:szCs w:val="21"/>
              </w:rPr>
              <w:t>℃</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8</w:t>
            </w:r>
          </w:p>
        </w:tc>
        <w:tc>
          <w:tcPr>
            <w:tcW w:w="1305" w:type="pct"/>
            <w:vAlign w:val="center"/>
          </w:tcPr>
          <w:p w:rsidR="00C645C9" w:rsidRDefault="00F955D9">
            <w:pPr>
              <w:spacing w:line="0" w:lineRule="atLeast"/>
              <w:jc w:val="center"/>
              <w:rPr>
                <w:rFonts w:cs="Times New Roman"/>
                <w:sz w:val="21"/>
                <w:szCs w:val="21"/>
              </w:rPr>
            </w:pPr>
            <w:r>
              <w:rPr>
                <w:rFonts w:cs="Times New Roman" w:hint="eastAsia"/>
                <w:sz w:val="21"/>
                <w:szCs w:val="21"/>
              </w:rPr>
              <w:t>瞬间最大风速</w:t>
            </w:r>
          </w:p>
        </w:tc>
        <w:tc>
          <w:tcPr>
            <w:tcW w:w="833" w:type="pct"/>
            <w:vAlign w:val="center"/>
          </w:tcPr>
          <w:p w:rsidR="00C645C9" w:rsidRDefault="00F955D9">
            <w:pPr>
              <w:spacing w:line="0" w:lineRule="atLeast"/>
              <w:jc w:val="center"/>
              <w:rPr>
                <w:rFonts w:cs="Times New Roman"/>
                <w:sz w:val="21"/>
                <w:szCs w:val="21"/>
              </w:rPr>
            </w:pPr>
            <w:r>
              <w:rPr>
                <w:rFonts w:cs="Times New Roman" w:hint="eastAsia"/>
                <w:sz w:val="21"/>
                <w:szCs w:val="21"/>
              </w:rPr>
              <w:t>34</w:t>
            </w:r>
            <w:r>
              <w:rPr>
                <w:rFonts w:cs="Times New Roman"/>
                <w:sz w:val="21"/>
                <w:szCs w:val="21"/>
              </w:rPr>
              <w:t>m/s</w:t>
            </w:r>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t>3</w:t>
            </w:r>
          </w:p>
        </w:tc>
        <w:tc>
          <w:tcPr>
            <w:tcW w:w="1463" w:type="pct"/>
            <w:vAlign w:val="center"/>
          </w:tcPr>
          <w:p w:rsidR="00C645C9" w:rsidRDefault="00F955D9">
            <w:pPr>
              <w:spacing w:line="0" w:lineRule="atLeast"/>
              <w:jc w:val="center"/>
              <w:rPr>
                <w:rFonts w:cs="Times New Roman"/>
                <w:sz w:val="21"/>
                <w:szCs w:val="21"/>
              </w:rPr>
            </w:pPr>
            <w:r>
              <w:rPr>
                <w:rFonts w:cs="Times New Roman"/>
                <w:sz w:val="21"/>
                <w:szCs w:val="21"/>
              </w:rPr>
              <w:t>极端最低气温</w:t>
            </w:r>
          </w:p>
        </w:tc>
        <w:tc>
          <w:tcPr>
            <w:tcW w:w="705" w:type="pct"/>
            <w:vAlign w:val="center"/>
          </w:tcPr>
          <w:p w:rsidR="00C645C9" w:rsidRDefault="00F955D9">
            <w:pPr>
              <w:spacing w:line="0" w:lineRule="atLeast"/>
              <w:jc w:val="center"/>
              <w:rPr>
                <w:rFonts w:cs="Times New Roman"/>
                <w:sz w:val="21"/>
                <w:szCs w:val="21"/>
              </w:rPr>
            </w:pPr>
            <w:r>
              <w:rPr>
                <w:rFonts w:cs="Times New Roman"/>
                <w:sz w:val="21"/>
                <w:szCs w:val="21"/>
              </w:rPr>
              <w:t>-2</w:t>
            </w:r>
            <w:r>
              <w:rPr>
                <w:rFonts w:cs="Times New Roman" w:hint="eastAsia"/>
                <w:sz w:val="21"/>
                <w:szCs w:val="21"/>
              </w:rPr>
              <w:t>7.4</w:t>
            </w:r>
            <w:r>
              <w:rPr>
                <w:rFonts w:cs="Times New Roman"/>
                <w:sz w:val="21"/>
                <w:szCs w:val="21"/>
              </w:rPr>
              <w:t>℃</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9</w:t>
            </w:r>
          </w:p>
        </w:tc>
        <w:tc>
          <w:tcPr>
            <w:tcW w:w="1305" w:type="pct"/>
            <w:vAlign w:val="center"/>
          </w:tcPr>
          <w:p w:rsidR="00C645C9" w:rsidRDefault="00F955D9">
            <w:pPr>
              <w:spacing w:line="0" w:lineRule="atLeast"/>
              <w:jc w:val="center"/>
              <w:rPr>
                <w:rFonts w:cs="Times New Roman"/>
                <w:sz w:val="21"/>
                <w:szCs w:val="21"/>
              </w:rPr>
            </w:pPr>
            <w:r>
              <w:rPr>
                <w:rFonts w:cs="Times New Roman" w:hint="eastAsia"/>
                <w:sz w:val="21"/>
                <w:szCs w:val="21"/>
              </w:rPr>
              <w:t>主导</w:t>
            </w:r>
            <w:r>
              <w:rPr>
                <w:rFonts w:cs="Times New Roman" w:hint="eastAsia"/>
                <w:sz w:val="21"/>
                <w:szCs w:val="21"/>
              </w:rPr>
              <w:t>风向</w:t>
            </w:r>
          </w:p>
        </w:tc>
        <w:tc>
          <w:tcPr>
            <w:tcW w:w="833" w:type="pct"/>
            <w:vAlign w:val="center"/>
          </w:tcPr>
          <w:p w:rsidR="00C645C9" w:rsidRDefault="00F955D9">
            <w:pPr>
              <w:spacing w:line="0" w:lineRule="atLeast"/>
              <w:jc w:val="center"/>
              <w:rPr>
                <w:rFonts w:cs="Times New Roman"/>
                <w:sz w:val="21"/>
                <w:szCs w:val="21"/>
              </w:rPr>
            </w:pPr>
            <w:r>
              <w:rPr>
                <w:rFonts w:cs="Times New Roman" w:hint="eastAsia"/>
                <w:sz w:val="21"/>
                <w:szCs w:val="21"/>
              </w:rPr>
              <w:t>E</w:t>
            </w:r>
            <w:r>
              <w:rPr>
                <w:rFonts w:cs="Times New Roman" w:hint="eastAsia"/>
                <w:sz w:val="21"/>
                <w:szCs w:val="21"/>
              </w:rPr>
              <w:t>N</w:t>
            </w:r>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t>4</w:t>
            </w:r>
          </w:p>
        </w:tc>
        <w:tc>
          <w:tcPr>
            <w:tcW w:w="1463" w:type="pct"/>
            <w:vAlign w:val="center"/>
          </w:tcPr>
          <w:p w:rsidR="00C645C9" w:rsidRDefault="00F955D9">
            <w:pPr>
              <w:spacing w:line="0" w:lineRule="atLeast"/>
              <w:jc w:val="center"/>
              <w:rPr>
                <w:rFonts w:cs="Times New Roman"/>
                <w:sz w:val="21"/>
                <w:szCs w:val="21"/>
              </w:rPr>
            </w:pPr>
            <w:bookmarkStart w:id="1199" w:name="OLE_LINK524"/>
            <w:r>
              <w:rPr>
                <w:rFonts w:cs="Times New Roman" w:hint="eastAsia"/>
                <w:sz w:val="21"/>
                <w:szCs w:val="21"/>
              </w:rPr>
              <w:t>年均日照小时</w:t>
            </w:r>
            <w:bookmarkEnd w:id="1199"/>
            <w:r>
              <w:rPr>
                <w:rFonts w:cs="Times New Roman" w:hint="eastAsia"/>
                <w:sz w:val="21"/>
                <w:szCs w:val="21"/>
              </w:rPr>
              <w:t>数</w:t>
            </w:r>
          </w:p>
        </w:tc>
        <w:tc>
          <w:tcPr>
            <w:tcW w:w="705" w:type="pct"/>
            <w:vAlign w:val="center"/>
          </w:tcPr>
          <w:p w:rsidR="00C645C9" w:rsidRDefault="00F955D9">
            <w:pPr>
              <w:spacing w:line="0" w:lineRule="atLeast"/>
              <w:jc w:val="center"/>
              <w:rPr>
                <w:rFonts w:cs="Times New Roman"/>
                <w:sz w:val="21"/>
                <w:szCs w:val="21"/>
              </w:rPr>
            </w:pPr>
            <w:r>
              <w:rPr>
                <w:rFonts w:cs="Times New Roman" w:hint="eastAsia"/>
                <w:sz w:val="21"/>
                <w:szCs w:val="21"/>
              </w:rPr>
              <w:t>2886.7</w:t>
            </w:r>
            <w:r>
              <w:rPr>
                <w:rFonts w:cs="Times New Roman"/>
                <w:sz w:val="21"/>
                <w:szCs w:val="21"/>
              </w:rPr>
              <w:t>h</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10</w:t>
            </w:r>
          </w:p>
        </w:tc>
        <w:tc>
          <w:tcPr>
            <w:tcW w:w="1305" w:type="pct"/>
            <w:vAlign w:val="center"/>
          </w:tcPr>
          <w:p w:rsidR="00C645C9" w:rsidRDefault="00F955D9">
            <w:pPr>
              <w:spacing w:line="0" w:lineRule="atLeast"/>
              <w:jc w:val="center"/>
              <w:rPr>
                <w:rFonts w:cs="Times New Roman"/>
                <w:sz w:val="21"/>
                <w:szCs w:val="21"/>
              </w:rPr>
            </w:pPr>
            <w:bookmarkStart w:id="1200" w:name="OLE_LINK526"/>
            <w:r>
              <w:rPr>
                <w:rFonts w:cs="Times New Roman"/>
                <w:sz w:val="21"/>
                <w:szCs w:val="21"/>
              </w:rPr>
              <w:t>日最大降雨量</w:t>
            </w:r>
            <w:bookmarkEnd w:id="1200"/>
          </w:p>
        </w:tc>
        <w:tc>
          <w:tcPr>
            <w:tcW w:w="833" w:type="pct"/>
            <w:vAlign w:val="center"/>
          </w:tcPr>
          <w:p w:rsidR="00C645C9" w:rsidRDefault="00F955D9">
            <w:pPr>
              <w:spacing w:line="0" w:lineRule="atLeast"/>
              <w:jc w:val="center"/>
              <w:rPr>
                <w:rFonts w:cs="Times New Roman"/>
                <w:sz w:val="21"/>
                <w:szCs w:val="21"/>
              </w:rPr>
            </w:pPr>
            <w:r>
              <w:rPr>
                <w:rFonts w:cs="Times New Roman" w:hint="eastAsia"/>
                <w:sz w:val="21"/>
                <w:szCs w:val="21"/>
              </w:rPr>
              <w:t>21.4</w:t>
            </w:r>
            <w:r>
              <w:rPr>
                <w:rFonts w:cs="Times New Roman"/>
                <w:sz w:val="21"/>
                <w:szCs w:val="21"/>
              </w:rPr>
              <w:t>mm</w:t>
            </w:r>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t>5</w:t>
            </w:r>
          </w:p>
        </w:tc>
        <w:tc>
          <w:tcPr>
            <w:tcW w:w="1463" w:type="pct"/>
            <w:vAlign w:val="center"/>
          </w:tcPr>
          <w:p w:rsidR="00C645C9" w:rsidRDefault="00F955D9">
            <w:pPr>
              <w:spacing w:line="0" w:lineRule="atLeast"/>
              <w:jc w:val="center"/>
              <w:rPr>
                <w:rFonts w:cs="Times New Roman"/>
                <w:sz w:val="21"/>
                <w:szCs w:val="21"/>
              </w:rPr>
            </w:pPr>
            <w:r>
              <w:rPr>
                <w:rFonts w:cs="Times New Roman" w:hint="eastAsia"/>
                <w:sz w:val="21"/>
                <w:szCs w:val="21"/>
              </w:rPr>
              <w:t>最大冻土深度</w:t>
            </w:r>
          </w:p>
        </w:tc>
        <w:tc>
          <w:tcPr>
            <w:tcW w:w="705" w:type="pct"/>
            <w:vAlign w:val="center"/>
          </w:tcPr>
          <w:p w:rsidR="00C645C9" w:rsidRDefault="00F955D9">
            <w:pPr>
              <w:spacing w:line="0" w:lineRule="atLeast"/>
              <w:jc w:val="center"/>
              <w:rPr>
                <w:rFonts w:cs="Times New Roman"/>
                <w:sz w:val="21"/>
                <w:szCs w:val="21"/>
              </w:rPr>
            </w:pPr>
            <w:r>
              <w:rPr>
                <w:rFonts w:cs="Times New Roman" w:hint="eastAsia"/>
                <w:sz w:val="21"/>
                <w:szCs w:val="21"/>
              </w:rPr>
              <w:t>1.2</w:t>
            </w:r>
            <w:r>
              <w:rPr>
                <w:rFonts w:cs="Times New Roman"/>
                <w:sz w:val="21"/>
                <w:szCs w:val="21"/>
              </w:rPr>
              <w:t>m</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11</w:t>
            </w:r>
          </w:p>
        </w:tc>
        <w:tc>
          <w:tcPr>
            <w:tcW w:w="1305" w:type="pct"/>
            <w:vAlign w:val="center"/>
          </w:tcPr>
          <w:p w:rsidR="00C645C9" w:rsidRDefault="00F955D9">
            <w:pPr>
              <w:spacing w:line="0" w:lineRule="atLeast"/>
              <w:jc w:val="center"/>
              <w:rPr>
                <w:rFonts w:cs="Times New Roman"/>
                <w:sz w:val="21"/>
                <w:szCs w:val="21"/>
              </w:rPr>
            </w:pPr>
            <w:r>
              <w:rPr>
                <w:rFonts w:cs="Times New Roman" w:hint="eastAsia"/>
                <w:sz w:val="21"/>
                <w:szCs w:val="21"/>
              </w:rPr>
              <w:t>平均年降水量</w:t>
            </w:r>
          </w:p>
        </w:tc>
        <w:tc>
          <w:tcPr>
            <w:tcW w:w="833" w:type="pct"/>
            <w:vAlign w:val="center"/>
          </w:tcPr>
          <w:p w:rsidR="00C645C9" w:rsidRDefault="00F955D9">
            <w:pPr>
              <w:spacing w:line="0" w:lineRule="atLeast"/>
              <w:jc w:val="center"/>
              <w:rPr>
                <w:rFonts w:cs="Times New Roman"/>
                <w:sz w:val="21"/>
                <w:szCs w:val="21"/>
              </w:rPr>
            </w:pPr>
            <w:r>
              <w:rPr>
                <w:rFonts w:cs="Times New Roman" w:hint="eastAsia"/>
                <w:sz w:val="21"/>
                <w:szCs w:val="21"/>
              </w:rPr>
              <w:t>51.9</w:t>
            </w:r>
            <w:r>
              <w:rPr>
                <w:rFonts w:cs="Times New Roman"/>
                <w:sz w:val="21"/>
                <w:szCs w:val="21"/>
              </w:rPr>
              <w:t>mm</w:t>
            </w:r>
          </w:p>
        </w:tc>
      </w:tr>
      <w:tr w:rsidR="00C645C9">
        <w:trPr>
          <w:trHeight w:val="397"/>
          <w:jc w:val="center"/>
        </w:trPr>
        <w:tc>
          <w:tcPr>
            <w:tcW w:w="331" w:type="pct"/>
            <w:vAlign w:val="center"/>
          </w:tcPr>
          <w:p w:rsidR="00C645C9" w:rsidRDefault="00F955D9">
            <w:pPr>
              <w:spacing w:line="0" w:lineRule="atLeast"/>
              <w:jc w:val="center"/>
              <w:rPr>
                <w:rFonts w:cs="Times New Roman"/>
                <w:sz w:val="21"/>
                <w:szCs w:val="21"/>
              </w:rPr>
            </w:pPr>
            <w:r>
              <w:rPr>
                <w:rFonts w:cs="Times New Roman"/>
                <w:sz w:val="21"/>
                <w:szCs w:val="21"/>
              </w:rPr>
              <w:t>6</w:t>
            </w:r>
          </w:p>
        </w:tc>
        <w:tc>
          <w:tcPr>
            <w:tcW w:w="1463" w:type="pct"/>
            <w:vAlign w:val="center"/>
          </w:tcPr>
          <w:p w:rsidR="00C645C9" w:rsidRDefault="00F955D9">
            <w:pPr>
              <w:spacing w:line="0" w:lineRule="atLeast"/>
              <w:jc w:val="center"/>
              <w:rPr>
                <w:rFonts w:cs="Times New Roman"/>
                <w:sz w:val="21"/>
                <w:szCs w:val="21"/>
              </w:rPr>
            </w:pPr>
            <w:bookmarkStart w:id="1201" w:name="OLE_LINK525"/>
            <w:r>
              <w:rPr>
                <w:rFonts w:cs="Times New Roman"/>
                <w:sz w:val="21"/>
                <w:szCs w:val="21"/>
              </w:rPr>
              <w:t>年平均相对湿度</w:t>
            </w:r>
            <w:bookmarkEnd w:id="1201"/>
          </w:p>
        </w:tc>
        <w:tc>
          <w:tcPr>
            <w:tcW w:w="705" w:type="pct"/>
            <w:vAlign w:val="center"/>
          </w:tcPr>
          <w:p w:rsidR="00C645C9" w:rsidRDefault="00F955D9">
            <w:pPr>
              <w:spacing w:line="0" w:lineRule="atLeast"/>
              <w:jc w:val="center"/>
              <w:rPr>
                <w:rFonts w:cs="Times New Roman"/>
                <w:sz w:val="21"/>
                <w:szCs w:val="21"/>
              </w:rPr>
            </w:pPr>
            <w:r>
              <w:rPr>
                <w:rFonts w:cs="Times New Roman"/>
                <w:sz w:val="21"/>
                <w:szCs w:val="21"/>
              </w:rPr>
              <w:t>5</w:t>
            </w:r>
            <w:r>
              <w:rPr>
                <w:rFonts w:cs="Times New Roman" w:hint="eastAsia"/>
                <w:sz w:val="21"/>
                <w:szCs w:val="21"/>
              </w:rPr>
              <w:t>4</w:t>
            </w:r>
            <w:r>
              <w:rPr>
                <w:rFonts w:cs="Times New Roman"/>
                <w:sz w:val="21"/>
                <w:szCs w:val="21"/>
              </w:rPr>
              <w:t>%</w:t>
            </w:r>
          </w:p>
        </w:tc>
        <w:tc>
          <w:tcPr>
            <w:tcW w:w="361" w:type="pct"/>
            <w:vAlign w:val="center"/>
          </w:tcPr>
          <w:p w:rsidR="00C645C9" w:rsidRDefault="00F955D9">
            <w:pPr>
              <w:spacing w:line="0" w:lineRule="atLeast"/>
              <w:jc w:val="center"/>
              <w:rPr>
                <w:rFonts w:cs="Times New Roman"/>
                <w:sz w:val="21"/>
                <w:szCs w:val="21"/>
              </w:rPr>
            </w:pPr>
            <w:r>
              <w:rPr>
                <w:rFonts w:cs="Times New Roman"/>
                <w:sz w:val="21"/>
                <w:szCs w:val="21"/>
              </w:rPr>
              <w:t>12</w:t>
            </w:r>
          </w:p>
        </w:tc>
        <w:tc>
          <w:tcPr>
            <w:tcW w:w="1305" w:type="pct"/>
            <w:vAlign w:val="center"/>
          </w:tcPr>
          <w:p w:rsidR="00C645C9" w:rsidRDefault="00F955D9">
            <w:pPr>
              <w:spacing w:line="0" w:lineRule="atLeast"/>
              <w:jc w:val="center"/>
              <w:rPr>
                <w:rFonts w:cs="Times New Roman"/>
                <w:sz w:val="21"/>
                <w:szCs w:val="21"/>
              </w:rPr>
            </w:pPr>
            <w:r>
              <w:rPr>
                <w:rFonts w:cs="Times New Roman"/>
                <w:sz w:val="21"/>
                <w:szCs w:val="21"/>
              </w:rPr>
              <w:t>年平均</w:t>
            </w:r>
            <w:r>
              <w:rPr>
                <w:rFonts w:cs="Times New Roman" w:hint="eastAsia"/>
                <w:sz w:val="21"/>
                <w:szCs w:val="21"/>
              </w:rPr>
              <w:t>总</w:t>
            </w:r>
            <w:r>
              <w:rPr>
                <w:rFonts w:cs="Times New Roman"/>
                <w:sz w:val="21"/>
                <w:szCs w:val="21"/>
              </w:rPr>
              <w:t>蒸发量</w:t>
            </w:r>
          </w:p>
        </w:tc>
        <w:tc>
          <w:tcPr>
            <w:tcW w:w="833" w:type="pct"/>
            <w:vAlign w:val="center"/>
          </w:tcPr>
          <w:p w:rsidR="00C645C9" w:rsidRDefault="00F955D9">
            <w:pPr>
              <w:spacing w:line="0" w:lineRule="atLeast"/>
              <w:jc w:val="center"/>
              <w:rPr>
                <w:rFonts w:cs="Times New Roman"/>
                <w:sz w:val="21"/>
                <w:szCs w:val="21"/>
              </w:rPr>
            </w:pPr>
            <w:r>
              <w:rPr>
                <w:rFonts w:cs="Times New Roman"/>
                <w:sz w:val="21"/>
                <w:szCs w:val="21"/>
              </w:rPr>
              <w:t>2</w:t>
            </w:r>
            <w:r>
              <w:rPr>
                <w:rFonts w:cs="Times New Roman" w:hint="eastAsia"/>
                <w:sz w:val="21"/>
                <w:szCs w:val="21"/>
              </w:rPr>
              <w:t>070</w:t>
            </w:r>
            <w:r>
              <w:rPr>
                <w:rFonts w:cs="Times New Roman"/>
                <w:sz w:val="21"/>
                <w:szCs w:val="21"/>
              </w:rPr>
              <w:t>mm</w:t>
            </w:r>
          </w:p>
        </w:tc>
      </w:tr>
    </w:tbl>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202" w:name="_Toc21179"/>
      <w:bookmarkEnd w:id="1197"/>
      <w:r>
        <w:rPr>
          <w:rFonts w:ascii="Times New Roman" w:hAnsi="Times New Roman" w:cs="Times New Roman"/>
          <w:color w:val="auto"/>
          <w:lang w:eastAsia="zh-CN"/>
        </w:rPr>
        <w:t>4.</w:t>
      </w:r>
      <w:r>
        <w:rPr>
          <w:rFonts w:ascii="Times New Roman" w:hAnsi="Times New Roman" w:cs="Times New Roman" w:hint="eastAsia"/>
          <w:color w:val="auto"/>
          <w:lang w:eastAsia="zh-CN"/>
        </w:rPr>
        <w:t>2</w:t>
      </w:r>
      <w:r>
        <w:rPr>
          <w:rFonts w:ascii="Times New Roman" w:hAnsi="Times New Roman" w:cs="Times New Roman"/>
          <w:color w:val="auto"/>
          <w:lang w:eastAsia="zh-CN"/>
        </w:rPr>
        <w:t>生态环境现状调查与评价</w:t>
      </w:r>
      <w:bookmarkEnd w:id="1202"/>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203" w:name="_Toc31002"/>
      <w:bookmarkStart w:id="1204" w:name="_Toc11024"/>
      <w:bookmarkStart w:id="1205" w:name="_Toc2114"/>
      <w:bookmarkStart w:id="1206" w:name="_Toc22759"/>
      <w:r>
        <w:rPr>
          <w:rFonts w:ascii="Times New Roman" w:hAnsi="Times New Roman" w:cs="Times New Roman"/>
          <w:color w:val="auto"/>
          <w:lang w:eastAsia="zh-CN"/>
        </w:rPr>
        <w:t>4.</w:t>
      </w:r>
      <w:r>
        <w:rPr>
          <w:rFonts w:ascii="Times New Roman" w:hAnsi="Times New Roman" w:cs="Times New Roman" w:hint="eastAsia"/>
          <w:color w:val="auto"/>
          <w:lang w:eastAsia="zh-CN"/>
        </w:rPr>
        <w:t>2</w:t>
      </w:r>
      <w:r>
        <w:rPr>
          <w:rFonts w:ascii="Times New Roman" w:hAnsi="Times New Roman" w:cs="Times New Roman"/>
          <w:color w:val="auto"/>
          <w:lang w:eastAsia="zh-CN"/>
        </w:rPr>
        <w:t>.1</w:t>
      </w:r>
      <w:bookmarkEnd w:id="1203"/>
      <w:bookmarkEnd w:id="1204"/>
      <w:bookmarkEnd w:id="1205"/>
      <w:r>
        <w:rPr>
          <w:rFonts w:ascii="Times New Roman" w:hAnsi="Times New Roman" w:cs="Times New Roman"/>
          <w:color w:val="auto"/>
          <w:lang w:eastAsia="zh-CN"/>
        </w:rPr>
        <w:t>调查方法及评价内容</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w:t>
      </w:r>
      <w:r>
        <w:rPr>
          <w:rFonts w:cs="Times New Roman"/>
          <w:bCs/>
        </w:rPr>
        <w:t>1</w:t>
      </w:r>
      <w:r>
        <w:rPr>
          <w:rFonts w:cs="Times New Roman"/>
          <w:bCs/>
        </w:rPr>
        <w:t>）调查范围</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本工程</w:t>
      </w:r>
      <w:r>
        <w:rPr>
          <w:rFonts w:cs="Times New Roman" w:hint="eastAsia"/>
          <w:bCs/>
        </w:rPr>
        <w:t>位于阿克苏地区新和县境内，北部距库车市约</w:t>
      </w:r>
      <w:r>
        <w:rPr>
          <w:rFonts w:cs="Times New Roman" w:hint="eastAsia"/>
          <w:bCs/>
        </w:rPr>
        <w:t>41km</w:t>
      </w:r>
      <w:r>
        <w:rPr>
          <w:rFonts w:cs="Times New Roman" w:hint="eastAsia"/>
          <w:bCs/>
        </w:rPr>
        <w:t>，南部距新和县约</w:t>
      </w:r>
      <w:r>
        <w:rPr>
          <w:rFonts w:cs="Times New Roman" w:hint="eastAsia"/>
          <w:bCs/>
        </w:rPr>
        <w:t>9km</w:t>
      </w:r>
      <w:r>
        <w:rPr>
          <w:rFonts w:cs="Times New Roman"/>
          <w:bCs/>
        </w:rPr>
        <w:t>。</w:t>
      </w:r>
      <w:r>
        <w:rPr>
          <w:rFonts w:cs="Times New Roman" w:hint="eastAsia"/>
          <w:bCs/>
        </w:rPr>
        <w:t>本工程</w:t>
      </w:r>
      <w:r>
        <w:rPr>
          <w:rFonts w:cs="Times New Roman"/>
          <w:bCs/>
        </w:rPr>
        <w:t>主要部署新北</w:t>
      </w:r>
      <w:r>
        <w:rPr>
          <w:rFonts w:cs="Times New Roman"/>
          <w:bCs/>
        </w:rPr>
        <w:t>1X</w:t>
      </w:r>
      <w:r>
        <w:rPr>
          <w:rFonts w:cs="Times New Roman"/>
          <w:bCs/>
        </w:rPr>
        <w:t>井</w:t>
      </w:r>
      <w:r>
        <w:rPr>
          <w:rFonts w:cs="Times New Roman" w:hint="eastAsia"/>
          <w:bCs/>
        </w:rPr>
        <w:t>和</w:t>
      </w:r>
      <w:r>
        <w:rPr>
          <w:rFonts w:cs="Times New Roman"/>
          <w:bCs/>
        </w:rPr>
        <w:t>新北</w:t>
      </w:r>
      <w:r>
        <w:rPr>
          <w:rFonts w:cs="Times New Roman"/>
          <w:bCs/>
        </w:rPr>
        <w:t>7</w:t>
      </w:r>
      <w:r>
        <w:rPr>
          <w:rFonts w:cs="Times New Roman"/>
          <w:bCs/>
        </w:rPr>
        <w:t>井</w:t>
      </w:r>
      <w:r>
        <w:rPr>
          <w:rFonts w:cs="Times New Roman"/>
          <w:bCs/>
        </w:rPr>
        <w:t>2</w:t>
      </w:r>
      <w:r>
        <w:rPr>
          <w:rFonts w:cs="Times New Roman"/>
          <w:bCs/>
        </w:rPr>
        <w:t>口采气井，其中新北</w:t>
      </w:r>
      <w:r>
        <w:rPr>
          <w:rFonts w:cs="Times New Roman"/>
          <w:bCs/>
        </w:rPr>
        <w:t>7</w:t>
      </w:r>
      <w:r>
        <w:rPr>
          <w:rFonts w:cs="Times New Roman"/>
          <w:bCs/>
        </w:rPr>
        <w:t>井为新钻井，新北</w:t>
      </w:r>
      <w:r>
        <w:rPr>
          <w:rFonts w:cs="Times New Roman"/>
          <w:bCs/>
        </w:rPr>
        <w:t>1X</w:t>
      </w:r>
      <w:r>
        <w:rPr>
          <w:rFonts w:cs="Times New Roman"/>
          <w:bCs/>
        </w:rPr>
        <w:t>井为老井侧钻井。凝析油</w:t>
      </w:r>
      <w:r>
        <w:rPr>
          <w:rFonts w:cs="Times New Roman" w:hint="eastAsia"/>
          <w:bCs/>
        </w:rPr>
        <w:t>经</w:t>
      </w:r>
      <w:r>
        <w:rPr>
          <w:rFonts w:cs="Times New Roman"/>
          <w:bCs/>
        </w:rPr>
        <w:t>油气分离后装车外运至雅克拉集气处理站处理</w:t>
      </w:r>
      <w:r>
        <w:rPr>
          <w:rFonts w:cs="Times New Roman" w:hint="eastAsia"/>
          <w:bCs/>
        </w:rPr>
        <w:t>，</w:t>
      </w:r>
      <w:r>
        <w:rPr>
          <w:rFonts w:cs="Times New Roman"/>
          <w:bCs/>
        </w:rPr>
        <w:t>天然气脱水脱烃后就地销售给地方企业。根据工程分析，</w:t>
      </w:r>
      <w:r>
        <w:rPr>
          <w:rFonts w:cs="Times New Roman" w:hint="eastAsia"/>
          <w:bCs/>
        </w:rPr>
        <w:t>本工程总</w:t>
      </w:r>
      <w:r>
        <w:rPr>
          <w:rFonts w:cs="Times New Roman"/>
        </w:rPr>
        <w:t>占地面积为</w:t>
      </w:r>
      <w:r>
        <w:rPr>
          <w:rFonts w:cs="Times New Roman" w:hint="eastAsia"/>
          <w:snapToGrid w:val="0"/>
        </w:rPr>
        <w:t>4.09</w:t>
      </w:r>
      <w:r>
        <w:rPr>
          <w:rFonts w:cs="Times New Roman"/>
          <w:snapToGrid w:val="0"/>
        </w:rPr>
        <w:t>hm</w:t>
      </w:r>
      <w:r>
        <w:rPr>
          <w:rFonts w:cs="Times New Roman"/>
          <w:snapToGrid w:val="0"/>
          <w:vertAlign w:val="superscript"/>
        </w:rPr>
        <w:t>2</w:t>
      </w:r>
      <w:r>
        <w:rPr>
          <w:rFonts w:cs="Times New Roman" w:hint="eastAsia"/>
          <w:snapToGrid w:val="0"/>
        </w:rPr>
        <w:t>，</w:t>
      </w:r>
      <w:r>
        <w:rPr>
          <w:rFonts w:cs="Times New Roman" w:hint="eastAsia"/>
          <w:snapToGrid w:val="0"/>
        </w:rPr>
        <w:t>永久占地为</w:t>
      </w:r>
      <w:r>
        <w:rPr>
          <w:rFonts w:cs="Times New Roman" w:hint="eastAsia"/>
          <w:snapToGrid w:val="0"/>
        </w:rPr>
        <w:t>3.43hm</w:t>
      </w:r>
      <w:r>
        <w:rPr>
          <w:rFonts w:cs="Times New Roman" w:hint="eastAsia"/>
          <w:snapToGrid w:val="0"/>
          <w:vertAlign w:val="superscript"/>
        </w:rPr>
        <w:t>2</w:t>
      </w:r>
      <w:r>
        <w:rPr>
          <w:rFonts w:cs="Times New Roman" w:hint="eastAsia"/>
          <w:snapToGrid w:val="0"/>
        </w:rPr>
        <w:t>，临时占地</w:t>
      </w:r>
      <w:r>
        <w:rPr>
          <w:rFonts w:cs="Times New Roman" w:hint="eastAsia"/>
          <w:snapToGrid w:val="0"/>
        </w:rPr>
        <w:t>0.66hm</w:t>
      </w:r>
      <w:r>
        <w:rPr>
          <w:rFonts w:cs="Times New Roman" w:hint="eastAsia"/>
          <w:snapToGrid w:val="0"/>
          <w:vertAlign w:val="superscript"/>
        </w:rPr>
        <w:t>2</w:t>
      </w:r>
      <w:r>
        <w:rPr>
          <w:rFonts w:cs="Times New Roman" w:hint="eastAsia"/>
          <w:bCs/>
        </w:rPr>
        <w:t>。</w:t>
      </w:r>
      <w:r>
        <w:rPr>
          <w:rFonts w:cs="Times New Roman"/>
          <w:bCs/>
        </w:rPr>
        <w:t>根据《环境影响评价技术导则</w:t>
      </w:r>
      <w:r>
        <w:rPr>
          <w:rFonts w:cs="Times New Roman"/>
          <w:bCs/>
        </w:rPr>
        <w:t xml:space="preserve"> </w:t>
      </w:r>
      <w:r>
        <w:rPr>
          <w:rFonts w:cs="Times New Roman"/>
          <w:bCs/>
        </w:rPr>
        <w:t>生态影响》（</w:t>
      </w:r>
      <w:r>
        <w:rPr>
          <w:rFonts w:cs="Times New Roman"/>
          <w:bCs/>
        </w:rPr>
        <w:t>HJ19-2022</w:t>
      </w:r>
      <w:r>
        <w:rPr>
          <w:rFonts w:cs="Times New Roman"/>
          <w:bCs/>
        </w:rPr>
        <w:t>）及《陆地石油天然气开发建设项目环境影响评价技术导则》（</w:t>
      </w:r>
      <w:r>
        <w:rPr>
          <w:rFonts w:cs="Times New Roman"/>
          <w:bCs/>
        </w:rPr>
        <w:t>HJ349-2023</w:t>
      </w:r>
      <w:r>
        <w:rPr>
          <w:rFonts w:cs="Times New Roman"/>
          <w:bCs/>
        </w:rPr>
        <w:t>），</w:t>
      </w:r>
      <w:r>
        <w:rPr>
          <w:rFonts w:cs="Times New Roman" w:hint="eastAsia"/>
          <w:bCs/>
        </w:rPr>
        <w:t>本工程</w:t>
      </w:r>
      <w:r>
        <w:rPr>
          <w:rFonts w:cs="Times New Roman"/>
          <w:bCs/>
        </w:rPr>
        <w:t>以</w:t>
      </w:r>
      <w:r>
        <w:rPr>
          <w:rFonts w:cs="Times New Roman" w:hint="eastAsia"/>
          <w:bCs/>
        </w:rPr>
        <w:t>各</w:t>
      </w:r>
      <w:r>
        <w:rPr>
          <w:rFonts w:cs="Times New Roman"/>
          <w:bCs/>
        </w:rPr>
        <w:t>井场场界周围</w:t>
      </w:r>
      <w:r>
        <w:rPr>
          <w:rFonts w:cs="Times New Roman"/>
          <w:bCs/>
        </w:rPr>
        <w:t>50m</w:t>
      </w:r>
      <w:r>
        <w:rPr>
          <w:rFonts w:cs="Times New Roman"/>
          <w:bCs/>
        </w:rPr>
        <w:t>范围为</w:t>
      </w:r>
      <w:r>
        <w:rPr>
          <w:rFonts w:cs="Times New Roman" w:hint="eastAsia"/>
          <w:bCs/>
        </w:rPr>
        <w:t>生态</w:t>
      </w:r>
      <w:r>
        <w:rPr>
          <w:rFonts w:cs="Times New Roman"/>
          <w:bCs/>
        </w:rPr>
        <w:t>评价范围，面积约</w:t>
      </w:r>
      <w:r>
        <w:rPr>
          <w:rFonts w:cs="Times New Roman" w:hint="eastAsia"/>
          <w:bCs/>
        </w:rPr>
        <w:t>0.114</w:t>
      </w:r>
      <w:r>
        <w:rPr>
          <w:rFonts w:cs="Times New Roman"/>
          <w:bCs/>
        </w:rPr>
        <w:t>km</w:t>
      </w:r>
      <w:r>
        <w:rPr>
          <w:rFonts w:cs="Times New Roman"/>
          <w:bCs/>
          <w:vertAlign w:val="superscript"/>
        </w:rPr>
        <w:t>2</w:t>
      </w:r>
      <w:r>
        <w:rPr>
          <w:rFonts w:cs="Times New Roman"/>
          <w:bCs/>
        </w:rPr>
        <w:t>。</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w:t>
      </w:r>
      <w:r>
        <w:rPr>
          <w:rFonts w:cs="Times New Roman"/>
          <w:bCs/>
        </w:rPr>
        <w:t>2</w:t>
      </w:r>
      <w:r>
        <w:rPr>
          <w:rFonts w:cs="Times New Roman"/>
          <w:bCs/>
        </w:rPr>
        <w:t>）调查内容</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bCs/>
        </w:rPr>
        <w:t>A.</w:t>
      </w:r>
      <w:r>
        <w:rPr>
          <w:rFonts w:cs="Times New Roman"/>
          <w:bCs/>
        </w:rPr>
        <w:t>调查评价范围内的</w:t>
      </w:r>
      <w:r>
        <w:rPr>
          <w:rFonts w:cs="Times New Roman" w:hint="eastAsia"/>
          <w:bCs/>
        </w:rPr>
        <w:t>植物区系、植被类型；动物区系、物种组成及分布特征；生态系统的类型、特征；重要野生动植物等。</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B.</w:t>
      </w:r>
      <w:r>
        <w:rPr>
          <w:rFonts w:cs="Times New Roman" w:hint="eastAsia"/>
          <w:bCs/>
        </w:rPr>
        <w:t>调查生态敏感区的主要保护对象、功能区划、保护要求。</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C.</w:t>
      </w:r>
      <w:r>
        <w:rPr>
          <w:rFonts w:cs="Times New Roman" w:hint="eastAsia"/>
          <w:bCs/>
        </w:rPr>
        <w:t>调查区域存在的主要生态问题。</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w:t>
      </w:r>
      <w:r>
        <w:rPr>
          <w:rFonts w:cs="Times New Roman" w:hint="eastAsia"/>
          <w:bCs/>
        </w:rPr>
        <w:t>3</w:t>
      </w:r>
      <w:r>
        <w:rPr>
          <w:rFonts w:cs="Times New Roman" w:hint="eastAsia"/>
          <w:bCs/>
        </w:rPr>
        <w:t>）调查方法</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本评价生态特征调查采用资料收集、现场踏勘结合遥感解译的方法。在资料收集、分析和现场踏勘调查的基础上，利用“</w:t>
      </w:r>
      <w:r>
        <w:rPr>
          <w:rFonts w:cs="Times New Roman" w:hint="eastAsia"/>
          <w:bCs/>
        </w:rPr>
        <w:t>3S</w:t>
      </w:r>
      <w:r>
        <w:rPr>
          <w:rFonts w:cs="Times New Roman" w:hint="eastAsia"/>
          <w:bCs/>
        </w:rPr>
        <w:t>”等技术手段，进行数据采集，对资料、信息和数据进行汇总、整理、分析，并完成生态制图。</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A.</w:t>
      </w:r>
      <w:r>
        <w:rPr>
          <w:rFonts w:cs="Times New Roman" w:hint="eastAsia"/>
          <w:bCs/>
        </w:rPr>
        <w:t>基础资料收集</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收集</w:t>
      </w:r>
      <w:r>
        <w:rPr>
          <w:rFonts w:cs="Times New Roman" w:hint="eastAsia"/>
          <w:bCs/>
        </w:rPr>
        <w:t>工程</w:t>
      </w:r>
      <w:r>
        <w:rPr>
          <w:rFonts w:cs="Times New Roman" w:hint="eastAsia"/>
          <w:bCs/>
        </w:rPr>
        <w:t>周边地区非生物因子特征（气候、土壤、地形地貌、水文地质等）、动植物类型及分布、植被类型及分布</w:t>
      </w:r>
      <w:r>
        <w:rPr>
          <w:rFonts w:cs="Times New Roman" w:hint="eastAsia"/>
          <w:bCs/>
        </w:rPr>
        <w:t>、生态功能区划、土地利用等资料，还参考了《新疆植物志》《新疆脊椎动物简志》《中国新疆野生动物》等著作及相关科研论文。</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lastRenderedPageBreak/>
        <w:t>B.</w:t>
      </w:r>
      <w:r>
        <w:rPr>
          <w:rFonts w:cs="Times New Roman" w:hint="eastAsia"/>
          <w:bCs/>
        </w:rPr>
        <w:t>现场勘查</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1</w:t>
      </w:r>
      <w:r>
        <w:rPr>
          <w:rFonts w:cs="Times New Roman" w:hint="eastAsia"/>
          <w:bCs/>
        </w:rPr>
        <w:t>）陆生植被调查</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本次调查主要在收集整理工程区域及邻近地区的现有生物多样性资料、综合分析现有资料的基础上，结合实地调查结果，获取评价区陆生植被现状。</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2</w:t>
      </w:r>
      <w:r>
        <w:rPr>
          <w:rFonts w:cs="Times New Roman" w:hint="eastAsia"/>
          <w:bCs/>
        </w:rPr>
        <w:t>）陆生动物调查</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搜集参照《生物多样性观测技术导则</w:t>
      </w:r>
      <w:r>
        <w:rPr>
          <w:rFonts w:cs="Times New Roman" w:hint="eastAsia"/>
          <w:bCs/>
        </w:rPr>
        <w:t xml:space="preserve"> </w:t>
      </w:r>
      <w:r>
        <w:rPr>
          <w:rFonts w:cs="Times New Roman" w:hint="eastAsia"/>
          <w:bCs/>
        </w:rPr>
        <w:t>陆生哺乳动物（</w:t>
      </w:r>
      <w:r>
        <w:rPr>
          <w:rFonts w:cs="Times New Roman" w:hint="eastAsia"/>
          <w:bCs/>
        </w:rPr>
        <w:t>HJ 710.3-2014</w:t>
      </w:r>
      <w:r>
        <w:rPr>
          <w:rFonts w:cs="Times New Roman" w:hint="eastAsia"/>
          <w:bCs/>
        </w:rPr>
        <w:t>）》《生物多样性观测技术导则</w:t>
      </w:r>
      <w:r>
        <w:rPr>
          <w:rFonts w:cs="Times New Roman" w:hint="eastAsia"/>
          <w:bCs/>
        </w:rPr>
        <w:t xml:space="preserve"> </w:t>
      </w:r>
      <w:r>
        <w:rPr>
          <w:rFonts w:cs="Times New Roman" w:hint="eastAsia"/>
          <w:bCs/>
        </w:rPr>
        <w:t>鸟类（</w:t>
      </w:r>
      <w:r>
        <w:rPr>
          <w:rFonts w:cs="Times New Roman" w:hint="eastAsia"/>
          <w:bCs/>
        </w:rPr>
        <w:t>HJ 710.4-2014</w:t>
      </w:r>
      <w:r>
        <w:rPr>
          <w:rFonts w:cs="Times New Roman" w:hint="eastAsia"/>
          <w:bCs/>
        </w:rPr>
        <w:t>）》《生物多样性观测技术导则</w:t>
      </w:r>
      <w:r>
        <w:rPr>
          <w:rFonts w:cs="Times New Roman" w:hint="eastAsia"/>
          <w:bCs/>
        </w:rPr>
        <w:t xml:space="preserve"> </w:t>
      </w:r>
      <w:r>
        <w:rPr>
          <w:rFonts w:cs="Times New Roman" w:hint="eastAsia"/>
          <w:bCs/>
        </w:rPr>
        <w:t>爬行动物（</w:t>
      </w:r>
      <w:r>
        <w:rPr>
          <w:rFonts w:cs="Times New Roman" w:hint="eastAsia"/>
          <w:bCs/>
        </w:rPr>
        <w:t xml:space="preserve"> HJ 710.5-2014</w:t>
      </w:r>
      <w:r>
        <w:rPr>
          <w:rFonts w:cs="Times New Roman" w:hint="eastAsia"/>
          <w:bCs/>
        </w:rPr>
        <w:t>）》《生</w:t>
      </w:r>
      <w:r>
        <w:rPr>
          <w:rFonts w:cs="Times New Roman" w:hint="eastAsia"/>
          <w:bCs/>
        </w:rPr>
        <w:t>物多样性观测技术导则</w:t>
      </w:r>
      <w:r>
        <w:rPr>
          <w:rFonts w:cs="Times New Roman" w:hint="eastAsia"/>
          <w:bCs/>
        </w:rPr>
        <w:t xml:space="preserve"> </w:t>
      </w:r>
      <w:r>
        <w:rPr>
          <w:rFonts w:cs="Times New Roman" w:hint="eastAsia"/>
          <w:bCs/>
        </w:rPr>
        <w:t>两栖动物（</w:t>
      </w:r>
      <w:r>
        <w:rPr>
          <w:rFonts w:cs="Times New Roman" w:hint="eastAsia"/>
          <w:bCs/>
        </w:rPr>
        <w:t>HJ 710.6-2014</w:t>
      </w:r>
      <w:r>
        <w:rPr>
          <w:rFonts w:cs="Times New Roman" w:hint="eastAsia"/>
          <w:bCs/>
        </w:rPr>
        <w:t>）》等确定的技术方法，本次陆生动物调查主要通过收集整理工程涉及区域现有生物多样性资料、野外踪迹进行调查的方法，结合现场调查结果确定动物种类及数量，最终对评价区的动物资源现状得出综合结论。</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C.</w:t>
      </w:r>
      <w:r>
        <w:rPr>
          <w:rFonts w:cs="Times New Roman" w:hint="eastAsia"/>
          <w:bCs/>
        </w:rPr>
        <w:t>生态制图</w:t>
      </w:r>
    </w:p>
    <w:p w:rsidR="00C645C9" w:rsidRDefault="00F955D9">
      <w:pPr>
        <w:adjustRightInd w:val="0"/>
        <w:snapToGrid w:val="0"/>
        <w:spacing w:line="360" w:lineRule="auto"/>
        <w:ind w:firstLineChars="200" w:firstLine="480"/>
      </w:pPr>
      <w:r>
        <w:rPr>
          <w:rFonts w:cs="Times New Roman" w:hint="eastAsia"/>
          <w:bCs/>
        </w:rPr>
        <w:t>采用“</w:t>
      </w:r>
      <w:r>
        <w:rPr>
          <w:rFonts w:cs="Times New Roman" w:hint="eastAsia"/>
          <w:bCs/>
        </w:rPr>
        <w:t>3S</w:t>
      </w:r>
      <w:r>
        <w:rPr>
          <w:rFonts w:cs="Times New Roman" w:hint="eastAsia"/>
          <w:bCs/>
        </w:rPr>
        <w:t>”技术进行地表类型的数字化判读，完成数字化的植被类型图和土地利用类型图。本次遥感数据采用</w:t>
      </w:r>
      <w:r>
        <w:rPr>
          <w:rFonts w:cs="Times New Roman" w:hint="eastAsia"/>
          <w:bCs/>
        </w:rPr>
        <w:t>Landsat8 OLI</w:t>
      </w:r>
      <w:r>
        <w:rPr>
          <w:rFonts w:cs="Times New Roman" w:hint="eastAsia"/>
          <w:bCs/>
        </w:rPr>
        <w:t>卫星遥感影像，从遥感信息获取的地面覆盖类型，在地面调查和历史资料基础上进行综合判读，采用监督分类的方法最终赋予生态学的含义。植被类</w:t>
      </w:r>
      <w:r>
        <w:rPr>
          <w:rFonts w:cs="Times New Roman" w:hint="eastAsia"/>
          <w:bCs/>
        </w:rPr>
        <w:t>型的确定需结合不同植被类型分布的生态学特征，不单纯依靠色彩进行划分，对监督分类产生的植被初图，结合地面样点和等高线、坡度、坡向等信息，对植被图进行目视解译校正，得到符合精度要求的植被图。在植被图的基础上，进一步合并有关地面类型，得到土地利用类型图</w:t>
      </w:r>
      <w:r>
        <w:rPr>
          <w:rFonts w:cs="Times New Roman" w:hint="eastAsia"/>
          <w:bCs/>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r>
        <w:rPr>
          <w:rFonts w:ascii="Times New Roman" w:hAnsi="Times New Roman" w:cs="Times New Roman"/>
          <w:color w:val="auto"/>
          <w:lang w:val="zh-CN" w:eastAsia="zh-CN"/>
        </w:rPr>
        <w:t>4.</w:t>
      </w:r>
      <w:r>
        <w:rPr>
          <w:rFonts w:ascii="Times New Roman" w:hAnsi="Times New Roman" w:cs="Times New Roman" w:hint="eastAsia"/>
          <w:color w:val="auto"/>
          <w:lang w:eastAsia="zh-CN"/>
        </w:rPr>
        <w:t>2</w:t>
      </w:r>
      <w:r>
        <w:rPr>
          <w:rFonts w:ascii="Times New Roman" w:hAnsi="Times New Roman" w:cs="Times New Roman"/>
          <w:color w:val="auto"/>
          <w:lang w:val="zh-CN" w:eastAsia="zh-CN"/>
        </w:rPr>
        <w:t>.</w:t>
      </w:r>
      <w:r>
        <w:rPr>
          <w:rFonts w:ascii="Times New Roman" w:hAnsi="Times New Roman" w:cs="Times New Roman" w:hint="eastAsia"/>
          <w:color w:val="auto"/>
          <w:lang w:eastAsia="zh-CN"/>
        </w:rPr>
        <w:t>2</w:t>
      </w:r>
      <w:r>
        <w:rPr>
          <w:rFonts w:ascii="Times New Roman" w:hAnsi="Times New Roman" w:cs="Times New Roman"/>
          <w:color w:val="auto"/>
          <w:lang w:val="zh-CN" w:eastAsia="zh-CN"/>
        </w:rPr>
        <w:t>生态功能区划调查</w:t>
      </w:r>
    </w:p>
    <w:p w:rsidR="00C645C9" w:rsidRDefault="00F955D9">
      <w:pPr>
        <w:widowControl w:val="0"/>
        <w:adjustRightInd w:val="0"/>
        <w:snapToGrid w:val="0"/>
        <w:spacing w:line="360" w:lineRule="auto"/>
        <w:ind w:firstLineChars="200" w:firstLine="480"/>
        <w:jc w:val="both"/>
        <w:rPr>
          <w:rFonts w:cs="Times New Roman"/>
          <w:bCs/>
        </w:rPr>
      </w:pPr>
      <w:r>
        <w:rPr>
          <w:rFonts w:cs="Times New Roman" w:hint="eastAsia"/>
          <w:bCs/>
        </w:rPr>
        <w:t>本工程所在区域行政区划隶属于阿克苏地区</w:t>
      </w:r>
      <w:r>
        <w:rPr>
          <w:rFonts w:cs="Times New Roman" w:hint="eastAsia"/>
          <w:bCs/>
        </w:rPr>
        <w:t>新和县</w:t>
      </w:r>
      <w:r>
        <w:rPr>
          <w:rFonts w:cs="Times New Roman" w:hint="eastAsia"/>
          <w:bCs/>
        </w:rPr>
        <w:t>，</w:t>
      </w:r>
      <w:r>
        <w:rPr>
          <w:rFonts w:cs="Times New Roman" w:hint="eastAsia"/>
          <w:bCs/>
        </w:rPr>
        <w:t>本工程</w:t>
      </w:r>
      <w:r>
        <w:rPr>
          <w:rFonts w:cs="Times New Roman" w:hint="eastAsia"/>
          <w:bCs/>
        </w:rPr>
        <w:t>分布</w:t>
      </w:r>
      <w:r>
        <w:rPr>
          <w:rFonts w:cs="Times New Roman" w:hint="eastAsia"/>
          <w:bCs/>
        </w:rPr>
        <w:t>在</w:t>
      </w:r>
      <w:r>
        <w:rPr>
          <w:rFonts w:cs="Times New Roman" w:hint="eastAsia"/>
          <w:bCs/>
        </w:rPr>
        <w:t>中国石油化工股份有限公司西北油田分公司“十四五”规划范围的天山南缘区块油气勘查区</w:t>
      </w:r>
      <w:r>
        <w:rPr>
          <w:rFonts w:cs="Times New Roman" w:hint="eastAsia"/>
          <w:bCs/>
        </w:rPr>
        <w:t>。</w:t>
      </w:r>
      <w:r>
        <w:rPr>
          <w:rFonts w:cs="Times New Roman" w:hint="eastAsia"/>
          <w:bCs/>
        </w:rPr>
        <w:t>根据《新疆生态功能区划》（</w:t>
      </w:r>
      <w:r>
        <w:rPr>
          <w:rFonts w:cs="Times New Roman" w:hint="eastAsia"/>
          <w:bCs/>
        </w:rPr>
        <w:t>2005</w:t>
      </w:r>
      <w:r>
        <w:rPr>
          <w:rFonts w:cs="Times New Roman" w:hint="eastAsia"/>
          <w:bCs/>
        </w:rPr>
        <w:t>版），本工程</w:t>
      </w:r>
      <w:r>
        <w:rPr>
          <w:rFonts w:cs="Times New Roman" w:hint="eastAsia"/>
          <w:bCs/>
        </w:rPr>
        <w:t>属于</w:t>
      </w:r>
      <w:r>
        <w:rPr>
          <w:rFonts w:cs="Times New Roman" w:hint="eastAsia"/>
          <w:bCs/>
        </w:rPr>
        <w:t>Ⅵ塔里木盆地暖温荒漠及绿洲农业生态区</w:t>
      </w:r>
      <w:r>
        <w:rPr>
          <w:rFonts w:cs="Times New Roman" w:hint="eastAsia"/>
          <w:bCs/>
        </w:rPr>
        <w:t>-</w:t>
      </w:r>
      <w:r>
        <w:rPr>
          <w:rFonts w:cs="Times New Roman" w:hint="eastAsia"/>
          <w:bCs/>
        </w:rPr>
        <w:t>Ⅳ</w:t>
      </w:r>
      <w:r>
        <w:rPr>
          <w:rFonts w:cs="Times New Roman" w:hint="eastAsia"/>
          <w:bCs/>
        </w:rPr>
        <w:t>1</w:t>
      </w:r>
      <w:r>
        <w:rPr>
          <w:rFonts w:cs="Times New Roman" w:hint="eastAsia"/>
          <w:bCs/>
        </w:rPr>
        <w:t>塔里木盆地西部、北部荒漠及绿洲农业生态亚区</w:t>
      </w:r>
      <w:r>
        <w:rPr>
          <w:rFonts w:cs="Times New Roman" w:hint="eastAsia"/>
          <w:bCs/>
        </w:rPr>
        <w:t>-</w:t>
      </w:r>
      <w:r>
        <w:rPr>
          <w:rFonts w:cs="Times New Roman" w:hint="eastAsia"/>
          <w:bCs/>
        </w:rPr>
        <w:t>渭干河三角洲绿洲农业盐渍化敏感生态功能区（</w:t>
      </w:r>
      <w:r>
        <w:rPr>
          <w:rFonts w:cs="Times New Roman" w:hint="eastAsia"/>
          <w:bCs/>
        </w:rPr>
        <w:t>55</w:t>
      </w:r>
      <w:r>
        <w:rPr>
          <w:rFonts w:cs="Times New Roman" w:hint="eastAsia"/>
          <w:bCs/>
        </w:rPr>
        <w:t>）。塔里木河流域的乔灌草及胡杨林植被是保护绿洲生态环境的天然屏障，区域内的油气资源丰富，油田勘探开发工作已开展多年。</w:t>
      </w:r>
      <w:r>
        <w:rPr>
          <w:rFonts w:cs="Times New Roman" w:hint="eastAsia"/>
          <w:bCs/>
        </w:rPr>
        <w:t>工程</w:t>
      </w:r>
      <w:r>
        <w:rPr>
          <w:rFonts w:cs="Times New Roman" w:hint="eastAsia"/>
          <w:bCs/>
        </w:rPr>
        <w:t>区生态功能区的主要生态服务功能、生态敏感因子、主要生态环境问题和主要保护目标见表</w:t>
      </w:r>
      <w:r>
        <w:rPr>
          <w:rFonts w:cs="Times New Roman" w:hint="eastAsia"/>
          <w:bCs/>
        </w:rPr>
        <w:t>4.</w:t>
      </w:r>
      <w:r>
        <w:rPr>
          <w:rFonts w:cs="Times New Roman" w:hint="eastAsia"/>
          <w:bCs/>
        </w:rPr>
        <w:t>2</w:t>
      </w:r>
      <w:r>
        <w:rPr>
          <w:rFonts w:cs="Times New Roman" w:hint="eastAsia"/>
          <w:bCs/>
        </w:rPr>
        <w:t>-1</w:t>
      </w:r>
      <w:r>
        <w:rPr>
          <w:rFonts w:cs="Times New Roman" w:hint="eastAsia"/>
          <w:bCs/>
        </w:rPr>
        <w:t>。</w:t>
      </w:r>
      <w:bookmarkStart w:id="1207" w:name="OLE_LINK1444"/>
      <w:r>
        <w:rPr>
          <w:rFonts w:cs="Times New Roman" w:hint="eastAsia"/>
          <w:bCs/>
        </w:rPr>
        <w:t>生态功能区划</w:t>
      </w:r>
      <w:bookmarkEnd w:id="1207"/>
      <w:r>
        <w:rPr>
          <w:rFonts w:cs="Times New Roman" w:hint="eastAsia"/>
          <w:bCs/>
        </w:rPr>
        <w:t>见图</w:t>
      </w:r>
      <w:r>
        <w:rPr>
          <w:rFonts w:cs="Times New Roman" w:hint="eastAsia"/>
          <w:bCs/>
        </w:rPr>
        <w:t>4.</w:t>
      </w:r>
      <w:r>
        <w:rPr>
          <w:rFonts w:cs="Times New Roman" w:hint="eastAsia"/>
          <w:bCs/>
        </w:rPr>
        <w:t>2</w:t>
      </w:r>
      <w:r>
        <w:rPr>
          <w:rFonts w:cs="Times New Roman" w:hint="eastAsia"/>
          <w:bCs/>
        </w:rPr>
        <w:t>-1</w:t>
      </w:r>
      <w:r>
        <w:rPr>
          <w:rFonts w:cs="Times New Roman" w:hint="eastAsia"/>
          <w:bCs/>
        </w:rPr>
        <w:t>。</w:t>
      </w:r>
    </w:p>
    <w:p w:rsidR="00C645C9" w:rsidRDefault="00F955D9">
      <w:pPr>
        <w:pStyle w:val="a5"/>
        <w:spacing w:line="240" w:lineRule="auto"/>
        <w:jc w:val="center"/>
        <w:rPr>
          <w:rFonts w:ascii="Times New Roman" w:eastAsia="黑体" w:hAnsi="Times New Roman" w:cs="Times New Roman"/>
          <w:bCs/>
          <w:sz w:val="21"/>
          <w:szCs w:val="21"/>
        </w:rPr>
      </w:pPr>
      <w:r>
        <w:rPr>
          <w:rFonts w:ascii="Times New Roman" w:eastAsia="黑体" w:hAnsi="Times New Roman" w:cs="Times New Roman"/>
          <w:bCs/>
          <w:sz w:val="21"/>
          <w:szCs w:val="21"/>
        </w:rPr>
        <w:t>表</w:t>
      </w:r>
      <w:bookmarkStart w:id="1208" w:name="OLE_LINK1477"/>
      <w:r>
        <w:rPr>
          <w:rFonts w:ascii="Times New Roman" w:eastAsia="黑体" w:hAnsi="Times New Roman" w:cs="Times New Roman"/>
          <w:bCs/>
          <w:sz w:val="21"/>
          <w:szCs w:val="21"/>
        </w:rPr>
        <w:t>4.</w:t>
      </w:r>
      <w:r>
        <w:rPr>
          <w:rFonts w:ascii="Times New Roman" w:eastAsia="黑体" w:hAnsi="Times New Roman" w:cs="Times New Roman" w:hint="eastAsia"/>
          <w:bCs/>
          <w:sz w:val="21"/>
          <w:szCs w:val="21"/>
        </w:rPr>
        <w:t>2-1</w:t>
      </w:r>
      <w:bookmarkEnd w:id="1208"/>
      <w:r>
        <w:rPr>
          <w:rFonts w:ascii="Times New Roman" w:eastAsia="黑体" w:hAnsi="Times New Roman" w:cs="Times New Roman" w:hint="eastAsia"/>
          <w:bCs/>
          <w:sz w:val="21"/>
          <w:szCs w:val="21"/>
        </w:rPr>
        <w:t xml:space="preserve">   </w:t>
      </w:r>
      <w:r>
        <w:rPr>
          <w:rFonts w:ascii="Times New Roman" w:eastAsia="黑体" w:hAnsi="Times New Roman" w:cs="Times New Roman"/>
          <w:bCs/>
          <w:sz w:val="21"/>
          <w:szCs w:val="21"/>
        </w:rPr>
        <w:t>项目区生态功能区划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19"/>
        <w:gridCol w:w="6386"/>
      </w:tblGrid>
      <w:tr w:rsidR="00C645C9">
        <w:trPr>
          <w:trHeight w:val="362"/>
          <w:jc w:val="center"/>
        </w:trPr>
        <w:tc>
          <w:tcPr>
            <w:tcW w:w="479" w:type="pct"/>
            <w:vMerge w:val="restart"/>
            <w:vAlign w:val="center"/>
          </w:tcPr>
          <w:p w:rsidR="00C645C9" w:rsidRDefault="00F955D9">
            <w:pPr>
              <w:rPr>
                <w:rFonts w:cs="Times New Roman"/>
                <w:sz w:val="21"/>
                <w:szCs w:val="21"/>
              </w:rPr>
            </w:pPr>
            <w:r>
              <w:rPr>
                <w:rFonts w:cs="Times New Roman"/>
                <w:sz w:val="21"/>
                <w:szCs w:val="21"/>
              </w:rPr>
              <w:t>生态</w:t>
            </w:r>
            <w:r>
              <w:rPr>
                <w:rFonts w:cs="Times New Roman"/>
                <w:sz w:val="21"/>
                <w:szCs w:val="21"/>
              </w:rPr>
              <w:lastRenderedPageBreak/>
              <w:t>功能分区单元</w:t>
            </w:r>
          </w:p>
        </w:tc>
        <w:tc>
          <w:tcPr>
            <w:tcW w:w="774" w:type="pct"/>
            <w:vAlign w:val="center"/>
          </w:tcPr>
          <w:p w:rsidR="00C645C9" w:rsidRDefault="00F955D9">
            <w:pPr>
              <w:rPr>
                <w:rFonts w:cs="Times New Roman"/>
                <w:sz w:val="21"/>
                <w:szCs w:val="21"/>
              </w:rPr>
            </w:pPr>
            <w:r>
              <w:rPr>
                <w:rFonts w:cs="Times New Roman"/>
                <w:sz w:val="21"/>
                <w:szCs w:val="21"/>
              </w:rPr>
              <w:lastRenderedPageBreak/>
              <w:t>生态区</w:t>
            </w:r>
          </w:p>
        </w:tc>
        <w:tc>
          <w:tcPr>
            <w:tcW w:w="3746" w:type="pct"/>
            <w:vAlign w:val="center"/>
          </w:tcPr>
          <w:p w:rsidR="00C645C9" w:rsidRDefault="00F955D9">
            <w:pPr>
              <w:rPr>
                <w:rFonts w:cs="Times New Roman"/>
                <w:sz w:val="21"/>
                <w:szCs w:val="21"/>
              </w:rPr>
            </w:pPr>
            <w:r>
              <w:rPr>
                <w:rFonts w:cs="Times New Roman"/>
                <w:sz w:val="21"/>
                <w:szCs w:val="21"/>
              </w:rPr>
              <w:t>塔里木盆地暖温荒漠及绿洲农业生态区（</w:t>
            </w:r>
            <w:r>
              <w:rPr>
                <w:rFonts w:cs="Times New Roman"/>
                <w:sz w:val="21"/>
                <w:szCs w:val="21"/>
              </w:rPr>
              <w:fldChar w:fldCharType="begin"/>
            </w:r>
            <w:r>
              <w:rPr>
                <w:rFonts w:cs="Times New Roman"/>
                <w:sz w:val="21"/>
                <w:szCs w:val="21"/>
              </w:rPr>
              <w:instrText xml:space="preserve"> = 4 \* ROMAN </w:instrText>
            </w:r>
            <w:r>
              <w:rPr>
                <w:rFonts w:cs="Times New Roman"/>
                <w:sz w:val="21"/>
                <w:szCs w:val="21"/>
              </w:rPr>
              <w:fldChar w:fldCharType="separate"/>
            </w:r>
            <w:r>
              <w:rPr>
                <w:rFonts w:cs="Times New Roman"/>
                <w:sz w:val="21"/>
                <w:szCs w:val="21"/>
              </w:rPr>
              <w:t>IV</w:t>
            </w:r>
            <w:r>
              <w:rPr>
                <w:rFonts w:cs="Times New Roman"/>
                <w:sz w:val="21"/>
                <w:szCs w:val="21"/>
              </w:rPr>
              <w:fldChar w:fldCharType="end"/>
            </w:r>
            <w:r>
              <w:rPr>
                <w:rFonts w:cs="Times New Roman"/>
                <w:sz w:val="21"/>
                <w:szCs w:val="21"/>
              </w:rPr>
              <w:t>）</w:t>
            </w:r>
          </w:p>
        </w:tc>
      </w:tr>
      <w:tr w:rsidR="00C645C9">
        <w:trPr>
          <w:trHeight w:val="487"/>
          <w:jc w:val="center"/>
        </w:trPr>
        <w:tc>
          <w:tcPr>
            <w:tcW w:w="479" w:type="pct"/>
            <w:vMerge/>
            <w:vAlign w:val="center"/>
          </w:tcPr>
          <w:p w:rsidR="00C645C9" w:rsidRDefault="00C645C9">
            <w:pPr>
              <w:rPr>
                <w:rFonts w:cs="Times New Roman"/>
                <w:sz w:val="21"/>
                <w:szCs w:val="21"/>
              </w:rPr>
            </w:pPr>
          </w:p>
        </w:tc>
        <w:tc>
          <w:tcPr>
            <w:tcW w:w="774" w:type="pct"/>
            <w:vAlign w:val="center"/>
          </w:tcPr>
          <w:p w:rsidR="00C645C9" w:rsidRDefault="00F955D9">
            <w:pPr>
              <w:rPr>
                <w:rFonts w:cs="Times New Roman"/>
                <w:sz w:val="21"/>
                <w:szCs w:val="21"/>
              </w:rPr>
            </w:pPr>
            <w:r>
              <w:rPr>
                <w:rFonts w:cs="Times New Roman"/>
                <w:sz w:val="21"/>
                <w:szCs w:val="21"/>
              </w:rPr>
              <w:t>生态亚区</w:t>
            </w:r>
          </w:p>
        </w:tc>
        <w:tc>
          <w:tcPr>
            <w:tcW w:w="3746" w:type="pct"/>
            <w:vAlign w:val="center"/>
          </w:tcPr>
          <w:p w:rsidR="00C645C9" w:rsidRDefault="00F955D9">
            <w:pPr>
              <w:rPr>
                <w:rFonts w:cs="Times New Roman"/>
                <w:sz w:val="21"/>
                <w:szCs w:val="21"/>
              </w:rPr>
            </w:pPr>
            <w:r>
              <w:rPr>
                <w:rFonts w:cs="Times New Roman"/>
                <w:sz w:val="21"/>
                <w:szCs w:val="21"/>
              </w:rPr>
              <w:t>塔里木盆地西部、北部荒漠及绿洲农业生态亚区（</w:t>
            </w:r>
            <w:r>
              <w:rPr>
                <w:rFonts w:cs="Times New Roman"/>
                <w:sz w:val="21"/>
                <w:szCs w:val="21"/>
              </w:rPr>
              <w:fldChar w:fldCharType="begin"/>
            </w:r>
            <w:r>
              <w:rPr>
                <w:rFonts w:cs="Times New Roman"/>
                <w:sz w:val="21"/>
                <w:szCs w:val="21"/>
              </w:rPr>
              <w:instrText xml:space="preserve"> = 4 \* ROMAN </w:instrText>
            </w:r>
            <w:r>
              <w:rPr>
                <w:rFonts w:cs="Times New Roman"/>
                <w:sz w:val="21"/>
                <w:szCs w:val="21"/>
              </w:rPr>
              <w:fldChar w:fldCharType="separate"/>
            </w:r>
            <w:r>
              <w:rPr>
                <w:rFonts w:cs="Times New Roman"/>
                <w:sz w:val="21"/>
                <w:szCs w:val="21"/>
              </w:rPr>
              <w:t>IV</w:t>
            </w:r>
            <w:r>
              <w:rPr>
                <w:rFonts w:cs="Times New Roman"/>
                <w:sz w:val="21"/>
                <w:szCs w:val="21"/>
              </w:rPr>
              <w:fldChar w:fldCharType="end"/>
            </w:r>
            <w:r>
              <w:rPr>
                <w:rFonts w:cs="Times New Roman"/>
                <w:sz w:val="21"/>
                <w:szCs w:val="21"/>
              </w:rPr>
              <w:t>1</w:t>
            </w:r>
            <w:r>
              <w:rPr>
                <w:rFonts w:cs="Times New Roman"/>
                <w:sz w:val="21"/>
                <w:szCs w:val="21"/>
              </w:rPr>
              <w:t>）</w:t>
            </w:r>
          </w:p>
        </w:tc>
      </w:tr>
      <w:tr w:rsidR="00C645C9">
        <w:trPr>
          <w:trHeight w:val="337"/>
          <w:jc w:val="center"/>
        </w:trPr>
        <w:tc>
          <w:tcPr>
            <w:tcW w:w="479" w:type="pct"/>
            <w:vMerge/>
            <w:vAlign w:val="center"/>
          </w:tcPr>
          <w:p w:rsidR="00C645C9" w:rsidRDefault="00C645C9">
            <w:pPr>
              <w:rPr>
                <w:rFonts w:cs="Times New Roman"/>
                <w:sz w:val="21"/>
                <w:szCs w:val="21"/>
              </w:rPr>
            </w:pPr>
          </w:p>
        </w:tc>
        <w:tc>
          <w:tcPr>
            <w:tcW w:w="774" w:type="pct"/>
            <w:vAlign w:val="center"/>
          </w:tcPr>
          <w:p w:rsidR="00C645C9" w:rsidRDefault="00F955D9">
            <w:pPr>
              <w:rPr>
                <w:rFonts w:cs="Times New Roman"/>
                <w:sz w:val="21"/>
                <w:szCs w:val="21"/>
              </w:rPr>
            </w:pPr>
            <w:r>
              <w:rPr>
                <w:rFonts w:cs="Times New Roman"/>
                <w:sz w:val="21"/>
                <w:szCs w:val="21"/>
              </w:rPr>
              <w:t>生态功能区</w:t>
            </w:r>
          </w:p>
        </w:tc>
        <w:tc>
          <w:tcPr>
            <w:tcW w:w="3746" w:type="pct"/>
            <w:vAlign w:val="center"/>
          </w:tcPr>
          <w:p w:rsidR="00C645C9" w:rsidRDefault="00F955D9">
            <w:pPr>
              <w:rPr>
                <w:rFonts w:cs="Times New Roman"/>
                <w:sz w:val="21"/>
                <w:szCs w:val="21"/>
              </w:rPr>
            </w:pPr>
            <w:r>
              <w:rPr>
                <w:rFonts w:cs="Times New Roman"/>
                <w:sz w:val="21"/>
                <w:szCs w:val="21"/>
              </w:rPr>
              <w:t>渭干河三角洲绿洲农业盐渍化敏感生态功能区（</w:t>
            </w:r>
            <w:r>
              <w:rPr>
                <w:rFonts w:cs="Times New Roman"/>
                <w:sz w:val="21"/>
                <w:szCs w:val="21"/>
              </w:rPr>
              <w:t>55</w:t>
            </w:r>
            <w:r>
              <w:rPr>
                <w:rFonts w:cs="Times New Roman"/>
                <w:sz w:val="21"/>
                <w:szCs w:val="21"/>
              </w:rPr>
              <w:t>）</w:t>
            </w:r>
          </w:p>
        </w:tc>
      </w:tr>
      <w:tr w:rsidR="00C645C9">
        <w:trPr>
          <w:trHeight w:val="377"/>
          <w:jc w:val="center"/>
        </w:trPr>
        <w:tc>
          <w:tcPr>
            <w:tcW w:w="1253" w:type="pct"/>
            <w:gridSpan w:val="2"/>
            <w:vAlign w:val="center"/>
          </w:tcPr>
          <w:p w:rsidR="00C645C9" w:rsidRDefault="00F955D9">
            <w:pPr>
              <w:rPr>
                <w:rFonts w:cs="Times New Roman"/>
                <w:sz w:val="21"/>
                <w:szCs w:val="21"/>
              </w:rPr>
            </w:pPr>
            <w:r>
              <w:rPr>
                <w:rFonts w:cs="Times New Roman"/>
                <w:sz w:val="21"/>
                <w:szCs w:val="21"/>
              </w:rPr>
              <w:t>主要生态服务功能</w:t>
            </w:r>
          </w:p>
        </w:tc>
        <w:tc>
          <w:tcPr>
            <w:tcW w:w="3746" w:type="pct"/>
            <w:vAlign w:val="center"/>
          </w:tcPr>
          <w:p w:rsidR="00C645C9" w:rsidRDefault="00F955D9">
            <w:pPr>
              <w:rPr>
                <w:rFonts w:cs="Times New Roman"/>
                <w:sz w:val="21"/>
                <w:szCs w:val="21"/>
              </w:rPr>
            </w:pPr>
            <w:r>
              <w:rPr>
                <w:rFonts w:cs="Times New Roman"/>
                <w:sz w:val="21"/>
                <w:szCs w:val="21"/>
              </w:rPr>
              <w:t>农产品生产、荒漠化控制、油气资源</w:t>
            </w:r>
          </w:p>
        </w:tc>
      </w:tr>
      <w:tr w:rsidR="00C645C9">
        <w:trPr>
          <w:trHeight w:val="337"/>
          <w:jc w:val="center"/>
        </w:trPr>
        <w:tc>
          <w:tcPr>
            <w:tcW w:w="1253" w:type="pct"/>
            <w:gridSpan w:val="2"/>
            <w:vAlign w:val="center"/>
          </w:tcPr>
          <w:p w:rsidR="00C645C9" w:rsidRDefault="00F955D9">
            <w:pPr>
              <w:rPr>
                <w:rFonts w:cs="Times New Roman"/>
                <w:sz w:val="21"/>
                <w:szCs w:val="21"/>
              </w:rPr>
            </w:pPr>
            <w:r>
              <w:rPr>
                <w:rFonts w:cs="Times New Roman"/>
                <w:sz w:val="21"/>
                <w:szCs w:val="21"/>
              </w:rPr>
              <w:t>主要生态环境问题</w:t>
            </w:r>
          </w:p>
        </w:tc>
        <w:tc>
          <w:tcPr>
            <w:tcW w:w="3746" w:type="pct"/>
            <w:vAlign w:val="center"/>
          </w:tcPr>
          <w:p w:rsidR="00C645C9" w:rsidRDefault="00F955D9">
            <w:pPr>
              <w:rPr>
                <w:rFonts w:cs="Times New Roman"/>
                <w:sz w:val="21"/>
                <w:szCs w:val="21"/>
              </w:rPr>
            </w:pPr>
            <w:r>
              <w:rPr>
                <w:rFonts w:cs="Times New Roman"/>
                <w:sz w:val="21"/>
                <w:szCs w:val="21"/>
              </w:rPr>
              <w:t>土壤盐渍化、洪水灾害、油气开发造成环境污染</w:t>
            </w:r>
          </w:p>
        </w:tc>
      </w:tr>
      <w:tr w:rsidR="00C645C9">
        <w:trPr>
          <w:trHeight w:val="437"/>
          <w:jc w:val="center"/>
        </w:trPr>
        <w:tc>
          <w:tcPr>
            <w:tcW w:w="1253" w:type="pct"/>
            <w:gridSpan w:val="2"/>
            <w:vAlign w:val="center"/>
          </w:tcPr>
          <w:p w:rsidR="00C645C9" w:rsidRDefault="00F955D9">
            <w:pPr>
              <w:rPr>
                <w:rFonts w:cs="Times New Roman"/>
                <w:sz w:val="21"/>
                <w:szCs w:val="21"/>
              </w:rPr>
            </w:pPr>
            <w:r>
              <w:rPr>
                <w:rFonts w:cs="Times New Roman"/>
                <w:sz w:val="21"/>
                <w:szCs w:val="21"/>
              </w:rPr>
              <w:t>生态敏感因子敏感</w:t>
            </w:r>
            <w:r>
              <w:rPr>
                <w:rFonts w:cs="Times New Roman" w:hint="eastAsia"/>
                <w:sz w:val="21"/>
                <w:szCs w:val="21"/>
              </w:rPr>
              <w:t>、</w:t>
            </w:r>
          </w:p>
          <w:p w:rsidR="00C645C9" w:rsidRDefault="00F955D9">
            <w:pPr>
              <w:rPr>
                <w:rFonts w:cs="Times New Roman"/>
                <w:sz w:val="21"/>
                <w:szCs w:val="21"/>
              </w:rPr>
            </w:pPr>
            <w:r>
              <w:rPr>
                <w:rFonts w:cs="Times New Roman"/>
                <w:sz w:val="21"/>
                <w:szCs w:val="21"/>
              </w:rPr>
              <w:t>程度</w:t>
            </w:r>
          </w:p>
        </w:tc>
        <w:tc>
          <w:tcPr>
            <w:tcW w:w="3746" w:type="pct"/>
            <w:vAlign w:val="center"/>
          </w:tcPr>
          <w:p w:rsidR="00C645C9" w:rsidRDefault="00F955D9">
            <w:pPr>
              <w:rPr>
                <w:rFonts w:cs="Times New Roman"/>
                <w:sz w:val="21"/>
                <w:szCs w:val="21"/>
              </w:rPr>
            </w:pPr>
            <w:r>
              <w:rPr>
                <w:rFonts w:cs="Times New Roman"/>
                <w:sz w:val="21"/>
                <w:szCs w:val="21"/>
              </w:rPr>
              <w:t>生物多样性及其生境中度敏感，土地沙漠化中度敏感、土壤盐渍化高度敏感</w:t>
            </w:r>
          </w:p>
        </w:tc>
      </w:tr>
      <w:tr w:rsidR="00C645C9">
        <w:trPr>
          <w:trHeight w:val="436"/>
          <w:jc w:val="center"/>
        </w:trPr>
        <w:tc>
          <w:tcPr>
            <w:tcW w:w="1253" w:type="pct"/>
            <w:gridSpan w:val="2"/>
            <w:vAlign w:val="center"/>
          </w:tcPr>
          <w:p w:rsidR="00C645C9" w:rsidRDefault="00F955D9">
            <w:pPr>
              <w:rPr>
                <w:rFonts w:cs="Times New Roman"/>
                <w:sz w:val="21"/>
                <w:szCs w:val="21"/>
              </w:rPr>
            </w:pPr>
            <w:r>
              <w:rPr>
                <w:rFonts w:cs="Times New Roman"/>
                <w:sz w:val="21"/>
                <w:szCs w:val="21"/>
              </w:rPr>
              <w:t>主要保护目标</w:t>
            </w:r>
          </w:p>
        </w:tc>
        <w:tc>
          <w:tcPr>
            <w:tcW w:w="3746" w:type="pct"/>
            <w:vAlign w:val="center"/>
          </w:tcPr>
          <w:p w:rsidR="00C645C9" w:rsidRDefault="00F955D9">
            <w:pPr>
              <w:rPr>
                <w:rFonts w:cs="Times New Roman"/>
                <w:sz w:val="21"/>
                <w:szCs w:val="21"/>
              </w:rPr>
            </w:pPr>
            <w:r>
              <w:rPr>
                <w:rFonts w:cs="Times New Roman"/>
                <w:sz w:val="21"/>
                <w:szCs w:val="21"/>
              </w:rPr>
              <w:t>保护农田、保护荒漠植被、保护水质、防止洪水危害</w:t>
            </w:r>
          </w:p>
        </w:tc>
      </w:tr>
      <w:tr w:rsidR="00C645C9">
        <w:trPr>
          <w:trHeight w:val="570"/>
          <w:jc w:val="center"/>
        </w:trPr>
        <w:tc>
          <w:tcPr>
            <w:tcW w:w="1253" w:type="pct"/>
            <w:gridSpan w:val="2"/>
            <w:vAlign w:val="center"/>
          </w:tcPr>
          <w:p w:rsidR="00C645C9" w:rsidRDefault="00F955D9">
            <w:pPr>
              <w:rPr>
                <w:rFonts w:cs="Times New Roman"/>
                <w:sz w:val="21"/>
                <w:szCs w:val="21"/>
              </w:rPr>
            </w:pPr>
            <w:r>
              <w:rPr>
                <w:rFonts w:cs="Times New Roman"/>
                <w:sz w:val="21"/>
                <w:szCs w:val="21"/>
              </w:rPr>
              <w:t>主要保护措施</w:t>
            </w:r>
          </w:p>
        </w:tc>
        <w:tc>
          <w:tcPr>
            <w:tcW w:w="3746" w:type="pct"/>
            <w:vAlign w:val="center"/>
          </w:tcPr>
          <w:p w:rsidR="00C645C9" w:rsidRDefault="00F955D9">
            <w:pPr>
              <w:rPr>
                <w:rFonts w:cs="Times New Roman"/>
                <w:sz w:val="21"/>
                <w:szCs w:val="21"/>
              </w:rPr>
            </w:pPr>
            <w:r>
              <w:rPr>
                <w:rFonts w:cs="Times New Roman"/>
                <w:sz w:val="21"/>
                <w:szCs w:val="21"/>
              </w:rPr>
              <w:t>节水灌溉、开发地下水、完善水利工程设施、发展竖井排灌、防治油气污染、减少向塔河注入农田排水</w:t>
            </w:r>
          </w:p>
        </w:tc>
      </w:tr>
      <w:tr w:rsidR="00C645C9">
        <w:trPr>
          <w:trHeight w:val="397"/>
          <w:jc w:val="center"/>
        </w:trPr>
        <w:tc>
          <w:tcPr>
            <w:tcW w:w="1253" w:type="pct"/>
            <w:gridSpan w:val="2"/>
            <w:vAlign w:val="center"/>
          </w:tcPr>
          <w:p w:rsidR="00C645C9" w:rsidRDefault="00F955D9">
            <w:pPr>
              <w:rPr>
                <w:rFonts w:cs="Times New Roman"/>
                <w:sz w:val="21"/>
                <w:szCs w:val="21"/>
              </w:rPr>
            </w:pPr>
            <w:r>
              <w:rPr>
                <w:rFonts w:cs="Times New Roman"/>
                <w:sz w:val="21"/>
                <w:szCs w:val="21"/>
              </w:rPr>
              <w:t>适宜发展方向</w:t>
            </w:r>
          </w:p>
        </w:tc>
        <w:tc>
          <w:tcPr>
            <w:tcW w:w="3746" w:type="pct"/>
            <w:vAlign w:val="center"/>
          </w:tcPr>
          <w:p w:rsidR="00C645C9" w:rsidRDefault="00F955D9">
            <w:pPr>
              <w:rPr>
                <w:rFonts w:cs="Times New Roman"/>
                <w:sz w:val="21"/>
                <w:szCs w:val="21"/>
              </w:rPr>
            </w:pPr>
            <w:r>
              <w:rPr>
                <w:rFonts w:cs="Times New Roman"/>
                <w:sz w:val="21"/>
                <w:szCs w:val="21"/>
              </w:rPr>
              <w:t>发展棉花产业、特色林果业和农区畜牧业，建设石油和天然气基地</w:t>
            </w:r>
          </w:p>
        </w:tc>
      </w:tr>
    </w:tbl>
    <w:p w:rsidR="00C645C9" w:rsidRDefault="00F955D9">
      <w:pPr>
        <w:spacing w:line="360" w:lineRule="auto"/>
        <w:ind w:firstLineChars="200" w:firstLine="480"/>
        <w:rPr>
          <w:rFonts w:cs="Times New Roman"/>
        </w:rPr>
      </w:pPr>
      <w:r>
        <w:rPr>
          <w:rFonts w:cs="Times New Roman" w:hint="eastAsia"/>
        </w:rPr>
        <w:t>由表</w:t>
      </w:r>
      <w:r>
        <w:rPr>
          <w:rFonts w:cs="Times New Roman" w:hint="eastAsia"/>
        </w:rPr>
        <w:t>4.2-1</w:t>
      </w:r>
      <w:r>
        <w:rPr>
          <w:rFonts w:cs="Times New Roman" w:hint="eastAsia"/>
        </w:rPr>
        <w:t>可知，</w:t>
      </w:r>
      <w:r>
        <w:rPr>
          <w:rFonts w:cs="Times New Roman" w:hint="eastAsia"/>
        </w:rPr>
        <w:t>本</w:t>
      </w:r>
      <w:r>
        <w:rPr>
          <w:rFonts w:cs="Times New Roman" w:hint="eastAsia"/>
        </w:rPr>
        <w:t>工程</w:t>
      </w:r>
      <w:r>
        <w:rPr>
          <w:rFonts w:cs="Times New Roman" w:hint="eastAsia"/>
        </w:rPr>
        <w:t>井场所在区域</w:t>
      </w:r>
      <w:r>
        <w:rPr>
          <w:rFonts w:cs="Times New Roman" w:hint="eastAsia"/>
        </w:rPr>
        <w:t>属于“</w:t>
      </w:r>
      <w:r>
        <w:rPr>
          <w:rFonts w:cs="Times New Roman" w:hint="eastAsia"/>
        </w:rPr>
        <w:t>塔里木盆地暖温荒漠及绿洲农业生态区</w:t>
      </w:r>
      <w:r>
        <w:rPr>
          <w:rFonts w:cs="Times New Roman" w:hint="eastAsia"/>
        </w:rPr>
        <w:t>，</w:t>
      </w:r>
      <w:r>
        <w:rPr>
          <w:rFonts w:cs="Times New Roman" w:hint="eastAsia"/>
        </w:rPr>
        <w:t>塔里木盆地西部、北部荒漠及绿洲农业生态亚区，渭干河三角洲绿洲农业盐渍化敏感生态功能区</w:t>
      </w:r>
      <w:r>
        <w:rPr>
          <w:rFonts w:cs="Times New Roman" w:hint="eastAsia"/>
        </w:rPr>
        <w:t>”，主要生态服务功能为“</w:t>
      </w:r>
      <w:r>
        <w:rPr>
          <w:rFonts w:cs="Times New Roman" w:hint="eastAsia"/>
        </w:rPr>
        <w:t>农产品生产、荒漠化控制、油气资源</w:t>
      </w:r>
      <w:r>
        <w:rPr>
          <w:rFonts w:cs="Times New Roman" w:hint="eastAsia"/>
        </w:rPr>
        <w:t>”，主要发展方向为“</w:t>
      </w:r>
      <w:r>
        <w:rPr>
          <w:rFonts w:cs="Times New Roman" w:hint="eastAsia"/>
        </w:rPr>
        <w:t>发展棉花产业、特色林果业和农区畜牧业，建设石油和天然气基地</w:t>
      </w:r>
      <w:r>
        <w:rPr>
          <w:rFonts w:cs="Times New Roman" w:hint="eastAsia"/>
        </w:rPr>
        <w:t>”。</w:t>
      </w:r>
    </w:p>
    <w:p w:rsidR="00C645C9" w:rsidRDefault="00F955D9">
      <w:pPr>
        <w:widowControl w:val="0"/>
        <w:adjustRightInd w:val="0"/>
        <w:snapToGrid w:val="0"/>
        <w:spacing w:line="360" w:lineRule="auto"/>
        <w:ind w:firstLineChars="200" w:firstLine="480"/>
        <w:jc w:val="both"/>
        <w:rPr>
          <w:rFonts w:cs="Times New Roman"/>
          <w:bCs/>
        </w:rPr>
        <w:sectPr w:rsidR="00C645C9">
          <w:pgSz w:w="11906" w:h="16838"/>
          <w:pgMar w:top="1440" w:right="1800" w:bottom="1440" w:left="1800" w:header="851" w:footer="992" w:gutter="0"/>
          <w:cols w:space="425"/>
          <w:docGrid w:type="lines" w:linePitch="312"/>
        </w:sectPr>
      </w:pPr>
      <w:bookmarkStart w:id="1209" w:name="OLE_LINK1338"/>
      <w:r>
        <w:rPr>
          <w:rFonts w:cs="Times New Roman" w:hint="eastAsia"/>
        </w:rPr>
        <w:t>本</w:t>
      </w:r>
      <w:r>
        <w:rPr>
          <w:rFonts w:cs="Times New Roman" w:hint="eastAsia"/>
        </w:rPr>
        <w:t>工程</w:t>
      </w:r>
      <w:bookmarkEnd w:id="1209"/>
      <w:r>
        <w:rPr>
          <w:rFonts w:cs="Times New Roman" w:hint="eastAsia"/>
        </w:rPr>
        <w:t>属于石油和天然气开采项目，</w:t>
      </w:r>
      <w:r>
        <w:rPr>
          <w:rFonts w:cs="Times New Roman" w:hint="eastAsia"/>
        </w:rPr>
        <w:t>项目区不涉及法定生态保护区域、重要生境以及其他具有重要生态功能、对保护生物多样性具有重要意义的区域等生态敏感区</w:t>
      </w:r>
      <w:r>
        <w:rPr>
          <w:rFonts w:cs="Times New Roman" w:hint="eastAsia"/>
        </w:rPr>
        <w:t>。</w:t>
      </w:r>
      <w:r>
        <w:rPr>
          <w:rFonts w:cs="Times New Roman" w:hint="eastAsia"/>
          <w:spacing w:val="-4"/>
        </w:rPr>
        <w:t>本工程</w:t>
      </w:r>
      <w:r>
        <w:rPr>
          <w:rFonts w:cs="Times New Roman" w:hint="eastAsia"/>
        </w:rPr>
        <w:t>不占用永久基本农田，</w:t>
      </w:r>
      <w:r>
        <w:rPr>
          <w:rFonts w:cs="Times New Roman" w:hint="eastAsia"/>
          <w:spacing w:val="-4"/>
        </w:rPr>
        <w:t>评价范围涉及永久基本农田</w:t>
      </w:r>
      <w:r>
        <w:rPr>
          <w:rFonts w:cs="Times New Roman" w:hint="eastAsia"/>
        </w:rPr>
        <w:t>。新建井场对生态环境的影响主要体现在施工期，本</w:t>
      </w:r>
      <w:r>
        <w:rPr>
          <w:rFonts w:cs="Times New Roman" w:hint="eastAsia"/>
        </w:rPr>
        <w:t>工程</w:t>
      </w:r>
      <w:r>
        <w:rPr>
          <w:rFonts w:cs="Times New Roman" w:hint="eastAsia"/>
        </w:rPr>
        <w:t>废气达标排放、产生的固废妥善处置，通过采取严格控制占地范围，做好施工期生态保护和环境管理工作，本</w:t>
      </w:r>
      <w:r>
        <w:rPr>
          <w:rFonts w:cs="Times New Roman" w:hint="eastAsia"/>
        </w:rPr>
        <w:t>工程</w:t>
      </w:r>
      <w:r>
        <w:rPr>
          <w:rFonts w:cs="Times New Roman" w:hint="eastAsia"/>
        </w:rPr>
        <w:t>建设过程中减少水土流失、保护永久基本农田，工程结束后及时对临时占地进行恢复等措施，本</w:t>
      </w:r>
      <w:r>
        <w:rPr>
          <w:rFonts w:cs="Times New Roman" w:hint="eastAsia"/>
        </w:rPr>
        <w:t>工程</w:t>
      </w:r>
      <w:r>
        <w:rPr>
          <w:rFonts w:cs="Times New Roman" w:hint="eastAsia"/>
        </w:rPr>
        <w:t>的建设不会对本</w:t>
      </w:r>
      <w:r>
        <w:rPr>
          <w:rFonts w:cs="Times New Roman" w:hint="eastAsia"/>
        </w:rPr>
        <w:t>工程</w:t>
      </w:r>
      <w:r>
        <w:rPr>
          <w:rFonts w:cs="Times New Roman" w:hint="eastAsia"/>
        </w:rPr>
        <w:t>所在区域土壤、动植物等生态环境产生明显的影响，符合本区域生态服务功能</w:t>
      </w:r>
      <w:r>
        <w:rPr>
          <w:rFonts w:cs="Times New Roman" w:hint="eastAsia"/>
        </w:rPr>
        <w:t>定位，与区域发展方向相协调</w:t>
      </w:r>
      <w:r>
        <w:rPr>
          <w:rFonts w:cs="Times New Roman" w:hint="eastAsia"/>
          <w:bCs/>
        </w:rPr>
        <w:t>。</w:t>
      </w:r>
    </w:p>
    <w:p w:rsidR="00C645C9" w:rsidRDefault="00C645C9">
      <w:pPr>
        <w:adjustRightInd w:val="0"/>
        <w:snapToGrid w:val="0"/>
        <w:spacing w:line="0" w:lineRule="atLeast"/>
        <w:jc w:val="center"/>
        <w:rPr>
          <w:rFonts w:cs="Times New Roman"/>
          <w:sz w:val="21"/>
          <w:szCs w:val="21"/>
        </w:rPr>
      </w:pPr>
    </w:p>
    <w:p w:rsidR="00C645C9" w:rsidRDefault="00F955D9">
      <w:pPr>
        <w:pStyle w:val="a5"/>
        <w:spacing w:line="240" w:lineRule="auto"/>
        <w:jc w:val="center"/>
        <w:rPr>
          <w:rFonts w:ascii="Times New Roman" w:eastAsia="黑体" w:hAnsi="Times New Roman" w:cs="Times New Roman"/>
          <w:bCs/>
          <w:sz w:val="21"/>
          <w:szCs w:val="21"/>
        </w:rPr>
        <w:sectPr w:rsidR="00C645C9">
          <w:pgSz w:w="16838" w:h="11906" w:orient="landscape"/>
          <w:pgMar w:top="1800" w:right="1440" w:bottom="1800" w:left="1440" w:header="851" w:footer="992" w:gutter="0"/>
          <w:cols w:space="425"/>
          <w:docGrid w:type="lines" w:linePitch="326"/>
        </w:sectPr>
      </w:pPr>
      <w:bookmarkStart w:id="1210" w:name="OLE_LINK1108"/>
      <w:bookmarkStart w:id="1211" w:name="OLE_LINK1009"/>
      <w:r>
        <w:rPr>
          <w:rFonts w:ascii="Times New Roman" w:eastAsia="黑体" w:hAnsi="Times New Roman" w:cs="Times New Roman" w:hint="eastAsia"/>
          <w:bCs/>
          <w:sz w:val="21"/>
          <w:szCs w:val="21"/>
        </w:rPr>
        <w:t>图</w:t>
      </w:r>
      <w:r>
        <w:rPr>
          <w:rFonts w:ascii="Times New Roman" w:eastAsia="黑体" w:hAnsi="Times New Roman" w:cs="Times New Roman" w:hint="eastAsia"/>
          <w:bCs/>
          <w:sz w:val="21"/>
          <w:szCs w:val="21"/>
        </w:rPr>
        <w:t xml:space="preserve">4.2-1  </w:t>
      </w:r>
      <w:r>
        <w:rPr>
          <w:rFonts w:ascii="Times New Roman" w:eastAsia="黑体" w:hAnsi="Times New Roman" w:cs="Times New Roman" w:hint="eastAsia"/>
          <w:bCs/>
          <w:sz w:val="21"/>
          <w:szCs w:val="21"/>
        </w:rPr>
        <w:t>生态功能区划</w:t>
      </w:r>
      <w:bookmarkEnd w:id="1210"/>
      <w:r>
        <w:rPr>
          <w:rFonts w:ascii="Times New Roman" w:eastAsia="黑体" w:hAnsi="Times New Roman" w:cs="Times New Roman" w:hint="eastAsia"/>
          <w:bCs/>
          <w:sz w:val="21"/>
          <w:szCs w:val="21"/>
        </w:rPr>
        <w:t>图</w:t>
      </w:r>
    </w:p>
    <w:bookmarkEnd w:id="1211"/>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r>
        <w:rPr>
          <w:rFonts w:ascii="Times New Roman" w:hAnsi="Times New Roman" w:cs="Times New Roman"/>
          <w:color w:val="auto"/>
          <w:lang w:val="zh-CN" w:eastAsia="zh-CN"/>
        </w:rPr>
        <w:lastRenderedPageBreak/>
        <w:t>4.</w:t>
      </w:r>
      <w:r>
        <w:rPr>
          <w:rFonts w:ascii="Times New Roman" w:hAnsi="Times New Roman" w:cs="Times New Roman" w:hint="eastAsia"/>
          <w:color w:val="auto"/>
          <w:lang w:eastAsia="zh-CN"/>
        </w:rPr>
        <w:t>2</w:t>
      </w:r>
      <w:r>
        <w:rPr>
          <w:rFonts w:ascii="Times New Roman" w:hAnsi="Times New Roman" w:cs="Times New Roman"/>
          <w:color w:val="auto"/>
          <w:lang w:val="zh-CN" w:eastAsia="zh-CN"/>
        </w:rPr>
        <w:t>.</w:t>
      </w:r>
      <w:r>
        <w:rPr>
          <w:rFonts w:ascii="Times New Roman" w:hAnsi="Times New Roman" w:cs="Times New Roman"/>
          <w:color w:val="auto"/>
          <w:lang w:eastAsia="zh-CN"/>
        </w:rPr>
        <w:t>3</w:t>
      </w:r>
      <w:r>
        <w:rPr>
          <w:rFonts w:ascii="Times New Roman" w:hAnsi="Times New Roman" w:cs="Times New Roman"/>
          <w:color w:val="auto"/>
          <w:lang w:val="zh-CN" w:eastAsia="zh-CN"/>
        </w:rPr>
        <w:t>生态系统调查与评价</w:t>
      </w:r>
    </w:p>
    <w:p w:rsidR="00C645C9" w:rsidRDefault="00F955D9" w:rsidP="005718BB">
      <w:pPr>
        <w:pStyle w:val="afff5"/>
        <w:ind w:firstLine="480"/>
      </w:pPr>
      <w:r>
        <w:rPr>
          <w:rFonts w:hint="eastAsia"/>
        </w:rPr>
        <w:t>本工程位于塔里木盆地北部、天山南麓，属于渭干河三角洲绿洲农业盐渍化敏感生态功能区，地势较为平坦</w:t>
      </w:r>
      <w:r>
        <w:t>。</w:t>
      </w:r>
      <w:r>
        <w:rPr>
          <w:rFonts w:hint="eastAsia"/>
        </w:rPr>
        <w:t>评价</w:t>
      </w:r>
      <w:r>
        <w:t>区</w:t>
      </w:r>
      <w:r>
        <w:rPr>
          <w:rFonts w:hint="eastAsia"/>
        </w:rPr>
        <w:t>属温暖带大陆性干旱气候，降水稀少，夏季炎热、冬季干冷。年温差和日温差均较大，光照充足，热量丰富，蒸发强烈，风沙活动频繁，年平均气温</w:t>
      </w:r>
      <w:r>
        <w:t>11.4℃</w:t>
      </w:r>
      <w:r>
        <w:rPr>
          <w:rFonts w:hint="eastAsia"/>
        </w:rPr>
        <w:t>，夏季最高气温</w:t>
      </w:r>
      <w:r>
        <w:t>41.5℃</w:t>
      </w:r>
      <w:r>
        <w:rPr>
          <w:rFonts w:hint="eastAsia"/>
        </w:rPr>
        <w:t>，冬季最低气温</w:t>
      </w:r>
      <w:r>
        <w:t>-27.4℃</w:t>
      </w:r>
      <w:r>
        <w:rPr>
          <w:rFonts w:hint="eastAsia"/>
        </w:rPr>
        <w:t>。平均年降水量</w:t>
      </w:r>
      <w:r>
        <w:rPr>
          <w:rFonts w:hint="eastAsia"/>
        </w:rPr>
        <w:t>51.9</w:t>
      </w:r>
      <w:r>
        <w:t>mm</w:t>
      </w:r>
      <w:r>
        <w:rPr>
          <w:rFonts w:hint="eastAsia"/>
        </w:rPr>
        <w:t>，风向以北风为主，年</w:t>
      </w:r>
      <w:bookmarkStart w:id="1212" w:name="OLE_LINK1339"/>
      <w:r>
        <w:rPr>
          <w:rFonts w:hint="eastAsia"/>
        </w:rPr>
        <w:t>平均风速</w:t>
      </w:r>
      <w:bookmarkEnd w:id="1212"/>
      <w:r>
        <w:t>1.5m/s</w:t>
      </w:r>
      <w:r>
        <w:rPr>
          <w:rFonts w:hint="eastAsia"/>
        </w:rPr>
        <w:t>。</w:t>
      </w:r>
    </w:p>
    <w:p w:rsidR="00C645C9" w:rsidRDefault="00F955D9" w:rsidP="005718BB">
      <w:pPr>
        <w:pStyle w:val="afff5"/>
        <w:ind w:firstLine="480"/>
        <w:rPr>
          <w:lang w:val="zh-CN"/>
        </w:rPr>
      </w:pPr>
      <w:r>
        <w:rPr>
          <w:rFonts w:hint="eastAsia"/>
        </w:rPr>
        <w:t>本工程所在区域土壤类型主要为潮土，植被类型以人工栽培植被为主，主要种植棉花、核桃和小麦等，农田周边分布有防护林、灌木荒漠和草本荒漠。野生动物多为荒漠鸟类、爬行类和啮齿类动物。生态系统类型以农田生态系统为主，交错分布有荒漠生态系统。评价区内总体生态系统类型简单、稳定性较差、环境异质性较低，系统受扰动后的自我恢复能力弱。</w:t>
      </w:r>
    </w:p>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bookmarkStart w:id="1213" w:name="_Toc2871"/>
      <w:bookmarkStart w:id="1214" w:name="_Toc3837"/>
      <w:bookmarkStart w:id="1215" w:name="_Toc18773"/>
      <w:r>
        <w:rPr>
          <w:rFonts w:ascii="Times New Roman" w:hAnsi="Times New Roman" w:cs="Times New Roman"/>
          <w:color w:val="auto"/>
          <w:lang w:val="zh-CN" w:eastAsia="zh-CN"/>
        </w:rPr>
        <w:t>4.</w:t>
      </w:r>
      <w:bookmarkEnd w:id="1213"/>
      <w:bookmarkEnd w:id="1214"/>
      <w:bookmarkEnd w:id="1215"/>
      <w:r>
        <w:rPr>
          <w:rFonts w:ascii="Times New Roman" w:hAnsi="Times New Roman" w:cs="Times New Roman" w:hint="eastAsia"/>
          <w:color w:val="auto"/>
          <w:lang w:eastAsia="zh-CN"/>
        </w:rPr>
        <w:t>2.4</w:t>
      </w:r>
      <w:r>
        <w:rPr>
          <w:rFonts w:ascii="Times New Roman" w:hAnsi="Times New Roman" w:cs="Times New Roman"/>
          <w:color w:val="auto"/>
          <w:lang w:val="zh-CN" w:eastAsia="zh-CN"/>
        </w:rPr>
        <w:t>土地利用现状调查与评价</w:t>
      </w:r>
    </w:p>
    <w:p w:rsidR="00C645C9" w:rsidRDefault="00F955D9">
      <w:pPr>
        <w:spacing w:line="360" w:lineRule="auto"/>
        <w:ind w:firstLineChars="200" w:firstLine="480"/>
        <w:jc w:val="both"/>
        <w:rPr>
          <w:kern w:val="10"/>
        </w:rPr>
      </w:pPr>
      <w:bookmarkStart w:id="1216" w:name="OLE_LINK1341"/>
      <w:r>
        <w:rPr>
          <w:rFonts w:hint="eastAsia"/>
          <w:kern w:val="10"/>
        </w:rPr>
        <w:t>本工程</w:t>
      </w:r>
      <w:bookmarkEnd w:id="1216"/>
      <w:r>
        <w:rPr>
          <w:rFonts w:hint="eastAsia"/>
          <w:kern w:val="10"/>
        </w:rPr>
        <w:t>土地利用现状调查主要采用遥感数据分析解译和现场调查相结合的方法，即以</w:t>
      </w:r>
      <w:r>
        <w:rPr>
          <w:rFonts w:hint="eastAsia"/>
          <w:kern w:val="10"/>
        </w:rPr>
        <w:t xml:space="preserve">Landsat8 </w:t>
      </w:r>
      <w:r>
        <w:rPr>
          <w:rFonts w:hint="eastAsia"/>
          <w:kern w:val="10"/>
        </w:rPr>
        <w:t>OLI</w:t>
      </w:r>
      <w:r>
        <w:rPr>
          <w:rFonts w:hint="eastAsia"/>
          <w:kern w:val="10"/>
        </w:rPr>
        <w:t>卫星遥感影像为基础，采用图形叠加法对评价范围内的生态环境现状进行分析，并参照《土地利用现状分类》（</w:t>
      </w:r>
      <w:r>
        <w:rPr>
          <w:rFonts w:hint="eastAsia"/>
          <w:kern w:val="10"/>
        </w:rPr>
        <w:t>GBT21010-2017</w:t>
      </w:r>
      <w:r>
        <w:rPr>
          <w:rFonts w:hint="eastAsia"/>
          <w:kern w:val="10"/>
        </w:rPr>
        <w:t>），以确定评价范围内的土地利用类型，将成果绘制成土地利用现状图。同时选择有代表性的地物类型，建立遥感影像野外标志数据库，收集能反映区域土地利用特征的野外照片和图像资料等，在实地踏勘和调查时进行野外核查。评价区域土地利用现状见表</w:t>
      </w:r>
      <w:r>
        <w:rPr>
          <w:rFonts w:hint="eastAsia"/>
          <w:kern w:val="10"/>
        </w:rPr>
        <w:t>4.2-2</w:t>
      </w:r>
      <w:r>
        <w:rPr>
          <w:rFonts w:hint="eastAsia"/>
          <w:kern w:val="10"/>
        </w:rPr>
        <w:t>。</w:t>
      </w:r>
    </w:p>
    <w:p w:rsidR="00C645C9" w:rsidRDefault="00F955D9">
      <w:pPr>
        <w:spacing w:line="240" w:lineRule="atLeast"/>
        <w:jc w:val="center"/>
        <w:rPr>
          <w:rFonts w:eastAsia="黑体" w:cs="Times New Roman"/>
          <w:bCs/>
          <w:sz w:val="21"/>
          <w:szCs w:val="21"/>
        </w:rPr>
      </w:pPr>
      <w:r>
        <w:rPr>
          <w:rFonts w:eastAsia="黑体" w:cs="Times New Roman" w:hint="eastAsia"/>
          <w:bCs/>
          <w:sz w:val="21"/>
          <w:szCs w:val="21"/>
        </w:rPr>
        <w:t>表</w:t>
      </w:r>
      <w:r>
        <w:rPr>
          <w:rFonts w:eastAsia="黑体" w:cs="Times New Roman" w:hint="eastAsia"/>
          <w:bCs/>
          <w:sz w:val="21"/>
          <w:szCs w:val="21"/>
        </w:rPr>
        <w:t xml:space="preserve">4.2-2  </w:t>
      </w:r>
      <w:r>
        <w:rPr>
          <w:rFonts w:eastAsia="黑体" w:cs="Times New Roman" w:hint="eastAsia"/>
          <w:bCs/>
          <w:sz w:val="21"/>
          <w:szCs w:val="21"/>
        </w:rPr>
        <w:t>评价区域土地利用现状表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099"/>
        <w:gridCol w:w="2299"/>
        <w:gridCol w:w="2386"/>
      </w:tblGrid>
      <w:tr w:rsidR="00C645C9">
        <w:trPr>
          <w:trHeight w:val="320"/>
          <w:tblHeader/>
          <w:jc w:val="center"/>
        </w:trPr>
        <w:tc>
          <w:tcPr>
            <w:tcW w:w="2250" w:type="pct"/>
            <w:gridSpan w:val="2"/>
            <w:vMerge w:val="restar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土地类型</w:t>
            </w:r>
          </w:p>
        </w:tc>
        <w:tc>
          <w:tcPr>
            <w:tcW w:w="2749" w:type="pct"/>
            <w:gridSpan w:val="2"/>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评价区</w:t>
            </w:r>
          </w:p>
        </w:tc>
      </w:tr>
      <w:tr w:rsidR="00C645C9">
        <w:trPr>
          <w:trHeight w:val="320"/>
          <w:tblHeader/>
          <w:jc w:val="center"/>
        </w:trPr>
        <w:tc>
          <w:tcPr>
            <w:tcW w:w="2250" w:type="pct"/>
            <w:gridSpan w:val="2"/>
            <w:vMerge/>
            <w:vAlign w:val="center"/>
          </w:tcPr>
          <w:p w:rsidR="00C645C9" w:rsidRDefault="00C645C9">
            <w:pPr>
              <w:adjustRightInd w:val="0"/>
              <w:snapToGrid w:val="0"/>
              <w:spacing w:line="240" w:lineRule="atLeast"/>
              <w:jc w:val="center"/>
              <w:rPr>
                <w:rFonts w:cs="Times New Roman"/>
                <w:sz w:val="21"/>
                <w:szCs w:val="21"/>
              </w:rPr>
            </w:pPr>
          </w:p>
        </w:tc>
        <w:tc>
          <w:tcPr>
            <w:tcW w:w="1349"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面积（</w:t>
            </w:r>
            <w:r>
              <w:rPr>
                <w:rFonts w:cs="Times New Roman" w:hint="eastAsia"/>
                <w:sz w:val="21"/>
                <w:szCs w:val="21"/>
              </w:rPr>
              <w:t>h</w:t>
            </w:r>
            <w:r>
              <w:rPr>
                <w:rFonts w:cs="Times New Roman"/>
                <w:sz w:val="21"/>
                <w:szCs w:val="21"/>
              </w:rPr>
              <w:t>m</w:t>
            </w:r>
            <w:r>
              <w:rPr>
                <w:rFonts w:cs="Times New Roman"/>
                <w:sz w:val="21"/>
                <w:szCs w:val="21"/>
                <w:vertAlign w:val="superscript"/>
              </w:rPr>
              <w:t>2</w:t>
            </w:r>
            <w:r>
              <w:rPr>
                <w:rFonts w:cs="Times New Roman"/>
                <w:sz w:val="21"/>
                <w:szCs w:val="21"/>
              </w:rPr>
              <w:t>）</w:t>
            </w:r>
          </w:p>
        </w:tc>
        <w:tc>
          <w:tcPr>
            <w:tcW w:w="1400"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百分比（</w:t>
            </w:r>
            <w:r>
              <w:rPr>
                <w:rFonts w:cs="Times New Roman"/>
                <w:sz w:val="21"/>
                <w:szCs w:val="21"/>
              </w:rPr>
              <w:t>%</w:t>
            </w:r>
            <w:r>
              <w:rPr>
                <w:rFonts w:cs="Times New Roman"/>
                <w:sz w:val="21"/>
                <w:szCs w:val="21"/>
              </w:rPr>
              <w:t>）</w:t>
            </w:r>
          </w:p>
        </w:tc>
      </w:tr>
      <w:tr w:rsidR="00C645C9">
        <w:trPr>
          <w:trHeight w:val="320"/>
          <w:jc w:val="center"/>
        </w:trPr>
        <w:tc>
          <w:tcPr>
            <w:tcW w:w="1018" w:type="pct"/>
            <w:vMerge w:val="restar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农用地</w:t>
            </w:r>
          </w:p>
        </w:tc>
        <w:tc>
          <w:tcPr>
            <w:tcW w:w="2100"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采矿用地</w:t>
            </w:r>
          </w:p>
        </w:tc>
        <w:tc>
          <w:tcPr>
            <w:tcW w:w="2299"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1.98 </w:t>
            </w:r>
          </w:p>
        </w:tc>
        <w:tc>
          <w:tcPr>
            <w:tcW w:w="238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19.22 </w:t>
            </w:r>
          </w:p>
        </w:tc>
      </w:tr>
      <w:tr w:rsidR="00C645C9">
        <w:trPr>
          <w:trHeight w:val="320"/>
          <w:jc w:val="center"/>
        </w:trPr>
        <w:tc>
          <w:tcPr>
            <w:tcW w:w="1018" w:type="pct"/>
            <w:vMerge/>
            <w:vAlign w:val="center"/>
          </w:tcPr>
          <w:p w:rsidR="00C645C9" w:rsidRDefault="00C645C9">
            <w:pPr>
              <w:adjustRightInd w:val="0"/>
              <w:snapToGrid w:val="0"/>
              <w:spacing w:line="240" w:lineRule="atLeast"/>
              <w:jc w:val="center"/>
              <w:rPr>
                <w:rFonts w:cs="Times New Roman"/>
                <w:sz w:val="21"/>
                <w:szCs w:val="21"/>
              </w:rPr>
            </w:pPr>
          </w:p>
        </w:tc>
        <w:tc>
          <w:tcPr>
            <w:tcW w:w="2100"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果园</w:t>
            </w:r>
          </w:p>
        </w:tc>
        <w:tc>
          <w:tcPr>
            <w:tcW w:w="2299"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5.39 </w:t>
            </w:r>
          </w:p>
        </w:tc>
        <w:tc>
          <w:tcPr>
            <w:tcW w:w="238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52.35 </w:t>
            </w:r>
          </w:p>
        </w:tc>
      </w:tr>
      <w:tr w:rsidR="00C645C9">
        <w:trPr>
          <w:trHeight w:val="320"/>
          <w:jc w:val="center"/>
        </w:trPr>
        <w:tc>
          <w:tcPr>
            <w:tcW w:w="1018" w:type="pct"/>
            <w:vMerge/>
            <w:vAlign w:val="center"/>
          </w:tcPr>
          <w:p w:rsidR="00C645C9" w:rsidRDefault="00C645C9">
            <w:pPr>
              <w:adjustRightInd w:val="0"/>
              <w:snapToGrid w:val="0"/>
              <w:spacing w:line="240" w:lineRule="atLeast"/>
              <w:jc w:val="center"/>
              <w:rPr>
                <w:rFonts w:cs="Times New Roman"/>
                <w:sz w:val="21"/>
                <w:szCs w:val="21"/>
              </w:rPr>
            </w:pPr>
          </w:p>
        </w:tc>
        <w:tc>
          <w:tcPr>
            <w:tcW w:w="2100"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农村道路</w:t>
            </w:r>
          </w:p>
        </w:tc>
        <w:tc>
          <w:tcPr>
            <w:tcW w:w="2299"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0.39 </w:t>
            </w:r>
          </w:p>
        </w:tc>
        <w:tc>
          <w:tcPr>
            <w:tcW w:w="238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3.78 </w:t>
            </w:r>
          </w:p>
        </w:tc>
      </w:tr>
      <w:tr w:rsidR="00C645C9">
        <w:trPr>
          <w:trHeight w:val="320"/>
          <w:jc w:val="center"/>
        </w:trPr>
        <w:tc>
          <w:tcPr>
            <w:tcW w:w="1018"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建设用地</w:t>
            </w:r>
          </w:p>
        </w:tc>
        <w:tc>
          <w:tcPr>
            <w:tcW w:w="2100"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水浇地</w:t>
            </w:r>
          </w:p>
        </w:tc>
        <w:tc>
          <w:tcPr>
            <w:tcW w:w="2299"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2.54 </w:t>
            </w:r>
          </w:p>
        </w:tc>
        <w:tc>
          <w:tcPr>
            <w:tcW w:w="238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24.66 </w:t>
            </w:r>
          </w:p>
        </w:tc>
      </w:tr>
      <w:tr w:rsidR="00C645C9">
        <w:trPr>
          <w:trHeight w:val="320"/>
          <w:jc w:val="center"/>
        </w:trPr>
        <w:tc>
          <w:tcPr>
            <w:tcW w:w="2250" w:type="pct"/>
            <w:gridSpan w:val="2"/>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合计</w:t>
            </w:r>
          </w:p>
        </w:tc>
        <w:tc>
          <w:tcPr>
            <w:tcW w:w="2299"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10.31 </w:t>
            </w:r>
          </w:p>
        </w:tc>
        <w:tc>
          <w:tcPr>
            <w:tcW w:w="238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100.00 </w:t>
            </w:r>
          </w:p>
        </w:tc>
      </w:tr>
    </w:tbl>
    <w:p w:rsidR="00C645C9" w:rsidRDefault="00F955D9">
      <w:pPr>
        <w:spacing w:line="360" w:lineRule="auto"/>
        <w:ind w:firstLineChars="200" w:firstLine="480"/>
        <w:jc w:val="both"/>
        <w:rPr>
          <w:kern w:val="10"/>
        </w:rPr>
      </w:pPr>
      <w:bookmarkStart w:id="1217" w:name="OLE_LINK1342"/>
      <w:r>
        <w:rPr>
          <w:rFonts w:hint="eastAsia"/>
          <w:kern w:val="10"/>
        </w:rPr>
        <w:t>本工程</w:t>
      </w:r>
      <w:bookmarkEnd w:id="1217"/>
      <w:r>
        <w:rPr>
          <w:rFonts w:hint="eastAsia"/>
          <w:kern w:val="10"/>
        </w:rPr>
        <w:t>生态评价范围内的土地利用类型比较简单，主要为</w:t>
      </w:r>
      <w:bookmarkStart w:id="1218" w:name="OLE_LINK1445"/>
      <w:r>
        <w:rPr>
          <w:rFonts w:hint="eastAsia"/>
          <w:kern w:val="10"/>
        </w:rPr>
        <w:t>果园、水浇地、农村道路和采矿用地</w:t>
      </w:r>
      <w:bookmarkEnd w:id="1218"/>
      <w:r>
        <w:rPr>
          <w:rFonts w:hint="eastAsia"/>
          <w:kern w:val="10"/>
        </w:rPr>
        <w:t>，土地利用类型见图</w:t>
      </w:r>
      <w:r>
        <w:rPr>
          <w:rFonts w:hint="eastAsia"/>
          <w:kern w:val="10"/>
        </w:rPr>
        <w:t>4.2-2</w:t>
      </w:r>
      <w:r>
        <w:rPr>
          <w:rFonts w:hint="eastAsia"/>
          <w:kern w:val="10"/>
        </w:rPr>
        <w:t>。</w:t>
      </w:r>
      <w:r>
        <w:rPr>
          <w:rFonts w:hint="eastAsia"/>
          <w:kern w:val="10"/>
        </w:rPr>
        <w:t>本工程生态评价范围内有</w:t>
      </w:r>
      <w:r>
        <w:rPr>
          <w:rFonts w:hint="eastAsia"/>
          <w:kern w:val="10"/>
        </w:rPr>
        <w:t>77%</w:t>
      </w:r>
      <w:r>
        <w:rPr>
          <w:rFonts w:hint="eastAsia"/>
          <w:kern w:val="10"/>
        </w:rPr>
        <w:t>的现状地类为耕地，主要是果园和水浇地。</w:t>
      </w:r>
    </w:p>
    <w:p w:rsidR="00C645C9" w:rsidRDefault="00F955D9">
      <w:pPr>
        <w:spacing w:line="360" w:lineRule="auto"/>
        <w:ind w:firstLineChars="200" w:firstLine="480"/>
        <w:jc w:val="both"/>
        <w:rPr>
          <w:kern w:val="10"/>
        </w:rPr>
      </w:pPr>
      <w:r>
        <w:rPr>
          <w:rFonts w:hint="eastAsia"/>
          <w:kern w:val="10"/>
        </w:rPr>
        <w:t>本工程占地类型见表</w:t>
      </w:r>
      <w:r>
        <w:rPr>
          <w:rFonts w:hint="eastAsia"/>
          <w:kern w:val="10"/>
        </w:rPr>
        <w:t>4.2-3</w:t>
      </w:r>
      <w:r>
        <w:rPr>
          <w:rFonts w:hint="eastAsia"/>
          <w:kern w:val="10"/>
        </w:rPr>
        <w:t>。</w:t>
      </w:r>
    </w:p>
    <w:p w:rsidR="00C645C9" w:rsidRDefault="00C645C9">
      <w:pPr>
        <w:spacing w:line="240" w:lineRule="atLeast"/>
        <w:jc w:val="center"/>
        <w:rPr>
          <w:rFonts w:eastAsia="黑体" w:cs="Times New Roman"/>
          <w:bCs/>
          <w:sz w:val="21"/>
          <w:szCs w:val="21"/>
        </w:rPr>
      </w:pPr>
    </w:p>
    <w:p w:rsidR="00C645C9" w:rsidRDefault="00F955D9">
      <w:pPr>
        <w:spacing w:line="240" w:lineRule="atLeast"/>
        <w:jc w:val="center"/>
        <w:rPr>
          <w:rFonts w:eastAsia="黑体" w:cs="Times New Roman"/>
          <w:bCs/>
          <w:sz w:val="21"/>
          <w:szCs w:val="21"/>
        </w:rPr>
      </w:pPr>
      <w:r>
        <w:rPr>
          <w:rFonts w:eastAsia="黑体" w:cs="Times New Roman" w:hint="eastAsia"/>
          <w:bCs/>
          <w:sz w:val="21"/>
          <w:szCs w:val="21"/>
        </w:rPr>
        <w:lastRenderedPageBreak/>
        <w:t>表</w:t>
      </w:r>
      <w:r>
        <w:rPr>
          <w:rFonts w:eastAsia="黑体" w:cs="Times New Roman" w:hint="eastAsia"/>
          <w:bCs/>
          <w:sz w:val="21"/>
          <w:szCs w:val="21"/>
        </w:rPr>
        <w:t>4.2-</w:t>
      </w:r>
      <w:r>
        <w:rPr>
          <w:rFonts w:eastAsia="黑体" w:cs="Times New Roman" w:hint="eastAsia"/>
          <w:bCs/>
          <w:sz w:val="21"/>
          <w:szCs w:val="21"/>
        </w:rPr>
        <w:t>3</w:t>
      </w:r>
      <w:r>
        <w:rPr>
          <w:rFonts w:eastAsia="黑体" w:cs="Times New Roman" w:hint="eastAsia"/>
          <w:bCs/>
          <w:sz w:val="21"/>
          <w:szCs w:val="21"/>
        </w:rPr>
        <w:t xml:space="preserve">  </w:t>
      </w:r>
      <w:r>
        <w:rPr>
          <w:rFonts w:eastAsia="黑体" w:cs="Times New Roman" w:hint="eastAsia"/>
          <w:bCs/>
          <w:sz w:val="21"/>
          <w:szCs w:val="21"/>
        </w:rPr>
        <w:t>工程区</w:t>
      </w:r>
      <w:r>
        <w:rPr>
          <w:rFonts w:eastAsia="黑体" w:cs="Times New Roman" w:hint="eastAsia"/>
          <w:bCs/>
          <w:sz w:val="21"/>
          <w:szCs w:val="21"/>
        </w:rPr>
        <w:t>土地利用现状表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04"/>
        <w:gridCol w:w="1315"/>
        <w:gridCol w:w="1336"/>
        <w:gridCol w:w="3650"/>
      </w:tblGrid>
      <w:tr w:rsidR="00C645C9">
        <w:trPr>
          <w:trHeight w:val="320"/>
          <w:tblHeader/>
          <w:jc w:val="center"/>
        </w:trPr>
        <w:tc>
          <w:tcPr>
            <w:tcW w:w="1301" w:type="pct"/>
            <w:gridSpan w:val="2"/>
            <w:vMerge w:val="restar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土地类型</w:t>
            </w:r>
          </w:p>
        </w:tc>
        <w:tc>
          <w:tcPr>
            <w:tcW w:w="1556" w:type="pct"/>
            <w:gridSpan w:val="2"/>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工程</w:t>
            </w:r>
            <w:r>
              <w:rPr>
                <w:rFonts w:cs="Times New Roman"/>
                <w:sz w:val="21"/>
                <w:szCs w:val="21"/>
              </w:rPr>
              <w:t>占地</w:t>
            </w:r>
          </w:p>
        </w:tc>
        <w:tc>
          <w:tcPr>
            <w:tcW w:w="2142" w:type="pct"/>
            <w:vMerge w:val="restar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工程内容</w:t>
            </w:r>
          </w:p>
        </w:tc>
      </w:tr>
      <w:tr w:rsidR="00C645C9">
        <w:trPr>
          <w:trHeight w:val="320"/>
          <w:tblHeader/>
          <w:jc w:val="center"/>
        </w:trPr>
        <w:tc>
          <w:tcPr>
            <w:tcW w:w="1301" w:type="pct"/>
            <w:gridSpan w:val="2"/>
            <w:vMerge/>
            <w:vAlign w:val="center"/>
          </w:tcPr>
          <w:p w:rsidR="00C645C9" w:rsidRDefault="00C645C9">
            <w:pPr>
              <w:adjustRightInd w:val="0"/>
              <w:snapToGrid w:val="0"/>
              <w:spacing w:line="240" w:lineRule="atLeast"/>
              <w:jc w:val="center"/>
              <w:rPr>
                <w:rFonts w:cs="Times New Roman"/>
                <w:sz w:val="21"/>
                <w:szCs w:val="21"/>
              </w:rPr>
            </w:pPr>
          </w:p>
        </w:tc>
        <w:tc>
          <w:tcPr>
            <w:tcW w:w="772"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面积（</w:t>
            </w:r>
            <w:r>
              <w:rPr>
                <w:rFonts w:cs="Times New Roman" w:hint="eastAsia"/>
                <w:sz w:val="21"/>
                <w:szCs w:val="21"/>
              </w:rPr>
              <w:t>h</w:t>
            </w:r>
            <w:r>
              <w:rPr>
                <w:rFonts w:cs="Times New Roman"/>
                <w:sz w:val="21"/>
                <w:szCs w:val="21"/>
              </w:rPr>
              <w:t>m</w:t>
            </w:r>
            <w:r>
              <w:rPr>
                <w:rFonts w:cs="Times New Roman"/>
                <w:sz w:val="21"/>
                <w:szCs w:val="21"/>
                <w:vertAlign w:val="superscript"/>
              </w:rPr>
              <w:t>2</w:t>
            </w:r>
            <w:r>
              <w:rPr>
                <w:rFonts w:cs="Times New Roman"/>
                <w:sz w:val="21"/>
                <w:szCs w:val="21"/>
              </w:rPr>
              <w:t>）</w:t>
            </w:r>
          </w:p>
        </w:tc>
        <w:tc>
          <w:tcPr>
            <w:tcW w:w="784"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百分比（</w:t>
            </w:r>
            <w:r>
              <w:rPr>
                <w:rFonts w:cs="Times New Roman"/>
                <w:sz w:val="21"/>
                <w:szCs w:val="21"/>
              </w:rPr>
              <w:t>%</w:t>
            </w:r>
            <w:r>
              <w:rPr>
                <w:rFonts w:cs="Times New Roman"/>
                <w:sz w:val="21"/>
                <w:szCs w:val="21"/>
              </w:rPr>
              <w:t>）</w:t>
            </w:r>
          </w:p>
        </w:tc>
        <w:tc>
          <w:tcPr>
            <w:tcW w:w="2142" w:type="pct"/>
            <w:vMerge/>
            <w:vAlign w:val="center"/>
          </w:tcPr>
          <w:p w:rsidR="00C645C9" w:rsidRDefault="00C645C9">
            <w:pPr>
              <w:adjustRightInd w:val="0"/>
              <w:snapToGrid w:val="0"/>
              <w:spacing w:line="240" w:lineRule="atLeast"/>
              <w:jc w:val="center"/>
              <w:rPr>
                <w:rFonts w:cs="Times New Roman"/>
                <w:sz w:val="21"/>
                <w:szCs w:val="21"/>
              </w:rPr>
            </w:pPr>
          </w:p>
        </w:tc>
      </w:tr>
      <w:tr w:rsidR="00C645C9">
        <w:trPr>
          <w:trHeight w:val="320"/>
          <w:jc w:val="center"/>
        </w:trPr>
        <w:tc>
          <w:tcPr>
            <w:tcW w:w="653" w:type="pct"/>
            <w:vMerge w:val="restar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农用地</w:t>
            </w:r>
          </w:p>
        </w:tc>
        <w:tc>
          <w:tcPr>
            <w:tcW w:w="647"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果园</w:t>
            </w:r>
          </w:p>
        </w:tc>
        <w:tc>
          <w:tcPr>
            <w:tcW w:w="1316"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2.49 </w:t>
            </w:r>
          </w:p>
        </w:tc>
        <w:tc>
          <w:tcPr>
            <w:tcW w:w="133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60.99 </w:t>
            </w:r>
          </w:p>
        </w:tc>
        <w:tc>
          <w:tcPr>
            <w:tcW w:w="2142"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新北</w:t>
            </w:r>
            <w:r>
              <w:rPr>
                <w:rFonts w:cs="Times New Roman"/>
                <w:sz w:val="21"/>
                <w:szCs w:val="21"/>
              </w:rPr>
              <w:t>1X</w:t>
            </w:r>
            <w:r>
              <w:rPr>
                <w:rFonts w:cs="Times New Roman"/>
                <w:sz w:val="21"/>
                <w:szCs w:val="21"/>
              </w:rPr>
              <w:t>井井场临时生活区；新北</w:t>
            </w:r>
            <w:r>
              <w:rPr>
                <w:rFonts w:cs="Times New Roman"/>
                <w:sz w:val="21"/>
                <w:szCs w:val="21"/>
              </w:rPr>
              <w:t>7</w:t>
            </w:r>
            <w:r>
              <w:rPr>
                <w:rFonts w:cs="Times New Roman"/>
                <w:sz w:val="21"/>
                <w:szCs w:val="21"/>
              </w:rPr>
              <w:t>井井场、主副放喷池、临时生活区</w:t>
            </w:r>
          </w:p>
        </w:tc>
      </w:tr>
      <w:tr w:rsidR="00C645C9">
        <w:trPr>
          <w:trHeight w:val="320"/>
          <w:jc w:val="center"/>
        </w:trPr>
        <w:tc>
          <w:tcPr>
            <w:tcW w:w="653" w:type="pct"/>
            <w:vMerge/>
            <w:vAlign w:val="center"/>
          </w:tcPr>
          <w:p w:rsidR="00C645C9" w:rsidRDefault="00C645C9">
            <w:pPr>
              <w:adjustRightInd w:val="0"/>
              <w:snapToGrid w:val="0"/>
              <w:spacing w:line="240" w:lineRule="atLeast"/>
              <w:jc w:val="center"/>
              <w:rPr>
                <w:rFonts w:cs="Times New Roman"/>
                <w:sz w:val="21"/>
                <w:szCs w:val="21"/>
              </w:rPr>
            </w:pPr>
          </w:p>
        </w:tc>
        <w:tc>
          <w:tcPr>
            <w:tcW w:w="647"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农村道路</w:t>
            </w:r>
          </w:p>
        </w:tc>
        <w:tc>
          <w:tcPr>
            <w:tcW w:w="1316"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0.13 </w:t>
            </w:r>
          </w:p>
        </w:tc>
        <w:tc>
          <w:tcPr>
            <w:tcW w:w="133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3.13 </w:t>
            </w:r>
          </w:p>
        </w:tc>
        <w:tc>
          <w:tcPr>
            <w:tcW w:w="2142"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新北</w:t>
            </w:r>
            <w:r>
              <w:rPr>
                <w:rFonts w:cs="Times New Roman" w:hint="eastAsia"/>
                <w:sz w:val="21"/>
                <w:szCs w:val="21"/>
              </w:rPr>
              <w:t>7</w:t>
            </w:r>
            <w:r>
              <w:rPr>
                <w:rFonts w:cs="Times New Roman" w:hint="eastAsia"/>
                <w:sz w:val="21"/>
                <w:szCs w:val="21"/>
              </w:rPr>
              <w:t>井井场</w:t>
            </w:r>
          </w:p>
        </w:tc>
      </w:tr>
      <w:tr w:rsidR="00C645C9">
        <w:trPr>
          <w:trHeight w:val="320"/>
          <w:jc w:val="center"/>
        </w:trPr>
        <w:tc>
          <w:tcPr>
            <w:tcW w:w="653"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建设用地</w:t>
            </w:r>
          </w:p>
        </w:tc>
        <w:tc>
          <w:tcPr>
            <w:tcW w:w="647" w:type="pct"/>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采矿用地</w:t>
            </w:r>
          </w:p>
        </w:tc>
        <w:tc>
          <w:tcPr>
            <w:tcW w:w="1316" w:type="dxa"/>
            <w:shd w:val="clear" w:color="auto" w:fill="auto"/>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1.47 </w:t>
            </w:r>
          </w:p>
        </w:tc>
        <w:tc>
          <w:tcPr>
            <w:tcW w:w="133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35.88 </w:t>
            </w:r>
          </w:p>
        </w:tc>
        <w:tc>
          <w:tcPr>
            <w:tcW w:w="2142"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新北</w:t>
            </w:r>
            <w:r>
              <w:rPr>
                <w:rFonts w:cs="Times New Roman" w:hint="eastAsia"/>
                <w:sz w:val="21"/>
                <w:szCs w:val="21"/>
              </w:rPr>
              <w:t>1X</w:t>
            </w:r>
            <w:r>
              <w:rPr>
                <w:rFonts w:cs="Times New Roman" w:hint="eastAsia"/>
                <w:sz w:val="21"/>
                <w:szCs w:val="21"/>
              </w:rPr>
              <w:t>井井场、主副放喷池</w:t>
            </w:r>
          </w:p>
        </w:tc>
      </w:tr>
      <w:tr w:rsidR="00C645C9">
        <w:trPr>
          <w:trHeight w:val="320"/>
          <w:jc w:val="center"/>
        </w:trPr>
        <w:tc>
          <w:tcPr>
            <w:tcW w:w="1301" w:type="pct"/>
            <w:gridSpan w:val="2"/>
            <w:vAlign w:val="center"/>
          </w:tcPr>
          <w:p w:rsidR="00C645C9" w:rsidRDefault="00F955D9">
            <w:pPr>
              <w:adjustRightInd w:val="0"/>
              <w:snapToGrid w:val="0"/>
              <w:spacing w:line="240" w:lineRule="atLeast"/>
              <w:jc w:val="center"/>
              <w:rPr>
                <w:rFonts w:cs="Times New Roman"/>
                <w:sz w:val="21"/>
                <w:szCs w:val="21"/>
              </w:rPr>
            </w:pPr>
            <w:r>
              <w:rPr>
                <w:rFonts w:cs="Times New Roman"/>
                <w:sz w:val="21"/>
                <w:szCs w:val="21"/>
              </w:rPr>
              <w:t>合计</w:t>
            </w:r>
          </w:p>
        </w:tc>
        <w:tc>
          <w:tcPr>
            <w:tcW w:w="131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4.09 </w:t>
            </w:r>
          </w:p>
        </w:tc>
        <w:tc>
          <w:tcPr>
            <w:tcW w:w="1336" w:type="dxa"/>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 xml:space="preserve">100.00 </w:t>
            </w:r>
          </w:p>
        </w:tc>
        <w:tc>
          <w:tcPr>
            <w:tcW w:w="2142" w:type="pct"/>
            <w:vAlign w:val="center"/>
          </w:tcPr>
          <w:p w:rsidR="00C645C9" w:rsidRDefault="00F955D9">
            <w:pPr>
              <w:adjustRightInd w:val="0"/>
              <w:snapToGrid w:val="0"/>
              <w:spacing w:line="240" w:lineRule="atLeast"/>
              <w:jc w:val="center"/>
              <w:rPr>
                <w:rFonts w:cs="Times New Roman"/>
                <w:sz w:val="21"/>
                <w:szCs w:val="21"/>
              </w:rPr>
            </w:pPr>
            <w:r>
              <w:rPr>
                <w:rFonts w:cs="Times New Roman" w:hint="eastAsia"/>
                <w:sz w:val="21"/>
                <w:szCs w:val="21"/>
              </w:rPr>
              <w:t>/</w:t>
            </w:r>
          </w:p>
        </w:tc>
      </w:tr>
    </w:tbl>
    <w:p w:rsidR="00C645C9" w:rsidRDefault="00F955D9">
      <w:pPr>
        <w:spacing w:line="360" w:lineRule="auto"/>
        <w:ind w:firstLineChars="200" w:firstLine="480"/>
        <w:jc w:val="both"/>
        <w:rPr>
          <w:kern w:val="10"/>
        </w:rPr>
      </w:pPr>
      <w:r>
        <w:rPr>
          <w:rFonts w:hint="eastAsia"/>
          <w:kern w:val="10"/>
        </w:rPr>
        <w:t>由表</w:t>
      </w:r>
      <w:r>
        <w:rPr>
          <w:rFonts w:hint="eastAsia"/>
          <w:kern w:val="10"/>
        </w:rPr>
        <w:t>4.2-3</w:t>
      </w:r>
      <w:r>
        <w:rPr>
          <w:rFonts w:hint="eastAsia"/>
          <w:kern w:val="10"/>
        </w:rPr>
        <w:t>可知，</w:t>
      </w:r>
      <w:r>
        <w:rPr>
          <w:rFonts w:hint="eastAsia"/>
          <w:kern w:val="10"/>
        </w:rPr>
        <w:t>本工程占地最多的是果园，</w:t>
      </w:r>
      <w:r>
        <w:rPr>
          <w:rFonts w:hint="eastAsia"/>
          <w:kern w:val="10"/>
        </w:rPr>
        <w:t>主要</w:t>
      </w:r>
      <w:r>
        <w:rPr>
          <w:rFonts w:hint="eastAsia"/>
          <w:kern w:val="10"/>
        </w:rPr>
        <w:t>种植核桃等作物，新北</w:t>
      </w:r>
      <w:r>
        <w:rPr>
          <w:rFonts w:hint="eastAsia"/>
          <w:kern w:val="10"/>
        </w:rPr>
        <w:t>7</w:t>
      </w:r>
      <w:r>
        <w:rPr>
          <w:rFonts w:hint="eastAsia"/>
          <w:kern w:val="10"/>
        </w:rPr>
        <w:t>井</w:t>
      </w:r>
      <w:r>
        <w:rPr>
          <w:rFonts w:hint="eastAsia"/>
          <w:kern w:val="10"/>
        </w:rPr>
        <w:t>井场</w:t>
      </w:r>
      <w:r>
        <w:rPr>
          <w:rFonts w:hint="eastAsia"/>
          <w:kern w:val="10"/>
        </w:rPr>
        <w:t>绝大部分位于果园内，主副放喷池和临时生活区全部位于果园内，新北</w:t>
      </w:r>
      <w:r>
        <w:rPr>
          <w:rFonts w:hint="eastAsia"/>
          <w:kern w:val="10"/>
        </w:rPr>
        <w:t>1X</w:t>
      </w:r>
      <w:r>
        <w:rPr>
          <w:rFonts w:hint="eastAsia"/>
          <w:kern w:val="10"/>
        </w:rPr>
        <w:t>井临时生活区全部位于果园内</w:t>
      </w:r>
      <w:r>
        <w:rPr>
          <w:rFonts w:hint="eastAsia"/>
          <w:kern w:val="10"/>
        </w:rPr>
        <w:t>；新北</w:t>
      </w:r>
      <w:r>
        <w:rPr>
          <w:rFonts w:hint="eastAsia"/>
          <w:kern w:val="10"/>
        </w:rPr>
        <w:t>1X</w:t>
      </w:r>
      <w:r>
        <w:rPr>
          <w:rFonts w:hint="eastAsia"/>
          <w:kern w:val="10"/>
        </w:rPr>
        <w:t>井井场占用</w:t>
      </w:r>
      <w:bookmarkStart w:id="1219" w:name="OLE_LINK1340"/>
      <w:r>
        <w:rPr>
          <w:rFonts w:hint="eastAsia"/>
          <w:kern w:val="10"/>
        </w:rPr>
        <w:t>1.47 hm</w:t>
      </w:r>
      <w:r>
        <w:rPr>
          <w:rFonts w:hint="eastAsia"/>
          <w:kern w:val="10"/>
          <w:vertAlign w:val="superscript"/>
        </w:rPr>
        <w:t>2</w:t>
      </w:r>
      <w:bookmarkEnd w:id="1219"/>
      <w:r>
        <w:rPr>
          <w:rFonts w:hint="eastAsia"/>
          <w:kern w:val="10"/>
        </w:rPr>
        <w:t>的采矿用地，新北</w:t>
      </w:r>
      <w:r>
        <w:rPr>
          <w:rFonts w:hint="eastAsia"/>
          <w:kern w:val="10"/>
        </w:rPr>
        <w:t>1X</w:t>
      </w:r>
      <w:r>
        <w:rPr>
          <w:rFonts w:hint="eastAsia"/>
          <w:kern w:val="10"/>
        </w:rPr>
        <w:t>井为老井侧钻井</w:t>
      </w:r>
      <w:r>
        <w:rPr>
          <w:rFonts w:hint="eastAsia"/>
          <w:kern w:val="10"/>
        </w:rPr>
        <w:t>，</w:t>
      </w:r>
      <w:r>
        <w:rPr>
          <w:rFonts w:hint="eastAsia"/>
          <w:kern w:val="10"/>
        </w:rPr>
        <w:t>井场</w:t>
      </w:r>
      <w:r>
        <w:rPr>
          <w:rFonts w:hint="eastAsia"/>
          <w:kern w:val="10"/>
        </w:rPr>
        <w:t>除临时生活区外均位于现有井场内</w:t>
      </w:r>
      <w:r>
        <w:rPr>
          <w:rFonts w:hint="eastAsia"/>
          <w:kern w:val="10"/>
        </w:rPr>
        <w:t>；新北</w:t>
      </w:r>
      <w:r>
        <w:rPr>
          <w:rFonts w:hint="eastAsia"/>
          <w:kern w:val="10"/>
        </w:rPr>
        <w:t>7</w:t>
      </w:r>
      <w:r>
        <w:rPr>
          <w:rFonts w:hint="eastAsia"/>
          <w:kern w:val="10"/>
        </w:rPr>
        <w:t>井井场占用</w:t>
      </w:r>
      <w:r>
        <w:rPr>
          <w:rFonts w:hint="eastAsia"/>
          <w:kern w:val="10"/>
        </w:rPr>
        <w:t>0.13hm</w:t>
      </w:r>
      <w:r>
        <w:rPr>
          <w:rFonts w:hint="eastAsia"/>
          <w:kern w:val="10"/>
          <w:vertAlign w:val="superscript"/>
        </w:rPr>
        <w:t>2</w:t>
      </w:r>
      <w:r>
        <w:rPr>
          <w:rFonts w:hint="eastAsia"/>
          <w:kern w:val="10"/>
        </w:rPr>
        <w:t>的农村道路，</w:t>
      </w:r>
      <w:r>
        <w:rPr>
          <w:rFonts w:hint="eastAsia"/>
          <w:kern w:val="10"/>
        </w:rPr>
        <w:t>主要是</w:t>
      </w:r>
      <w:r>
        <w:rPr>
          <w:rFonts w:hint="eastAsia"/>
          <w:kern w:val="10"/>
        </w:rPr>
        <w:t>水浇地和</w:t>
      </w:r>
      <w:r>
        <w:rPr>
          <w:rFonts w:hint="eastAsia"/>
          <w:kern w:val="10"/>
        </w:rPr>
        <w:t>园地</w:t>
      </w:r>
      <w:r>
        <w:rPr>
          <w:rFonts w:hint="eastAsia"/>
          <w:kern w:val="10"/>
        </w:rPr>
        <w:t>间的机耕道，</w:t>
      </w:r>
      <w:r>
        <w:rPr>
          <w:rFonts w:hint="eastAsia"/>
          <w:kern w:val="10"/>
        </w:rPr>
        <w:t>以</w:t>
      </w:r>
      <w:r>
        <w:rPr>
          <w:rFonts w:hint="eastAsia"/>
          <w:kern w:val="10"/>
        </w:rPr>
        <w:t>服务于农村农业生产为主要用途</w:t>
      </w:r>
      <w:r>
        <w:rPr>
          <w:rFonts w:hint="eastAsia"/>
          <w:kern w:val="10"/>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bookmarkStart w:id="1220" w:name="_Toc3616"/>
      <w:bookmarkStart w:id="1221" w:name="_Toc6075"/>
      <w:bookmarkStart w:id="1222" w:name="_Toc8291"/>
      <w:r>
        <w:rPr>
          <w:rFonts w:ascii="Times New Roman" w:hAnsi="Times New Roman" w:cs="Times New Roman"/>
          <w:color w:val="auto"/>
          <w:lang w:val="zh-CN" w:eastAsia="zh-CN"/>
        </w:rPr>
        <w:t>4.</w:t>
      </w:r>
      <w:bookmarkEnd w:id="1220"/>
      <w:bookmarkEnd w:id="1221"/>
      <w:bookmarkEnd w:id="1222"/>
      <w:r>
        <w:rPr>
          <w:rFonts w:ascii="Times New Roman" w:hAnsi="Times New Roman" w:cs="Times New Roman" w:hint="eastAsia"/>
          <w:color w:val="auto"/>
          <w:lang w:eastAsia="zh-CN"/>
        </w:rPr>
        <w:t>2.5</w:t>
      </w:r>
      <w:r>
        <w:rPr>
          <w:rFonts w:ascii="Times New Roman" w:hAnsi="Times New Roman" w:cs="Times New Roman"/>
          <w:color w:val="auto"/>
          <w:lang w:val="zh-CN" w:eastAsia="zh-CN"/>
        </w:rPr>
        <w:t>植被现状调查与评价</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szCs w:val="21"/>
        </w:rPr>
        <w:t>1</w:t>
      </w:r>
      <w:r>
        <w:rPr>
          <w:rFonts w:cs="Times New Roman"/>
          <w:szCs w:val="21"/>
        </w:rPr>
        <w:t>）区域植被区系</w:t>
      </w:r>
    </w:p>
    <w:p w:rsidR="00C645C9" w:rsidRDefault="00F955D9">
      <w:pPr>
        <w:spacing w:line="360" w:lineRule="auto"/>
        <w:ind w:firstLineChars="200" w:firstLine="480"/>
        <w:jc w:val="both"/>
        <w:rPr>
          <w:rFonts w:cs="Times New Roman"/>
          <w:szCs w:val="21"/>
        </w:rPr>
      </w:pPr>
      <w:r>
        <w:rPr>
          <w:rFonts w:cs="Times New Roman"/>
          <w:szCs w:val="21"/>
        </w:rPr>
        <w:t>依据《新疆植被及其利用》中植物地理区划的划分标准，</w:t>
      </w:r>
      <w:r>
        <w:rPr>
          <w:rFonts w:cs="Times New Roman" w:hint="eastAsia"/>
          <w:szCs w:val="21"/>
        </w:rPr>
        <w:t>本工程</w:t>
      </w:r>
      <w:r>
        <w:rPr>
          <w:rFonts w:cs="Times New Roman"/>
          <w:szCs w:val="21"/>
        </w:rPr>
        <w:t>所在的植被区划属新疆荒漠区。该区域的主要植被类型有：灌木荒漠、小半灌木荒漠、半灌木荒漠、</w:t>
      </w:r>
      <w:bookmarkStart w:id="1223" w:name="OLE_LINK1478"/>
      <w:r>
        <w:rPr>
          <w:rFonts w:cs="Times New Roman"/>
          <w:szCs w:val="21"/>
        </w:rPr>
        <w:t>多汁木本盐柴类荒漠</w:t>
      </w:r>
      <w:bookmarkEnd w:id="1223"/>
      <w:r>
        <w:rPr>
          <w:rFonts w:cs="Times New Roman"/>
          <w:szCs w:val="21"/>
        </w:rPr>
        <w:t>等</w:t>
      </w:r>
      <w:r>
        <w:rPr>
          <w:rFonts w:cs="Times New Roman"/>
          <w:szCs w:val="21"/>
        </w:rPr>
        <w:t>4</w:t>
      </w:r>
      <w:r>
        <w:rPr>
          <w:rFonts w:cs="Times New Roman"/>
          <w:szCs w:val="21"/>
        </w:rPr>
        <w:t>种类型。具体内容见表</w:t>
      </w:r>
      <w:r>
        <w:rPr>
          <w:rFonts w:cs="Times New Roman"/>
          <w:szCs w:val="21"/>
        </w:rPr>
        <w:t>4.2-</w:t>
      </w:r>
      <w:r>
        <w:rPr>
          <w:rFonts w:cs="Times New Roman" w:hint="eastAsia"/>
          <w:szCs w:val="21"/>
        </w:rPr>
        <w:t>4</w:t>
      </w:r>
      <w:r>
        <w:rPr>
          <w:rFonts w:cs="Times New Roman"/>
          <w:szCs w:val="21"/>
        </w:rPr>
        <w:t>。</w:t>
      </w:r>
    </w:p>
    <w:p w:rsidR="00C645C9" w:rsidRDefault="00F955D9">
      <w:pPr>
        <w:pStyle w:val="a5"/>
        <w:spacing w:line="240" w:lineRule="auto"/>
        <w:jc w:val="center"/>
        <w:rPr>
          <w:rFonts w:ascii="Times New Roman" w:eastAsia="黑体" w:hAnsi="Times New Roman" w:cs="Times New Roman"/>
          <w:bCs/>
          <w:sz w:val="21"/>
          <w:szCs w:val="21"/>
        </w:rPr>
      </w:pPr>
      <w:r>
        <w:rPr>
          <w:rFonts w:ascii="Times New Roman" w:eastAsia="黑体" w:hAnsi="Times New Roman" w:cs="Times New Roman"/>
          <w:bCs/>
          <w:sz w:val="21"/>
          <w:szCs w:val="21"/>
        </w:rPr>
        <w:t>表</w:t>
      </w:r>
      <w:r>
        <w:rPr>
          <w:rFonts w:ascii="Times New Roman" w:eastAsia="黑体" w:hAnsi="Times New Roman" w:cs="Times New Roman"/>
          <w:bCs/>
          <w:sz w:val="21"/>
          <w:szCs w:val="21"/>
        </w:rPr>
        <w:t>4.</w:t>
      </w:r>
      <w:r>
        <w:rPr>
          <w:rFonts w:ascii="Times New Roman" w:eastAsia="黑体" w:hAnsi="Times New Roman" w:cs="Times New Roman" w:hint="eastAsia"/>
          <w:bCs/>
          <w:sz w:val="21"/>
          <w:szCs w:val="21"/>
        </w:rPr>
        <w:t xml:space="preserve">2-4  </w:t>
      </w:r>
      <w:r>
        <w:rPr>
          <w:rFonts w:ascii="Times New Roman" w:eastAsia="黑体" w:hAnsi="Times New Roman" w:cs="Times New Roman"/>
          <w:bCs/>
          <w:sz w:val="21"/>
          <w:szCs w:val="21"/>
        </w:rPr>
        <w:t>评价区植被地理区划</w:t>
      </w:r>
    </w:p>
    <w:tbl>
      <w:tblPr>
        <w:tblW w:w="8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2520"/>
        <w:gridCol w:w="1092"/>
        <w:gridCol w:w="1142"/>
        <w:gridCol w:w="1471"/>
      </w:tblGrid>
      <w:tr w:rsidR="00C645C9">
        <w:trPr>
          <w:trHeight w:val="20"/>
          <w:jc w:val="center"/>
        </w:trPr>
        <w:tc>
          <w:tcPr>
            <w:tcW w:w="2186" w:type="dxa"/>
            <w:vAlign w:val="center"/>
          </w:tcPr>
          <w:p w:rsidR="00C645C9" w:rsidRDefault="00F955D9">
            <w:pPr>
              <w:jc w:val="center"/>
              <w:rPr>
                <w:rFonts w:cs="Times New Roman"/>
                <w:sz w:val="21"/>
                <w:szCs w:val="21"/>
              </w:rPr>
            </w:pPr>
            <w:r>
              <w:rPr>
                <w:rFonts w:cs="Times New Roman"/>
                <w:sz w:val="21"/>
                <w:szCs w:val="21"/>
              </w:rPr>
              <w:t>植被区</w:t>
            </w:r>
          </w:p>
        </w:tc>
        <w:tc>
          <w:tcPr>
            <w:tcW w:w="2520" w:type="dxa"/>
            <w:vAlign w:val="center"/>
          </w:tcPr>
          <w:p w:rsidR="00C645C9" w:rsidRDefault="00F955D9">
            <w:pPr>
              <w:jc w:val="center"/>
              <w:rPr>
                <w:rFonts w:cs="Times New Roman"/>
                <w:sz w:val="21"/>
                <w:szCs w:val="21"/>
              </w:rPr>
            </w:pPr>
            <w:r>
              <w:rPr>
                <w:rFonts w:cs="Times New Roman"/>
                <w:sz w:val="21"/>
                <w:szCs w:val="21"/>
              </w:rPr>
              <w:t>植被亚区</w:t>
            </w:r>
          </w:p>
        </w:tc>
        <w:tc>
          <w:tcPr>
            <w:tcW w:w="1092" w:type="dxa"/>
            <w:vAlign w:val="center"/>
          </w:tcPr>
          <w:p w:rsidR="00C645C9" w:rsidRDefault="00F955D9">
            <w:pPr>
              <w:jc w:val="center"/>
              <w:rPr>
                <w:rFonts w:cs="Times New Roman"/>
                <w:sz w:val="21"/>
                <w:szCs w:val="21"/>
              </w:rPr>
            </w:pPr>
            <w:r>
              <w:rPr>
                <w:rFonts w:cs="Times New Roman"/>
                <w:sz w:val="21"/>
                <w:szCs w:val="21"/>
              </w:rPr>
              <w:t>植被省</w:t>
            </w:r>
          </w:p>
        </w:tc>
        <w:tc>
          <w:tcPr>
            <w:tcW w:w="1142" w:type="dxa"/>
            <w:vAlign w:val="center"/>
          </w:tcPr>
          <w:p w:rsidR="00C645C9" w:rsidRDefault="00F955D9">
            <w:pPr>
              <w:jc w:val="center"/>
              <w:rPr>
                <w:rFonts w:cs="Times New Roman"/>
                <w:sz w:val="21"/>
                <w:szCs w:val="21"/>
              </w:rPr>
            </w:pPr>
            <w:r>
              <w:rPr>
                <w:rFonts w:cs="Times New Roman"/>
                <w:sz w:val="21"/>
                <w:szCs w:val="21"/>
              </w:rPr>
              <w:t>植被亚省</w:t>
            </w:r>
          </w:p>
        </w:tc>
        <w:tc>
          <w:tcPr>
            <w:tcW w:w="1471" w:type="dxa"/>
            <w:vAlign w:val="center"/>
          </w:tcPr>
          <w:p w:rsidR="00C645C9" w:rsidRDefault="00F955D9">
            <w:pPr>
              <w:jc w:val="center"/>
              <w:rPr>
                <w:rFonts w:cs="Times New Roman"/>
                <w:sz w:val="21"/>
                <w:szCs w:val="21"/>
              </w:rPr>
            </w:pPr>
            <w:r>
              <w:rPr>
                <w:rFonts w:cs="Times New Roman"/>
                <w:sz w:val="21"/>
                <w:szCs w:val="21"/>
              </w:rPr>
              <w:t>植被州</w:t>
            </w:r>
          </w:p>
        </w:tc>
      </w:tr>
      <w:tr w:rsidR="00C645C9">
        <w:trPr>
          <w:trHeight w:val="20"/>
          <w:jc w:val="center"/>
        </w:trPr>
        <w:tc>
          <w:tcPr>
            <w:tcW w:w="2186" w:type="dxa"/>
            <w:vAlign w:val="center"/>
          </w:tcPr>
          <w:p w:rsidR="00C645C9" w:rsidRDefault="00F955D9">
            <w:pPr>
              <w:jc w:val="center"/>
              <w:rPr>
                <w:rFonts w:cs="Times New Roman"/>
                <w:sz w:val="21"/>
                <w:szCs w:val="21"/>
              </w:rPr>
            </w:pPr>
            <w:r>
              <w:rPr>
                <w:rFonts w:cs="Times New Roman"/>
                <w:sz w:val="21"/>
                <w:szCs w:val="21"/>
              </w:rPr>
              <w:t>（二）新疆荒漠区（亚非荒漠区的一部分）</w:t>
            </w:r>
          </w:p>
        </w:tc>
        <w:tc>
          <w:tcPr>
            <w:tcW w:w="2520" w:type="dxa"/>
            <w:vAlign w:val="center"/>
          </w:tcPr>
          <w:p w:rsidR="00C645C9" w:rsidRDefault="00F955D9">
            <w:pPr>
              <w:jc w:val="center"/>
              <w:rPr>
                <w:rFonts w:cs="Times New Roman"/>
                <w:sz w:val="21"/>
                <w:szCs w:val="21"/>
              </w:rPr>
            </w:pPr>
            <w:r>
              <w:rPr>
                <w:rFonts w:cs="Times New Roman"/>
                <w:sz w:val="21"/>
                <w:szCs w:val="21"/>
              </w:rPr>
              <w:t>B.</w:t>
            </w:r>
            <w:r>
              <w:rPr>
                <w:rFonts w:cs="Times New Roman"/>
                <w:sz w:val="21"/>
                <w:szCs w:val="21"/>
              </w:rPr>
              <w:t>东疆</w:t>
            </w:r>
            <w:r>
              <w:rPr>
                <w:rFonts w:cs="Times New Roman"/>
                <w:sz w:val="21"/>
                <w:szCs w:val="21"/>
              </w:rPr>
              <w:t>-</w:t>
            </w:r>
            <w:r>
              <w:rPr>
                <w:rFonts w:cs="Times New Roman"/>
                <w:sz w:val="21"/>
                <w:szCs w:val="21"/>
              </w:rPr>
              <w:t>南疆荒漠亚区（亚中荒漠亚区的一部分）</w:t>
            </w:r>
          </w:p>
        </w:tc>
        <w:tc>
          <w:tcPr>
            <w:tcW w:w="1092" w:type="dxa"/>
            <w:vAlign w:val="center"/>
          </w:tcPr>
          <w:p w:rsidR="00C645C9" w:rsidRDefault="00F955D9">
            <w:pPr>
              <w:jc w:val="center"/>
              <w:rPr>
                <w:rFonts w:cs="Times New Roman"/>
                <w:sz w:val="21"/>
                <w:szCs w:val="21"/>
              </w:rPr>
            </w:pPr>
            <w:r>
              <w:rPr>
                <w:rFonts w:cs="Times New Roman"/>
                <w:sz w:val="21"/>
                <w:szCs w:val="21"/>
              </w:rPr>
              <w:fldChar w:fldCharType="begin"/>
            </w:r>
            <w:r>
              <w:rPr>
                <w:rFonts w:cs="Times New Roman"/>
                <w:sz w:val="21"/>
                <w:szCs w:val="21"/>
              </w:rPr>
              <w:instrText xml:space="preserve"> = 7 \* ROMAN </w:instrText>
            </w:r>
            <w:r>
              <w:rPr>
                <w:rFonts w:cs="Times New Roman"/>
                <w:sz w:val="21"/>
                <w:szCs w:val="21"/>
              </w:rPr>
              <w:fldChar w:fldCharType="separate"/>
            </w:r>
            <w:r>
              <w:rPr>
                <w:rFonts w:cs="Times New Roman"/>
                <w:sz w:val="21"/>
                <w:szCs w:val="21"/>
              </w:rPr>
              <w:t>VII</w:t>
            </w:r>
            <w:r>
              <w:rPr>
                <w:rFonts w:cs="Times New Roman"/>
                <w:sz w:val="21"/>
                <w:szCs w:val="21"/>
              </w:rPr>
              <w:fldChar w:fldCharType="end"/>
            </w:r>
            <w:r>
              <w:rPr>
                <w:rFonts w:cs="Times New Roman"/>
                <w:sz w:val="21"/>
                <w:szCs w:val="21"/>
              </w:rPr>
              <w:t>.</w:t>
            </w:r>
            <w:r>
              <w:rPr>
                <w:rFonts w:cs="Times New Roman"/>
                <w:sz w:val="21"/>
                <w:szCs w:val="21"/>
              </w:rPr>
              <w:t>塔里木荒漠省</w:t>
            </w:r>
          </w:p>
        </w:tc>
        <w:tc>
          <w:tcPr>
            <w:tcW w:w="1142" w:type="dxa"/>
            <w:vAlign w:val="center"/>
          </w:tcPr>
          <w:p w:rsidR="00C645C9" w:rsidRDefault="00F955D9">
            <w:pPr>
              <w:jc w:val="center"/>
              <w:rPr>
                <w:rFonts w:cs="Times New Roman"/>
                <w:sz w:val="21"/>
                <w:szCs w:val="21"/>
              </w:rPr>
            </w:pPr>
            <w:r>
              <w:rPr>
                <w:rFonts w:cs="Times New Roman"/>
                <w:sz w:val="21"/>
                <w:szCs w:val="21"/>
              </w:rPr>
              <w:t>b.</w:t>
            </w:r>
            <w:r>
              <w:rPr>
                <w:rFonts w:cs="Times New Roman"/>
                <w:sz w:val="21"/>
                <w:szCs w:val="21"/>
              </w:rPr>
              <w:t>塔克拉玛干荒漠亚省</w:t>
            </w:r>
          </w:p>
        </w:tc>
        <w:tc>
          <w:tcPr>
            <w:tcW w:w="1471" w:type="dxa"/>
            <w:vAlign w:val="center"/>
          </w:tcPr>
          <w:p w:rsidR="00C645C9" w:rsidRDefault="00F955D9">
            <w:pPr>
              <w:jc w:val="center"/>
              <w:rPr>
                <w:rFonts w:cs="Times New Roman"/>
                <w:sz w:val="21"/>
                <w:szCs w:val="21"/>
              </w:rPr>
            </w:pPr>
            <w:r>
              <w:rPr>
                <w:rFonts w:cs="Times New Roman"/>
                <w:sz w:val="21"/>
                <w:szCs w:val="21"/>
              </w:rPr>
              <w:t>15.</w:t>
            </w:r>
            <w:r>
              <w:rPr>
                <w:rFonts w:cs="Times New Roman"/>
                <w:sz w:val="21"/>
                <w:szCs w:val="21"/>
              </w:rPr>
              <w:t>阿克苏</w:t>
            </w:r>
            <w:r>
              <w:rPr>
                <w:rFonts w:cs="Times New Roman"/>
                <w:sz w:val="21"/>
                <w:szCs w:val="21"/>
              </w:rPr>
              <w:t>-</w:t>
            </w:r>
            <w:r>
              <w:rPr>
                <w:rFonts w:cs="Times New Roman"/>
                <w:sz w:val="21"/>
                <w:szCs w:val="21"/>
              </w:rPr>
              <w:t>库尔勒洲</w:t>
            </w:r>
          </w:p>
        </w:tc>
      </w:tr>
    </w:tbl>
    <w:p w:rsidR="00C645C9" w:rsidRDefault="00F955D9">
      <w:pPr>
        <w:spacing w:line="360" w:lineRule="auto"/>
        <w:ind w:firstLineChars="200" w:firstLine="480"/>
        <w:jc w:val="both"/>
        <w:rPr>
          <w:rFonts w:cs="Times New Roman"/>
          <w:szCs w:val="21"/>
        </w:rPr>
      </w:pPr>
      <w:r>
        <w:rPr>
          <w:rFonts w:cs="Times New Roman"/>
          <w:szCs w:val="21"/>
        </w:rPr>
        <w:t>按中国植被自然地理区划，</w:t>
      </w:r>
      <w:r>
        <w:rPr>
          <w:rFonts w:cs="Times New Roman" w:hint="eastAsia"/>
          <w:szCs w:val="21"/>
        </w:rPr>
        <w:t>工程</w:t>
      </w:r>
      <w:r>
        <w:rPr>
          <w:rFonts w:cs="Times New Roman"/>
          <w:szCs w:val="21"/>
        </w:rPr>
        <w:t>区属暖温带灌木、半灌木荒漠地带，塔里木盆地沙漠、稀疏灌木、半灌木荒漠区。区域内生态环境条件较差，荒漠景观决定了该区域植被组成较为简单，类型较单一，种类贫乏等特点，植被多为耐旱型、耐盐碱，主要为多枝柽柳、盐穗木、花花柴等群系。</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）评价区植被类型</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hint="eastAsia"/>
          <w:szCs w:val="21"/>
        </w:rPr>
        <w:t>所在区域植被以人工栽培的作物为主，自然植被</w:t>
      </w:r>
      <w:r>
        <w:rPr>
          <w:rFonts w:cs="Times New Roman" w:hint="eastAsia"/>
          <w:szCs w:val="21"/>
        </w:rPr>
        <w:t>多为</w:t>
      </w:r>
      <w:r>
        <w:rPr>
          <w:rFonts w:cs="Times New Roman" w:hint="eastAsia"/>
          <w:szCs w:val="21"/>
        </w:rPr>
        <w:t>荒漠类型的灌木</w:t>
      </w:r>
      <w:r>
        <w:rPr>
          <w:rFonts w:cs="Times New Roman" w:hint="eastAsia"/>
          <w:szCs w:val="21"/>
        </w:rPr>
        <w:t>、半灌木和绿洲农田防护林</w:t>
      </w:r>
      <w:r>
        <w:rPr>
          <w:rFonts w:cs="Times New Roman" w:hint="eastAsia"/>
          <w:szCs w:val="21"/>
        </w:rPr>
        <w:t>。</w:t>
      </w:r>
      <w:r>
        <w:rPr>
          <w:rFonts w:cs="Times New Roman"/>
          <w:szCs w:val="21"/>
        </w:rPr>
        <w:t>评价区高等植被有</w:t>
      </w:r>
      <w:r>
        <w:rPr>
          <w:rFonts w:cs="Times New Roman"/>
          <w:szCs w:val="21"/>
        </w:rPr>
        <w:t>33</w:t>
      </w:r>
      <w:r>
        <w:rPr>
          <w:rFonts w:cs="Times New Roman"/>
          <w:szCs w:val="21"/>
        </w:rPr>
        <w:t>种，分属</w:t>
      </w:r>
      <w:r>
        <w:rPr>
          <w:rFonts w:cs="Times New Roman"/>
          <w:szCs w:val="21"/>
        </w:rPr>
        <w:t>10</w:t>
      </w:r>
      <w:r>
        <w:rPr>
          <w:rFonts w:cs="Times New Roman"/>
          <w:szCs w:val="21"/>
        </w:rPr>
        <w:t>科（详见表</w:t>
      </w:r>
      <w:r>
        <w:rPr>
          <w:rFonts w:cs="Times New Roman"/>
          <w:szCs w:val="21"/>
        </w:rPr>
        <w:t>4.2-</w:t>
      </w:r>
      <w:r>
        <w:rPr>
          <w:rFonts w:cs="Times New Roman" w:hint="eastAsia"/>
          <w:szCs w:val="21"/>
        </w:rPr>
        <w:t>5</w:t>
      </w:r>
      <w:r>
        <w:rPr>
          <w:rFonts w:cs="Times New Roman"/>
          <w:szCs w:val="21"/>
        </w:rPr>
        <w:t>）。根据《国家重点保护野生植物名录》《新疆维吾尔自治区重点保护野生植物名录》，评价区无国家及自治区保护植物分布。</w:t>
      </w:r>
    </w:p>
    <w:p w:rsidR="00C645C9" w:rsidRDefault="00F955D9">
      <w:pPr>
        <w:jc w:val="center"/>
        <w:rPr>
          <w:rFonts w:cs="Times New Roman"/>
          <w:sz w:val="21"/>
          <w:szCs w:val="21"/>
        </w:rPr>
      </w:pPr>
      <w:r>
        <w:rPr>
          <w:rFonts w:eastAsia="黑体" w:cs="Times New Roman"/>
          <w:bCs/>
          <w:sz w:val="21"/>
          <w:szCs w:val="21"/>
        </w:rPr>
        <w:t>表</w:t>
      </w:r>
      <w:r>
        <w:rPr>
          <w:rFonts w:eastAsia="黑体" w:cs="Times New Roman"/>
          <w:bCs/>
          <w:sz w:val="21"/>
          <w:szCs w:val="21"/>
        </w:rPr>
        <w:t>4.2-</w:t>
      </w:r>
      <w:r>
        <w:rPr>
          <w:rFonts w:eastAsia="黑体" w:cs="Times New Roman" w:hint="eastAsia"/>
          <w:bCs/>
          <w:sz w:val="21"/>
          <w:szCs w:val="21"/>
        </w:rPr>
        <w:t>5</w:t>
      </w:r>
      <w:r>
        <w:rPr>
          <w:rFonts w:eastAsia="黑体" w:cs="Times New Roman"/>
          <w:bCs/>
          <w:sz w:val="21"/>
          <w:szCs w:val="21"/>
        </w:rPr>
        <w:t xml:space="preserve">  </w:t>
      </w:r>
      <w:r>
        <w:rPr>
          <w:rFonts w:eastAsia="黑体" w:cs="Times New Roman"/>
          <w:bCs/>
          <w:sz w:val="21"/>
          <w:szCs w:val="21"/>
        </w:rPr>
        <w:t>评价区主要高等植物名录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714"/>
        <w:gridCol w:w="3103"/>
      </w:tblGrid>
      <w:tr w:rsidR="00C645C9">
        <w:trPr>
          <w:trHeight w:val="300"/>
          <w:jc w:val="center"/>
        </w:trPr>
        <w:tc>
          <w:tcPr>
            <w:tcW w:w="1585" w:type="pct"/>
            <w:vAlign w:val="center"/>
          </w:tcPr>
          <w:p w:rsidR="00C645C9" w:rsidRDefault="00F955D9">
            <w:pPr>
              <w:jc w:val="center"/>
              <w:rPr>
                <w:rFonts w:cs="Times New Roman"/>
                <w:sz w:val="21"/>
                <w:szCs w:val="21"/>
              </w:rPr>
            </w:pPr>
            <w:r>
              <w:rPr>
                <w:rFonts w:cs="Times New Roman"/>
                <w:sz w:val="21"/>
                <w:szCs w:val="21"/>
              </w:rPr>
              <w:t>科</w:t>
            </w:r>
          </w:p>
        </w:tc>
        <w:tc>
          <w:tcPr>
            <w:tcW w:w="1593" w:type="pct"/>
            <w:vAlign w:val="center"/>
          </w:tcPr>
          <w:p w:rsidR="00C645C9" w:rsidRDefault="00F955D9">
            <w:pPr>
              <w:jc w:val="center"/>
              <w:rPr>
                <w:rFonts w:cs="Times New Roman"/>
                <w:sz w:val="21"/>
                <w:szCs w:val="21"/>
              </w:rPr>
            </w:pPr>
            <w:r>
              <w:rPr>
                <w:rFonts w:cs="Times New Roman"/>
                <w:sz w:val="21"/>
                <w:szCs w:val="21"/>
              </w:rPr>
              <w:t>种名</w:t>
            </w:r>
          </w:p>
        </w:tc>
        <w:tc>
          <w:tcPr>
            <w:tcW w:w="1821" w:type="pct"/>
            <w:vAlign w:val="center"/>
          </w:tcPr>
          <w:p w:rsidR="00C645C9" w:rsidRDefault="00F955D9">
            <w:pPr>
              <w:jc w:val="center"/>
              <w:rPr>
                <w:rFonts w:cs="Times New Roman"/>
                <w:sz w:val="21"/>
                <w:szCs w:val="21"/>
              </w:rPr>
            </w:pPr>
            <w:r>
              <w:rPr>
                <w:rFonts w:cs="Times New Roman"/>
                <w:sz w:val="21"/>
                <w:szCs w:val="21"/>
              </w:rPr>
              <w:t>拉丁名</w:t>
            </w:r>
          </w:p>
        </w:tc>
      </w:tr>
      <w:tr w:rsidR="00C645C9">
        <w:trPr>
          <w:cantSplit/>
          <w:trHeight w:val="28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lastRenderedPageBreak/>
              <w:t>杨柳科</w:t>
            </w:r>
            <w:r>
              <w:rPr>
                <w:rFonts w:cs="Times New Roman"/>
                <w:i/>
                <w:kern w:val="2"/>
                <w:sz w:val="21"/>
                <w:szCs w:val="21"/>
              </w:rPr>
              <w:t xml:space="preserve"> Salicaceas</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胡杨</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Populus euphratica</w:t>
            </w:r>
          </w:p>
        </w:tc>
      </w:tr>
      <w:tr w:rsidR="00C645C9">
        <w:trPr>
          <w:cantSplit/>
          <w:trHeight w:val="226"/>
          <w:jc w:val="center"/>
        </w:trPr>
        <w:tc>
          <w:tcPr>
            <w:tcW w:w="1585" w:type="pct"/>
            <w:vMerge/>
            <w:vAlign w:val="center"/>
          </w:tcPr>
          <w:p w:rsidR="00C645C9" w:rsidRDefault="00C645C9">
            <w:pPr>
              <w:widowControl w:val="0"/>
              <w:ind w:firstLine="361"/>
              <w:jc w:val="center"/>
              <w:rPr>
                <w:rFonts w:cs="Times New Roman"/>
                <w:i/>
                <w:kern w:val="2"/>
                <w:sz w:val="21"/>
                <w:szCs w:val="21"/>
                <w:lang w:val="de-DE"/>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线叶柳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Salix wilhelmsiana</w:t>
            </w:r>
          </w:p>
        </w:tc>
      </w:tr>
      <w:tr w:rsidR="00C645C9">
        <w:trPr>
          <w:cantSplit/>
          <w:trHeight w:val="28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蓼科</w:t>
            </w:r>
            <w:r>
              <w:rPr>
                <w:rFonts w:cs="Times New Roman"/>
                <w:iCs/>
                <w:kern w:val="2"/>
                <w:sz w:val="21"/>
                <w:szCs w:val="21"/>
              </w:rPr>
              <w:t xml:space="preserve"> </w:t>
            </w:r>
            <w:r>
              <w:rPr>
                <w:rFonts w:cs="Times New Roman"/>
                <w:i/>
                <w:kern w:val="2"/>
                <w:sz w:val="21"/>
                <w:szCs w:val="21"/>
              </w:rPr>
              <w:t>Polygonaceae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沙拐枣</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Calligonum mongolicunl</w:t>
            </w:r>
          </w:p>
        </w:tc>
      </w:tr>
      <w:tr w:rsidR="00C645C9">
        <w:trPr>
          <w:cantSplit/>
          <w:trHeight w:val="28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盐穂木</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 xml:space="preserve">Halostachys </w:t>
            </w:r>
            <w:r>
              <w:rPr>
                <w:rFonts w:cs="Times New Roman"/>
                <w:i/>
                <w:kern w:val="2"/>
                <w:sz w:val="21"/>
                <w:szCs w:val="21"/>
              </w:rPr>
              <w:t>caspica</w:t>
            </w:r>
          </w:p>
        </w:tc>
      </w:tr>
      <w:tr w:rsidR="00C645C9">
        <w:trPr>
          <w:cantSplit/>
          <w:trHeight w:val="22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藜科</w:t>
            </w:r>
            <w:r>
              <w:rPr>
                <w:rFonts w:cs="Times New Roman"/>
                <w:i/>
                <w:kern w:val="2"/>
                <w:sz w:val="21"/>
                <w:szCs w:val="21"/>
              </w:rPr>
              <w:t xml:space="preserve"> Chenopodiaccae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圆叶盐爪爪</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Kalidium schrenkianum</w:t>
            </w:r>
          </w:p>
        </w:tc>
      </w:tr>
      <w:tr w:rsidR="00C645C9">
        <w:trPr>
          <w:cantSplit/>
          <w:trHeight w:val="225"/>
          <w:jc w:val="center"/>
        </w:trPr>
        <w:tc>
          <w:tcPr>
            <w:tcW w:w="1585" w:type="pct"/>
            <w:vMerge/>
            <w:vAlign w:val="center"/>
          </w:tcPr>
          <w:p w:rsidR="00C645C9" w:rsidRDefault="00C645C9">
            <w:pPr>
              <w:widowControl w:val="0"/>
              <w:ind w:firstLine="361"/>
              <w:jc w:val="center"/>
              <w:rPr>
                <w:rFonts w:hAnsi="宋体" w:cs="Times New Roman"/>
                <w:i/>
                <w:kern w:val="2"/>
                <w:sz w:val="21"/>
                <w:szCs w:val="21"/>
              </w:rPr>
            </w:pPr>
          </w:p>
        </w:tc>
        <w:tc>
          <w:tcPr>
            <w:tcW w:w="1593" w:type="pct"/>
            <w:vAlign w:val="center"/>
          </w:tcPr>
          <w:p w:rsidR="00C645C9" w:rsidRDefault="00F955D9">
            <w:pPr>
              <w:widowControl w:val="0"/>
              <w:ind w:firstLine="361"/>
              <w:jc w:val="center"/>
              <w:rPr>
                <w:rFonts w:hAnsi="宋体" w:cs="Times New Roman"/>
                <w:kern w:val="2"/>
                <w:sz w:val="21"/>
                <w:szCs w:val="21"/>
              </w:rPr>
            </w:pPr>
            <w:r>
              <w:rPr>
                <w:rFonts w:hAnsi="宋体" w:cs="Times New Roman" w:hint="eastAsia"/>
                <w:kern w:val="2"/>
                <w:sz w:val="21"/>
                <w:szCs w:val="21"/>
              </w:rPr>
              <w:t>盐节木</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hint="eastAsia"/>
                <w:i/>
                <w:kern w:val="2"/>
                <w:sz w:val="21"/>
                <w:szCs w:val="21"/>
              </w:rPr>
              <w:t>Halocnemum strobilaceum</w:t>
            </w:r>
          </w:p>
        </w:tc>
      </w:tr>
      <w:tr w:rsidR="00C645C9">
        <w:trPr>
          <w:cantSplit/>
          <w:trHeight w:val="21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刺蓬</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Sallsola pestifer</w:t>
            </w:r>
          </w:p>
        </w:tc>
      </w:tr>
      <w:tr w:rsidR="00C645C9">
        <w:trPr>
          <w:cantSplit/>
          <w:trHeight w:val="21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细叶虫实</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Corispormum heptapotamicum</w:t>
            </w:r>
          </w:p>
        </w:tc>
      </w:tr>
      <w:tr w:rsidR="00C645C9">
        <w:trPr>
          <w:cantSplit/>
          <w:trHeight w:val="19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星状刺果藜</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Bassia dasyphylla</w:t>
            </w:r>
          </w:p>
        </w:tc>
      </w:tr>
      <w:tr w:rsidR="00C645C9">
        <w:trPr>
          <w:cantSplit/>
          <w:trHeight w:val="24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假木贼</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Anabasis aphylla</w:t>
            </w:r>
          </w:p>
        </w:tc>
      </w:tr>
      <w:tr w:rsidR="00C645C9">
        <w:trPr>
          <w:cantSplit/>
          <w:trHeight w:val="16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豆科</w:t>
            </w:r>
            <w:r>
              <w:rPr>
                <w:rFonts w:cs="Times New Roman"/>
                <w:i/>
                <w:kern w:val="2"/>
                <w:sz w:val="21"/>
                <w:szCs w:val="21"/>
              </w:rPr>
              <w:t xml:space="preserve"> Leguminosae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铃铛刺</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Halimodendron halodendron</w:t>
            </w:r>
          </w:p>
        </w:tc>
      </w:tr>
      <w:tr w:rsidR="00C645C9">
        <w:trPr>
          <w:cantSplit/>
          <w:trHeight w:val="15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白花苦豆子</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 xml:space="preserve">Sophora </w:t>
            </w:r>
            <w:r>
              <w:rPr>
                <w:rFonts w:cs="Times New Roman"/>
                <w:i/>
                <w:kern w:val="2"/>
                <w:sz w:val="21"/>
                <w:szCs w:val="21"/>
              </w:rPr>
              <w:t>alopecuroides</w:t>
            </w:r>
          </w:p>
        </w:tc>
      </w:tr>
      <w:tr w:rsidR="00C645C9">
        <w:trPr>
          <w:cantSplit/>
          <w:trHeight w:val="30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苦马豆</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Sphaorophysa salsula</w:t>
            </w:r>
          </w:p>
        </w:tc>
      </w:tr>
      <w:tr w:rsidR="00C645C9">
        <w:trPr>
          <w:cantSplit/>
          <w:trHeight w:val="97"/>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疏叶骆驼刺</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Althagi sparsifolia</w:t>
            </w:r>
          </w:p>
        </w:tc>
      </w:tr>
      <w:tr w:rsidR="00C645C9">
        <w:trPr>
          <w:cantSplit/>
          <w:trHeight w:val="28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蒺藜科</w:t>
            </w:r>
            <w:r>
              <w:rPr>
                <w:rFonts w:cs="Times New Roman"/>
                <w:iCs/>
                <w:kern w:val="2"/>
                <w:sz w:val="21"/>
                <w:szCs w:val="21"/>
              </w:rPr>
              <w:t xml:space="preserve"> </w:t>
            </w:r>
            <w:r>
              <w:rPr>
                <w:rFonts w:cs="Times New Roman"/>
                <w:i/>
                <w:kern w:val="2"/>
                <w:sz w:val="21"/>
                <w:szCs w:val="21"/>
              </w:rPr>
              <w:t>Zyqqphy uaceae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骆驼篷</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Peganum harmala</w:t>
            </w:r>
          </w:p>
        </w:tc>
      </w:tr>
      <w:tr w:rsidR="00C645C9">
        <w:trPr>
          <w:cantSplit/>
          <w:trHeight w:val="31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西伯利亚白刺</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Nitraria sibirica</w:t>
            </w:r>
          </w:p>
        </w:tc>
      </w:tr>
      <w:tr w:rsidR="00C645C9">
        <w:trPr>
          <w:cantSplit/>
          <w:trHeight w:val="247"/>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柽柳科</w:t>
            </w:r>
            <w:r>
              <w:rPr>
                <w:rFonts w:cs="Times New Roman"/>
                <w:i/>
                <w:kern w:val="2"/>
                <w:sz w:val="21"/>
                <w:szCs w:val="21"/>
              </w:rPr>
              <w:t xml:space="preserve"> Tamaricaccae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多枝柽柳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Tamarix ramosissima</w:t>
            </w:r>
          </w:p>
        </w:tc>
      </w:tr>
      <w:tr w:rsidR="00C645C9">
        <w:trPr>
          <w:cantSplit/>
          <w:trHeight w:val="16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刚毛柽柳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Tamarix hispida</w:t>
            </w:r>
          </w:p>
        </w:tc>
      </w:tr>
      <w:tr w:rsidR="00C645C9">
        <w:trPr>
          <w:cantSplit/>
          <w:trHeight w:val="13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短穗柽柳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Tamarix laxa</w:t>
            </w:r>
          </w:p>
        </w:tc>
      </w:tr>
      <w:tr w:rsidR="00C645C9">
        <w:trPr>
          <w:cantSplit/>
          <w:trHeight w:val="30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多花柽柳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Tamarix hohenackeri</w:t>
            </w:r>
          </w:p>
        </w:tc>
      </w:tr>
      <w:tr w:rsidR="00C645C9">
        <w:trPr>
          <w:cantSplit/>
          <w:trHeight w:val="339"/>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长穗柽柳</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Tamarix elongata</w:t>
            </w:r>
          </w:p>
        </w:tc>
      </w:tr>
      <w:tr w:rsidR="00C645C9">
        <w:trPr>
          <w:trHeight w:val="180"/>
          <w:jc w:val="center"/>
        </w:trPr>
        <w:tc>
          <w:tcPr>
            <w:tcW w:w="1585" w:type="pc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旋花科</w:t>
            </w:r>
            <w:r>
              <w:rPr>
                <w:rFonts w:cs="Times New Roman"/>
                <w:i/>
                <w:kern w:val="2"/>
                <w:sz w:val="21"/>
                <w:szCs w:val="21"/>
              </w:rPr>
              <w:t xml:space="preserve"> Cohvolvulaceae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打碗花</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Calystegia hederacea</w:t>
            </w:r>
          </w:p>
        </w:tc>
      </w:tr>
      <w:tr w:rsidR="00C645C9">
        <w:trPr>
          <w:trHeight w:val="180"/>
          <w:jc w:val="center"/>
        </w:trPr>
        <w:tc>
          <w:tcPr>
            <w:tcW w:w="1585" w:type="pc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茄科</w:t>
            </w:r>
            <w:r>
              <w:rPr>
                <w:rFonts w:cs="Times New Roman"/>
                <w:i/>
                <w:kern w:val="2"/>
                <w:sz w:val="21"/>
                <w:szCs w:val="21"/>
              </w:rPr>
              <w:t xml:space="preserve"> Selanaceae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黑刺</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Lycium rutheulcum</w:t>
            </w:r>
          </w:p>
        </w:tc>
      </w:tr>
      <w:tr w:rsidR="00C645C9">
        <w:trPr>
          <w:cantSplit/>
          <w:trHeight w:val="135"/>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菊科</w:t>
            </w:r>
            <w:r>
              <w:rPr>
                <w:rFonts w:cs="Times New Roman"/>
                <w:i/>
                <w:kern w:val="2"/>
                <w:sz w:val="21"/>
                <w:szCs w:val="21"/>
              </w:rPr>
              <w:t xml:space="preserve"> Compositae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分枝鸦葱</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Scorzonera divaricata</w:t>
            </w:r>
          </w:p>
        </w:tc>
      </w:tr>
      <w:tr w:rsidR="00C645C9">
        <w:trPr>
          <w:cantSplit/>
          <w:trHeight w:val="30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盐生鸦葱</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Scorzonera austriaca</w:t>
            </w:r>
          </w:p>
        </w:tc>
      </w:tr>
      <w:tr w:rsidR="00C645C9">
        <w:trPr>
          <w:cantSplit/>
          <w:trHeight w:val="28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i/>
                <w:kern w:val="2"/>
                <w:sz w:val="21"/>
                <w:szCs w:val="21"/>
              </w:rPr>
            </w:pPr>
            <w:r>
              <w:rPr>
                <w:rFonts w:hAnsi="宋体" w:cs="Times New Roman"/>
                <w:kern w:val="2"/>
                <w:sz w:val="21"/>
                <w:szCs w:val="21"/>
              </w:rPr>
              <w:t>新疆绢蒿</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Seriphidium kaschgaricum</w:t>
            </w:r>
          </w:p>
        </w:tc>
      </w:tr>
      <w:tr w:rsidR="00C645C9">
        <w:trPr>
          <w:cantSplit/>
          <w:trHeight w:val="27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小蓟</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Ciriium setosum</w:t>
            </w:r>
          </w:p>
        </w:tc>
      </w:tr>
      <w:tr w:rsidR="00C645C9">
        <w:trPr>
          <w:cantSplit/>
          <w:trHeight w:val="16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花花柴</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Karelinia caspica</w:t>
            </w:r>
          </w:p>
        </w:tc>
      </w:tr>
      <w:tr w:rsidR="00C645C9">
        <w:trPr>
          <w:cantSplit/>
          <w:trHeight w:val="94"/>
          <w:jc w:val="center"/>
        </w:trPr>
        <w:tc>
          <w:tcPr>
            <w:tcW w:w="1585" w:type="pct"/>
            <w:vMerge w:val="restart"/>
            <w:vAlign w:val="center"/>
          </w:tcPr>
          <w:p w:rsidR="00C645C9" w:rsidRDefault="00F955D9">
            <w:pPr>
              <w:widowControl w:val="0"/>
              <w:ind w:firstLine="361"/>
              <w:jc w:val="center"/>
              <w:rPr>
                <w:rFonts w:cs="Times New Roman"/>
                <w:i/>
                <w:kern w:val="2"/>
                <w:sz w:val="21"/>
                <w:szCs w:val="21"/>
              </w:rPr>
            </w:pPr>
            <w:r>
              <w:rPr>
                <w:rFonts w:hAnsi="宋体" w:cs="Times New Roman"/>
                <w:iCs/>
                <w:kern w:val="2"/>
                <w:sz w:val="21"/>
                <w:szCs w:val="21"/>
              </w:rPr>
              <w:t>禾本科</w:t>
            </w:r>
            <w:r>
              <w:rPr>
                <w:rFonts w:cs="Times New Roman"/>
                <w:i/>
                <w:kern w:val="2"/>
                <w:sz w:val="21"/>
                <w:szCs w:val="21"/>
              </w:rPr>
              <w:t>Gramineae</w:t>
            </w: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芦苇</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Phragmites australis</w:t>
            </w:r>
          </w:p>
        </w:tc>
      </w:tr>
      <w:tr w:rsidR="00C645C9">
        <w:trPr>
          <w:cantSplit/>
          <w:trHeight w:val="300"/>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假苇拂子茅</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Calamagrostis pseudophramites</w:t>
            </w:r>
          </w:p>
        </w:tc>
      </w:tr>
      <w:tr w:rsidR="00C645C9">
        <w:trPr>
          <w:cantSplit/>
          <w:trHeight w:val="13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拂子茅</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Calamagrostis epigeios</w:t>
            </w:r>
          </w:p>
        </w:tc>
      </w:tr>
      <w:tr w:rsidR="00C645C9">
        <w:trPr>
          <w:cantSplit/>
          <w:trHeight w:val="315"/>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獐毛</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Aeluropus sinensis</w:t>
            </w:r>
          </w:p>
        </w:tc>
      </w:tr>
      <w:tr w:rsidR="00C645C9">
        <w:trPr>
          <w:cantSplit/>
          <w:trHeight w:val="146"/>
          <w:jc w:val="center"/>
        </w:trPr>
        <w:tc>
          <w:tcPr>
            <w:tcW w:w="1585" w:type="pct"/>
            <w:vMerge/>
            <w:vAlign w:val="center"/>
          </w:tcPr>
          <w:p w:rsidR="00C645C9" w:rsidRDefault="00C645C9">
            <w:pPr>
              <w:widowControl w:val="0"/>
              <w:ind w:firstLine="361"/>
              <w:jc w:val="center"/>
              <w:rPr>
                <w:rFonts w:cs="Times New Roman"/>
                <w:i/>
                <w:kern w:val="2"/>
                <w:sz w:val="21"/>
                <w:szCs w:val="21"/>
              </w:rPr>
            </w:pPr>
          </w:p>
        </w:tc>
        <w:tc>
          <w:tcPr>
            <w:tcW w:w="1593" w:type="pct"/>
            <w:vAlign w:val="center"/>
          </w:tcPr>
          <w:p w:rsidR="00C645C9" w:rsidRDefault="00F955D9">
            <w:pPr>
              <w:widowControl w:val="0"/>
              <w:ind w:firstLine="361"/>
              <w:jc w:val="center"/>
              <w:rPr>
                <w:rFonts w:cs="Times New Roman"/>
                <w:kern w:val="2"/>
                <w:sz w:val="21"/>
                <w:szCs w:val="21"/>
              </w:rPr>
            </w:pPr>
            <w:r>
              <w:rPr>
                <w:rFonts w:hAnsi="宋体" w:cs="Times New Roman"/>
                <w:kern w:val="2"/>
                <w:sz w:val="21"/>
                <w:szCs w:val="21"/>
              </w:rPr>
              <w:t>赖草</w:t>
            </w:r>
          </w:p>
        </w:tc>
        <w:tc>
          <w:tcPr>
            <w:tcW w:w="1821" w:type="pct"/>
            <w:vAlign w:val="center"/>
          </w:tcPr>
          <w:p w:rsidR="00C645C9" w:rsidRDefault="00F955D9">
            <w:pPr>
              <w:widowControl w:val="0"/>
              <w:ind w:firstLine="361"/>
              <w:jc w:val="center"/>
              <w:rPr>
                <w:rFonts w:cs="Times New Roman"/>
                <w:i/>
                <w:kern w:val="2"/>
                <w:sz w:val="21"/>
                <w:szCs w:val="21"/>
              </w:rPr>
            </w:pPr>
            <w:r>
              <w:rPr>
                <w:rFonts w:cs="Times New Roman"/>
                <w:i/>
                <w:kern w:val="2"/>
                <w:sz w:val="21"/>
                <w:szCs w:val="21"/>
              </w:rPr>
              <w:t>Leymus secalinus</w:t>
            </w:r>
          </w:p>
        </w:tc>
      </w:tr>
    </w:tbl>
    <w:p w:rsidR="00C645C9" w:rsidRDefault="00F955D9">
      <w:pPr>
        <w:spacing w:line="360" w:lineRule="auto"/>
        <w:ind w:firstLineChars="200" w:firstLine="480"/>
        <w:jc w:val="both"/>
        <w:rPr>
          <w:rFonts w:cs="Times New Roman"/>
          <w:szCs w:val="21"/>
        </w:rPr>
      </w:pPr>
      <w:bookmarkStart w:id="1224" w:name="OLE_LINK1446"/>
      <w:r>
        <w:rPr>
          <w:rFonts w:cs="Times New Roman"/>
          <w:szCs w:val="21"/>
          <w:lang w:val="zh-CN"/>
        </w:rPr>
        <w:t>根据现场调查及查阅相关资料，本工程所在区域周边的植被主要以多枝柽柳、胡杨、盐穗木、疏叶骆驼刺为主，偶有花花柴分布。</w:t>
      </w:r>
      <w:r>
        <w:rPr>
          <w:rFonts w:cs="Times New Roman" w:hint="eastAsia"/>
          <w:szCs w:val="21"/>
        </w:rPr>
        <w:t>植物类型分布图见图</w:t>
      </w:r>
      <w:r>
        <w:rPr>
          <w:rFonts w:cs="Times New Roman" w:hint="eastAsia"/>
          <w:szCs w:val="21"/>
        </w:rPr>
        <w:t>4.2-3</w:t>
      </w:r>
      <w:bookmarkEnd w:id="1224"/>
      <w:r>
        <w:rPr>
          <w:rFonts w:cs="Times New Roman" w:hint="eastAsia"/>
          <w:szCs w:val="21"/>
        </w:rPr>
        <w:t>。</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hint="eastAsia"/>
          <w:szCs w:val="21"/>
        </w:rPr>
        <w:t>3</w:t>
      </w:r>
      <w:r>
        <w:rPr>
          <w:rFonts w:cs="Times New Roman"/>
          <w:szCs w:val="21"/>
        </w:rPr>
        <w:t>）重点保护野生</w:t>
      </w:r>
      <w:r>
        <w:rPr>
          <w:rFonts w:cs="Times New Roman" w:hint="eastAsia"/>
          <w:szCs w:val="21"/>
        </w:rPr>
        <w:t>植物</w:t>
      </w:r>
    </w:p>
    <w:p w:rsidR="00C645C9" w:rsidRDefault="00F955D9">
      <w:pPr>
        <w:spacing w:line="360" w:lineRule="auto"/>
        <w:ind w:firstLineChars="200" w:firstLine="480"/>
        <w:jc w:val="both"/>
        <w:rPr>
          <w:rFonts w:cs="Times New Roman"/>
          <w:szCs w:val="21"/>
          <w:lang w:val="zh-CN"/>
        </w:rPr>
      </w:pPr>
      <w:r>
        <w:rPr>
          <w:rFonts w:cs="Times New Roman"/>
          <w:szCs w:val="21"/>
          <w:lang w:val="zh-CN"/>
        </w:rPr>
        <w:t>根据《国家重点保护野生植物名录》《新疆维吾尔自治区重点保护野生植物名录》，评价区无国家及自治区保护植物分布。</w:t>
      </w:r>
    </w:p>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bookmarkStart w:id="1225" w:name="_Toc6527"/>
      <w:bookmarkStart w:id="1226" w:name="_Toc18971"/>
      <w:bookmarkStart w:id="1227" w:name="_Toc10357"/>
      <w:r>
        <w:rPr>
          <w:rFonts w:ascii="Times New Roman" w:hAnsi="Times New Roman" w:cs="Times New Roman"/>
          <w:color w:val="auto"/>
          <w:lang w:val="zh-CN" w:eastAsia="zh-CN"/>
        </w:rPr>
        <w:t>4.</w:t>
      </w:r>
      <w:bookmarkEnd w:id="1225"/>
      <w:bookmarkEnd w:id="1226"/>
      <w:bookmarkEnd w:id="1227"/>
      <w:r>
        <w:rPr>
          <w:rFonts w:ascii="Times New Roman" w:hAnsi="Times New Roman" w:cs="Times New Roman" w:hint="eastAsia"/>
          <w:color w:val="auto"/>
          <w:lang w:eastAsia="zh-CN"/>
        </w:rPr>
        <w:t>2.6</w:t>
      </w:r>
      <w:r>
        <w:rPr>
          <w:rFonts w:ascii="Times New Roman" w:hAnsi="Times New Roman" w:cs="Times New Roman"/>
          <w:color w:val="auto"/>
          <w:lang w:val="zh-CN" w:eastAsia="zh-CN"/>
        </w:rPr>
        <w:t>野生动物现状调查与评价</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szCs w:val="21"/>
        </w:rPr>
        <w:t>1</w:t>
      </w:r>
      <w:r>
        <w:rPr>
          <w:rFonts w:cs="Times New Roman"/>
          <w:szCs w:val="21"/>
        </w:rPr>
        <w:t>）野生动物区划</w:t>
      </w:r>
    </w:p>
    <w:p w:rsidR="00C645C9" w:rsidRDefault="00F955D9">
      <w:pPr>
        <w:spacing w:line="360" w:lineRule="auto"/>
        <w:ind w:firstLineChars="200" w:firstLine="480"/>
        <w:jc w:val="both"/>
        <w:rPr>
          <w:rFonts w:cs="Times New Roman"/>
          <w:szCs w:val="21"/>
        </w:rPr>
      </w:pPr>
      <w:r>
        <w:rPr>
          <w:rFonts w:cs="Times New Roman"/>
          <w:szCs w:val="21"/>
        </w:rPr>
        <w:lastRenderedPageBreak/>
        <w:t>根据《中国动物地理》的动物地理区划标准，</w:t>
      </w:r>
      <w:r>
        <w:rPr>
          <w:rFonts w:cs="Times New Roman" w:hint="eastAsia"/>
          <w:szCs w:val="21"/>
        </w:rPr>
        <w:t>本工程</w:t>
      </w:r>
      <w:r>
        <w:rPr>
          <w:rFonts w:cs="Times New Roman"/>
          <w:szCs w:val="21"/>
        </w:rPr>
        <w:t>开发所在区域的动物区系属于古北界、蒙新区、西部荒漠亚区、塔里木盆地省、天山南麓平原洲、塔里木河中上游区。</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szCs w:val="21"/>
        </w:rPr>
        <w:t>2</w:t>
      </w:r>
      <w:r>
        <w:rPr>
          <w:rFonts w:cs="Times New Roman"/>
          <w:szCs w:val="21"/>
        </w:rPr>
        <w:t>）野生动物栖息生境类型</w:t>
      </w:r>
    </w:p>
    <w:p w:rsidR="00C645C9" w:rsidRDefault="00F955D9">
      <w:pPr>
        <w:spacing w:line="360" w:lineRule="auto"/>
        <w:ind w:firstLineChars="200" w:firstLine="480"/>
        <w:jc w:val="both"/>
        <w:rPr>
          <w:rFonts w:cs="Times New Roman"/>
          <w:szCs w:val="21"/>
        </w:rPr>
      </w:pPr>
      <w:r>
        <w:rPr>
          <w:rFonts w:cs="Times New Roman" w:hint="eastAsia"/>
          <w:szCs w:val="21"/>
        </w:rPr>
        <w:t>工程</w:t>
      </w:r>
      <w:r>
        <w:rPr>
          <w:rFonts w:cs="Times New Roman"/>
          <w:szCs w:val="21"/>
        </w:rPr>
        <w:t>区域地处塔里木盆地，位于天山南麓、塔克拉玛干沙漠北部边缘，为塔里木河冲积平原，地势较为平坦。通过对项目区内动物的实地调查和有关资料的查询，该区域</w:t>
      </w:r>
      <w:r>
        <w:rPr>
          <w:rFonts w:cs="Times New Roman" w:hint="eastAsia"/>
          <w:szCs w:val="21"/>
        </w:rPr>
        <w:t>农田周边由于受到人为活动和经济生产的影响，已经几乎看不到野生动物的踪迹。在灌木和多年生草本植物分布的区域</w:t>
      </w:r>
      <w:r>
        <w:rPr>
          <w:rFonts w:cs="Times New Roman"/>
          <w:szCs w:val="21"/>
        </w:rPr>
        <w:t>主要栖息着一些耐旱型荒漠动物，以鸟类、爬行动物和啮齿类动物为主，动物种类和数量较少。野生动物生存环境可分为以下</w:t>
      </w:r>
      <w:r>
        <w:rPr>
          <w:rFonts w:cs="Times New Roman"/>
          <w:szCs w:val="21"/>
        </w:rPr>
        <w:t>2</w:t>
      </w:r>
      <w:r>
        <w:rPr>
          <w:rFonts w:cs="Times New Roman"/>
          <w:szCs w:val="21"/>
        </w:rPr>
        <w:t>种类型：</w:t>
      </w:r>
    </w:p>
    <w:p w:rsidR="00C645C9" w:rsidRDefault="00F955D9">
      <w:pPr>
        <w:spacing w:line="360" w:lineRule="auto"/>
        <w:ind w:firstLineChars="200" w:firstLine="480"/>
        <w:jc w:val="both"/>
        <w:rPr>
          <w:rFonts w:cs="Times New Roman"/>
          <w:szCs w:val="21"/>
        </w:rPr>
      </w:pPr>
      <w:r>
        <w:rPr>
          <w:rFonts w:cs="Times New Roman"/>
          <w:szCs w:val="21"/>
        </w:rPr>
        <w:t>①</w:t>
      </w:r>
      <w:r>
        <w:rPr>
          <w:rFonts w:cs="Times New Roman" w:hint="eastAsia"/>
          <w:szCs w:val="21"/>
        </w:rPr>
        <w:t>乔木区</w:t>
      </w:r>
      <w:r>
        <w:rPr>
          <w:rFonts w:cs="Times New Roman"/>
          <w:szCs w:val="21"/>
        </w:rPr>
        <w:t>：</w:t>
      </w:r>
      <w:r>
        <w:rPr>
          <w:rFonts w:cs="Times New Roman" w:hint="eastAsia"/>
          <w:szCs w:val="21"/>
        </w:rPr>
        <w:t>项目区周边农田防护林，</w:t>
      </w:r>
      <w:r>
        <w:rPr>
          <w:rFonts w:cs="Times New Roman"/>
          <w:szCs w:val="21"/>
        </w:rPr>
        <w:t>为野生动物提供了栖息场所和隐蔽地</w:t>
      </w:r>
      <w:r>
        <w:rPr>
          <w:rFonts w:cs="Times New Roman" w:hint="eastAsia"/>
          <w:szCs w:val="21"/>
        </w:rPr>
        <w:t>，在此处常见的动物主要是鸟类</w:t>
      </w:r>
      <w:r>
        <w:rPr>
          <w:rFonts w:cs="Times New Roman"/>
          <w:szCs w:val="21"/>
        </w:rPr>
        <w:t>。</w:t>
      </w:r>
    </w:p>
    <w:p w:rsidR="00C645C9" w:rsidRDefault="00F955D9">
      <w:pPr>
        <w:widowControl w:val="0"/>
        <w:spacing w:line="360" w:lineRule="auto"/>
        <w:ind w:firstLineChars="200" w:firstLine="480"/>
        <w:jc w:val="both"/>
        <w:rPr>
          <w:rFonts w:cs="Times New Roman"/>
          <w:szCs w:val="21"/>
        </w:rPr>
      </w:pPr>
      <w:r>
        <w:rPr>
          <w:rFonts w:cs="Times New Roman"/>
          <w:szCs w:val="21"/>
        </w:rPr>
        <w:t>②</w:t>
      </w:r>
      <w:r>
        <w:rPr>
          <w:rFonts w:cs="Times New Roman"/>
          <w:szCs w:val="21"/>
        </w:rPr>
        <w:t>荒漠</w:t>
      </w:r>
      <w:r>
        <w:rPr>
          <w:rFonts w:cs="Times New Roman" w:hint="eastAsia"/>
          <w:szCs w:val="21"/>
        </w:rPr>
        <w:t>灌丛</w:t>
      </w:r>
      <w:r>
        <w:rPr>
          <w:rFonts w:cs="Times New Roman"/>
          <w:szCs w:val="21"/>
        </w:rPr>
        <w:t>区：分布着以柽柳、盐穗木等为主的灌丛</w:t>
      </w:r>
      <w:r>
        <w:rPr>
          <w:rFonts w:cs="Times New Roman" w:hint="eastAsia"/>
          <w:szCs w:val="21"/>
        </w:rPr>
        <w:t>，</w:t>
      </w:r>
      <w:r>
        <w:rPr>
          <w:rFonts w:cs="Times New Roman"/>
          <w:szCs w:val="21"/>
        </w:rPr>
        <w:t>植被覆盖度较低</w:t>
      </w:r>
      <w:r>
        <w:rPr>
          <w:rFonts w:cs="Times New Roman" w:hint="eastAsia"/>
          <w:szCs w:val="21"/>
        </w:rPr>
        <w:t>，</w:t>
      </w:r>
      <w:r>
        <w:rPr>
          <w:rFonts w:cs="Times New Roman"/>
          <w:szCs w:val="21"/>
        </w:rPr>
        <w:t>主要以</w:t>
      </w:r>
      <w:r>
        <w:rPr>
          <w:rFonts w:cs="Times New Roman" w:hint="eastAsia"/>
          <w:szCs w:val="21"/>
        </w:rPr>
        <w:t>灌木、</w:t>
      </w:r>
      <w:r>
        <w:rPr>
          <w:rFonts w:cs="Times New Roman"/>
          <w:szCs w:val="21"/>
        </w:rPr>
        <w:t>半灌木荒漠</w:t>
      </w:r>
      <w:r>
        <w:rPr>
          <w:rFonts w:cs="Times New Roman" w:hint="eastAsia"/>
          <w:szCs w:val="21"/>
        </w:rPr>
        <w:t>和多年生草本植物</w:t>
      </w:r>
      <w:r>
        <w:rPr>
          <w:rFonts w:cs="Times New Roman"/>
          <w:szCs w:val="21"/>
        </w:rPr>
        <w:t>为主</w:t>
      </w:r>
      <w:r>
        <w:rPr>
          <w:rFonts w:cs="Times New Roman" w:hint="eastAsia"/>
          <w:szCs w:val="21"/>
        </w:rPr>
        <w:t>。该生境区主要</w:t>
      </w:r>
      <w:r>
        <w:rPr>
          <w:rFonts w:cs="Times New Roman"/>
          <w:szCs w:val="21"/>
        </w:rPr>
        <w:t>栖息分布着部分耐旱型野生动物，野生动物生存条件相对较差</w:t>
      </w:r>
      <w:r>
        <w:rPr>
          <w:rFonts w:cs="Times New Roman" w:hint="eastAsia"/>
          <w:szCs w:val="21"/>
        </w:rPr>
        <w:t>，主要以爬行动物</w:t>
      </w:r>
      <w:r>
        <w:rPr>
          <w:rFonts w:cs="Times New Roman" w:hint="eastAsia"/>
          <w:szCs w:val="21"/>
        </w:rPr>
        <w:t>和啮齿类动物为主</w:t>
      </w:r>
      <w:r>
        <w:rPr>
          <w:rFonts w:cs="Times New Roman"/>
          <w:szCs w:val="21"/>
        </w:rPr>
        <w:t>。</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szCs w:val="21"/>
        </w:rPr>
        <w:t>3</w:t>
      </w:r>
      <w:r>
        <w:rPr>
          <w:rFonts w:cs="Times New Roman"/>
          <w:szCs w:val="21"/>
        </w:rPr>
        <w:t>）野生动物种类及分布</w:t>
      </w:r>
    </w:p>
    <w:p w:rsidR="00C645C9" w:rsidRDefault="00F955D9">
      <w:pPr>
        <w:widowControl w:val="0"/>
        <w:spacing w:line="360" w:lineRule="auto"/>
        <w:ind w:firstLineChars="200" w:firstLine="480"/>
        <w:jc w:val="both"/>
        <w:rPr>
          <w:rFonts w:cs="Times New Roman"/>
          <w:szCs w:val="21"/>
        </w:rPr>
      </w:pPr>
      <w:r>
        <w:rPr>
          <w:rFonts w:cs="Times New Roman"/>
          <w:szCs w:val="21"/>
        </w:rPr>
        <w:t>根据现场实地调查，项目区域以荒漠动物为主。项目所在地区内分布的主要野生脊椎动物</w:t>
      </w:r>
      <w:r>
        <w:rPr>
          <w:rFonts w:cs="Times New Roman"/>
          <w:szCs w:val="21"/>
        </w:rPr>
        <w:t>17</w:t>
      </w:r>
      <w:r>
        <w:rPr>
          <w:rFonts w:cs="Times New Roman"/>
          <w:szCs w:val="21"/>
        </w:rPr>
        <w:t>种，其中两栖类</w:t>
      </w:r>
      <w:r>
        <w:rPr>
          <w:rFonts w:cs="Times New Roman"/>
          <w:szCs w:val="21"/>
        </w:rPr>
        <w:t>1</w:t>
      </w:r>
      <w:r>
        <w:rPr>
          <w:rFonts w:cs="Times New Roman"/>
          <w:szCs w:val="21"/>
        </w:rPr>
        <w:t>种、爬行类</w:t>
      </w:r>
      <w:r>
        <w:rPr>
          <w:rFonts w:cs="Times New Roman"/>
          <w:szCs w:val="21"/>
        </w:rPr>
        <w:t>3</w:t>
      </w:r>
      <w:r>
        <w:rPr>
          <w:rFonts w:cs="Times New Roman"/>
          <w:szCs w:val="21"/>
        </w:rPr>
        <w:t>种、鸟类</w:t>
      </w:r>
      <w:r>
        <w:rPr>
          <w:rFonts w:cs="Times New Roman"/>
          <w:szCs w:val="21"/>
        </w:rPr>
        <w:t>10</w:t>
      </w:r>
      <w:r>
        <w:rPr>
          <w:rFonts w:cs="Times New Roman"/>
          <w:szCs w:val="21"/>
        </w:rPr>
        <w:t>种、哺乳类</w:t>
      </w:r>
      <w:r>
        <w:rPr>
          <w:rFonts w:cs="Times New Roman"/>
          <w:szCs w:val="21"/>
        </w:rPr>
        <w:t>3</w:t>
      </w:r>
      <w:r>
        <w:rPr>
          <w:rFonts w:cs="Times New Roman"/>
          <w:szCs w:val="21"/>
        </w:rPr>
        <w:t>种。各种野生脊椎动物分布状况见表</w:t>
      </w:r>
      <w:r>
        <w:rPr>
          <w:rFonts w:cs="Times New Roman"/>
          <w:szCs w:val="21"/>
        </w:rPr>
        <w:t>4.2-</w:t>
      </w:r>
      <w:r>
        <w:rPr>
          <w:rFonts w:cs="Times New Roman" w:hint="eastAsia"/>
          <w:szCs w:val="21"/>
        </w:rPr>
        <w:t>6</w:t>
      </w:r>
      <w:r>
        <w:rPr>
          <w:rFonts w:cs="Times New Roman"/>
          <w:szCs w:val="21"/>
        </w:rPr>
        <w:t>。</w:t>
      </w:r>
    </w:p>
    <w:p w:rsidR="00C645C9" w:rsidRDefault="00F955D9">
      <w:pPr>
        <w:jc w:val="center"/>
        <w:rPr>
          <w:rFonts w:eastAsia="黑体" w:cs="Times New Roman"/>
          <w:bCs/>
          <w:sz w:val="21"/>
          <w:szCs w:val="21"/>
        </w:rPr>
      </w:pPr>
      <w:r>
        <w:rPr>
          <w:rFonts w:eastAsia="黑体" w:cs="Times New Roman" w:hint="eastAsia"/>
          <w:bCs/>
          <w:sz w:val="21"/>
          <w:szCs w:val="21"/>
        </w:rPr>
        <w:t>表</w:t>
      </w:r>
      <w:r>
        <w:rPr>
          <w:rFonts w:eastAsia="黑体" w:cs="Times New Roman" w:hint="eastAsia"/>
          <w:bCs/>
          <w:sz w:val="21"/>
          <w:szCs w:val="21"/>
        </w:rPr>
        <w:t>4.2-</w:t>
      </w:r>
      <w:r>
        <w:rPr>
          <w:rFonts w:eastAsia="黑体" w:cs="Times New Roman" w:hint="eastAsia"/>
          <w:bCs/>
          <w:sz w:val="21"/>
          <w:szCs w:val="21"/>
        </w:rPr>
        <w:t>6</w:t>
      </w:r>
      <w:r>
        <w:rPr>
          <w:rFonts w:eastAsia="黑体" w:cs="Times New Roman" w:hint="eastAsia"/>
          <w:bCs/>
          <w:sz w:val="21"/>
          <w:szCs w:val="21"/>
        </w:rPr>
        <w:t xml:space="preserve">   </w:t>
      </w:r>
      <w:r>
        <w:rPr>
          <w:rFonts w:eastAsia="黑体" w:cs="Times New Roman" w:hint="eastAsia"/>
          <w:bCs/>
          <w:sz w:val="21"/>
          <w:szCs w:val="21"/>
        </w:rPr>
        <w:t>工程</w:t>
      </w:r>
      <w:r>
        <w:rPr>
          <w:rFonts w:eastAsia="黑体" w:cs="Times New Roman" w:hint="eastAsia"/>
          <w:bCs/>
          <w:sz w:val="21"/>
          <w:szCs w:val="21"/>
        </w:rPr>
        <w:t>区周围主要脊椎动物的种类</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8"/>
        <w:gridCol w:w="2107"/>
        <w:gridCol w:w="2685"/>
        <w:gridCol w:w="934"/>
        <w:gridCol w:w="1899"/>
      </w:tblGrid>
      <w:tr w:rsidR="00C645C9">
        <w:trPr>
          <w:cantSplit/>
          <w:trHeight w:val="340"/>
          <w:tblHeader/>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序号</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中文名</w:t>
            </w:r>
          </w:p>
        </w:tc>
        <w:tc>
          <w:tcPr>
            <w:tcW w:w="1613" w:type="pct"/>
            <w:vAlign w:val="center"/>
          </w:tcPr>
          <w:p w:rsidR="00C645C9" w:rsidRDefault="00F955D9">
            <w:pPr>
              <w:widowControl w:val="0"/>
              <w:jc w:val="center"/>
              <w:rPr>
                <w:rFonts w:cs="Times New Roman"/>
                <w:kern w:val="2"/>
                <w:sz w:val="21"/>
                <w:szCs w:val="21"/>
              </w:rPr>
            </w:pPr>
            <w:r>
              <w:rPr>
                <w:rFonts w:cs="Times New Roman"/>
                <w:kern w:val="2"/>
                <w:sz w:val="21"/>
                <w:szCs w:val="21"/>
              </w:rPr>
              <w:t>拉丁名</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留居型</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分布</w:t>
            </w:r>
          </w:p>
        </w:tc>
      </w:tr>
      <w:tr w:rsidR="00C645C9">
        <w:trPr>
          <w:cantSplit/>
          <w:trHeight w:val="340"/>
          <w:jc w:val="center"/>
        </w:trPr>
        <w:tc>
          <w:tcPr>
            <w:tcW w:w="5000" w:type="pct"/>
            <w:gridSpan w:val="5"/>
            <w:vAlign w:val="center"/>
          </w:tcPr>
          <w:p w:rsidR="00C645C9" w:rsidRDefault="00F955D9">
            <w:pPr>
              <w:widowControl w:val="0"/>
              <w:jc w:val="center"/>
              <w:rPr>
                <w:rFonts w:cs="Times New Roman"/>
                <w:kern w:val="2"/>
                <w:sz w:val="21"/>
                <w:szCs w:val="21"/>
              </w:rPr>
            </w:pPr>
            <w:r>
              <w:rPr>
                <w:rFonts w:cs="Times New Roman"/>
                <w:kern w:val="2"/>
                <w:sz w:val="21"/>
                <w:szCs w:val="21"/>
              </w:rPr>
              <w:t>两栖类</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绿蟾蜍</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Bufo viridis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5000" w:type="pct"/>
            <w:gridSpan w:val="5"/>
            <w:vAlign w:val="center"/>
          </w:tcPr>
          <w:p w:rsidR="00C645C9" w:rsidRDefault="00F955D9">
            <w:pPr>
              <w:widowControl w:val="0"/>
              <w:jc w:val="center"/>
              <w:rPr>
                <w:rFonts w:cs="Times New Roman"/>
                <w:kern w:val="2"/>
                <w:sz w:val="21"/>
                <w:szCs w:val="21"/>
              </w:rPr>
            </w:pPr>
            <w:r>
              <w:rPr>
                <w:rFonts w:cs="Times New Roman"/>
                <w:kern w:val="2"/>
                <w:sz w:val="21"/>
                <w:szCs w:val="21"/>
              </w:rPr>
              <w:t>爬行类</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2</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南疆沙蜥</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Phrynocephalus forsythi</w:t>
            </w:r>
          </w:p>
        </w:tc>
        <w:tc>
          <w:tcPr>
            <w:tcW w:w="561" w:type="pct"/>
            <w:vAlign w:val="center"/>
          </w:tcPr>
          <w:p w:rsidR="00C645C9" w:rsidRDefault="00C645C9">
            <w:pPr>
              <w:widowControl w:val="0"/>
              <w:jc w:val="center"/>
              <w:rPr>
                <w:rFonts w:cs="Times New Roman"/>
                <w:kern w:val="2"/>
                <w:sz w:val="21"/>
                <w:szCs w:val="21"/>
              </w:rPr>
            </w:pPr>
          </w:p>
        </w:tc>
        <w:tc>
          <w:tcPr>
            <w:tcW w:w="1139" w:type="pct"/>
            <w:vAlign w:val="center"/>
          </w:tcPr>
          <w:p w:rsidR="00C645C9" w:rsidRDefault="00C645C9">
            <w:pPr>
              <w:widowControl w:val="0"/>
              <w:jc w:val="center"/>
              <w:rPr>
                <w:rFonts w:cs="Times New Roman"/>
                <w:kern w:val="2"/>
                <w:sz w:val="21"/>
                <w:szCs w:val="21"/>
              </w:rPr>
            </w:pP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3</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密点麻蜥</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Eremias multiocellata</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4</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荒漠麻蜥</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Eremias przewalskii</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5000" w:type="pct"/>
            <w:gridSpan w:val="5"/>
            <w:vAlign w:val="center"/>
          </w:tcPr>
          <w:p w:rsidR="00C645C9" w:rsidRDefault="00F955D9">
            <w:pPr>
              <w:widowControl w:val="0"/>
              <w:jc w:val="center"/>
              <w:rPr>
                <w:rFonts w:cs="Times New Roman"/>
                <w:kern w:val="2"/>
                <w:sz w:val="21"/>
                <w:szCs w:val="21"/>
              </w:rPr>
            </w:pPr>
            <w:r>
              <w:rPr>
                <w:rFonts w:cs="Times New Roman"/>
                <w:kern w:val="2"/>
                <w:sz w:val="21"/>
                <w:szCs w:val="21"/>
              </w:rPr>
              <w:t>鸟类</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5</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雉鸡</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Phasianus colchicus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6</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原鸽</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Columba livia</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7</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灰斑鸠</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Streptopelia decaocto</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8</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角百灵</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Eremophila alpestris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9</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蒙古沙雀</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Rhodopechys mongolica</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lastRenderedPageBreak/>
              <w:t>10</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紫翅椋鸟</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Sturnus vulgaris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B</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11</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寒鸦</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Corvus monedual</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12</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小嘴乌鸦</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Corvua corone</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B</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13</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黑顶麻雀</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Passer ammodendri</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R</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14</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棕尾伯劳</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Lanius isabellinus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B</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5000" w:type="pct"/>
            <w:gridSpan w:val="5"/>
            <w:vAlign w:val="center"/>
          </w:tcPr>
          <w:p w:rsidR="00C645C9" w:rsidRDefault="00F955D9">
            <w:pPr>
              <w:widowControl w:val="0"/>
              <w:jc w:val="center"/>
              <w:rPr>
                <w:rFonts w:cs="Times New Roman"/>
                <w:kern w:val="2"/>
                <w:sz w:val="21"/>
                <w:szCs w:val="21"/>
              </w:rPr>
            </w:pPr>
            <w:r>
              <w:rPr>
                <w:rFonts w:cs="Times New Roman" w:hint="eastAsia"/>
                <w:kern w:val="2"/>
                <w:sz w:val="21"/>
                <w:szCs w:val="21"/>
              </w:rPr>
              <w:t>哺乳类</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15</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塔里木兔</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Lepus yarkandensis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16</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三趾心颅跳鼠</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Salpingotus kozlovi</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340"/>
          <w:jc w:val="center"/>
        </w:trPr>
        <w:tc>
          <w:tcPr>
            <w:tcW w:w="419" w:type="pct"/>
            <w:vAlign w:val="center"/>
          </w:tcPr>
          <w:p w:rsidR="00C645C9" w:rsidRDefault="00F955D9">
            <w:pPr>
              <w:widowControl w:val="0"/>
              <w:jc w:val="center"/>
              <w:rPr>
                <w:rFonts w:cs="Times New Roman"/>
                <w:kern w:val="2"/>
                <w:sz w:val="21"/>
                <w:szCs w:val="21"/>
              </w:rPr>
            </w:pPr>
            <w:r>
              <w:rPr>
                <w:rFonts w:cs="Times New Roman"/>
                <w:kern w:val="2"/>
                <w:sz w:val="21"/>
                <w:szCs w:val="21"/>
              </w:rPr>
              <w:t>17</w:t>
            </w:r>
          </w:p>
        </w:tc>
        <w:tc>
          <w:tcPr>
            <w:tcW w:w="1266" w:type="pct"/>
            <w:vAlign w:val="center"/>
          </w:tcPr>
          <w:p w:rsidR="00C645C9" w:rsidRDefault="00F955D9">
            <w:pPr>
              <w:widowControl w:val="0"/>
              <w:jc w:val="center"/>
              <w:rPr>
                <w:rFonts w:cs="Times New Roman"/>
                <w:kern w:val="2"/>
                <w:sz w:val="21"/>
                <w:szCs w:val="21"/>
              </w:rPr>
            </w:pPr>
            <w:r>
              <w:rPr>
                <w:rFonts w:cs="Times New Roman"/>
                <w:kern w:val="2"/>
                <w:sz w:val="21"/>
                <w:szCs w:val="21"/>
              </w:rPr>
              <w:t>子午沙鼠</w:t>
            </w:r>
          </w:p>
        </w:tc>
        <w:tc>
          <w:tcPr>
            <w:tcW w:w="1613" w:type="pct"/>
            <w:vAlign w:val="center"/>
          </w:tcPr>
          <w:p w:rsidR="00C645C9" w:rsidRDefault="00F955D9">
            <w:pPr>
              <w:widowControl w:val="0"/>
              <w:jc w:val="center"/>
              <w:rPr>
                <w:rFonts w:cs="Times New Roman"/>
                <w:i/>
                <w:kern w:val="2"/>
                <w:sz w:val="21"/>
                <w:szCs w:val="21"/>
              </w:rPr>
            </w:pPr>
            <w:r>
              <w:rPr>
                <w:rFonts w:cs="Times New Roman"/>
                <w:i/>
                <w:kern w:val="2"/>
                <w:sz w:val="21"/>
                <w:szCs w:val="21"/>
              </w:rPr>
              <w:t>Meriones meridianus</w:t>
            </w:r>
          </w:p>
        </w:tc>
        <w:tc>
          <w:tcPr>
            <w:tcW w:w="561"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c>
          <w:tcPr>
            <w:tcW w:w="1139" w:type="pct"/>
            <w:vAlign w:val="center"/>
          </w:tcPr>
          <w:p w:rsidR="00C645C9" w:rsidRDefault="00F955D9">
            <w:pPr>
              <w:widowControl w:val="0"/>
              <w:jc w:val="center"/>
              <w:rPr>
                <w:rFonts w:cs="Times New Roman"/>
                <w:kern w:val="2"/>
                <w:sz w:val="21"/>
                <w:szCs w:val="21"/>
              </w:rPr>
            </w:pPr>
            <w:r>
              <w:rPr>
                <w:rFonts w:cs="Times New Roman"/>
                <w:kern w:val="2"/>
                <w:sz w:val="21"/>
                <w:szCs w:val="21"/>
              </w:rPr>
              <w:t>±</w:t>
            </w:r>
          </w:p>
        </w:tc>
      </w:tr>
      <w:tr w:rsidR="00C645C9">
        <w:trPr>
          <w:cantSplit/>
          <w:trHeight w:val="907"/>
          <w:jc w:val="center"/>
        </w:trPr>
        <w:tc>
          <w:tcPr>
            <w:tcW w:w="5000" w:type="pct"/>
            <w:gridSpan w:val="5"/>
            <w:tcBorders>
              <w:top w:val="single" w:sz="4" w:space="0" w:color="auto"/>
              <w:left w:val="nil"/>
              <w:bottom w:val="nil"/>
              <w:right w:val="nil"/>
            </w:tcBorders>
            <w:vAlign w:val="center"/>
          </w:tcPr>
          <w:p w:rsidR="00C645C9" w:rsidRDefault="00F955D9">
            <w:pPr>
              <w:widowControl w:val="0"/>
              <w:jc w:val="center"/>
              <w:rPr>
                <w:rFonts w:cs="Times New Roman"/>
                <w:kern w:val="2"/>
                <w:sz w:val="21"/>
                <w:szCs w:val="21"/>
              </w:rPr>
            </w:pPr>
            <w:r>
              <w:rPr>
                <w:rFonts w:cs="Times New Roman" w:hint="eastAsia"/>
                <w:kern w:val="2"/>
                <w:sz w:val="21"/>
                <w:szCs w:val="21"/>
              </w:rPr>
              <w:t>注：（</w:t>
            </w:r>
            <w:r>
              <w:rPr>
                <w:rFonts w:cs="Times New Roman" w:hint="eastAsia"/>
                <w:kern w:val="2"/>
                <w:sz w:val="21"/>
                <w:szCs w:val="21"/>
              </w:rPr>
              <w:t>1</w:t>
            </w:r>
            <w:r>
              <w:rPr>
                <w:rFonts w:cs="Times New Roman" w:hint="eastAsia"/>
                <w:kern w:val="2"/>
                <w:sz w:val="21"/>
                <w:szCs w:val="21"/>
              </w:rPr>
              <w:t>）</w:t>
            </w:r>
            <w:r>
              <w:rPr>
                <w:rFonts w:cs="Times New Roman" w:hint="eastAsia"/>
                <w:kern w:val="2"/>
                <w:sz w:val="21"/>
                <w:szCs w:val="21"/>
              </w:rPr>
              <w:t>R</w:t>
            </w:r>
            <w:r>
              <w:rPr>
                <w:rFonts w:cs="Times New Roman" w:hint="eastAsia"/>
                <w:kern w:val="2"/>
                <w:sz w:val="21"/>
                <w:szCs w:val="21"/>
              </w:rPr>
              <w:t>—留鸟；</w:t>
            </w:r>
            <w:r>
              <w:rPr>
                <w:rFonts w:cs="Times New Roman" w:hint="eastAsia"/>
                <w:kern w:val="2"/>
                <w:sz w:val="21"/>
                <w:szCs w:val="21"/>
              </w:rPr>
              <w:t xml:space="preserve">  B</w:t>
            </w:r>
            <w:r>
              <w:rPr>
                <w:rFonts w:cs="Times New Roman" w:hint="eastAsia"/>
                <w:kern w:val="2"/>
                <w:sz w:val="21"/>
                <w:szCs w:val="21"/>
              </w:rPr>
              <w:t>—繁殖鸟；</w:t>
            </w:r>
            <w:r>
              <w:rPr>
                <w:rFonts w:cs="Times New Roman" w:hint="eastAsia"/>
                <w:kern w:val="2"/>
                <w:sz w:val="21"/>
                <w:szCs w:val="21"/>
              </w:rPr>
              <w:t xml:space="preserve">   W</w:t>
            </w:r>
            <w:r>
              <w:rPr>
                <w:rFonts w:cs="Times New Roman" w:hint="eastAsia"/>
                <w:kern w:val="2"/>
                <w:sz w:val="21"/>
                <w:szCs w:val="21"/>
              </w:rPr>
              <w:t>—冬候鸟；</w:t>
            </w:r>
            <w:r>
              <w:rPr>
                <w:rFonts w:cs="Times New Roman" w:hint="eastAsia"/>
                <w:kern w:val="2"/>
                <w:sz w:val="21"/>
                <w:szCs w:val="21"/>
              </w:rPr>
              <w:t xml:space="preserve">   S</w:t>
            </w:r>
            <w:r>
              <w:rPr>
                <w:rFonts w:cs="Times New Roman" w:hint="eastAsia"/>
                <w:kern w:val="2"/>
                <w:sz w:val="21"/>
                <w:szCs w:val="21"/>
              </w:rPr>
              <w:t>—夏候鸟；</w:t>
            </w:r>
            <w:r>
              <w:rPr>
                <w:rFonts w:cs="Times New Roman" w:hint="eastAsia"/>
                <w:kern w:val="2"/>
                <w:sz w:val="21"/>
                <w:szCs w:val="21"/>
              </w:rPr>
              <w:t>（</w:t>
            </w:r>
            <w:r>
              <w:rPr>
                <w:rFonts w:cs="Times New Roman" w:hint="eastAsia"/>
                <w:kern w:val="2"/>
                <w:sz w:val="21"/>
                <w:szCs w:val="21"/>
              </w:rPr>
              <w:t>2</w:t>
            </w:r>
            <w:r>
              <w:rPr>
                <w:rFonts w:cs="Times New Roman" w:hint="eastAsia"/>
                <w:kern w:val="2"/>
                <w:sz w:val="21"/>
                <w:szCs w:val="21"/>
              </w:rPr>
              <w:t>）</w:t>
            </w:r>
            <w:r>
              <w:rPr>
                <w:rFonts w:cs="Times New Roman" w:hint="eastAsia"/>
                <w:kern w:val="2"/>
                <w:sz w:val="21"/>
                <w:szCs w:val="21"/>
              </w:rPr>
              <w:t xml:space="preserve"> </w:t>
            </w:r>
            <w:r>
              <w:rPr>
                <w:rFonts w:cs="Times New Roman" w:hint="eastAsia"/>
                <w:kern w:val="2"/>
                <w:sz w:val="21"/>
                <w:szCs w:val="21"/>
              </w:rPr>
              <w:t>±：偶见种；</w:t>
            </w:r>
            <w:r>
              <w:rPr>
                <w:rFonts w:cs="Times New Roman" w:hint="eastAsia"/>
                <w:kern w:val="2"/>
                <w:sz w:val="21"/>
                <w:szCs w:val="21"/>
              </w:rPr>
              <w:t xml:space="preserve">   +</w:t>
            </w:r>
            <w:r>
              <w:rPr>
                <w:rFonts w:cs="Times New Roman" w:hint="eastAsia"/>
                <w:kern w:val="2"/>
                <w:sz w:val="21"/>
                <w:szCs w:val="21"/>
              </w:rPr>
              <w:t>：常见种；</w:t>
            </w:r>
            <w:r>
              <w:rPr>
                <w:rFonts w:cs="Times New Roman" w:hint="eastAsia"/>
                <w:kern w:val="2"/>
                <w:sz w:val="21"/>
                <w:szCs w:val="21"/>
              </w:rPr>
              <w:t xml:space="preserve">  ++</w:t>
            </w:r>
            <w:r>
              <w:rPr>
                <w:rFonts w:cs="Times New Roman" w:hint="eastAsia"/>
                <w:kern w:val="2"/>
                <w:sz w:val="21"/>
                <w:szCs w:val="21"/>
              </w:rPr>
              <w:t>：多见种；</w:t>
            </w:r>
          </w:p>
        </w:tc>
      </w:tr>
    </w:tbl>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szCs w:val="21"/>
        </w:rPr>
        <w:t>位于</w:t>
      </w:r>
      <w:r>
        <w:rPr>
          <w:rFonts w:cs="Times New Roman" w:hint="eastAsia"/>
          <w:szCs w:val="21"/>
        </w:rPr>
        <w:t>气</w:t>
      </w:r>
      <w:r>
        <w:rPr>
          <w:rFonts w:cs="Times New Roman"/>
          <w:szCs w:val="21"/>
        </w:rPr>
        <w:t>田开发区域，因</w:t>
      </w:r>
      <w:r>
        <w:rPr>
          <w:rFonts w:cs="Times New Roman" w:hint="eastAsia"/>
          <w:szCs w:val="21"/>
        </w:rPr>
        <w:t>该区域周边</w:t>
      </w:r>
      <w:r>
        <w:rPr>
          <w:rFonts w:cs="Times New Roman"/>
          <w:szCs w:val="21"/>
        </w:rPr>
        <w:t>石油开发建设活动早已开展，</w:t>
      </w:r>
      <w:r>
        <w:rPr>
          <w:rFonts w:cs="Times New Roman" w:hint="eastAsia"/>
          <w:szCs w:val="21"/>
        </w:rPr>
        <w:t>再加上项目周边分布大量农田，</w:t>
      </w:r>
      <w:r>
        <w:rPr>
          <w:rFonts w:cs="Times New Roman"/>
          <w:szCs w:val="21"/>
        </w:rPr>
        <w:t>人类活动频繁，使得对人类活动敏感的野生动物早已离去，已难以再见到大中型野生动物。</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4</w:t>
      </w:r>
      <w:r>
        <w:rPr>
          <w:rFonts w:cs="Times New Roman" w:hint="eastAsia"/>
          <w:szCs w:val="21"/>
        </w:rPr>
        <w:t>）重点保护野生动物</w:t>
      </w:r>
    </w:p>
    <w:p w:rsidR="00C645C9" w:rsidRDefault="00F955D9">
      <w:pPr>
        <w:spacing w:line="360" w:lineRule="auto"/>
        <w:ind w:firstLineChars="200" w:firstLine="480"/>
        <w:jc w:val="both"/>
        <w:rPr>
          <w:rFonts w:cs="Times New Roman"/>
          <w:szCs w:val="21"/>
        </w:rPr>
      </w:pPr>
      <w:r>
        <w:rPr>
          <w:rFonts w:cs="Times New Roman" w:hint="eastAsia"/>
          <w:szCs w:val="21"/>
        </w:rPr>
        <w:t>根据《国家重点保护野生动物名录（</w:t>
      </w:r>
      <w:r>
        <w:rPr>
          <w:rFonts w:cs="Times New Roman" w:hint="eastAsia"/>
          <w:szCs w:val="21"/>
        </w:rPr>
        <w:t>2021</w:t>
      </w:r>
      <w:r>
        <w:rPr>
          <w:rFonts w:cs="Times New Roman" w:hint="eastAsia"/>
          <w:szCs w:val="21"/>
        </w:rPr>
        <w:t>年版）》、《新疆国家重点保护野生动物名录》（</w:t>
      </w:r>
      <w:r>
        <w:rPr>
          <w:rFonts w:cs="Times New Roman" w:hint="eastAsia"/>
          <w:szCs w:val="21"/>
        </w:rPr>
        <w:t>2021</w:t>
      </w:r>
      <w:r>
        <w:rPr>
          <w:rFonts w:cs="Times New Roman" w:hint="eastAsia"/>
          <w:szCs w:val="21"/>
        </w:rPr>
        <w:t>年</w:t>
      </w:r>
      <w:r>
        <w:rPr>
          <w:rFonts w:cs="Times New Roman" w:hint="eastAsia"/>
          <w:szCs w:val="21"/>
        </w:rPr>
        <w:t>07</w:t>
      </w:r>
      <w:r>
        <w:rPr>
          <w:rFonts w:cs="Times New Roman" w:hint="eastAsia"/>
          <w:szCs w:val="21"/>
        </w:rPr>
        <w:t>月</w:t>
      </w:r>
      <w:r>
        <w:rPr>
          <w:rFonts w:cs="Times New Roman" w:hint="eastAsia"/>
          <w:szCs w:val="21"/>
        </w:rPr>
        <w:t>28</w:t>
      </w:r>
      <w:r>
        <w:rPr>
          <w:rFonts w:cs="Times New Roman" w:hint="eastAsia"/>
          <w:szCs w:val="21"/>
        </w:rPr>
        <w:t>日发布）、《新疆维吾尔自治区重点保护野生动物名录（修订）》</w:t>
      </w:r>
      <w:r>
        <w:rPr>
          <w:rFonts w:cs="Times New Roman" w:hint="eastAsia"/>
          <w:szCs w:val="21"/>
        </w:rPr>
        <w:t xml:space="preserve"> </w:t>
      </w:r>
      <w:r>
        <w:rPr>
          <w:rFonts w:cs="Times New Roman" w:hint="eastAsia"/>
          <w:szCs w:val="21"/>
        </w:rPr>
        <w:t>新政发〔</w:t>
      </w:r>
      <w:r>
        <w:rPr>
          <w:rFonts w:cs="Times New Roman" w:hint="eastAsia"/>
          <w:szCs w:val="21"/>
        </w:rPr>
        <w:t>2022</w:t>
      </w:r>
      <w:r>
        <w:rPr>
          <w:rFonts w:cs="Times New Roman" w:hint="eastAsia"/>
          <w:szCs w:val="21"/>
        </w:rPr>
        <w:t>〕</w:t>
      </w:r>
      <w:r>
        <w:rPr>
          <w:rFonts w:cs="Times New Roman" w:hint="eastAsia"/>
          <w:szCs w:val="21"/>
        </w:rPr>
        <w:t>75</w:t>
      </w:r>
      <w:r>
        <w:rPr>
          <w:rFonts w:cs="Times New Roman" w:hint="eastAsia"/>
          <w:szCs w:val="21"/>
        </w:rPr>
        <w:t>号（</w:t>
      </w:r>
      <w:r>
        <w:rPr>
          <w:rFonts w:cs="Times New Roman" w:hint="eastAsia"/>
          <w:szCs w:val="21"/>
        </w:rPr>
        <w:t>2022</w:t>
      </w:r>
      <w:r>
        <w:rPr>
          <w:rFonts w:cs="Times New Roman" w:hint="eastAsia"/>
          <w:szCs w:val="21"/>
        </w:rPr>
        <w:t>年</w:t>
      </w:r>
      <w:r>
        <w:rPr>
          <w:rFonts w:cs="Times New Roman" w:hint="eastAsia"/>
          <w:szCs w:val="21"/>
        </w:rPr>
        <w:t>09</w:t>
      </w:r>
      <w:r>
        <w:rPr>
          <w:rFonts w:cs="Times New Roman" w:hint="eastAsia"/>
          <w:szCs w:val="21"/>
        </w:rPr>
        <w:t>月</w:t>
      </w:r>
      <w:r>
        <w:rPr>
          <w:rFonts w:cs="Times New Roman" w:hint="eastAsia"/>
          <w:szCs w:val="21"/>
        </w:rPr>
        <w:t>08</w:t>
      </w:r>
      <w:r>
        <w:rPr>
          <w:rFonts w:cs="Times New Roman" w:hint="eastAsia"/>
          <w:szCs w:val="21"/>
        </w:rPr>
        <w:t>日发布），经过咨询当地林业局野生动物保护科以及生态环境局等单位，该区域共有国家级重点保护动物</w:t>
      </w:r>
      <w:r>
        <w:rPr>
          <w:rFonts w:cs="Times New Roman" w:hint="eastAsia"/>
          <w:szCs w:val="21"/>
        </w:rPr>
        <w:t>2</w:t>
      </w:r>
      <w:r>
        <w:rPr>
          <w:rFonts w:cs="Times New Roman" w:hint="eastAsia"/>
          <w:szCs w:val="21"/>
        </w:rPr>
        <w:t>种，详见表</w:t>
      </w:r>
      <w:r>
        <w:rPr>
          <w:rFonts w:cs="Times New Roman" w:hint="eastAsia"/>
          <w:szCs w:val="21"/>
        </w:rPr>
        <w:t>4.2-7</w:t>
      </w:r>
      <w:r>
        <w:rPr>
          <w:rFonts w:cs="Times New Roman" w:hint="eastAsia"/>
          <w:szCs w:val="21"/>
        </w:rPr>
        <w:t>。</w:t>
      </w:r>
    </w:p>
    <w:p w:rsidR="00C645C9" w:rsidRDefault="00F955D9">
      <w:pPr>
        <w:jc w:val="center"/>
        <w:rPr>
          <w:rFonts w:eastAsia="黑体" w:cs="Times New Roman"/>
          <w:bCs/>
          <w:sz w:val="21"/>
          <w:szCs w:val="21"/>
          <w:lang w:val="zh-CN"/>
        </w:rPr>
      </w:pPr>
      <w:r>
        <w:rPr>
          <w:rFonts w:eastAsia="黑体" w:cs="Times New Roman" w:hint="eastAsia"/>
          <w:bCs/>
          <w:sz w:val="21"/>
          <w:szCs w:val="21"/>
          <w:lang w:val="zh-CN"/>
        </w:rPr>
        <w:t>表</w:t>
      </w:r>
      <w:r>
        <w:rPr>
          <w:rFonts w:eastAsia="黑体" w:cs="Times New Roman" w:hint="eastAsia"/>
          <w:bCs/>
          <w:sz w:val="21"/>
          <w:szCs w:val="21"/>
          <w:lang w:val="zh-CN"/>
        </w:rPr>
        <w:t>4.2-</w:t>
      </w:r>
      <w:r>
        <w:rPr>
          <w:rFonts w:eastAsia="黑体" w:cs="Times New Roman" w:hint="eastAsia"/>
          <w:bCs/>
          <w:sz w:val="21"/>
          <w:szCs w:val="21"/>
        </w:rPr>
        <w:t xml:space="preserve">7  </w:t>
      </w:r>
      <w:r>
        <w:rPr>
          <w:rFonts w:eastAsia="黑体" w:cs="Times New Roman" w:hint="eastAsia"/>
          <w:bCs/>
          <w:sz w:val="21"/>
          <w:szCs w:val="21"/>
          <w:lang w:val="zh-CN"/>
        </w:rPr>
        <w:t>重要野生动物调查结果统计表</w:t>
      </w:r>
    </w:p>
    <w:tbl>
      <w:tblPr>
        <w:tblW w:w="499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1444"/>
        <w:gridCol w:w="637"/>
        <w:gridCol w:w="595"/>
        <w:gridCol w:w="860"/>
        <w:gridCol w:w="2307"/>
        <w:gridCol w:w="855"/>
        <w:gridCol w:w="1165"/>
      </w:tblGrid>
      <w:tr w:rsidR="00C645C9">
        <w:trPr>
          <w:trHeight w:val="340"/>
          <w:jc w:val="center"/>
        </w:trPr>
        <w:tc>
          <w:tcPr>
            <w:tcW w:w="293" w:type="pct"/>
            <w:vAlign w:val="center"/>
          </w:tcPr>
          <w:p w:rsidR="00C645C9" w:rsidRDefault="00F955D9">
            <w:pPr>
              <w:widowControl w:val="0"/>
              <w:jc w:val="center"/>
              <w:rPr>
                <w:rFonts w:cs="Times New Roman"/>
                <w:kern w:val="2"/>
                <w:sz w:val="21"/>
                <w:szCs w:val="21"/>
              </w:rPr>
            </w:pPr>
            <w:r>
              <w:rPr>
                <w:rFonts w:cs="Times New Roman"/>
                <w:kern w:val="2"/>
                <w:sz w:val="21"/>
                <w:szCs w:val="21"/>
              </w:rPr>
              <w:t>序号</w:t>
            </w:r>
          </w:p>
        </w:tc>
        <w:tc>
          <w:tcPr>
            <w:tcW w:w="863" w:type="pct"/>
            <w:vAlign w:val="center"/>
          </w:tcPr>
          <w:p w:rsidR="00C645C9" w:rsidRDefault="00F955D9">
            <w:pPr>
              <w:widowControl w:val="0"/>
              <w:jc w:val="center"/>
              <w:rPr>
                <w:rFonts w:cs="Times New Roman"/>
                <w:kern w:val="2"/>
                <w:sz w:val="21"/>
                <w:szCs w:val="21"/>
              </w:rPr>
            </w:pPr>
            <w:r>
              <w:rPr>
                <w:rFonts w:cs="Times New Roman"/>
                <w:kern w:val="2"/>
                <w:sz w:val="21"/>
                <w:szCs w:val="21"/>
              </w:rPr>
              <w:t>物种名称</w:t>
            </w:r>
            <w:r>
              <w:rPr>
                <w:rFonts w:cs="Times New Roman" w:hint="eastAsia"/>
                <w:kern w:val="2"/>
                <w:sz w:val="21"/>
                <w:szCs w:val="21"/>
              </w:rPr>
              <w:t>（</w:t>
            </w:r>
            <w:r>
              <w:rPr>
                <w:rFonts w:cs="Times New Roman"/>
                <w:kern w:val="2"/>
                <w:sz w:val="21"/>
                <w:szCs w:val="21"/>
              </w:rPr>
              <w:t>中文名</w:t>
            </w:r>
            <w:r>
              <w:rPr>
                <w:rFonts w:cs="Times New Roman"/>
                <w:kern w:val="2"/>
                <w:sz w:val="21"/>
                <w:szCs w:val="21"/>
              </w:rPr>
              <w:t>/</w:t>
            </w:r>
            <w:r>
              <w:rPr>
                <w:rFonts w:cs="Times New Roman"/>
                <w:kern w:val="2"/>
                <w:sz w:val="21"/>
                <w:szCs w:val="21"/>
              </w:rPr>
              <w:t>拉丁名</w:t>
            </w:r>
            <w:r>
              <w:rPr>
                <w:rFonts w:cs="Times New Roman" w:hint="eastAsia"/>
                <w:kern w:val="2"/>
                <w:sz w:val="21"/>
                <w:szCs w:val="21"/>
              </w:rPr>
              <w:t>）</w:t>
            </w:r>
          </w:p>
        </w:tc>
        <w:tc>
          <w:tcPr>
            <w:tcW w:w="381" w:type="pct"/>
            <w:vAlign w:val="center"/>
          </w:tcPr>
          <w:p w:rsidR="00C645C9" w:rsidRDefault="00F955D9">
            <w:pPr>
              <w:widowControl w:val="0"/>
              <w:jc w:val="center"/>
              <w:rPr>
                <w:rFonts w:cs="Times New Roman"/>
                <w:kern w:val="2"/>
                <w:sz w:val="21"/>
                <w:szCs w:val="21"/>
              </w:rPr>
            </w:pPr>
            <w:r>
              <w:rPr>
                <w:rFonts w:cs="Times New Roman"/>
                <w:kern w:val="2"/>
                <w:sz w:val="21"/>
                <w:szCs w:val="21"/>
              </w:rPr>
              <w:t>保护级别</w:t>
            </w:r>
          </w:p>
        </w:tc>
        <w:tc>
          <w:tcPr>
            <w:tcW w:w="356" w:type="pct"/>
            <w:vAlign w:val="center"/>
          </w:tcPr>
          <w:p w:rsidR="00C645C9" w:rsidRDefault="00F955D9">
            <w:pPr>
              <w:widowControl w:val="0"/>
              <w:jc w:val="center"/>
              <w:rPr>
                <w:rFonts w:cs="Times New Roman"/>
                <w:kern w:val="2"/>
                <w:sz w:val="21"/>
                <w:szCs w:val="21"/>
              </w:rPr>
            </w:pPr>
            <w:r>
              <w:rPr>
                <w:rFonts w:cs="Times New Roman"/>
                <w:kern w:val="2"/>
                <w:sz w:val="21"/>
                <w:szCs w:val="21"/>
              </w:rPr>
              <w:t>濒危级别</w:t>
            </w:r>
          </w:p>
        </w:tc>
        <w:tc>
          <w:tcPr>
            <w:tcW w:w="515" w:type="pct"/>
            <w:vAlign w:val="center"/>
          </w:tcPr>
          <w:p w:rsidR="00C645C9" w:rsidRDefault="00F955D9">
            <w:pPr>
              <w:widowControl w:val="0"/>
              <w:jc w:val="center"/>
              <w:rPr>
                <w:rFonts w:cs="Times New Roman"/>
                <w:kern w:val="2"/>
                <w:sz w:val="21"/>
                <w:szCs w:val="21"/>
              </w:rPr>
            </w:pPr>
            <w:r>
              <w:rPr>
                <w:rFonts w:cs="Times New Roman"/>
                <w:kern w:val="2"/>
                <w:sz w:val="21"/>
                <w:szCs w:val="21"/>
              </w:rPr>
              <w:t>特有种</w:t>
            </w:r>
            <w:r>
              <w:rPr>
                <w:rFonts w:cs="Times New Roman" w:hint="eastAsia"/>
                <w:kern w:val="2"/>
                <w:sz w:val="21"/>
                <w:szCs w:val="21"/>
              </w:rPr>
              <w:t>（</w:t>
            </w:r>
            <w:r>
              <w:rPr>
                <w:rFonts w:cs="Times New Roman"/>
                <w:kern w:val="2"/>
                <w:sz w:val="21"/>
                <w:szCs w:val="21"/>
              </w:rPr>
              <w:t>是</w:t>
            </w:r>
            <w:r>
              <w:rPr>
                <w:rFonts w:cs="Times New Roman"/>
                <w:kern w:val="2"/>
                <w:sz w:val="21"/>
                <w:szCs w:val="21"/>
              </w:rPr>
              <w:t>/</w:t>
            </w:r>
            <w:r>
              <w:rPr>
                <w:rFonts w:cs="Times New Roman"/>
                <w:kern w:val="2"/>
                <w:sz w:val="21"/>
                <w:szCs w:val="21"/>
              </w:rPr>
              <w:t>否</w:t>
            </w:r>
            <w:r>
              <w:rPr>
                <w:rFonts w:cs="Times New Roman" w:hint="eastAsia"/>
                <w:kern w:val="2"/>
                <w:sz w:val="21"/>
                <w:szCs w:val="21"/>
              </w:rPr>
              <w:t>）</w:t>
            </w:r>
          </w:p>
        </w:tc>
        <w:tc>
          <w:tcPr>
            <w:tcW w:w="1380" w:type="pct"/>
            <w:vAlign w:val="center"/>
          </w:tcPr>
          <w:p w:rsidR="00C645C9" w:rsidRDefault="00F955D9">
            <w:pPr>
              <w:widowControl w:val="0"/>
              <w:jc w:val="center"/>
              <w:rPr>
                <w:rFonts w:cs="Times New Roman"/>
                <w:kern w:val="2"/>
                <w:sz w:val="21"/>
                <w:szCs w:val="21"/>
              </w:rPr>
            </w:pPr>
            <w:r>
              <w:rPr>
                <w:rFonts w:cs="Times New Roman"/>
                <w:kern w:val="2"/>
                <w:sz w:val="21"/>
                <w:szCs w:val="21"/>
              </w:rPr>
              <w:t>分布区域</w:t>
            </w:r>
          </w:p>
        </w:tc>
        <w:tc>
          <w:tcPr>
            <w:tcW w:w="512" w:type="pct"/>
            <w:vAlign w:val="center"/>
          </w:tcPr>
          <w:p w:rsidR="00C645C9" w:rsidRDefault="00F955D9">
            <w:pPr>
              <w:widowControl w:val="0"/>
              <w:jc w:val="center"/>
              <w:rPr>
                <w:rFonts w:cs="Times New Roman"/>
                <w:kern w:val="2"/>
                <w:sz w:val="21"/>
                <w:szCs w:val="21"/>
              </w:rPr>
            </w:pPr>
            <w:r>
              <w:rPr>
                <w:rFonts w:cs="Times New Roman"/>
                <w:kern w:val="2"/>
                <w:sz w:val="21"/>
                <w:szCs w:val="21"/>
              </w:rPr>
              <w:t>资料</w:t>
            </w:r>
          </w:p>
          <w:p w:rsidR="00C645C9" w:rsidRDefault="00F955D9">
            <w:pPr>
              <w:widowControl w:val="0"/>
              <w:jc w:val="center"/>
              <w:rPr>
                <w:rFonts w:cs="Times New Roman"/>
                <w:kern w:val="2"/>
                <w:sz w:val="21"/>
                <w:szCs w:val="21"/>
              </w:rPr>
            </w:pPr>
            <w:r>
              <w:rPr>
                <w:rFonts w:cs="Times New Roman"/>
                <w:kern w:val="2"/>
                <w:sz w:val="21"/>
                <w:szCs w:val="21"/>
              </w:rPr>
              <w:t>来源</w:t>
            </w:r>
          </w:p>
        </w:tc>
        <w:tc>
          <w:tcPr>
            <w:tcW w:w="697" w:type="pct"/>
            <w:vAlign w:val="center"/>
          </w:tcPr>
          <w:p w:rsidR="00C645C9" w:rsidRDefault="00F955D9">
            <w:pPr>
              <w:widowControl w:val="0"/>
              <w:jc w:val="center"/>
              <w:rPr>
                <w:rFonts w:cs="Times New Roman"/>
                <w:kern w:val="2"/>
                <w:sz w:val="21"/>
                <w:szCs w:val="21"/>
              </w:rPr>
            </w:pPr>
            <w:r>
              <w:rPr>
                <w:rFonts w:cs="Times New Roman" w:hint="eastAsia"/>
                <w:kern w:val="2"/>
                <w:sz w:val="21"/>
                <w:szCs w:val="21"/>
              </w:rPr>
              <w:t>项目</w:t>
            </w:r>
            <w:r>
              <w:rPr>
                <w:rFonts w:cs="Times New Roman"/>
                <w:kern w:val="2"/>
                <w:sz w:val="21"/>
                <w:szCs w:val="21"/>
              </w:rPr>
              <w:t>占用情况</w:t>
            </w:r>
            <w:r>
              <w:rPr>
                <w:rFonts w:cs="Times New Roman" w:hint="eastAsia"/>
                <w:kern w:val="2"/>
                <w:sz w:val="21"/>
                <w:szCs w:val="21"/>
              </w:rPr>
              <w:t>（</w:t>
            </w:r>
            <w:r>
              <w:rPr>
                <w:rFonts w:cs="Times New Roman"/>
                <w:kern w:val="2"/>
                <w:sz w:val="21"/>
                <w:szCs w:val="21"/>
              </w:rPr>
              <w:t>是</w:t>
            </w:r>
            <w:r>
              <w:rPr>
                <w:rFonts w:cs="Times New Roman"/>
                <w:kern w:val="2"/>
                <w:sz w:val="21"/>
                <w:szCs w:val="21"/>
              </w:rPr>
              <w:t>/</w:t>
            </w:r>
            <w:r>
              <w:rPr>
                <w:rFonts w:cs="Times New Roman"/>
                <w:kern w:val="2"/>
                <w:sz w:val="21"/>
                <w:szCs w:val="21"/>
              </w:rPr>
              <w:t>否</w:t>
            </w:r>
            <w:r>
              <w:rPr>
                <w:rFonts w:cs="Times New Roman" w:hint="eastAsia"/>
                <w:kern w:val="2"/>
                <w:sz w:val="21"/>
                <w:szCs w:val="21"/>
              </w:rPr>
              <w:t>）</w:t>
            </w:r>
          </w:p>
        </w:tc>
      </w:tr>
      <w:tr w:rsidR="00C645C9">
        <w:trPr>
          <w:trHeight w:val="340"/>
          <w:jc w:val="center"/>
        </w:trPr>
        <w:tc>
          <w:tcPr>
            <w:tcW w:w="293" w:type="pct"/>
            <w:vAlign w:val="center"/>
          </w:tcPr>
          <w:p w:rsidR="00C645C9" w:rsidRDefault="00F955D9">
            <w:pPr>
              <w:widowControl w:val="0"/>
              <w:jc w:val="center"/>
              <w:rPr>
                <w:rFonts w:cs="Times New Roman"/>
                <w:kern w:val="2"/>
                <w:sz w:val="21"/>
                <w:szCs w:val="21"/>
              </w:rPr>
            </w:pPr>
            <w:r>
              <w:rPr>
                <w:rFonts w:cs="Times New Roman" w:hint="eastAsia"/>
                <w:kern w:val="2"/>
                <w:sz w:val="21"/>
                <w:szCs w:val="21"/>
              </w:rPr>
              <w:t>1</w:t>
            </w:r>
          </w:p>
        </w:tc>
        <w:tc>
          <w:tcPr>
            <w:tcW w:w="863" w:type="pct"/>
            <w:vAlign w:val="center"/>
          </w:tcPr>
          <w:p w:rsidR="00C645C9" w:rsidRDefault="00F955D9">
            <w:pPr>
              <w:widowControl w:val="0"/>
              <w:jc w:val="center"/>
              <w:rPr>
                <w:rFonts w:cs="Times New Roman"/>
                <w:kern w:val="2"/>
                <w:sz w:val="21"/>
                <w:szCs w:val="21"/>
              </w:rPr>
            </w:pPr>
            <w:r>
              <w:rPr>
                <w:rFonts w:cs="Times New Roman"/>
                <w:kern w:val="2"/>
                <w:sz w:val="21"/>
                <w:szCs w:val="21"/>
              </w:rPr>
              <w:t>塔里木兔</w:t>
            </w:r>
            <w:r>
              <w:rPr>
                <w:rFonts w:cs="Times New Roman" w:hint="eastAsia"/>
                <w:kern w:val="2"/>
                <w:sz w:val="21"/>
                <w:szCs w:val="21"/>
              </w:rPr>
              <w:t>（</w:t>
            </w:r>
            <w:r>
              <w:rPr>
                <w:rFonts w:cs="Times New Roman"/>
                <w:i/>
                <w:iCs/>
                <w:kern w:val="2"/>
                <w:sz w:val="21"/>
                <w:szCs w:val="21"/>
              </w:rPr>
              <w:t>Lepus yarkandensis</w:t>
            </w:r>
            <w:r>
              <w:rPr>
                <w:rFonts w:cs="Times New Roman" w:hint="eastAsia"/>
                <w:kern w:val="2"/>
                <w:sz w:val="21"/>
                <w:szCs w:val="21"/>
              </w:rPr>
              <w:t>）</w:t>
            </w:r>
          </w:p>
        </w:tc>
        <w:tc>
          <w:tcPr>
            <w:tcW w:w="381" w:type="pct"/>
            <w:vAlign w:val="center"/>
          </w:tcPr>
          <w:p w:rsidR="00C645C9" w:rsidRDefault="00F955D9">
            <w:pPr>
              <w:widowControl w:val="0"/>
              <w:jc w:val="center"/>
              <w:rPr>
                <w:rFonts w:cs="Times New Roman"/>
                <w:kern w:val="2"/>
                <w:sz w:val="21"/>
                <w:szCs w:val="21"/>
              </w:rPr>
            </w:pPr>
            <w:r>
              <w:rPr>
                <w:rFonts w:cs="Times New Roman"/>
                <w:kern w:val="2"/>
                <w:sz w:val="21"/>
                <w:szCs w:val="21"/>
              </w:rPr>
              <w:t>国家二级</w:t>
            </w:r>
          </w:p>
        </w:tc>
        <w:tc>
          <w:tcPr>
            <w:tcW w:w="356" w:type="pct"/>
            <w:vAlign w:val="center"/>
          </w:tcPr>
          <w:p w:rsidR="00C645C9" w:rsidRDefault="00F955D9">
            <w:pPr>
              <w:widowControl w:val="0"/>
              <w:jc w:val="center"/>
              <w:rPr>
                <w:rFonts w:cs="Times New Roman"/>
                <w:kern w:val="2"/>
                <w:sz w:val="21"/>
                <w:szCs w:val="21"/>
              </w:rPr>
            </w:pPr>
            <w:r>
              <w:rPr>
                <w:rFonts w:cs="Times New Roman"/>
                <w:kern w:val="2"/>
                <w:sz w:val="21"/>
                <w:szCs w:val="21"/>
              </w:rPr>
              <w:t>近危</w:t>
            </w:r>
          </w:p>
          <w:p w:rsidR="00C645C9" w:rsidRDefault="00F955D9">
            <w:pPr>
              <w:widowControl w:val="0"/>
              <w:jc w:val="center"/>
              <w:rPr>
                <w:rFonts w:cs="Times New Roman"/>
                <w:kern w:val="2"/>
                <w:sz w:val="21"/>
                <w:szCs w:val="21"/>
              </w:rPr>
            </w:pPr>
            <w:r>
              <w:rPr>
                <w:rFonts w:cs="Times New Roman"/>
                <w:kern w:val="2"/>
                <w:sz w:val="21"/>
                <w:szCs w:val="21"/>
              </w:rPr>
              <w:t>NT</w:t>
            </w:r>
          </w:p>
        </w:tc>
        <w:tc>
          <w:tcPr>
            <w:tcW w:w="515" w:type="pct"/>
            <w:vAlign w:val="center"/>
          </w:tcPr>
          <w:p w:rsidR="00C645C9" w:rsidRDefault="00F955D9">
            <w:pPr>
              <w:widowControl w:val="0"/>
              <w:jc w:val="center"/>
              <w:rPr>
                <w:rFonts w:cs="Times New Roman"/>
                <w:kern w:val="2"/>
                <w:sz w:val="21"/>
                <w:szCs w:val="21"/>
              </w:rPr>
            </w:pPr>
            <w:r>
              <w:rPr>
                <w:rFonts w:cs="Times New Roman" w:hint="eastAsia"/>
                <w:kern w:val="2"/>
                <w:sz w:val="21"/>
                <w:szCs w:val="21"/>
              </w:rPr>
              <w:t>是</w:t>
            </w:r>
          </w:p>
        </w:tc>
        <w:tc>
          <w:tcPr>
            <w:tcW w:w="1380" w:type="pct"/>
            <w:vAlign w:val="center"/>
          </w:tcPr>
          <w:p w:rsidR="00C645C9" w:rsidRDefault="00F955D9">
            <w:pPr>
              <w:widowControl w:val="0"/>
              <w:jc w:val="center"/>
              <w:rPr>
                <w:rFonts w:cs="Times New Roman"/>
                <w:kern w:val="2"/>
                <w:sz w:val="21"/>
                <w:szCs w:val="21"/>
              </w:rPr>
            </w:pPr>
            <w:r>
              <w:rPr>
                <w:rFonts w:cs="Times New Roman"/>
                <w:kern w:val="2"/>
                <w:sz w:val="21"/>
                <w:szCs w:val="21"/>
              </w:rPr>
              <w:t>分布在新疆南部塔里木盆地，栖息于盆地中各种不同的荒漠环境和绿洲</w:t>
            </w:r>
          </w:p>
        </w:tc>
        <w:tc>
          <w:tcPr>
            <w:tcW w:w="512" w:type="pct"/>
            <w:vAlign w:val="center"/>
          </w:tcPr>
          <w:p w:rsidR="00C645C9" w:rsidRDefault="00F955D9">
            <w:pPr>
              <w:widowControl w:val="0"/>
              <w:jc w:val="center"/>
              <w:rPr>
                <w:rFonts w:cs="Times New Roman"/>
                <w:kern w:val="2"/>
                <w:sz w:val="21"/>
                <w:szCs w:val="21"/>
              </w:rPr>
            </w:pPr>
            <w:r>
              <w:rPr>
                <w:rFonts w:cs="Times New Roman"/>
                <w:kern w:val="2"/>
                <w:sz w:val="21"/>
                <w:szCs w:val="21"/>
              </w:rPr>
              <w:t>现场调查、文献记录、历史调查资料</w:t>
            </w:r>
          </w:p>
        </w:tc>
        <w:tc>
          <w:tcPr>
            <w:tcW w:w="697" w:type="pct"/>
            <w:vAlign w:val="center"/>
          </w:tcPr>
          <w:p w:rsidR="00C645C9" w:rsidRDefault="00F955D9">
            <w:pPr>
              <w:widowControl w:val="0"/>
              <w:jc w:val="center"/>
              <w:rPr>
                <w:rFonts w:cs="Times New Roman"/>
                <w:kern w:val="2"/>
                <w:sz w:val="21"/>
                <w:szCs w:val="21"/>
              </w:rPr>
            </w:pPr>
            <w:r>
              <w:rPr>
                <w:rFonts w:cs="Times New Roman" w:hint="eastAsia"/>
                <w:kern w:val="2"/>
                <w:sz w:val="21"/>
                <w:szCs w:val="21"/>
              </w:rPr>
              <w:t>否</w:t>
            </w:r>
          </w:p>
        </w:tc>
      </w:tr>
    </w:tbl>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bookmarkStart w:id="1228" w:name="_Toc20148"/>
      <w:r>
        <w:rPr>
          <w:rFonts w:ascii="Times New Roman" w:hAnsi="Times New Roman" w:cs="Times New Roman"/>
          <w:color w:val="auto"/>
          <w:lang w:val="zh-CN" w:eastAsia="zh-CN"/>
        </w:rPr>
        <w:t>4.</w:t>
      </w:r>
      <w:r>
        <w:rPr>
          <w:rFonts w:ascii="Times New Roman" w:hAnsi="Times New Roman" w:cs="Times New Roman" w:hint="eastAsia"/>
          <w:color w:val="auto"/>
          <w:lang w:eastAsia="zh-CN"/>
        </w:rPr>
        <w:t>2.7</w:t>
      </w:r>
      <w:r>
        <w:rPr>
          <w:rFonts w:ascii="Times New Roman" w:hAnsi="Times New Roman" w:cs="Times New Roman"/>
          <w:color w:val="auto"/>
          <w:lang w:val="zh-CN" w:eastAsia="zh-CN"/>
        </w:rPr>
        <w:t>生态敏感区调查与评价</w:t>
      </w:r>
    </w:p>
    <w:p w:rsidR="00C645C9" w:rsidRDefault="00F955D9">
      <w:pPr>
        <w:spacing w:line="360" w:lineRule="auto"/>
        <w:ind w:firstLineChars="200" w:firstLine="480"/>
        <w:jc w:val="both"/>
      </w:pPr>
      <w:bookmarkStart w:id="1229" w:name="OLE_LINK1344"/>
      <w:r>
        <w:rPr>
          <w:rFonts w:hint="eastAsia"/>
        </w:rPr>
        <w:t>（</w:t>
      </w:r>
      <w:r>
        <w:rPr>
          <w:rFonts w:hint="eastAsia"/>
        </w:rPr>
        <w:t>1</w:t>
      </w:r>
      <w:r>
        <w:rPr>
          <w:rFonts w:hint="eastAsia"/>
        </w:rPr>
        <w:t>）</w:t>
      </w:r>
      <w:r>
        <w:rPr>
          <w:rFonts w:cs="Times New Roman" w:hint="eastAsia"/>
          <w:szCs w:val="21"/>
        </w:rPr>
        <w:t>水土流失现状调查与评价</w:t>
      </w:r>
    </w:p>
    <w:bookmarkEnd w:id="1229"/>
    <w:p w:rsidR="00C645C9" w:rsidRDefault="00F955D9">
      <w:pPr>
        <w:spacing w:line="360" w:lineRule="auto"/>
        <w:ind w:firstLineChars="200" w:firstLine="480"/>
        <w:jc w:val="both"/>
        <w:rPr>
          <w:rFonts w:cs="Times New Roman"/>
          <w:szCs w:val="21"/>
        </w:rPr>
      </w:pPr>
      <w:r>
        <w:rPr>
          <w:rFonts w:cs="Times New Roman" w:hint="eastAsia"/>
          <w:szCs w:val="21"/>
        </w:rPr>
        <w:t>根据新水水保〔</w:t>
      </w:r>
      <w:r>
        <w:rPr>
          <w:rFonts w:cs="Times New Roman" w:hint="eastAsia"/>
          <w:szCs w:val="21"/>
        </w:rPr>
        <w:t>2019</w:t>
      </w:r>
      <w:r>
        <w:rPr>
          <w:rFonts w:cs="Times New Roman" w:hint="eastAsia"/>
          <w:szCs w:val="21"/>
        </w:rPr>
        <w:t>〕</w:t>
      </w:r>
      <w:r>
        <w:rPr>
          <w:rFonts w:cs="Times New Roman" w:hint="eastAsia"/>
          <w:szCs w:val="21"/>
        </w:rPr>
        <w:t>4</w:t>
      </w:r>
      <w:r>
        <w:rPr>
          <w:rFonts w:cs="Times New Roman" w:hint="eastAsia"/>
          <w:szCs w:val="21"/>
        </w:rPr>
        <w:t>号文件，新疆共划分了</w:t>
      </w:r>
      <w:r>
        <w:rPr>
          <w:rFonts w:cs="Times New Roman" w:hint="eastAsia"/>
          <w:szCs w:val="21"/>
        </w:rPr>
        <w:t>2</w:t>
      </w:r>
      <w:r>
        <w:rPr>
          <w:rFonts w:cs="Times New Roman" w:hint="eastAsia"/>
          <w:szCs w:val="21"/>
        </w:rPr>
        <w:t>个自治区级重点预防区，</w:t>
      </w:r>
      <w:r>
        <w:rPr>
          <w:rFonts w:cs="Times New Roman" w:hint="eastAsia"/>
          <w:szCs w:val="21"/>
        </w:rPr>
        <w:t>4</w:t>
      </w:r>
      <w:r>
        <w:rPr>
          <w:rFonts w:cs="Times New Roman" w:hint="eastAsia"/>
          <w:szCs w:val="21"/>
        </w:rPr>
        <w:t>个自治区级重点治理区。其中，重点预防区面积</w:t>
      </w:r>
      <w:r>
        <w:rPr>
          <w:rFonts w:cs="Times New Roman" w:hint="eastAsia"/>
          <w:szCs w:val="21"/>
        </w:rPr>
        <w:t>19615.9km</w:t>
      </w:r>
      <w:r>
        <w:rPr>
          <w:rFonts w:cs="Times New Roman" w:hint="eastAsia"/>
          <w:szCs w:val="21"/>
          <w:vertAlign w:val="superscript"/>
        </w:rPr>
        <w:t>2</w:t>
      </w:r>
      <w:r>
        <w:rPr>
          <w:rFonts w:cs="Times New Roman" w:hint="eastAsia"/>
          <w:szCs w:val="21"/>
        </w:rPr>
        <w:t>，包括天山山区重点预防区、塔里木河中上游重点预防区；重点治理区面积</w:t>
      </w:r>
      <w:r>
        <w:rPr>
          <w:rFonts w:cs="Times New Roman" w:hint="eastAsia"/>
          <w:szCs w:val="21"/>
        </w:rPr>
        <w:t>283963km</w:t>
      </w:r>
      <w:r>
        <w:rPr>
          <w:rFonts w:cs="Times New Roman" w:hint="eastAsia"/>
          <w:szCs w:val="21"/>
          <w:vertAlign w:val="superscript"/>
        </w:rPr>
        <w:t>2</w:t>
      </w:r>
      <w:r>
        <w:rPr>
          <w:rFonts w:cs="Times New Roman" w:hint="eastAsia"/>
          <w:szCs w:val="21"/>
        </w:rPr>
        <w:t>，包括额尔</w:t>
      </w:r>
      <w:r>
        <w:rPr>
          <w:rFonts w:cs="Times New Roman" w:hint="eastAsia"/>
          <w:szCs w:val="21"/>
        </w:rPr>
        <w:lastRenderedPageBreak/>
        <w:t>齐斯河流域重点治理区、天山北坡诸小河流域重点治理区、塔里木河流域水土流失重点治理区、伊犁河流域重点治理区。</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根据《阿克苏地区水土保持规划（</w:t>
      </w:r>
      <w:r>
        <w:rPr>
          <w:rFonts w:cs="Times New Roman"/>
          <w:szCs w:val="21"/>
        </w:rPr>
        <w:t>2020-2030</w:t>
      </w:r>
      <w:r>
        <w:rPr>
          <w:rFonts w:cs="Times New Roman"/>
          <w:szCs w:val="21"/>
        </w:rPr>
        <w:t>年）》和新水水保〔</w:t>
      </w:r>
      <w:r>
        <w:rPr>
          <w:rFonts w:cs="Times New Roman"/>
          <w:szCs w:val="21"/>
        </w:rPr>
        <w:t>2019</w:t>
      </w:r>
      <w:r>
        <w:rPr>
          <w:rFonts w:cs="Times New Roman"/>
          <w:szCs w:val="21"/>
        </w:rPr>
        <w:t>〕</w:t>
      </w:r>
      <w:r>
        <w:rPr>
          <w:rFonts w:cs="Times New Roman"/>
          <w:szCs w:val="21"/>
        </w:rPr>
        <w:t>4</w:t>
      </w:r>
      <w:r>
        <w:rPr>
          <w:rFonts w:cs="Times New Roman"/>
          <w:szCs w:val="21"/>
        </w:rPr>
        <w:t>号文件，本工程位于塔里木河流域水土流失重点治理区。</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水土保持区划属于北方风沙区</w:t>
      </w:r>
      <w:r>
        <w:rPr>
          <w:rFonts w:cs="Times New Roman"/>
          <w:szCs w:val="21"/>
        </w:rPr>
        <w:t>Ⅱ</w:t>
      </w:r>
      <w:r>
        <w:rPr>
          <w:rFonts w:cs="Times New Roman"/>
          <w:szCs w:val="21"/>
        </w:rPr>
        <w:t>、南疆山地盆地区</w:t>
      </w:r>
      <w:r>
        <w:rPr>
          <w:rFonts w:cs="Times New Roman"/>
          <w:szCs w:val="21"/>
        </w:rPr>
        <w:t>Ⅱ-4</w:t>
      </w:r>
      <w:r>
        <w:rPr>
          <w:rFonts w:cs="Times New Roman"/>
          <w:szCs w:val="21"/>
        </w:rPr>
        <w:t>、塔里木盆地北部农田防护水源涵养区</w:t>
      </w:r>
      <w:r>
        <w:rPr>
          <w:rFonts w:cs="Times New Roman"/>
          <w:szCs w:val="21"/>
        </w:rPr>
        <w:t>Ⅱ-4-1nh</w:t>
      </w:r>
      <w:r>
        <w:rPr>
          <w:rFonts w:cs="Times New Roman"/>
          <w:szCs w:val="21"/>
        </w:rPr>
        <w:t>、塔里木盆地北部农田防护水源涵养区、</w:t>
      </w:r>
      <w:r>
        <w:rPr>
          <w:rFonts w:cs="Times New Roman"/>
          <w:szCs w:val="21"/>
        </w:rPr>
        <w:t>Ⅱ</w:t>
      </w:r>
      <w:r>
        <w:rPr>
          <w:rFonts w:cs="Times New Roman"/>
          <w:szCs w:val="21"/>
        </w:rPr>
        <w:t>中南部人居农田环境改善区。该区域主要包括阿克苏市、阿瓦提县、新和县、沙雅县，本区以风力侵蚀为主，本区南部毗邻塔克拉玛干沙漠北缘，受风沙危害大，风蚀强烈，天山南坡夏季常发生阵发性降雨和暴雨，加之中低山带山体破碎，地表多为第四纪松散堆积物，植被稀少，</w:t>
      </w:r>
      <w:r>
        <w:rPr>
          <w:rFonts w:cs="Times New Roman"/>
          <w:szCs w:val="21"/>
        </w:rPr>
        <w:t>暴雨形成的水蚀侵蚀作用强烈，面蚀、沟蚀十分发育。</w:t>
      </w:r>
    </w:p>
    <w:p w:rsidR="00C645C9" w:rsidRDefault="00F955D9">
      <w:pPr>
        <w:pStyle w:val="Default"/>
        <w:snapToGrid w:val="0"/>
        <w:spacing w:line="360" w:lineRule="auto"/>
        <w:jc w:val="both"/>
        <w:rPr>
          <w:rFonts w:ascii="Times New Roman" w:hAnsi="Times New Roman" w:cs="Times New Roman"/>
          <w:color w:val="auto"/>
          <w:szCs w:val="21"/>
        </w:rPr>
      </w:pPr>
      <w:r>
        <w:rPr>
          <w:rFonts w:ascii="Times New Roman" w:hAnsi="Times New Roman" w:cs="Times New Roman"/>
          <w:color w:val="auto"/>
          <w:szCs w:val="21"/>
        </w:rPr>
        <w:t>本区水土流失总面积为</w:t>
      </w:r>
      <w:r>
        <w:rPr>
          <w:rFonts w:ascii="Times New Roman" w:hAnsi="Times New Roman" w:cs="Times New Roman"/>
          <w:color w:val="auto"/>
          <w:szCs w:val="21"/>
        </w:rPr>
        <w:t>4.4</w:t>
      </w:r>
      <w:r>
        <w:rPr>
          <w:rFonts w:ascii="Times New Roman" w:hAnsi="Times New Roman" w:cs="Times New Roman"/>
          <w:color w:val="auto"/>
          <w:szCs w:val="21"/>
        </w:rPr>
        <w:t>万</w:t>
      </w:r>
      <w:r>
        <w:rPr>
          <w:rFonts w:ascii="Times New Roman" w:hAnsi="Times New Roman" w:cs="Times New Roman"/>
          <w:color w:val="auto"/>
          <w:szCs w:val="21"/>
        </w:rPr>
        <w:t>km</w:t>
      </w:r>
      <w:r>
        <w:rPr>
          <w:rFonts w:ascii="Times New Roman" w:hAnsi="Times New Roman" w:cs="Times New Roman"/>
          <w:color w:val="auto"/>
          <w:szCs w:val="21"/>
          <w:vertAlign w:val="superscript"/>
        </w:rPr>
        <w:t>2</w:t>
      </w:r>
      <w:r>
        <w:rPr>
          <w:rFonts w:ascii="Times New Roman" w:hAnsi="Times New Roman" w:cs="Times New Roman"/>
          <w:color w:val="auto"/>
          <w:szCs w:val="21"/>
        </w:rPr>
        <w:t>，占本区土地总面积的</w:t>
      </w:r>
      <w:r>
        <w:rPr>
          <w:rFonts w:ascii="Times New Roman" w:hAnsi="Times New Roman" w:cs="Times New Roman"/>
          <w:color w:val="auto"/>
          <w:szCs w:val="21"/>
        </w:rPr>
        <w:t>33.51%</w:t>
      </w:r>
      <w:r>
        <w:rPr>
          <w:rFonts w:ascii="Times New Roman" w:hAnsi="Times New Roman" w:cs="Times New Roman"/>
          <w:color w:val="auto"/>
          <w:szCs w:val="21"/>
        </w:rPr>
        <w:t>，其中水力侵蚀面积为</w:t>
      </w:r>
      <w:r>
        <w:rPr>
          <w:rFonts w:ascii="Times New Roman" w:hAnsi="Times New Roman" w:cs="Times New Roman"/>
          <w:color w:val="auto"/>
          <w:szCs w:val="21"/>
        </w:rPr>
        <w:t>0.01</w:t>
      </w:r>
      <w:r>
        <w:rPr>
          <w:rFonts w:ascii="Times New Roman" w:hAnsi="Times New Roman" w:cs="Times New Roman"/>
          <w:color w:val="auto"/>
          <w:szCs w:val="21"/>
        </w:rPr>
        <w:t>万</w:t>
      </w:r>
      <w:r>
        <w:rPr>
          <w:rFonts w:ascii="Times New Roman" w:hAnsi="Times New Roman" w:cs="Times New Roman"/>
          <w:color w:val="auto"/>
          <w:szCs w:val="21"/>
        </w:rPr>
        <w:t>km</w:t>
      </w:r>
      <w:r>
        <w:rPr>
          <w:rFonts w:ascii="Times New Roman" w:hAnsi="Times New Roman" w:cs="Times New Roman"/>
          <w:color w:val="auto"/>
          <w:szCs w:val="21"/>
          <w:vertAlign w:val="superscript"/>
        </w:rPr>
        <w:t>2</w:t>
      </w:r>
      <w:r>
        <w:rPr>
          <w:rFonts w:ascii="Times New Roman" w:hAnsi="Times New Roman" w:cs="Times New Roman"/>
          <w:color w:val="auto"/>
          <w:szCs w:val="21"/>
        </w:rPr>
        <w:t>，占本区土地总面积的</w:t>
      </w:r>
      <w:r>
        <w:rPr>
          <w:rFonts w:ascii="Times New Roman" w:hAnsi="Times New Roman" w:cs="Times New Roman"/>
          <w:color w:val="auto"/>
          <w:szCs w:val="21"/>
        </w:rPr>
        <w:t>0.06%</w:t>
      </w:r>
      <w:r>
        <w:rPr>
          <w:rFonts w:ascii="Times New Roman" w:hAnsi="Times New Roman" w:cs="Times New Roman"/>
          <w:color w:val="auto"/>
          <w:szCs w:val="21"/>
        </w:rPr>
        <w:t>；风力侵蚀面积为</w:t>
      </w:r>
      <w:r>
        <w:rPr>
          <w:rFonts w:ascii="Times New Roman" w:hAnsi="Times New Roman" w:cs="Times New Roman"/>
          <w:color w:val="auto"/>
          <w:szCs w:val="21"/>
        </w:rPr>
        <w:t>4.39</w:t>
      </w:r>
      <w:r>
        <w:rPr>
          <w:rFonts w:ascii="Times New Roman" w:hAnsi="Times New Roman" w:cs="Times New Roman"/>
          <w:color w:val="auto"/>
          <w:szCs w:val="21"/>
        </w:rPr>
        <w:t>万</w:t>
      </w:r>
      <w:r>
        <w:rPr>
          <w:rFonts w:ascii="Times New Roman" w:hAnsi="Times New Roman" w:cs="Times New Roman"/>
          <w:color w:val="auto"/>
          <w:szCs w:val="21"/>
        </w:rPr>
        <w:t>km</w:t>
      </w:r>
      <w:r>
        <w:rPr>
          <w:rFonts w:ascii="Times New Roman" w:hAnsi="Times New Roman" w:cs="Times New Roman"/>
          <w:color w:val="auto"/>
          <w:szCs w:val="21"/>
          <w:vertAlign w:val="superscript"/>
        </w:rPr>
        <w:t>2</w:t>
      </w:r>
      <w:r>
        <w:rPr>
          <w:rFonts w:ascii="Times New Roman" w:hAnsi="Times New Roman" w:cs="Times New Roman"/>
          <w:color w:val="auto"/>
          <w:szCs w:val="21"/>
        </w:rPr>
        <w:t>，占本区土地总面积的</w:t>
      </w:r>
      <w:r>
        <w:rPr>
          <w:rFonts w:ascii="Times New Roman" w:hAnsi="Times New Roman" w:cs="Times New Roman"/>
          <w:color w:val="auto"/>
          <w:szCs w:val="21"/>
        </w:rPr>
        <w:t>33.43%</w:t>
      </w:r>
      <w:r>
        <w:rPr>
          <w:rFonts w:ascii="Times New Roman" w:hAnsi="Times New Roman" w:cs="Times New Roman"/>
          <w:color w:val="auto"/>
          <w:szCs w:val="21"/>
        </w:rPr>
        <w:t>。其中新和县风力侵蚀面积及强度情况见表</w:t>
      </w:r>
      <w:r>
        <w:rPr>
          <w:rFonts w:ascii="Times New Roman" w:hAnsi="Times New Roman" w:cs="Times New Roman"/>
          <w:color w:val="auto"/>
          <w:szCs w:val="21"/>
        </w:rPr>
        <w:t>4.2-</w:t>
      </w:r>
      <w:r>
        <w:rPr>
          <w:rFonts w:ascii="Times New Roman" w:hAnsi="Times New Roman" w:cs="Times New Roman" w:hint="eastAsia"/>
          <w:color w:val="auto"/>
          <w:szCs w:val="21"/>
        </w:rPr>
        <w:t>8</w:t>
      </w:r>
      <w:r>
        <w:rPr>
          <w:rFonts w:ascii="Times New Roman" w:hAnsi="Times New Roman" w:cs="Times New Roman"/>
          <w:color w:val="auto"/>
          <w:szCs w:val="21"/>
        </w:rPr>
        <w:t>。</w:t>
      </w:r>
    </w:p>
    <w:p w:rsidR="00C645C9" w:rsidRDefault="00F955D9">
      <w:pPr>
        <w:jc w:val="center"/>
        <w:rPr>
          <w:rFonts w:eastAsia="黑体" w:cs="Times New Roman"/>
          <w:bCs/>
          <w:sz w:val="21"/>
          <w:szCs w:val="21"/>
        </w:rPr>
      </w:pPr>
      <w:r>
        <w:rPr>
          <w:rFonts w:eastAsia="黑体" w:cs="Times New Roman" w:hint="eastAsia"/>
          <w:bCs/>
          <w:sz w:val="21"/>
          <w:szCs w:val="21"/>
        </w:rPr>
        <w:t>表</w:t>
      </w:r>
      <w:r>
        <w:rPr>
          <w:rFonts w:eastAsia="黑体" w:cs="Times New Roman" w:hint="eastAsia"/>
          <w:bCs/>
          <w:sz w:val="21"/>
          <w:szCs w:val="21"/>
        </w:rPr>
        <w:t>4.2-</w:t>
      </w:r>
      <w:r>
        <w:rPr>
          <w:rFonts w:eastAsia="黑体" w:cs="Times New Roman" w:hint="eastAsia"/>
          <w:bCs/>
          <w:sz w:val="21"/>
          <w:szCs w:val="21"/>
        </w:rPr>
        <w:t>8</w:t>
      </w:r>
      <w:r>
        <w:rPr>
          <w:rFonts w:eastAsia="黑体" w:cs="Times New Roman" w:hint="eastAsia"/>
          <w:bCs/>
          <w:sz w:val="21"/>
          <w:szCs w:val="21"/>
        </w:rPr>
        <w:t xml:space="preserve">  </w:t>
      </w:r>
      <w:r>
        <w:rPr>
          <w:rFonts w:eastAsia="黑体" w:cs="Times New Roman" w:hint="eastAsia"/>
          <w:bCs/>
          <w:sz w:val="21"/>
          <w:szCs w:val="21"/>
        </w:rPr>
        <w:t>新和县水力侵蚀面积及强度统计表</w:t>
      </w:r>
      <w:r>
        <w:rPr>
          <w:rFonts w:eastAsia="黑体" w:cs="Times New Roman" w:hint="eastAsia"/>
          <w:bCs/>
          <w:sz w:val="21"/>
          <w:szCs w:val="21"/>
        </w:rPr>
        <w:t xml:space="preserve"> </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71"/>
        <w:gridCol w:w="1210"/>
        <w:gridCol w:w="1210"/>
        <w:gridCol w:w="1210"/>
        <w:gridCol w:w="1210"/>
        <w:gridCol w:w="1210"/>
        <w:gridCol w:w="1210"/>
      </w:tblGrid>
      <w:tr w:rsidR="00C645C9">
        <w:trPr>
          <w:trHeight w:val="365"/>
        </w:trPr>
        <w:tc>
          <w:tcPr>
            <w:tcW w:w="642" w:type="pct"/>
            <w:vMerge w:val="restar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行政区</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水力侵蚀</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轻度侵蚀</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中度侵蚀</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强烈侵蚀</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极强烈侵蚀</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剧烈侵蚀</w:t>
            </w:r>
          </w:p>
        </w:tc>
      </w:tr>
      <w:tr w:rsidR="00C645C9">
        <w:trPr>
          <w:trHeight w:val="90"/>
        </w:trPr>
        <w:tc>
          <w:tcPr>
            <w:tcW w:w="642" w:type="pct"/>
            <w:vMerge/>
            <w:tcBorders>
              <w:tl2br w:val="nil"/>
              <w:tr2bl w:val="nil"/>
            </w:tcBorders>
            <w:tcMar>
              <w:top w:w="15" w:type="dxa"/>
              <w:left w:w="15" w:type="dxa"/>
              <w:right w:w="15" w:type="dxa"/>
            </w:tcMar>
            <w:vAlign w:val="center"/>
          </w:tcPr>
          <w:p w:rsidR="00C645C9" w:rsidRDefault="00C645C9">
            <w:pPr>
              <w:widowControl w:val="0"/>
              <w:jc w:val="center"/>
              <w:rPr>
                <w:rFonts w:cs="Times New Roman"/>
                <w:kern w:val="2"/>
                <w:sz w:val="21"/>
                <w:szCs w:val="21"/>
              </w:rPr>
            </w:pP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面积（</w:t>
            </w:r>
            <w:r>
              <w:rPr>
                <w:rFonts w:cs="Times New Roman" w:hint="eastAsia"/>
                <w:kern w:val="2"/>
                <w:sz w:val="21"/>
                <w:szCs w:val="21"/>
              </w:rPr>
              <w:t>km</w:t>
            </w:r>
            <w:r>
              <w:rPr>
                <w:rFonts w:cs="Times New Roman" w:hint="eastAsia"/>
                <w:kern w:val="2"/>
                <w:sz w:val="21"/>
                <w:szCs w:val="21"/>
                <w:vertAlign w:val="superscript"/>
              </w:rPr>
              <w:t>2</w:t>
            </w:r>
            <w:r>
              <w:rPr>
                <w:rFonts w:cs="Times New Roman" w:hint="eastAsia"/>
                <w:kern w:val="2"/>
                <w:sz w:val="21"/>
                <w:szCs w:val="21"/>
              </w:rPr>
              <w:t>）</w:t>
            </w:r>
          </w:p>
        </w:tc>
      </w:tr>
      <w:tr w:rsidR="00C645C9">
        <w:trPr>
          <w:trHeight w:val="285"/>
        </w:trPr>
        <w:tc>
          <w:tcPr>
            <w:tcW w:w="642"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新和县</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38.49</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33.47</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4.13</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0.65</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0.24</w:t>
            </w:r>
          </w:p>
        </w:tc>
        <w:tc>
          <w:tcPr>
            <w:tcW w:w="72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0.00</w:t>
            </w:r>
          </w:p>
        </w:tc>
      </w:tr>
    </w:tbl>
    <w:p w:rsidR="00C645C9" w:rsidRDefault="00F955D9">
      <w:pPr>
        <w:pStyle w:val="Default"/>
        <w:snapToGrid w:val="0"/>
        <w:spacing w:line="360" w:lineRule="auto"/>
        <w:ind w:firstLineChars="200" w:firstLine="480"/>
        <w:jc w:val="both"/>
        <w:rPr>
          <w:rFonts w:cs="Times New Roman"/>
          <w:color w:val="auto"/>
          <w:szCs w:val="21"/>
        </w:rPr>
      </w:pPr>
      <w:bookmarkStart w:id="1230" w:name="OLE_LINK1343"/>
      <w:r>
        <w:rPr>
          <w:rFonts w:ascii="Times New Roman" w:hAnsi="Times New Roman" w:cs="Times New Roman" w:hint="eastAsia"/>
          <w:color w:val="auto"/>
          <w:szCs w:val="21"/>
        </w:rPr>
        <w:t>本工程</w:t>
      </w:r>
      <w:bookmarkEnd w:id="1230"/>
      <w:r>
        <w:rPr>
          <w:rFonts w:ascii="Times New Roman" w:hAnsi="Times New Roman" w:cs="Times New Roman" w:hint="eastAsia"/>
          <w:color w:val="auto"/>
          <w:szCs w:val="21"/>
        </w:rPr>
        <w:t>属于油气开采项目，本工程产生水土流失的影响主要在施工期，具有临时性、短暂性特点，施工期井场采取砾石压盖，砾石压盖能有效减少风力侵蚀，降低水土流失风险；对本工程</w:t>
      </w:r>
      <w:r>
        <w:rPr>
          <w:rFonts w:ascii="Times New Roman" w:hAnsi="Times New Roman" w:cs="Times New Roman" w:hint="eastAsia"/>
          <w:color w:val="auto"/>
          <w:szCs w:val="21"/>
        </w:rPr>
        <w:t>所在</w:t>
      </w:r>
      <w:r>
        <w:rPr>
          <w:rFonts w:ascii="Times New Roman" w:hAnsi="Times New Roman" w:cs="Times New Roman" w:hint="eastAsia"/>
          <w:color w:val="auto"/>
          <w:szCs w:val="21"/>
        </w:rPr>
        <w:t>区域进行定时洒水抑尘；设置限行彩条旗，严格控制和管理施工期间车辆行驶的范围，减轻对周边区域的扰动；采取了完善的水土保持措施。施工结束后，井场恢复回填平整，不会对区域的水土保持基础功能造成影响。</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）永久基本农田</w:t>
      </w:r>
    </w:p>
    <w:p w:rsidR="00C645C9" w:rsidRDefault="00F955D9">
      <w:pPr>
        <w:spacing w:line="360" w:lineRule="auto"/>
        <w:ind w:firstLineChars="200" w:firstLine="480"/>
        <w:jc w:val="both"/>
        <w:rPr>
          <w:rFonts w:cs="Times New Roman"/>
          <w:szCs w:val="21"/>
        </w:rPr>
      </w:pPr>
      <w:r>
        <w:rPr>
          <w:rFonts w:cs="Times New Roman"/>
          <w:szCs w:val="21"/>
        </w:rPr>
        <w:t>本工程不占用永久基本农田，但新北</w:t>
      </w:r>
      <w:r>
        <w:rPr>
          <w:rFonts w:cs="Times New Roman"/>
          <w:szCs w:val="21"/>
        </w:rPr>
        <w:t>1X</w:t>
      </w:r>
      <w:r>
        <w:rPr>
          <w:rFonts w:cs="Times New Roman"/>
          <w:szCs w:val="21"/>
        </w:rPr>
        <w:t>井和新北</w:t>
      </w:r>
      <w:r>
        <w:rPr>
          <w:rFonts w:cs="Times New Roman"/>
          <w:szCs w:val="21"/>
        </w:rPr>
        <w:t>7</w:t>
      </w:r>
      <w:r>
        <w:rPr>
          <w:rFonts w:cs="Times New Roman"/>
          <w:szCs w:val="21"/>
        </w:rPr>
        <w:t>井井场生态环境评价范围内分布有永久基本农田，本工程周边永久基本农田现状见图</w:t>
      </w:r>
      <w:r>
        <w:rPr>
          <w:rFonts w:cs="Times New Roman"/>
          <w:szCs w:val="21"/>
        </w:rPr>
        <w:t>4.2-4</w:t>
      </w:r>
      <w:r>
        <w:rPr>
          <w:rFonts w:cs="Times New Roman"/>
          <w:szCs w:val="21"/>
        </w:rPr>
        <w:t>。保护内容主要为水土流失防治、土壤肥力、农田面积等，虽不属于生态敏感区，但其属于环境敏感区之列，在此做简要调查评价。</w:t>
      </w:r>
    </w:p>
    <w:p w:rsidR="00C645C9" w:rsidRDefault="00F955D9">
      <w:pPr>
        <w:spacing w:line="360" w:lineRule="auto"/>
        <w:ind w:firstLineChars="200" w:firstLine="480"/>
        <w:jc w:val="both"/>
        <w:rPr>
          <w:rFonts w:cs="Times New Roman"/>
          <w:szCs w:val="21"/>
        </w:rPr>
      </w:pPr>
      <w:bookmarkStart w:id="1231" w:name="OLE_LINK1447"/>
      <w:r>
        <w:rPr>
          <w:rFonts w:cs="Times New Roman"/>
          <w:szCs w:val="21"/>
        </w:rPr>
        <w:t>根据调查，新北</w:t>
      </w:r>
      <w:r>
        <w:rPr>
          <w:rFonts w:cs="Times New Roman"/>
          <w:szCs w:val="21"/>
        </w:rPr>
        <w:t>1X</w:t>
      </w:r>
      <w:r>
        <w:rPr>
          <w:rFonts w:cs="Times New Roman"/>
          <w:szCs w:val="21"/>
        </w:rPr>
        <w:t>井井场距渭干买里村永久基本农田最近距离为</w:t>
      </w:r>
      <w:r>
        <w:rPr>
          <w:rFonts w:cs="Times New Roman" w:hint="eastAsia"/>
          <w:szCs w:val="21"/>
        </w:rPr>
        <w:t>2</w:t>
      </w:r>
      <w:r>
        <w:rPr>
          <w:rFonts w:cs="Times New Roman"/>
          <w:szCs w:val="21"/>
        </w:rPr>
        <w:t>米，农田类型为水浇地，主要种植作物是棉花和小麦；新北</w:t>
      </w:r>
      <w:r>
        <w:rPr>
          <w:rFonts w:cs="Times New Roman"/>
          <w:szCs w:val="21"/>
        </w:rPr>
        <w:t>7</w:t>
      </w:r>
      <w:r>
        <w:rPr>
          <w:rFonts w:cs="Times New Roman"/>
          <w:szCs w:val="21"/>
        </w:rPr>
        <w:t>井井场距奥依其兰村永久</w:t>
      </w:r>
      <w:r>
        <w:rPr>
          <w:rFonts w:cs="Times New Roman"/>
          <w:szCs w:val="21"/>
        </w:rPr>
        <w:lastRenderedPageBreak/>
        <w:t>基本农田最近距离为</w:t>
      </w:r>
      <w:r>
        <w:rPr>
          <w:rFonts w:cs="Times New Roman"/>
          <w:szCs w:val="21"/>
        </w:rPr>
        <w:t>37</w:t>
      </w:r>
      <w:r>
        <w:rPr>
          <w:rFonts w:cs="Times New Roman"/>
          <w:szCs w:val="21"/>
        </w:rPr>
        <w:t>米，主要种植作物是核桃和小麦等。本工程建设不会对工程周边永久基本农田产生影响，本工程与基本农田位置关系见图</w:t>
      </w:r>
      <w:r>
        <w:rPr>
          <w:rFonts w:cs="Times New Roman" w:hint="eastAsia"/>
          <w:szCs w:val="21"/>
        </w:rPr>
        <w:t>4.2-5</w:t>
      </w:r>
      <w:bookmarkEnd w:id="1231"/>
      <w:r>
        <w:rPr>
          <w:rFonts w:cs="Times New Roman" w:hint="eastAsia"/>
          <w:szCs w:val="21"/>
        </w:rPr>
        <w:t>。</w:t>
      </w:r>
    </w:p>
    <w:p w:rsidR="00C645C9" w:rsidRDefault="00C645C9">
      <w:pPr>
        <w:jc w:val="center"/>
        <w:rPr>
          <w:rFonts w:cs="Times New Roman"/>
          <w:szCs w:val="21"/>
        </w:rPr>
      </w:pPr>
    </w:p>
    <w:p w:rsidR="00C645C9" w:rsidRDefault="00F955D9">
      <w:pPr>
        <w:widowControl w:val="0"/>
        <w:adjustRightInd w:val="0"/>
        <w:snapToGrid w:val="0"/>
        <w:jc w:val="center"/>
        <w:rPr>
          <w:rFonts w:cs="Times New Roman"/>
          <w:szCs w:val="21"/>
          <w:lang w:val="zh-CN"/>
        </w:rPr>
      </w:pPr>
      <w:r>
        <w:rPr>
          <w:rFonts w:eastAsia="黑体" w:cs="Times New Roman" w:hint="eastAsia"/>
          <w:bCs/>
          <w:sz w:val="21"/>
          <w:szCs w:val="21"/>
        </w:rPr>
        <w:t>图</w:t>
      </w:r>
      <w:r>
        <w:rPr>
          <w:rFonts w:eastAsia="黑体" w:cs="Times New Roman" w:hint="eastAsia"/>
          <w:bCs/>
          <w:sz w:val="21"/>
          <w:szCs w:val="21"/>
        </w:rPr>
        <w:t xml:space="preserve">4.2-4  </w:t>
      </w:r>
      <w:r>
        <w:rPr>
          <w:rFonts w:eastAsia="黑体" w:cs="Times New Roman" w:hint="eastAsia"/>
          <w:bCs/>
          <w:sz w:val="21"/>
          <w:szCs w:val="21"/>
        </w:rPr>
        <w:t>本工程</w:t>
      </w:r>
      <w:r>
        <w:rPr>
          <w:rFonts w:eastAsia="黑体" w:cs="Times New Roman" w:hint="eastAsia"/>
          <w:bCs/>
          <w:sz w:val="21"/>
          <w:szCs w:val="21"/>
        </w:rPr>
        <w:t>周边永久基本农田</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3</w:t>
      </w:r>
      <w:r>
        <w:rPr>
          <w:rFonts w:cs="Times New Roman" w:hint="eastAsia"/>
          <w:szCs w:val="21"/>
        </w:rPr>
        <w:t>）土地沙化现状</w:t>
      </w:r>
    </w:p>
    <w:p w:rsidR="00C645C9" w:rsidRDefault="00F955D9">
      <w:pPr>
        <w:spacing w:line="360" w:lineRule="auto"/>
        <w:ind w:firstLineChars="200" w:firstLine="480"/>
        <w:jc w:val="both"/>
        <w:rPr>
          <w:rFonts w:cs="Times New Roman"/>
          <w:szCs w:val="21"/>
        </w:rPr>
      </w:pPr>
      <w:r>
        <w:rPr>
          <w:rFonts w:cs="Times New Roman" w:hint="eastAsia"/>
          <w:szCs w:val="21"/>
        </w:rPr>
        <w:t>本工程位于阿克苏地区新和县，根据《新疆第六次沙化土地监测报告》，本工程所在区域属于非沙化区，本工程沙化土地类型分布情况见图</w:t>
      </w:r>
      <w:r>
        <w:rPr>
          <w:rFonts w:cs="Times New Roman" w:hint="eastAsia"/>
          <w:szCs w:val="21"/>
        </w:rPr>
        <w:t>4.2-6</w:t>
      </w:r>
      <w:r>
        <w:rPr>
          <w:rFonts w:cs="Times New Roman" w:hint="eastAsia"/>
          <w:szCs w:val="21"/>
        </w:rPr>
        <w:t>。</w:t>
      </w:r>
    </w:p>
    <w:bookmarkEnd w:id="1228"/>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val="zh-CN" w:eastAsia="zh-CN"/>
        </w:rPr>
        <w:t>4.</w:t>
      </w:r>
      <w:r>
        <w:rPr>
          <w:rFonts w:ascii="Times New Roman" w:hAnsi="Times New Roman" w:cs="Times New Roman" w:hint="eastAsia"/>
          <w:color w:val="auto"/>
          <w:lang w:eastAsia="zh-CN"/>
        </w:rPr>
        <w:t>2.8</w:t>
      </w:r>
      <w:r>
        <w:rPr>
          <w:rFonts w:ascii="Times New Roman" w:hAnsi="Times New Roman" w:cs="Times New Roman"/>
          <w:color w:val="auto"/>
          <w:lang w:eastAsia="zh-CN"/>
        </w:rPr>
        <w:t>主要生态问题调查</w:t>
      </w:r>
    </w:p>
    <w:p w:rsidR="00C645C9" w:rsidRDefault="00F955D9">
      <w:pPr>
        <w:widowControl w:val="0"/>
        <w:snapToGrid w:val="0"/>
        <w:spacing w:line="360" w:lineRule="auto"/>
        <w:ind w:firstLineChars="200" w:firstLine="460"/>
        <w:jc w:val="both"/>
        <w:rPr>
          <w:rFonts w:cs="Times New Roman"/>
          <w:spacing w:val="-5"/>
        </w:rPr>
      </w:pPr>
      <w:bookmarkStart w:id="1232" w:name="OLE_LINK1448"/>
      <w:r>
        <w:rPr>
          <w:rFonts w:cs="Times New Roman" w:hint="eastAsia"/>
          <w:spacing w:val="-5"/>
        </w:rPr>
        <w:t>本工程位于阿克苏地区新和县，工程评价区域属于渭干河三角洲绿洲农业盐渍化敏感生态功能区，项目周边农田分布面积广，自然植被分布较少。工程区整体降水量少，植被覆盖率低、物种组成简单、生态系统结构简单异质性低、气候干旱半干旱，生态环境较为脆弱。结合本次现场考察和资料分析，项目区目前主要的生态问题包括以下几方面：</w:t>
      </w:r>
    </w:p>
    <w:p w:rsidR="00C645C9" w:rsidRDefault="00F955D9">
      <w:pPr>
        <w:widowControl w:val="0"/>
        <w:snapToGrid w:val="0"/>
        <w:spacing w:line="360" w:lineRule="auto"/>
        <w:ind w:firstLineChars="200" w:firstLine="460"/>
        <w:jc w:val="both"/>
        <w:rPr>
          <w:rFonts w:cs="Times New Roman"/>
          <w:spacing w:val="-5"/>
        </w:rPr>
      </w:pPr>
      <w:r>
        <w:rPr>
          <w:rFonts w:cs="Times New Roman" w:hint="eastAsia"/>
          <w:spacing w:val="-5"/>
        </w:rPr>
        <w:t>（</w:t>
      </w:r>
      <w:r>
        <w:rPr>
          <w:rFonts w:cs="Times New Roman" w:hint="eastAsia"/>
          <w:spacing w:val="-5"/>
        </w:rPr>
        <w:t>1</w:t>
      </w:r>
      <w:r>
        <w:rPr>
          <w:rFonts w:cs="Times New Roman" w:hint="eastAsia"/>
          <w:spacing w:val="-5"/>
        </w:rPr>
        <w:t>）水土流失</w:t>
      </w:r>
    </w:p>
    <w:p w:rsidR="00C645C9" w:rsidRDefault="00F955D9">
      <w:pPr>
        <w:widowControl w:val="0"/>
        <w:snapToGrid w:val="0"/>
        <w:spacing w:line="360" w:lineRule="auto"/>
        <w:ind w:firstLineChars="200" w:firstLine="460"/>
        <w:jc w:val="both"/>
        <w:rPr>
          <w:rFonts w:cs="Times New Roman"/>
          <w:spacing w:val="-5"/>
        </w:rPr>
      </w:pPr>
      <w:r>
        <w:rPr>
          <w:rFonts w:cs="Times New Roman" w:hint="eastAsia"/>
          <w:spacing w:val="-5"/>
        </w:rPr>
        <w:t>本工程位于水土流失重点治理区。项目区气候干热，降雨少，蒸发量大，植被覆盖度较低。项目区周边农田广布，开垦农田一方面会破坏原生植被，削弱自然水土保持功能，另一方面长期单一作物种植导致土壤结构退化，使土壤更易受侵蚀。因此，水土流失是评价范围内的主要生态问题之一。</w:t>
      </w:r>
    </w:p>
    <w:p w:rsidR="00C645C9" w:rsidRDefault="00F955D9">
      <w:pPr>
        <w:widowControl w:val="0"/>
        <w:snapToGrid w:val="0"/>
        <w:spacing w:line="360" w:lineRule="auto"/>
        <w:ind w:firstLineChars="200" w:firstLine="460"/>
        <w:jc w:val="both"/>
        <w:rPr>
          <w:rFonts w:cs="Times New Roman"/>
          <w:spacing w:val="-5"/>
        </w:rPr>
      </w:pPr>
      <w:r>
        <w:rPr>
          <w:rFonts w:cs="Times New Roman" w:hint="eastAsia"/>
          <w:spacing w:val="-5"/>
        </w:rPr>
        <w:t>（</w:t>
      </w:r>
      <w:r>
        <w:rPr>
          <w:rFonts w:cs="Times New Roman" w:hint="eastAsia"/>
          <w:spacing w:val="-5"/>
        </w:rPr>
        <w:t>2</w:t>
      </w:r>
      <w:r>
        <w:rPr>
          <w:rFonts w:cs="Times New Roman" w:hint="eastAsia"/>
          <w:spacing w:val="-5"/>
        </w:rPr>
        <w:t>）土壤盐渍化</w:t>
      </w:r>
    </w:p>
    <w:p w:rsidR="00C645C9" w:rsidRDefault="00F955D9">
      <w:pPr>
        <w:widowControl w:val="0"/>
        <w:snapToGrid w:val="0"/>
        <w:spacing w:line="360" w:lineRule="auto"/>
        <w:ind w:firstLineChars="200" w:firstLine="460"/>
        <w:jc w:val="both"/>
        <w:rPr>
          <w:rFonts w:cs="Times New Roman"/>
          <w:spacing w:val="-5"/>
        </w:rPr>
      </w:pPr>
      <w:r>
        <w:rPr>
          <w:rFonts w:cs="Times New Roman" w:hint="eastAsia"/>
          <w:spacing w:val="-5"/>
        </w:rPr>
        <w:t>根据《环境影响评价技术导则</w:t>
      </w:r>
      <w:r>
        <w:rPr>
          <w:rFonts w:cs="Times New Roman" w:hint="eastAsia"/>
          <w:spacing w:val="-5"/>
        </w:rPr>
        <w:t xml:space="preserve"> </w:t>
      </w:r>
      <w:r>
        <w:rPr>
          <w:rFonts w:cs="Times New Roman" w:hint="eastAsia"/>
          <w:spacing w:val="-5"/>
        </w:rPr>
        <w:t>土壤环境（试行）》（</w:t>
      </w:r>
      <w:r>
        <w:rPr>
          <w:rFonts w:cs="Times New Roman" w:hint="eastAsia"/>
          <w:spacing w:val="-5"/>
        </w:rPr>
        <w:t>HJ964-2018</w:t>
      </w:r>
      <w:r>
        <w:rPr>
          <w:rFonts w:cs="Times New Roman" w:hint="eastAsia"/>
          <w:spacing w:val="-5"/>
        </w:rPr>
        <w:t>）和《环境影响评价技术导则</w:t>
      </w:r>
      <w:r>
        <w:rPr>
          <w:rFonts w:cs="Times New Roman" w:hint="eastAsia"/>
          <w:spacing w:val="-5"/>
        </w:rPr>
        <w:t xml:space="preserve"> </w:t>
      </w:r>
      <w:r>
        <w:rPr>
          <w:rFonts w:cs="Times New Roman" w:hint="eastAsia"/>
          <w:spacing w:val="-5"/>
        </w:rPr>
        <w:t>陆地石油天然气开发建设项目》（</w:t>
      </w:r>
      <w:r>
        <w:rPr>
          <w:rFonts w:cs="Times New Roman" w:hint="eastAsia"/>
          <w:spacing w:val="-5"/>
        </w:rPr>
        <w:t>HJ349-2023</w:t>
      </w:r>
      <w:r>
        <w:rPr>
          <w:rFonts w:cs="Times New Roman" w:hint="eastAsia"/>
          <w:spacing w:val="-5"/>
        </w:rPr>
        <w:t>）以及本次土壤监测数据，工程所在区域土壤盐分含量大于</w:t>
      </w:r>
      <w:r>
        <w:rPr>
          <w:rFonts w:cs="Times New Roman" w:hint="eastAsia"/>
          <w:spacing w:val="-5"/>
        </w:rPr>
        <w:t>4g/kg</w:t>
      </w:r>
      <w:r>
        <w:rPr>
          <w:rFonts w:cs="Times New Roman" w:hint="eastAsia"/>
          <w:spacing w:val="-5"/>
        </w:rPr>
        <w:t>，属于</w:t>
      </w:r>
      <w:r>
        <w:rPr>
          <w:rFonts w:cs="Times New Roman" w:hint="eastAsia"/>
          <w:spacing w:val="-5"/>
        </w:rPr>
        <w:t>HJ964-2018</w:t>
      </w:r>
      <w:r>
        <w:rPr>
          <w:rFonts w:cs="Times New Roman" w:hint="eastAsia"/>
          <w:spacing w:val="-5"/>
        </w:rPr>
        <w:t>附录</w:t>
      </w:r>
      <w:r>
        <w:rPr>
          <w:rFonts w:cs="Times New Roman" w:hint="eastAsia"/>
          <w:spacing w:val="-5"/>
        </w:rPr>
        <w:t>D.1</w:t>
      </w:r>
      <w:r>
        <w:rPr>
          <w:rFonts w:cs="Times New Roman" w:hint="eastAsia"/>
          <w:spacing w:val="-5"/>
        </w:rPr>
        <w:t>中中度盐化及以上地区，部分土壤监测点土壤盐分含量大于</w:t>
      </w:r>
      <w:r>
        <w:rPr>
          <w:rFonts w:cs="Times New Roman" w:hint="eastAsia"/>
          <w:spacing w:val="-5"/>
        </w:rPr>
        <w:t>6g/kg</w:t>
      </w:r>
      <w:r>
        <w:rPr>
          <w:rFonts w:cs="Times New Roman" w:hint="eastAsia"/>
          <w:spacing w:val="-5"/>
        </w:rPr>
        <w:t>，属于重度盐化，即项目所在区域属于土壤盐化地区。因此，土壤盐渍化是评价范围内的主要生态问题之一</w:t>
      </w:r>
      <w:r>
        <w:rPr>
          <w:rFonts w:cs="Times New Roman" w:hint="eastAsia"/>
          <w:spacing w:val="-5"/>
        </w:rPr>
        <w:t>。</w:t>
      </w:r>
      <w:bookmarkEnd w:id="1232"/>
    </w:p>
    <w:p w:rsidR="00C645C9" w:rsidRDefault="00F955D9">
      <w:pPr>
        <w:pStyle w:val="3"/>
        <w:widowControl w:val="0"/>
        <w:adjustRightInd w:val="0"/>
        <w:snapToGrid w:val="0"/>
        <w:spacing w:before="0" w:after="0" w:line="360" w:lineRule="auto"/>
        <w:rPr>
          <w:rFonts w:ascii="Times New Roman" w:hAnsi="Times New Roman" w:cs="Times New Roman"/>
          <w:color w:val="auto"/>
          <w:lang w:val="zh-CN" w:eastAsia="zh-CN"/>
        </w:rPr>
      </w:pPr>
      <w:bookmarkStart w:id="1233" w:name="_Toc32204"/>
      <w:bookmarkStart w:id="1234" w:name="_Toc9056"/>
      <w:bookmarkStart w:id="1235" w:name="_Toc20589"/>
      <w:r>
        <w:rPr>
          <w:rFonts w:ascii="Times New Roman" w:hAnsi="Times New Roman" w:cs="Times New Roman"/>
          <w:color w:val="auto"/>
          <w:lang w:val="zh-CN" w:eastAsia="zh-CN"/>
        </w:rPr>
        <w:t>4.</w:t>
      </w:r>
      <w:r>
        <w:rPr>
          <w:rFonts w:ascii="Times New Roman" w:hAnsi="Times New Roman" w:cs="Times New Roman" w:hint="eastAsia"/>
          <w:color w:val="auto"/>
          <w:lang w:eastAsia="zh-CN"/>
        </w:rPr>
        <w:t>2.9</w:t>
      </w:r>
      <w:r>
        <w:rPr>
          <w:rFonts w:ascii="Times New Roman" w:hAnsi="Times New Roman" w:cs="Times New Roman"/>
          <w:color w:val="auto"/>
          <w:lang w:val="zh-CN" w:eastAsia="zh-CN"/>
        </w:rPr>
        <w:t>生态环境现状小结</w:t>
      </w:r>
      <w:bookmarkEnd w:id="1233"/>
      <w:bookmarkEnd w:id="1234"/>
      <w:bookmarkEnd w:id="1235"/>
    </w:p>
    <w:p w:rsidR="00C645C9" w:rsidRDefault="00F955D9" w:rsidP="005718BB">
      <w:pPr>
        <w:pStyle w:val="afff5"/>
        <w:widowControl w:val="0"/>
        <w:ind w:firstLine="480"/>
      </w:pPr>
      <w:r>
        <w:rPr>
          <w:rFonts w:hint="eastAsia"/>
        </w:rPr>
        <w:t>本工程位于在中国石油化工股份有限公司西北油田分公司天山南缘区块油气勘查区，</w:t>
      </w:r>
      <w:bookmarkStart w:id="1236" w:name="OLE_LINK1327"/>
      <w:r>
        <w:rPr>
          <w:rFonts w:hint="eastAsia"/>
        </w:rPr>
        <w:t>本工程</w:t>
      </w:r>
      <w:bookmarkEnd w:id="1236"/>
      <w:r>
        <w:rPr>
          <w:rFonts w:hint="eastAsia"/>
        </w:rPr>
        <w:t>所在区域地势较为平坦，属于渭干河三角洲绿洲农业盐渍化敏感生态功能区。评价区域内不涉及国家公园、自然保护区、自然公园等自然保护地、世界自然遗产、生态保护红线等法定生态保护区域，也没有重要物种的天然集中分布区、栖息地等重要生境，本工程距离</w:t>
      </w:r>
      <w:r>
        <w:rPr>
          <w:rFonts w:hint="eastAsia"/>
        </w:rPr>
        <w:t>最近的生态保护红线是北侧</w:t>
      </w:r>
      <w:r>
        <w:rPr>
          <w:rFonts w:hint="eastAsia"/>
        </w:rPr>
        <w:t>36.7km</w:t>
      </w:r>
      <w:r>
        <w:rPr>
          <w:rFonts w:hint="eastAsia"/>
        </w:rPr>
        <w:lastRenderedPageBreak/>
        <w:t>的天山水源涵养与生物多样性维护生态保护红线区。生态保护目标主要为区域重要野生动植物、永久基本农田及水土流失重点治理区等，本工程不占用永久基本农田，新北</w:t>
      </w:r>
      <w:r>
        <w:rPr>
          <w:rFonts w:hint="eastAsia"/>
        </w:rPr>
        <w:t>1X</w:t>
      </w:r>
      <w:r>
        <w:rPr>
          <w:rFonts w:hint="eastAsia"/>
        </w:rPr>
        <w:t>井距永久基本农田最近距离为</w:t>
      </w:r>
      <w:r>
        <w:rPr>
          <w:rFonts w:hint="eastAsia"/>
        </w:rPr>
        <w:t>1</w:t>
      </w:r>
      <w:r>
        <w:rPr>
          <w:rFonts w:hint="eastAsia"/>
        </w:rPr>
        <w:t>米，新北</w:t>
      </w:r>
      <w:r>
        <w:rPr>
          <w:rFonts w:hint="eastAsia"/>
        </w:rPr>
        <w:t>7</w:t>
      </w:r>
      <w:r>
        <w:rPr>
          <w:rFonts w:hint="eastAsia"/>
        </w:rPr>
        <w:t>井距永久基本农田最近距离为</w:t>
      </w:r>
      <w:r>
        <w:rPr>
          <w:rFonts w:hint="eastAsia"/>
        </w:rPr>
        <w:t>37</w:t>
      </w:r>
      <w:r>
        <w:rPr>
          <w:rFonts w:hint="eastAsia"/>
        </w:rPr>
        <w:t>米，均位于评价范围内。</w:t>
      </w:r>
    </w:p>
    <w:p w:rsidR="00C645C9" w:rsidRDefault="00F955D9" w:rsidP="005718BB">
      <w:pPr>
        <w:pStyle w:val="afff5"/>
        <w:widowControl w:val="0"/>
        <w:ind w:firstLine="480"/>
      </w:pPr>
      <w:r>
        <w:rPr>
          <w:rFonts w:hint="eastAsia"/>
        </w:rPr>
        <w:t>本工程所在区域植被以人工栽培的作物为主，自然植被主要以多枝柽柳、胡杨、盐穗木为主，偶有疏叶骆驼刺等；评价范围内涉及的土地利用类型主要为水浇地、果园、农村道路和采矿用地，本工程占地主要是果园和水浇地；根据《新疆第六次沙化土地监测报告</w:t>
      </w:r>
      <w:r>
        <w:rPr>
          <w:rFonts w:hint="eastAsia"/>
        </w:rPr>
        <w:t>》，本工程所在区域属于非沙化区；现场调查中未发现国家及自治区级重点保护野生植物，未见到国家二级保护动物塔里木兔，观测到麻雀和灰斑鸠等鸟类，密点麻蜥、荒漠麻蜥等两栖动物。评价区域内受人为活动影响较大，生态系统类型简单、脆弱，主要是农田生态系统和荒漠生态系统，环境异质性较低，系统受扰动后自我恢复的能力较弱。本工程主要生态环境现状统计情况见表</w:t>
      </w:r>
      <w:r>
        <w:rPr>
          <w:rFonts w:hint="eastAsia"/>
        </w:rPr>
        <w:t>4.2-9</w:t>
      </w:r>
      <w:r>
        <w:rPr>
          <w:rFonts w:hint="eastAsia"/>
        </w:rPr>
        <w:t>。</w:t>
      </w:r>
    </w:p>
    <w:p w:rsidR="00C645C9" w:rsidRDefault="00F955D9">
      <w:pPr>
        <w:jc w:val="center"/>
        <w:rPr>
          <w:rFonts w:eastAsia="黑体" w:cs="Times New Roman"/>
          <w:bCs/>
          <w:sz w:val="21"/>
          <w:szCs w:val="21"/>
        </w:rPr>
      </w:pPr>
      <w:r>
        <w:rPr>
          <w:rFonts w:eastAsia="黑体" w:cs="Times New Roman" w:hint="eastAsia"/>
          <w:bCs/>
          <w:sz w:val="21"/>
          <w:szCs w:val="21"/>
        </w:rPr>
        <w:t>表</w:t>
      </w:r>
      <w:r>
        <w:rPr>
          <w:rFonts w:eastAsia="黑体" w:cs="Times New Roman" w:hint="eastAsia"/>
          <w:bCs/>
          <w:sz w:val="21"/>
          <w:szCs w:val="21"/>
        </w:rPr>
        <w:t xml:space="preserve">4.2-9  </w:t>
      </w:r>
      <w:r>
        <w:rPr>
          <w:rFonts w:eastAsia="黑体" w:cs="Times New Roman" w:hint="eastAsia"/>
          <w:bCs/>
          <w:sz w:val="21"/>
          <w:szCs w:val="21"/>
        </w:rPr>
        <w:t>本工程主要生态环境现状统计表</w:t>
      </w:r>
      <w:r>
        <w:rPr>
          <w:rFonts w:eastAsia="黑体" w:cs="Times New Roman" w:hint="eastAsia"/>
          <w:bCs/>
          <w:sz w:val="21"/>
          <w:szCs w:val="21"/>
        </w:rPr>
        <w:t xml:space="preserve"> </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28"/>
        <w:gridCol w:w="1275"/>
        <w:gridCol w:w="1035"/>
        <w:gridCol w:w="1785"/>
        <w:gridCol w:w="1350"/>
        <w:gridCol w:w="1860"/>
      </w:tblGrid>
      <w:tr w:rsidR="00C645C9">
        <w:trPr>
          <w:trHeight w:val="312"/>
        </w:trPr>
        <w:tc>
          <w:tcPr>
            <w:tcW w:w="61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井场名称</w:t>
            </w:r>
          </w:p>
        </w:tc>
        <w:tc>
          <w:tcPr>
            <w:tcW w:w="765"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工程内容</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土壤类型</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土地利用类型</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植被类型</w:t>
            </w:r>
          </w:p>
        </w:tc>
        <w:tc>
          <w:tcPr>
            <w:tcW w:w="111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生态系统类型</w:t>
            </w:r>
          </w:p>
        </w:tc>
      </w:tr>
      <w:tr w:rsidR="00C645C9">
        <w:trPr>
          <w:trHeight w:val="312"/>
        </w:trPr>
        <w:tc>
          <w:tcPr>
            <w:tcW w:w="616" w:type="pct"/>
            <w:vMerge w:val="restar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新北</w:t>
            </w:r>
            <w:r>
              <w:rPr>
                <w:rFonts w:cs="Times New Roman" w:hint="eastAsia"/>
                <w:kern w:val="2"/>
                <w:sz w:val="21"/>
                <w:szCs w:val="21"/>
              </w:rPr>
              <w:t>1X</w:t>
            </w:r>
            <w:r>
              <w:rPr>
                <w:rFonts w:cs="Times New Roman" w:hint="eastAsia"/>
                <w:kern w:val="2"/>
                <w:sz w:val="21"/>
                <w:szCs w:val="21"/>
              </w:rPr>
              <w:t>井</w:t>
            </w:r>
          </w:p>
        </w:tc>
        <w:tc>
          <w:tcPr>
            <w:tcW w:w="765" w:type="pct"/>
            <w:tcBorders>
              <w:tl2br w:val="nil"/>
              <w:tr2bl w:val="nil"/>
            </w:tcBorders>
            <w:tcMar>
              <w:top w:w="15" w:type="dxa"/>
              <w:left w:w="15" w:type="dxa"/>
              <w:right w:w="15" w:type="dxa"/>
            </w:tcMar>
            <w:vAlign w:val="center"/>
          </w:tcPr>
          <w:p w:rsidR="00C645C9" w:rsidRDefault="00F955D9">
            <w:pPr>
              <w:jc w:val="center"/>
              <w:rPr>
                <w:rFonts w:cs="Times New Roman"/>
                <w:kern w:val="2"/>
                <w:sz w:val="21"/>
                <w:szCs w:val="21"/>
              </w:rPr>
            </w:pPr>
            <w:r>
              <w:rPr>
                <w:rFonts w:cs="Times New Roman"/>
                <w:sz w:val="21"/>
                <w:szCs w:val="21"/>
              </w:rPr>
              <w:t>井场</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采矿用地</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w:t>
            </w:r>
          </w:p>
        </w:tc>
        <w:tc>
          <w:tcPr>
            <w:tcW w:w="1116" w:type="pct"/>
            <w:tcBorders>
              <w:tl2br w:val="nil"/>
              <w:tr2bl w:val="nil"/>
            </w:tcBorders>
            <w:shd w:val="clear" w:color="auto" w:fill="auto"/>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城镇生态系统</w:t>
            </w:r>
          </w:p>
        </w:tc>
      </w:tr>
      <w:tr w:rsidR="00C645C9">
        <w:trPr>
          <w:trHeight w:val="312"/>
        </w:trPr>
        <w:tc>
          <w:tcPr>
            <w:tcW w:w="616" w:type="pct"/>
            <w:vMerge/>
            <w:tcBorders>
              <w:tl2br w:val="nil"/>
              <w:tr2bl w:val="nil"/>
            </w:tcBorders>
            <w:tcMar>
              <w:top w:w="15" w:type="dxa"/>
              <w:left w:w="15" w:type="dxa"/>
              <w:right w:w="15" w:type="dxa"/>
            </w:tcMar>
            <w:vAlign w:val="center"/>
          </w:tcPr>
          <w:p w:rsidR="00C645C9" w:rsidRDefault="00C645C9">
            <w:pPr>
              <w:widowControl w:val="0"/>
              <w:jc w:val="center"/>
              <w:rPr>
                <w:rFonts w:cs="Times New Roman"/>
                <w:kern w:val="2"/>
                <w:sz w:val="21"/>
                <w:szCs w:val="21"/>
              </w:rPr>
            </w:pPr>
          </w:p>
        </w:tc>
        <w:tc>
          <w:tcPr>
            <w:tcW w:w="765" w:type="pct"/>
            <w:tcBorders>
              <w:tl2br w:val="nil"/>
              <w:tr2bl w:val="nil"/>
            </w:tcBorders>
            <w:tcMar>
              <w:top w:w="15" w:type="dxa"/>
              <w:left w:w="15" w:type="dxa"/>
              <w:right w:w="15" w:type="dxa"/>
            </w:tcMar>
            <w:vAlign w:val="center"/>
          </w:tcPr>
          <w:p w:rsidR="00C645C9" w:rsidRDefault="00F955D9">
            <w:pPr>
              <w:pStyle w:val="afe"/>
              <w:spacing w:before="24" w:after="24"/>
              <w:ind w:firstLineChars="0" w:firstLine="0"/>
              <w:rPr>
                <w:rFonts w:ascii="Times New Roman" w:hAnsi="Times New Roman"/>
                <w:kern w:val="2"/>
                <w:sz w:val="21"/>
                <w:szCs w:val="21"/>
              </w:rPr>
            </w:pPr>
            <w:r>
              <w:rPr>
                <w:rFonts w:ascii="Times New Roman" w:hAnsi="Times New Roman"/>
                <w:sz w:val="21"/>
                <w:szCs w:val="21"/>
              </w:rPr>
              <w:t>放喷池</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采矿用地</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w:t>
            </w:r>
          </w:p>
        </w:tc>
        <w:tc>
          <w:tcPr>
            <w:tcW w:w="1116" w:type="pct"/>
            <w:tcBorders>
              <w:tl2br w:val="nil"/>
              <w:tr2bl w:val="nil"/>
            </w:tcBorders>
            <w:shd w:val="clear" w:color="auto" w:fill="auto"/>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城镇生态系统</w:t>
            </w:r>
          </w:p>
        </w:tc>
      </w:tr>
      <w:tr w:rsidR="00C645C9">
        <w:trPr>
          <w:trHeight w:val="312"/>
        </w:trPr>
        <w:tc>
          <w:tcPr>
            <w:tcW w:w="616" w:type="pct"/>
            <w:vMerge/>
            <w:tcBorders>
              <w:tl2br w:val="nil"/>
              <w:tr2bl w:val="nil"/>
            </w:tcBorders>
            <w:tcMar>
              <w:top w:w="15" w:type="dxa"/>
              <w:left w:w="15" w:type="dxa"/>
              <w:right w:w="15" w:type="dxa"/>
            </w:tcMar>
            <w:vAlign w:val="center"/>
          </w:tcPr>
          <w:p w:rsidR="00C645C9" w:rsidRDefault="00C645C9">
            <w:pPr>
              <w:widowControl w:val="0"/>
              <w:jc w:val="center"/>
              <w:rPr>
                <w:rFonts w:cs="Times New Roman"/>
                <w:kern w:val="2"/>
                <w:sz w:val="21"/>
                <w:szCs w:val="21"/>
              </w:rPr>
            </w:pPr>
          </w:p>
        </w:tc>
        <w:tc>
          <w:tcPr>
            <w:tcW w:w="765" w:type="pct"/>
            <w:tcBorders>
              <w:tl2br w:val="nil"/>
              <w:tr2bl w:val="nil"/>
            </w:tcBorders>
            <w:tcMar>
              <w:top w:w="15" w:type="dxa"/>
              <w:left w:w="15" w:type="dxa"/>
              <w:right w:w="15" w:type="dxa"/>
            </w:tcMar>
            <w:vAlign w:val="center"/>
          </w:tcPr>
          <w:p w:rsidR="00C645C9" w:rsidRDefault="00F955D9">
            <w:pPr>
              <w:pStyle w:val="afe"/>
              <w:spacing w:before="24" w:after="24"/>
              <w:ind w:firstLineChars="0" w:firstLine="0"/>
              <w:rPr>
                <w:rFonts w:ascii="Times New Roman" w:hAnsi="Times New Roman"/>
                <w:kern w:val="2"/>
                <w:sz w:val="21"/>
                <w:szCs w:val="21"/>
              </w:rPr>
            </w:pPr>
            <w:r>
              <w:rPr>
                <w:rFonts w:ascii="Times New Roman" w:hAnsi="Times New Roman"/>
                <w:sz w:val="21"/>
                <w:szCs w:val="21"/>
              </w:rPr>
              <w:t>临时生活区</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果园</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核桃</w:t>
            </w:r>
            <w:r>
              <w:rPr>
                <w:rFonts w:cs="Times New Roman" w:hint="eastAsia"/>
                <w:kern w:val="2"/>
                <w:sz w:val="21"/>
                <w:szCs w:val="21"/>
              </w:rPr>
              <w:t>、小麦</w:t>
            </w:r>
          </w:p>
        </w:tc>
        <w:tc>
          <w:tcPr>
            <w:tcW w:w="1116" w:type="pct"/>
            <w:tcBorders>
              <w:tl2br w:val="nil"/>
              <w:tr2bl w:val="nil"/>
            </w:tcBorders>
            <w:shd w:val="clear" w:color="auto" w:fill="auto"/>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农田生态系统</w:t>
            </w:r>
          </w:p>
        </w:tc>
      </w:tr>
      <w:tr w:rsidR="00C645C9">
        <w:trPr>
          <w:trHeight w:val="312"/>
        </w:trPr>
        <w:tc>
          <w:tcPr>
            <w:tcW w:w="616" w:type="pct"/>
            <w:vMerge w:val="restar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新北</w:t>
            </w:r>
            <w:r>
              <w:rPr>
                <w:rFonts w:cs="Times New Roman" w:hint="eastAsia"/>
                <w:kern w:val="2"/>
                <w:sz w:val="21"/>
                <w:szCs w:val="21"/>
              </w:rPr>
              <w:t>7</w:t>
            </w:r>
            <w:r>
              <w:rPr>
                <w:rFonts w:cs="Times New Roman" w:hint="eastAsia"/>
                <w:kern w:val="2"/>
                <w:sz w:val="21"/>
                <w:szCs w:val="21"/>
              </w:rPr>
              <w:t>井</w:t>
            </w:r>
          </w:p>
        </w:tc>
        <w:tc>
          <w:tcPr>
            <w:tcW w:w="765" w:type="pct"/>
            <w:tcBorders>
              <w:tl2br w:val="nil"/>
              <w:tr2bl w:val="nil"/>
            </w:tcBorders>
            <w:tcMar>
              <w:top w:w="15" w:type="dxa"/>
              <w:left w:w="15" w:type="dxa"/>
              <w:right w:w="15" w:type="dxa"/>
            </w:tcMar>
            <w:vAlign w:val="center"/>
          </w:tcPr>
          <w:p w:rsidR="00C645C9" w:rsidRDefault="00F955D9">
            <w:pPr>
              <w:jc w:val="center"/>
              <w:rPr>
                <w:rFonts w:cs="Times New Roman"/>
                <w:sz w:val="21"/>
                <w:szCs w:val="21"/>
              </w:rPr>
            </w:pPr>
            <w:r>
              <w:rPr>
                <w:rFonts w:cs="Times New Roman"/>
                <w:sz w:val="21"/>
                <w:szCs w:val="21"/>
              </w:rPr>
              <w:t>井场</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果园、农村道路</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核桃等农作物</w:t>
            </w:r>
          </w:p>
        </w:tc>
        <w:tc>
          <w:tcPr>
            <w:tcW w:w="111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农田生态系统</w:t>
            </w:r>
          </w:p>
        </w:tc>
      </w:tr>
      <w:tr w:rsidR="00C645C9">
        <w:trPr>
          <w:trHeight w:val="312"/>
        </w:trPr>
        <w:tc>
          <w:tcPr>
            <w:tcW w:w="616" w:type="pct"/>
            <w:vMerge/>
            <w:tcBorders>
              <w:tl2br w:val="nil"/>
              <w:tr2bl w:val="nil"/>
            </w:tcBorders>
            <w:tcMar>
              <w:top w:w="15" w:type="dxa"/>
              <w:left w:w="15" w:type="dxa"/>
              <w:right w:w="15" w:type="dxa"/>
            </w:tcMar>
            <w:vAlign w:val="center"/>
          </w:tcPr>
          <w:p w:rsidR="00C645C9" w:rsidRDefault="00C645C9">
            <w:pPr>
              <w:widowControl w:val="0"/>
              <w:jc w:val="center"/>
              <w:rPr>
                <w:rFonts w:cs="Times New Roman"/>
                <w:kern w:val="2"/>
                <w:sz w:val="21"/>
                <w:szCs w:val="21"/>
              </w:rPr>
            </w:pPr>
          </w:p>
        </w:tc>
        <w:tc>
          <w:tcPr>
            <w:tcW w:w="765" w:type="pct"/>
            <w:tcBorders>
              <w:tl2br w:val="nil"/>
              <w:tr2bl w:val="nil"/>
            </w:tcBorders>
            <w:tcMar>
              <w:top w:w="15" w:type="dxa"/>
              <w:left w:w="15" w:type="dxa"/>
              <w:right w:w="15" w:type="dxa"/>
            </w:tcMar>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放喷池</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果园</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核桃等农作物</w:t>
            </w:r>
          </w:p>
        </w:tc>
        <w:tc>
          <w:tcPr>
            <w:tcW w:w="111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农田生态系统</w:t>
            </w:r>
          </w:p>
        </w:tc>
      </w:tr>
      <w:tr w:rsidR="00C645C9">
        <w:trPr>
          <w:trHeight w:val="312"/>
        </w:trPr>
        <w:tc>
          <w:tcPr>
            <w:tcW w:w="616" w:type="pct"/>
            <w:vMerge/>
            <w:tcBorders>
              <w:tl2br w:val="nil"/>
              <w:tr2bl w:val="nil"/>
            </w:tcBorders>
            <w:tcMar>
              <w:top w:w="15" w:type="dxa"/>
              <w:left w:w="15" w:type="dxa"/>
              <w:right w:w="15" w:type="dxa"/>
            </w:tcMar>
            <w:vAlign w:val="center"/>
          </w:tcPr>
          <w:p w:rsidR="00C645C9" w:rsidRDefault="00C645C9">
            <w:pPr>
              <w:widowControl w:val="0"/>
              <w:jc w:val="center"/>
              <w:rPr>
                <w:rFonts w:cs="Times New Roman"/>
                <w:kern w:val="2"/>
                <w:sz w:val="21"/>
                <w:szCs w:val="21"/>
              </w:rPr>
            </w:pPr>
          </w:p>
        </w:tc>
        <w:tc>
          <w:tcPr>
            <w:tcW w:w="765" w:type="pct"/>
            <w:tcBorders>
              <w:tl2br w:val="nil"/>
              <w:tr2bl w:val="nil"/>
            </w:tcBorders>
            <w:tcMar>
              <w:top w:w="15" w:type="dxa"/>
              <w:left w:w="15" w:type="dxa"/>
              <w:right w:w="15" w:type="dxa"/>
            </w:tcMar>
            <w:vAlign w:val="center"/>
          </w:tcPr>
          <w:p w:rsidR="00C645C9" w:rsidRDefault="00F955D9">
            <w:pPr>
              <w:pStyle w:val="afe"/>
              <w:spacing w:before="24" w:after="24"/>
              <w:ind w:firstLineChars="0" w:firstLine="0"/>
              <w:rPr>
                <w:rFonts w:ascii="Times New Roman" w:hAnsi="Times New Roman"/>
                <w:sz w:val="21"/>
                <w:szCs w:val="21"/>
              </w:rPr>
            </w:pPr>
            <w:r>
              <w:rPr>
                <w:rFonts w:ascii="Times New Roman" w:hAnsi="Times New Roman"/>
                <w:sz w:val="21"/>
                <w:szCs w:val="21"/>
              </w:rPr>
              <w:t>临时生活区</w:t>
            </w:r>
          </w:p>
        </w:tc>
        <w:tc>
          <w:tcPr>
            <w:tcW w:w="62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潮土</w:t>
            </w:r>
          </w:p>
        </w:tc>
        <w:tc>
          <w:tcPr>
            <w:tcW w:w="1071"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果园</w:t>
            </w:r>
          </w:p>
        </w:tc>
        <w:tc>
          <w:tcPr>
            <w:tcW w:w="810"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核桃等农作物</w:t>
            </w:r>
          </w:p>
        </w:tc>
        <w:tc>
          <w:tcPr>
            <w:tcW w:w="1116" w:type="pct"/>
            <w:tcBorders>
              <w:tl2br w:val="nil"/>
              <w:tr2bl w:val="nil"/>
            </w:tcBorders>
            <w:tcMar>
              <w:top w:w="15" w:type="dxa"/>
              <w:left w:w="15" w:type="dxa"/>
              <w:right w:w="15" w:type="dxa"/>
            </w:tcMar>
            <w:vAlign w:val="center"/>
          </w:tcPr>
          <w:p w:rsidR="00C645C9" w:rsidRDefault="00F955D9">
            <w:pPr>
              <w:widowControl w:val="0"/>
              <w:jc w:val="center"/>
              <w:rPr>
                <w:rFonts w:cs="Times New Roman"/>
                <w:kern w:val="2"/>
                <w:sz w:val="21"/>
                <w:szCs w:val="21"/>
              </w:rPr>
            </w:pPr>
            <w:r>
              <w:rPr>
                <w:rFonts w:cs="Times New Roman" w:hint="eastAsia"/>
                <w:kern w:val="2"/>
                <w:sz w:val="21"/>
                <w:szCs w:val="21"/>
              </w:rPr>
              <w:t>农田生态系统</w:t>
            </w:r>
          </w:p>
        </w:tc>
      </w:tr>
    </w:tbl>
    <w:p w:rsidR="00C645C9" w:rsidRDefault="00C645C9" w:rsidP="005718BB">
      <w:pPr>
        <w:pStyle w:val="afff5"/>
        <w:widowControl w:val="0"/>
        <w:ind w:firstLine="480"/>
        <w:sectPr w:rsidR="00C645C9">
          <w:pgSz w:w="11906" w:h="16838"/>
          <w:pgMar w:top="1440" w:right="1800" w:bottom="1440" w:left="1800" w:header="851" w:footer="1134" w:gutter="0"/>
          <w:cols w:space="720"/>
          <w:docGrid w:linePitch="326"/>
        </w:sectPr>
      </w:pPr>
    </w:p>
    <w:p w:rsidR="00C645C9" w:rsidRDefault="00C645C9">
      <w:pPr>
        <w:pStyle w:val="afff5"/>
        <w:widowControl w:val="0"/>
        <w:ind w:firstLineChars="0" w:firstLine="0"/>
        <w:rPr>
          <w:rFonts w:eastAsia="黑体" w:cs="Times New Roman"/>
          <w:bCs/>
          <w:sz w:val="21"/>
          <w:szCs w:val="21"/>
        </w:rPr>
      </w:pPr>
    </w:p>
    <w:p w:rsidR="00C645C9" w:rsidRDefault="00F955D9">
      <w:pPr>
        <w:pStyle w:val="afff5"/>
        <w:widowControl w:val="0"/>
        <w:ind w:firstLineChars="0" w:firstLine="0"/>
        <w:jc w:val="center"/>
        <w:rPr>
          <w:rFonts w:eastAsia="黑体" w:cs="Times New Roman"/>
          <w:bCs/>
          <w:sz w:val="21"/>
          <w:szCs w:val="21"/>
        </w:rPr>
        <w:sectPr w:rsidR="00C645C9">
          <w:pgSz w:w="16838" w:h="11906" w:orient="landscape"/>
          <w:pgMar w:top="1800" w:right="1440" w:bottom="1800" w:left="1440" w:header="851" w:footer="1134" w:gutter="0"/>
          <w:cols w:space="720"/>
          <w:docGrid w:linePitch="326"/>
        </w:sectPr>
      </w:pPr>
      <w:r>
        <w:rPr>
          <w:rFonts w:eastAsia="黑体" w:cs="Times New Roman" w:hint="eastAsia"/>
          <w:bCs/>
          <w:sz w:val="21"/>
          <w:szCs w:val="21"/>
        </w:rPr>
        <w:t>图</w:t>
      </w:r>
      <w:r>
        <w:rPr>
          <w:rFonts w:eastAsia="黑体" w:cs="Times New Roman" w:hint="eastAsia"/>
          <w:bCs/>
          <w:sz w:val="21"/>
          <w:szCs w:val="21"/>
        </w:rPr>
        <w:t>4.2-</w:t>
      </w:r>
      <w:r>
        <w:rPr>
          <w:rFonts w:eastAsia="黑体" w:cs="Times New Roman" w:hint="eastAsia"/>
          <w:bCs/>
          <w:sz w:val="21"/>
          <w:szCs w:val="21"/>
        </w:rPr>
        <w:t>2</w:t>
      </w:r>
      <w:r>
        <w:rPr>
          <w:rFonts w:eastAsia="黑体" w:cs="Times New Roman" w:hint="eastAsia"/>
          <w:bCs/>
          <w:sz w:val="21"/>
          <w:szCs w:val="21"/>
        </w:rPr>
        <w:t xml:space="preserve">  </w:t>
      </w:r>
      <w:r>
        <w:rPr>
          <w:rFonts w:eastAsia="黑体" w:cs="Times New Roman" w:hint="eastAsia"/>
          <w:bCs/>
          <w:sz w:val="21"/>
          <w:szCs w:val="21"/>
        </w:rPr>
        <w:t>本工程土地利用图</w:t>
      </w:r>
    </w:p>
    <w:p w:rsidR="00C645C9" w:rsidRDefault="00C645C9">
      <w:pPr>
        <w:pStyle w:val="afff5"/>
        <w:widowControl w:val="0"/>
        <w:ind w:firstLineChars="0" w:firstLine="0"/>
        <w:jc w:val="center"/>
        <w:rPr>
          <w:rFonts w:eastAsia="黑体" w:cs="Times New Roman"/>
          <w:bCs/>
          <w:sz w:val="21"/>
          <w:szCs w:val="21"/>
        </w:rPr>
      </w:pPr>
    </w:p>
    <w:p w:rsidR="00C645C9" w:rsidRDefault="00F955D9">
      <w:pPr>
        <w:pStyle w:val="afff5"/>
        <w:widowControl w:val="0"/>
        <w:ind w:firstLineChars="0" w:firstLine="0"/>
        <w:jc w:val="center"/>
        <w:rPr>
          <w:rFonts w:eastAsia="黑体" w:cs="Times New Roman"/>
          <w:bCs/>
          <w:sz w:val="21"/>
          <w:szCs w:val="21"/>
        </w:rPr>
        <w:sectPr w:rsidR="00C645C9">
          <w:pgSz w:w="16838" w:h="11906" w:orient="landscape"/>
          <w:pgMar w:top="1800" w:right="1440" w:bottom="1800" w:left="1440" w:header="851" w:footer="1134" w:gutter="0"/>
          <w:cols w:space="720"/>
          <w:docGrid w:linePitch="326"/>
        </w:sectPr>
      </w:pPr>
      <w:r>
        <w:rPr>
          <w:rFonts w:eastAsia="黑体" w:cs="Times New Roman" w:hint="eastAsia"/>
          <w:bCs/>
          <w:sz w:val="21"/>
          <w:szCs w:val="21"/>
        </w:rPr>
        <w:t>图</w:t>
      </w:r>
      <w:r>
        <w:rPr>
          <w:rFonts w:eastAsia="黑体" w:cs="Times New Roman" w:hint="eastAsia"/>
          <w:bCs/>
          <w:sz w:val="21"/>
          <w:szCs w:val="21"/>
        </w:rPr>
        <w:t>4.2-3</w:t>
      </w:r>
      <w:r>
        <w:rPr>
          <w:rFonts w:eastAsia="黑体" w:cs="Times New Roman" w:hint="eastAsia"/>
          <w:bCs/>
          <w:sz w:val="21"/>
          <w:szCs w:val="21"/>
        </w:rPr>
        <w:t xml:space="preserve">   </w:t>
      </w:r>
      <w:r>
        <w:rPr>
          <w:rFonts w:eastAsia="黑体" w:cs="Times New Roman" w:hint="eastAsia"/>
          <w:bCs/>
          <w:sz w:val="21"/>
          <w:szCs w:val="21"/>
        </w:rPr>
        <w:t>本工程</w:t>
      </w:r>
      <w:r>
        <w:rPr>
          <w:rFonts w:eastAsia="黑体" w:cs="Times New Roman" w:hint="eastAsia"/>
          <w:bCs/>
          <w:sz w:val="21"/>
          <w:szCs w:val="21"/>
        </w:rPr>
        <w:t>植物类型分布图</w:t>
      </w:r>
    </w:p>
    <w:p w:rsidR="00C645C9" w:rsidRDefault="00C645C9">
      <w:pPr>
        <w:pStyle w:val="afff5"/>
        <w:widowControl w:val="0"/>
        <w:ind w:firstLineChars="0" w:firstLine="0"/>
        <w:jc w:val="center"/>
        <w:rPr>
          <w:rFonts w:eastAsia="黑体" w:cs="Times New Roman"/>
          <w:bCs/>
          <w:sz w:val="21"/>
          <w:szCs w:val="21"/>
        </w:rPr>
      </w:pPr>
    </w:p>
    <w:p w:rsidR="00C645C9" w:rsidRDefault="00F955D9">
      <w:pPr>
        <w:pStyle w:val="afff5"/>
        <w:widowControl w:val="0"/>
        <w:ind w:firstLineChars="0" w:firstLine="0"/>
        <w:jc w:val="center"/>
        <w:rPr>
          <w:rFonts w:eastAsia="黑体" w:cs="Times New Roman"/>
          <w:bCs/>
          <w:sz w:val="21"/>
          <w:szCs w:val="21"/>
        </w:rPr>
      </w:pPr>
      <w:r>
        <w:rPr>
          <w:rFonts w:eastAsia="黑体" w:cs="Times New Roman" w:hint="eastAsia"/>
          <w:bCs/>
          <w:sz w:val="21"/>
          <w:szCs w:val="21"/>
        </w:rPr>
        <w:t>图</w:t>
      </w:r>
      <w:r>
        <w:rPr>
          <w:rFonts w:eastAsia="黑体" w:cs="Times New Roman" w:hint="eastAsia"/>
          <w:bCs/>
          <w:sz w:val="21"/>
          <w:szCs w:val="21"/>
        </w:rPr>
        <w:t xml:space="preserve">4.2-5   </w:t>
      </w:r>
      <w:r>
        <w:rPr>
          <w:rFonts w:eastAsia="黑体" w:cs="Times New Roman" w:hint="eastAsia"/>
          <w:bCs/>
          <w:sz w:val="21"/>
          <w:szCs w:val="21"/>
        </w:rPr>
        <w:t>本工程与基本农田位置关系</w:t>
      </w:r>
      <w:bookmarkStart w:id="1237" w:name="OLE_LINK1449"/>
      <w:r>
        <w:rPr>
          <w:rFonts w:eastAsia="黑体" w:cs="Times New Roman" w:hint="eastAsia"/>
          <w:bCs/>
          <w:sz w:val="21"/>
          <w:szCs w:val="21"/>
        </w:rPr>
        <w:t>图</w:t>
      </w:r>
      <w:bookmarkEnd w:id="1237"/>
    </w:p>
    <w:p w:rsidR="00C645C9" w:rsidRDefault="00C645C9">
      <w:pPr>
        <w:pStyle w:val="afff5"/>
        <w:widowControl w:val="0"/>
        <w:ind w:firstLineChars="0" w:firstLine="0"/>
        <w:jc w:val="center"/>
        <w:rPr>
          <w:rFonts w:eastAsia="黑体" w:cs="Times New Roman"/>
          <w:bCs/>
          <w:sz w:val="21"/>
          <w:szCs w:val="21"/>
        </w:rPr>
        <w:sectPr w:rsidR="00C645C9">
          <w:pgSz w:w="16838" w:h="11906" w:orient="landscape"/>
          <w:pgMar w:top="1800" w:right="1440" w:bottom="1800" w:left="1440" w:header="851" w:footer="1134" w:gutter="0"/>
          <w:cols w:space="720"/>
          <w:docGrid w:linePitch="326"/>
        </w:sectPr>
      </w:pPr>
    </w:p>
    <w:p w:rsidR="00C645C9" w:rsidRDefault="00C645C9">
      <w:pPr>
        <w:pStyle w:val="afff5"/>
        <w:widowControl w:val="0"/>
        <w:ind w:firstLineChars="0" w:firstLine="0"/>
        <w:jc w:val="center"/>
        <w:rPr>
          <w:rFonts w:eastAsia="黑体" w:cs="Times New Roman"/>
          <w:bCs/>
          <w:sz w:val="21"/>
          <w:szCs w:val="21"/>
        </w:rPr>
      </w:pPr>
    </w:p>
    <w:p w:rsidR="00C645C9" w:rsidRDefault="00F955D9">
      <w:pPr>
        <w:pStyle w:val="afff5"/>
        <w:widowControl w:val="0"/>
        <w:ind w:firstLineChars="0" w:firstLine="0"/>
        <w:jc w:val="center"/>
        <w:rPr>
          <w:rFonts w:eastAsia="黑体" w:cs="Times New Roman"/>
          <w:bCs/>
          <w:sz w:val="21"/>
          <w:szCs w:val="21"/>
        </w:rPr>
        <w:sectPr w:rsidR="00C645C9">
          <w:pgSz w:w="16838" w:h="11906" w:orient="landscape"/>
          <w:pgMar w:top="1800" w:right="1440" w:bottom="1800" w:left="1440" w:header="851" w:footer="1134" w:gutter="0"/>
          <w:cols w:space="720"/>
          <w:docGrid w:linePitch="326"/>
        </w:sectPr>
      </w:pPr>
      <w:r>
        <w:rPr>
          <w:rFonts w:eastAsia="黑体" w:cs="Times New Roman" w:hint="eastAsia"/>
          <w:bCs/>
          <w:sz w:val="21"/>
          <w:szCs w:val="21"/>
        </w:rPr>
        <w:t>图</w:t>
      </w:r>
      <w:r>
        <w:rPr>
          <w:rFonts w:eastAsia="黑体" w:cs="Times New Roman" w:hint="eastAsia"/>
          <w:bCs/>
          <w:sz w:val="21"/>
          <w:szCs w:val="21"/>
        </w:rPr>
        <w:t xml:space="preserve">4.2-6   </w:t>
      </w:r>
      <w:r>
        <w:rPr>
          <w:rFonts w:eastAsia="黑体" w:cs="Times New Roman" w:hint="eastAsia"/>
          <w:bCs/>
          <w:sz w:val="21"/>
          <w:szCs w:val="21"/>
        </w:rPr>
        <w:t>本工程沙化土地类型分布情况图</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238" w:name="_Toc26996"/>
      <w:bookmarkStart w:id="1239" w:name="_Toc3755"/>
      <w:bookmarkStart w:id="1240" w:name="OLE_LINK214"/>
      <w:bookmarkStart w:id="1241" w:name="OLE_LINK1251"/>
      <w:bookmarkEnd w:id="1206"/>
      <w:r>
        <w:rPr>
          <w:rFonts w:ascii="Times New Roman" w:hAnsi="Times New Roman" w:cs="Times New Roman"/>
          <w:color w:val="auto"/>
          <w:lang w:eastAsia="zh-CN"/>
        </w:rPr>
        <w:lastRenderedPageBreak/>
        <w:t>4.</w:t>
      </w:r>
      <w:r>
        <w:rPr>
          <w:rFonts w:ascii="Times New Roman" w:hAnsi="Times New Roman" w:cs="Times New Roman"/>
          <w:color w:val="auto"/>
          <w:lang w:eastAsia="zh-CN"/>
        </w:rPr>
        <w:t>3</w:t>
      </w:r>
      <w:bookmarkEnd w:id="1238"/>
      <w:r>
        <w:rPr>
          <w:rFonts w:ascii="Times New Roman" w:hAnsi="Times New Roman" w:cs="Times New Roman"/>
          <w:color w:val="auto"/>
          <w:lang w:eastAsia="zh-CN"/>
        </w:rPr>
        <w:t>地下水环境现状调查与评价</w:t>
      </w:r>
      <w:bookmarkEnd w:id="1239"/>
    </w:p>
    <w:bookmarkEnd w:id="1240"/>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4.</w:t>
      </w:r>
      <w:r>
        <w:rPr>
          <w:rFonts w:ascii="Times New Roman" w:hAnsi="Times New Roman" w:cs="Times New Roman"/>
          <w:color w:val="auto"/>
          <w:lang w:eastAsia="zh-CN"/>
        </w:rPr>
        <w:t>3</w:t>
      </w:r>
      <w:r>
        <w:rPr>
          <w:rFonts w:ascii="Times New Roman" w:hAnsi="Times New Roman" w:cs="Times New Roman"/>
          <w:color w:val="auto"/>
          <w:lang w:eastAsia="zh-CN"/>
        </w:rPr>
        <w:t>.1</w:t>
      </w:r>
      <w:r>
        <w:rPr>
          <w:rFonts w:ascii="Times New Roman" w:hAnsi="Times New Roman" w:cs="Times New Roman"/>
          <w:color w:val="auto"/>
          <w:lang w:eastAsia="zh-CN"/>
        </w:rPr>
        <w:t>地下水环境现状监测</w:t>
      </w:r>
    </w:p>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1</w:t>
      </w:r>
      <w:r>
        <w:rPr>
          <w:rFonts w:cs="Times New Roman"/>
        </w:rPr>
        <w:t>）</w:t>
      </w:r>
      <w:r>
        <w:rPr>
          <w:rFonts w:cs="Times New Roman"/>
        </w:rPr>
        <w:t>调查方法</w:t>
      </w:r>
    </w:p>
    <w:p w:rsidR="00C645C9" w:rsidRDefault="00F955D9">
      <w:pPr>
        <w:widowControl w:val="0"/>
        <w:adjustRightInd w:val="0"/>
        <w:snapToGrid w:val="0"/>
        <w:spacing w:line="360" w:lineRule="auto"/>
        <w:ind w:firstLineChars="200" w:firstLine="480"/>
        <w:rPr>
          <w:rFonts w:cs="Times New Roman"/>
        </w:rPr>
      </w:pPr>
      <w:r>
        <w:rPr>
          <w:rFonts w:cs="Times New Roman"/>
        </w:rPr>
        <w:t>地下水环境现状调查采用实测法。</w:t>
      </w:r>
    </w:p>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2</w:t>
      </w:r>
      <w:r>
        <w:rPr>
          <w:rFonts w:cs="Times New Roman"/>
        </w:rPr>
        <w:t>）</w:t>
      </w:r>
      <w:r>
        <w:rPr>
          <w:rFonts w:cs="Times New Roman"/>
          <w:spacing w:val="4"/>
        </w:rPr>
        <w:t>监测布点</w:t>
      </w:r>
    </w:p>
    <w:p w:rsidR="00C645C9" w:rsidRDefault="00F955D9">
      <w:pPr>
        <w:widowControl w:val="0"/>
        <w:adjustRightInd w:val="0"/>
        <w:snapToGrid w:val="0"/>
        <w:spacing w:line="360" w:lineRule="auto"/>
        <w:ind w:firstLine="480"/>
        <w:rPr>
          <w:rFonts w:eastAsia="黑体" w:cs="Times New Roman"/>
          <w:sz w:val="21"/>
          <w:szCs w:val="21"/>
        </w:rPr>
      </w:pPr>
      <w:r>
        <w:rPr>
          <w:rFonts w:cs="Times New Roman"/>
        </w:rPr>
        <w:t>根据</w:t>
      </w:r>
      <w:r>
        <w:rPr>
          <w:rFonts w:cs="Times New Roman" w:hint="eastAsia"/>
        </w:rPr>
        <w:t>本工程</w:t>
      </w:r>
      <w:r>
        <w:rPr>
          <w:rFonts w:cs="Times New Roman"/>
        </w:rPr>
        <w:t>所在区域水文地质条件</w:t>
      </w:r>
      <w:r>
        <w:rPr>
          <w:rFonts w:cs="Times New Roman" w:hint="eastAsia"/>
        </w:rPr>
        <w:t>以及</w:t>
      </w:r>
      <w:r>
        <w:rPr>
          <w:rFonts w:cs="Times New Roman"/>
        </w:rPr>
        <w:t>地下水流向</w:t>
      </w:r>
      <w:r>
        <w:rPr>
          <w:rFonts w:cs="Times New Roman"/>
        </w:rPr>
        <w:t>，</w:t>
      </w:r>
      <w:bookmarkStart w:id="1242" w:name="OLE_LINK537"/>
      <w:bookmarkStart w:id="1243" w:name="OLE_LINK538"/>
      <w:r>
        <w:rPr>
          <w:rFonts w:cs="Times New Roman" w:hint="eastAsia"/>
        </w:rPr>
        <w:t>本次评价在工程所在区域布设</w:t>
      </w:r>
      <w:r>
        <w:rPr>
          <w:rFonts w:cs="Times New Roman" w:hint="eastAsia"/>
        </w:rPr>
        <w:t>5</w:t>
      </w:r>
      <w:r>
        <w:rPr>
          <w:rFonts w:cs="Times New Roman"/>
        </w:rPr>
        <w:t>个</w:t>
      </w:r>
      <w:r>
        <w:rPr>
          <w:rFonts w:cs="Times New Roman" w:hint="eastAsia"/>
        </w:rPr>
        <w:t>潜水</w:t>
      </w:r>
      <w:r>
        <w:rPr>
          <w:rFonts w:cs="Times New Roman"/>
        </w:rPr>
        <w:t>水质监测点</w:t>
      </w:r>
      <w:r>
        <w:rPr>
          <w:rFonts w:cs="Times New Roman" w:hint="eastAsia"/>
        </w:rPr>
        <w:t>，</w:t>
      </w:r>
      <w:bookmarkEnd w:id="1242"/>
      <w:r>
        <w:rPr>
          <w:rFonts w:cs="Times New Roman" w:hint="eastAsia"/>
        </w:rPr>
        <w:t>监测点基本满足《环境影响评价技术导则</w:t>
      </w:r>
      <w:r>
        <w:rPr>
          <w:rFonts w:cs="Times New Roman" w:hint="eastAsia"/>
        </w:rPr>
        <w:t xml:space="preserve"> </w:t>
      </w:r>
      <w:r>
        <w:rPr>
          <w:rFonts w:cs="Times New Roman" w:hint="eastAsia"/>
        </w:rPr>
        <w:t>地下水环境》（</w:t>
      </w:r>
      <w:r>
        <w:rPr>
          <w:rFonts w:cs="Times New Roman" w:hint="eastAsia"/>
        </w:rPr>
        <w:t>HJ610-2016</w:t>
      </w:r>
      <w:r>
        <w:rPr>
          <w:rFonts w:cs="Times New Roman" w:hint="eastAsia"/>
        </w:rPr>
        <w:t>）的要求。各监测点设置情况及基本信息见表</w:t>
      </w:r>
      <w:r>
        <w:rPr>
          <w:rFonts w:cs="Times New Roman" w:hint="eastAsia"/>
        </w:rPr>
        <w:t>4.3-1</w:t>
      </w:r>
      <w:r>
        <w:rPr>
          <w:rFonts w:cs="Times New Roman" w:hint="eastAsia"/>
        </w:rPr>
        <w:t>，具体监测点位见图</w:t>
      </w:r>
      <w:r>
        <w:rPr>
          <w:rFonts w:cs="Times New Roman" w:hint="eastAsia"/>
        </w:rPr>
        <w:t>4.3-1</w:t>
      </w:r>
      <w:r>
        <w:rPr>
          <w:rFonts w:cs="Times New Roman" w:hint="eastAsia"/>
        </w:rPr>
        <w:t>。</w:t>
      </w:r>
    </w:p>
    <w:p w:rsidR="00C645C9" w:rsidRDefault="00F955D9">
      <w:pPr>
        <w:widowControl w:val="0"/>
        <w:adjustRightInd w:val="0"/>
        <w:snapToGrid w:val="0"/>
        <w:jc w:val="center"/>
        <w:rPr>
          <w:rFonts w:eastAsia="黑体" w:cs="Times New Roman"/>
          <w:sz w:val="21"/>
          <w:szCs w:val="21"/>
        </w:rPr>
      </w:pPr>
      <w:bookmarkStart w:id="1244" w:name="OLE_LINK1443"/>
      <w:bookmarkEnd w:id="1243"/>
      <w:r>
        <w:rPr>
          <w:rFonts w:eastAsia="黑体" w:cs="Times New Roman"/>
          <w:sz w:val="21"/>
          <w:szCs w:val="21"/>
        </w:rPr>
        <w:t>表</w:t>
      </w:r>
      <w:r>
        <w:rPr>
          <w:rFonts w:eastAsia="黑体" w:cs="Times New Roman"/>
          <w:sz w:val="21"/>
          <w:szCs w:val="21"/>
        </w:rPr>
        <w:t>4.</w:t>
      </w:r>
      <w:r>
        <w:rPr>
          <w:rFonts w:eastAsia="黑体" w:cs="Times New Roman" w:hint="eastAsia"/>
          <w:sz w:val="21"/>
          <w:szCs w:val="21"/>
        </w:rPr>
        <w:t>3</w:t>
      </w:r>
      <w:r>
        <w:rPr>
          <w:rFonts w:eastAsia="黑体" w:cs="Times New Roman"/>
          <w:sz w:val="21"/>
          <w:szCs w:val="21"/>
        </w:rPr>
        <w:t xml:space="preserve">-1   </w:t>
      </w:r>
      <w:bookmarkStart w:id="1245" w:name="OLE_LINK1067"/>
      <w:r>
        <w:rPr>
          <w:rFonts w:eastAsia="黑体" w:cs="Times New Roman"/>
          <w:sz w:val="21"/>
          <w:szCs w:val="21"/>
        </w:rPr>
        <w:t>地下水监测</w:t>
      </w:r>
      <w:bookmarkEnd w:id="1245"/>
      <w:r>
        <w:rPr>
          <w:rFonts w:eastAsia="黑体" w:cs="Times New Roman"/>
          <w:sz w:val="21"/>
          <w:szCs w:val="21"/>
        </w:rPr>
        <w:t>点设置情况一览表</w:t>
      </w:r>
      <w:bookmarkEnd w:id="1244"/>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3"/>
        <w:gridCol w:w="1264"/>
        <w:gridCol w:w="1759"/>
        <w:gridCol w:w="546"/>
        <w:gridCol w:w="538"/>
        <w:gridCol w:w="843"/>
        <w:gridCol w:w="1742"/>
        <w:gridCol w:w="693"/>
        <w:gridCol w:w="710"/>
      </w:tblGrid>
      <w:tr w:rsidR="00C645C9">
        <w:trPr>
          <w:trHeight w:val="20"/>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序号</w:t>
            </w:r>
          </w:p>
        </w:tc>
        <w:tc>
          <w:tcPr>
            <w:tcW w:w="1264" w:type="dxa"/>
            <w:tcMar>
              <w:left w:w="0" w:type="dxa"/>
              <w:right w:w="0" w:type="dxa"/>
            </w:tcMar>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点位</w:t>
            </w:r>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坐标</w:t>
            </w:r>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监测</w:t>
            </w:r>
          </w:p>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层位</w:t>
            </w:r>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rPr>
            </w:pPr>
            <w:bookmarkStart w:id="1246" w:name="OLE_LINK1068"/>
            <w:r>
              <w:rPr>
                <w:rFonts w:cs="Times New Roman"/>
                <w:sz w:val="21"/>
                <w:szCs w:val="21"/>
              </w:rPr>
              <w:t>井深</w:t>
            </w:r>
          </w:p>
          <w:bookmarkEnd w:id="1246"/>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rPr>
              <w:t>（</w:t>
            </w:r>
            <w:r>
              <w:rPr>
                <w:rFonts w:cs="Times New Roman"/>
                <w:sz w:val="21"/>
                <w:szCs w:val="21"/>
              </w:rPr>
              <w:t>m</w:t>
            </w:r>
            <w:r>
              <w:rPr>
                <w:rFonts w:cs="Times New Roman"/>
                <w:sz w:val="21"/>
                <w:szCs w:val="21"/>
              </w:rPr>
              <w:t>）</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rPr>
              <w:t>水位</w:t>
            </w:r>
          </w:p>
          <w:p w:rsidR="00C645C9" w:rsidRDefault="00F955D9">
            <w:pPr>
              <w:keepLines/>
              <w:autoSpaceDE w:val="0"/>
              <w:autoSpaceDN w:val="0"/>
              <w:adjustRightInd w:val="0"/>
              <w:snapToGrid w:val="0"/>
              <w:jc w:val="center"/>
              <w:textAlignment w:val="center"/>
              <w:rPr>
                <w:rFonts w:cs="Times New Roman"/>
                <w:sz w:val="21"/>
                <w:szCs w:val="21"/>
              </w:rPr>
            </w:pPr>
            <w:r>
              <w:rPr>
                <w:rFonts w:cs="Times New Roman"/>
                <w:sz w:val="21"/>
                <w:szCs w:val="21"/>
              </w:rPr>
              <w:t>埋深</w:t>
            </w:r>
            <w:r>
              <w:rPr>
                <w:rFonts w:cs="Times New Roman"/>
                <w:sz w:val="21"/>
                <w:szCs w:val="21"/>
              </w:rPr>
              <w:t>（</w:t>
            </w:r>
            <w:r>
              <w:rPr>
                <w:rFonts w:cs="Times New Roman"/>
                <w:sz w:val="21"/>
                <w:szCs w:val="21"/>
              </w:rPr>
              <w:t>m</w:t>
            </w:r>
            <w:r>
              <w:rPr>
                <w:rFonts w:cs="Times New Roman"/>
                <w:sz w:val="21"/>
                <w:szCs w:val="21"/>
              </w:rPr>
              <w:t>）</w:t>
            </w:r>
          </w:p>
        </w:tc>
        <w:tc>
          <w:tcPr>
            <w:tcW w:w="1742"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与本</w:t>
            </w:r>
            <w:r>
              <w:rPr>
                <w:rFonts w:cs="Times New Roman"/>
                <w:sz w:val="21"/>
                <w:szCs w:val="21"/>
                <w:lang w:bidi="en-US"/>
              </w:rPr>
              <w:t>工程</w:t>
            </w:r>
            <w:r>
              <w:rPr>
                <w:rFonts w:cs="Times New Roman"/>
                <w:sz w:val="21"/>
                <w:szCs w:val="21"/>
                <w:lang w:bidi="en-US"/>
              </w:rPr>
              <w:t>位置关系</w:t>
            </w:r>
          </w:p>
        </w:tc>
        <w:tc>
          <w:tcPr>
            <w:tcW w:w="69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监测</w:t>
            </w:r>
          </w:p>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时间</w:t>
            </w:r>
          </w:p>
        </w:tc>
        <w:tc>
          <w:tcPr>
            <w:tcW w:w="710"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监测</w:t>
            </w:r>
          </w:p>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单位</w:t>
            </w:r>
          </w:p>
        </w:tc>
      </w:tr>
      <w:tr w:rsidR="00C645C9">
        <w:trPr>
          <w:trHeight w:val="755"/>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1</w:t>
            </w:r>
          </w:p>
        </w:tc>
        <w:tc>
          <w:tcPr>
            <w:tcW w:w="1264" w:type="dxa"/>
            <w:tcMar>
              <w:left w:w="0" w:type="dxa"/>
              <w:right w:w="0" w:type="dxa"/>
            </w:tcMar>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项目区上游</w:t>
            </w:r>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bookmarkStart w:id="1247" w:name="OLE_LINK201"/>
            <w:r>
              <w:rPr>
                <w:rFonts w:cs="Times New Roman" w:hint="eastAsia"/>
                <w:sz w:val="21"/>
                <w:szCs w:val="21"/>
              </w:rPr>
              <w:t>**</w:t>
            </w:r>
            <w:bookmarkEnd w:id="1247"/>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潜水</w:t>
            </w:r>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15</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6</w:t>
            </w:r>
          </w:p>
        </w:tc>
        <w:tc>
          <w:tcPr>
            <w:tcW w:w="1742" w:type="dxa"/>
            <w:vAlign w:val="center"/>
          </w:tcPr>
          <w:p w:rsidR="00C645C9" w:rsidRDefault="00F955D9">
            <w:pPr>
              <w:widowControl w:val="0"/>
              <w:jc w:val="center"/>
              <w:rPr>
                <w:rFonts w:cs="Times New Roman"/>
                <w:sz w:val="21"/>
                <w:szCs w:val="21"/>
                <w:lang w:bidi="en-US"/>
              </w:rPr>
            </w:pPr>
            <w:bookmarkStart w:id="1248" w:name="OLE_LINK529"/>
            <w:r>
              <w:rPr>
                <w:rFonts w:cs="Times New Roman" w:hint="eastAsia"/>
                <w:sz w:val="21"/>
                <w:szCs w:val="21"/>
              </w:rPr>
              <w:t>新北</w:t>
            </w:r>
            <w:r>
              <w:rPr>
                <w:rFonts w:cs="Times New Roman" w:hint="eastAsia"/>
                <w:sz w:val="21"/>
                <w:szCs w:val="21"/>
              </w:rPr>
              <w:t>1X</w:t>
            </w:r>
            <w:r>
              <w:rPr>
                <w:rFonts w:cs="Times New Roman" w:hint="eastAsia"/>
                <w:sz w:val="21"/>
                <w:szCs w:val="21"/>
              </w:rPr>
              <w:t>井东北侧</w:t>
            </w:r>
            <w:r>
              <w:rPr>
                <w:rFonts w:cs="Times New Roman" w:hint="eastAsia"/>
                <w:sz w:val="21"/>
                <w:szCs w:val="21"/>
              </w:rPr>
              <w:t>0.91km</w:t>
            </w:r>
            <w:bookmarkEnd w:id="1248"/>
          </w:p>
        </w:tc>
        <w:tc>
          <w:tcPr>
            <w:tcW w:w="693" w:type="dxa"/>
            <w:vMerge w:val="restart"/>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bookmarkStart w:id="1249" w:name="OLE_LINK1222"/>
            <w:r>
              <w:rPr>
                <w:rFonts w:cs="Times New Roman"/>
                <w:sz w:val="21"/>
                <w:szCs w:val="21"/>
                <w:lang w:bidi="en-US"/>
              </w:rPr>
              <w:t>202</w:t>
            </w:r>
            <w:r>
              <w:rPr>
                <w:rFonts w:cs="Times New Roman" w:hint="eastAsia"/>
                <w:sz w:val="21"/>
                <w:szCs w:val="21"/>
                <w:lang w:bidi="en-US"/>
              </w:rPr>
              <w:t>5</w:t>
            </w:r>
            <w:r>
              <w:rPr>
                <w:rFonts w:cs="Times New Roman"/>
                <w:sz w:val="21"/>
                <w:szCs w:val="21"/>
                <w:lang w:bidi="en-US"/>
              </w:rPr>
              <w:t>年</w:t>
            </w:r>
            <w:r>
              <w:rPr>
                <w:rFonts w:cs="Times New Roman" w:hint="eastAsia"/>
                <w:sz w:val="21"/>
                <w:szCs w:val="21"/>
                <w:lang w:bidi="en-US"/>
              </w:rPr>
              <w:t>4</w:t>
            </w:r>
            <w:r>
              <w:rPr>
                <w:rFonts w:cs="Times New Roman"/>
                <w:sz w:val="21"/>
                <w:szCs w:val="21"/>
                <w:lang w:bidi="en-US"/>
              </w:rPr>
              <w:t>月</w:t>
            </w:r>
            <w:bookmarkEnd w:id="1249"/>
          </w:p>
        </w:tc>
        <w:tc>
          <w:tcPr>
            <w:tcW w:w="710" w:type="dxa"/>
            <w:vMerge w:val="restart"/>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新疆昇腾环保科技有限公司</w:t>
            </w:r>
          </w:p>
        </w:tc>
      </w:tr>
      <w:tr w:rsidR="00C645C9">
        <w:trPr>
          <w:trHeight w:val="672"/>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2</w:t>
            </w:r>
          </w:p>
        </w:tc>
        <w:tc>
          <w:tcPr>
            <w:tcW w:w="1264" w:type="dxa"/>
            <w:tcMar>
              <w:left w:w="0" w:type="dxa"/>
              <w:right w:w="0" w:type="dxa"/>
            </w:tcMar>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bookmarkStart w:id="1250" w:name="OLE_LINK1223"/>
            <w:bookmarkStart w:id="1251" w:name="OLE_LINK1225"/>
            <w:r>
              <w:rPr>
                <w:rFonts w:cs="Times New Roman" w:hint="eastAsia"/>
                <w:sz w:val="21"/>
                <w:szCs w:val="21"/>
                <w:lang w:bidi="en-US"/>
              </w:rPr>
              <w:t>项目区附近</w:t>
            </w:r>
            <w:bookmarkEnd w:id="1250"/>
            <w:r>
              <w:rPr>
                <w:rFonts w:cs="Times New Roman" w:hint="eastAsia"/>
                <w:sz w:val="21"/>
                <w:szCs w:val="21"/>
                <w:lang w:bidi="en-US"/>
              </w:rPr>
              <w:t>1</w:t>
            </w:r>
            <w:bookmarkEnd w:id="1251"/>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hint="eastAsia"/>
                <w:sz w:val="21"/>
                <w:szCs w:val="21"/>
              </w:rPr>
              <w:t>**</w:t>
            </w:r>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潜水</w:t>
            </w:r>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20</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9</w:t>
            </w:r>
          </w:p>
        </w:tc>
        <w:tc>
          <w:tcPr>
            <w:tcW w:w="1742" w:type="dxa"/>
            <w:vAlign w:val="center"/>
          </w:tcPr>
          <w:p w:rsidR="00C645C9" w:rsidRDefault="00F955D9">
            <w:pPr>
              <w:widowControl w:val="0"/>
              <w:jc w:val="center"/>
              <w:rPr>
                <w:rFonts w:cs="Times New Roman"/>
                <w:sz w:val="21"/>
                <w:szCs w:val="21"/>
                <w:lang w:bidi="en-US"/>
              </w:rPr>
            </w:pPr>
            <w:r>
              <w:rPr>
                <w:rFonts w:cs="Times New Roman" w:hint="eastAsia"/>
                <w:sz w:val="21"/>
                <w:szCs w:val="21"/>
              </w:rPr>
              <w:t>新北</w:t>
            </w:r>
            <w:r>
              <w:rPr>
                <w:rFonts w:cs="Times New Roman" w:hint="eastAsia"/>
                <w:sz w:val="21"/>
                <w:szCs w:val="21"/>
              </w:rPr>
              <w:t>1X</w:t>
            </w:r>
            <w:r>
              <w:rPr>
                <w:rFonts w:cs="Times New Roman" w:hint="eastAsia"/>
                <w:sz w:val="21"/>
                <w:szCs w:val="21"/>
              </w:rPr>
              <w:t>井西北侧</w:t>
            </w:r>
            <w:r>
              <w:rPr>
                <w:rFonts w:cs="Times New Roman" w:hint="eastAsia"/>
                <w:sz w:val="21"/>
                <w:szCs w:val="21"/>
              </w:rPr>
              <w:t>0.64km</w:t>
            </w:r>
          </w:p>
        </w:tc>
        <w:tc>
          <w:tcPr>
            <w:tcW w:w="693"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c>
          <w:tcPr>
            <w:tcW w:w="710"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r>
      <w:tr w:rsidR="00C645C9">
        <w:trPr>
          <w:trHeight w:val="420"/>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3</w:t>
            </w:r>
          </w:p>
        </w:tc>
        <w:tc>
          <w:tcPr>
            <w:tcW w:w="1264" w:type="dxa"/>
            <w:shd w:val="clear" w:color="auto" w:fill="auto"/>
            <w:tcMar>
              <w:left w:w="0" w:type="dxa"/>
              <w:right w:w="0" w:type="dxa"/>
            </w:tcMar>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bookmarkStart w:id="1252" w:name="OLE_LINK1226"/>
            <w:r>
              <w:rPr>
                <w:rFonts w:cs="Times New Roman" w:hint="eastAsia"/>
                <w:sz w:val="21"/>
                <w:szCs w:val="21"/>
                <w:lang w:bidi="en-US"/>
              </w:rPr>
              <w:t>项目区附近</w:t>
            </w:r>
            <w:r>
              <w:rPr>
                <w:rFonts w:cs="Times New Roman" w:hint="eastAsia"/>
                <w:sz w:val="21"/>
                <w:szCs w:val="21"/>
                <w:lang w:bidi="en-US"/>
              </w:rPr>
              <w:t>2</w:t>
            </w:r>
            <w:bookmarkEnd w:id="1252"/>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rPr>
              <w:t>**</w:t>
            </w:r>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bookmarkStart w:id="1253" w:name="OLE_LINK1224"/>
            <w:r>
              <w:rPr>
                <w:rFonts w:cs="Times New Roman"/>
                <w:sz w:val="21"/>
                <w:szCs w:val="21"/>
                <w:lang w:bidi="en-US"/>
              </w:rPr>
              <w:t>潜水</w:t>
            </w:r>
            <w:bookmarkEnd w:id="1253"/>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12</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6</w:t>
            </w:r>
          </w:p>
        </w:tc>
        <w:tc>
          <w:tcPr>
            <w:tcW w:w="1742" w:type="dxa"/>
            <w:vAlign w:val="center"/>
          </w:tcPr>
          <w:p w:rsidR="00C645C9" w:rsidRDefault="00F955D9">
            <w:pPr>
              <w:widowControl w:val="0"/>
              <w:jc w:val="center"/>
              <w:rPr>
                <w:rFonts w:cs="Times New Roman"/>
                <w:sz w:val="21"/>
                <w:szCs w:val="21"/>
                <w:lang w:bidi="en-US"/>
              </w:rPr>
            </w:pPr>
            <w:bookmarkStart w:id="1254" w:name="OLE_LINK1533"/>
            <w:r>
              <w:rPr>
                <w:rFonts w:cs="Times New Roman" w:hint="eastAsia"/>
                <w:sz w:val="21"/>
                <w:szCs w:val="21"/>
              </w:rPr>
              <w:t>新北</w:t>
            </w:r>
            <w:r>
              <w:rPr>
                <w:rFonts w:cs="Times New Roman" w:hint="eastAsia"/>
                <w:sz w:val="21"/>
                <w:szCs w:val="21"/>
              </w:rPr>
              <w:t>1X</w:t>
            </w:r>
            <w:r>
              <w:rPr>
                <w:rFonts w:cs="Times New Roman" w:hint="eastAsia"/>
                <w:sz w:val="21"/>
                <w:szCs w:val="21"/>
              </w:rPr>
              <w:t>井西侧</w:t>
            </w:r>
            <w:r>
              <w:rPr>
                <w:rFonts w:cs="Times New Roman" w:hint="eastAsia"/>
                <w:sz w:val="21"/>
                <w:szCs w:val="21"/>
              </w:rPr>
              <w:t>2.1km</w:t>
            </w:r>
            <w:bookmarkEnd w:id="1254"/>
          </w:p>
        </w:tc>
        <w:tc>
          <w:tcPr>
            <w:tcW w:w="693"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c>
          <w:tcPr>
            <w:tcW w:w="710"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r>
      <w:tr w:rsidR="00C645C9">
        <w:trPr>
          <w:trHeight w:val="420"/>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4</w:t>
            </w:r>
          </w:p>
        </w:tc>
        <w:tc>
          <w:tcPr>
            <w:tcW w:w="1264" w:type="dxa"/>
            <w:shd w:val="clear" w:color="auto" w:fill="auto"/>
            <w:tcMar>
              <w:left w:w="0" w:type="dxa"/>
              <w:right w:w="0" w:type="dxa"/>
            </w:tcMar>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rPr>
              <w:t>项目区侧向水井</w:t>
            </w:r>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hint="eastAsia"/>
                <w:sz w:val="21"/>
                <w:szCs w:val="21"/>
              </w:rPr>
              <w:t>**</w:t>
            </w:r>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潜水</w:t>
            </w:r>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19</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8</w:t>
            </w:r>
          </w:p>
        </w:tc>
        <w:tc>
          <w:tcPr>
            <w:tcW w:w="1742" w:type="dxa"/>
            <w:vAlign w:val="center"/>
          </w:tcPr>
          <w:p w:rsidR="00C645C9" w:rsidRDefault="00F955D9">
            <w:pPr>
              <w:widowControl w:val="0"/>
              <w:jc w:val="center"/>
              <w:rPr>
                <w:rFonts w:cs="Times New Roman"/>
                <w:sz w:val="21"/>
                <w:szCs w:val="21"/>
              </w:rPr>
            </w:pPr>
            <w:r>
              <w:rPr>
                <w:rFonts w:cs="Times New Roman" w:hint="eastAsia"/>
                <w:sz w:val="21"/>
                <w:szCs w:val="21"/>
              </w:rPr>
              <w:t>新北</w:t>
            </w:r>
            <w:r>
              <w:rPr>
                <w:rFonts w:cs="Times New Roman" w:hint="eastAsia"/>
                <w:sz w:val="21"/>
                <w:szCs w:val="21"/>
              </w:rPr>
              <w:t>7</w:t>
            </w:r>
            <w:r>
              <w:rPr>
                <w:rFonts w:cs="Times New Roman" w:hint="eastAsia"/>
                <w:sz w:val="21"/>
                <w:szCs w:val="21"/>
              </w:rPr>
              <w:t>井南侧</w:t>
            </w:r>
            <w:r>
              <w:rPr>
                <w:rFonts w:cs="Times New Roman" w:hint="eastAsia"/>
                <w:sz w:val="21"/>
                <w:szCs w:val="21"/>
              </w:rPr>
              <w:t>0.9km</w:t>
            </w:r>
          </w:p>
        </w:tc>
        <w:tc>
          <w:tcPr>
            <w:tcW w:w="693"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c>
          <w:tcPr>
            <w:tcW w:w="710"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r>
      <w:tr w:rsidR="00C645C9">
        <w:trPr>
          <w:trHeight w:val="420"/>
          <w:jc w:val="center"/>
        </w:trPr>
        <w:tc>
          <w:tcPr>
            <w:tcW w:w="26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5</w:t>
            </w:r>
          </w:p>
        </w:tc>
        <w:tc>
          <w:tcPr>
            <w:tcW w:w="1264" w:type="dxa"/>
            <w:shd w:val="clear" w:color="auto" w:fill="auto"/>
            <w:tcMar>
              <w:left w:w="0" w:type="dxa"/>
              <w:right w:w="0" w:type="dxa"/>
            </w:tcMar>
            <w:vAlign w:val="center"/>
          </w:tcPr>
          <w:p w:rsidR="00C645C9" w:rsidRDefault="00F955D9">
            <w:pPr>
              <w:pStyle w:val="a5"/>
              <w:widowControl w:val="0"/>
              <w:snapToGrid w:val="0"/>
              <w:spacing w:line="240" w:lineRule="auto"/>
              <w:jc w:val="center"/>
              <w:rPr>
                <w:rFonts w:ascii="Times New Roman" w:hAnsi="Times New Roman" w:cs="Times New Roman"/>
                <w:sz w:val="21"/>
                <w:szCs w:val="21"/>
                <w:lang w:bidi="en-US"/>
              </w:rPr>
            </w:pPr>
            <w:r>
              <w:rPr>
                <w:rFonts w:ascii="Times New Roman" w:hAnsi="Times New Roman" w:cs="Times New Roman"/>
                <w:sz w:val="21"/>
                <w:szCs w:val="21"/>
              </w:rPr>
              <w:t>项目区下游</w:t>
            </w:r>
          </w:p>
        </w:tc>
        <w:tc>
          <w:tcPr>
            <w:tcW w:w="1759" w:type="dxa"/>
            <w:vAlign w:val="center"/>
          </w:tcPr>
          <w:p w:rsidR="00C645C9" w:rsidRDefault="00F955D9">
            <w:pPr>
              <w:keepLines/>
              <w:autoSpaceDE w:val="0"/>
              <w:autoSpaceDN w:val="0"/>
              <w:adjustRightInd w:val="0"/>
              <w:snapToGrid w:val="0"/>
              <w:jc w:val="center"/>
              <w:textAlignment w:val="center"/>
              <w:rPr>
                <w:rFonts w:cs="Times New Roman"/>
                <w:sz w:val="21"/>
                <w:szCs w:val="21"/>
              </w:rPr>
            </w:pPr>
            <w:r>
              <w:rPr>
                <w:rFonts w:cs="Times New Roman" w:hint="eastAsia"/>
                <w:sz w:val="21"/>
                <w:szCs w:val="21"/>
              </w:rPr>
              <w:t>**</w:t>
            </w:r>
          </w:p>
        </w:tc>
        <w:tc>
          <w:tcPr>
            <w:tcW w:w="546"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sz w:val="21"/>
                <w:szCs w:val="21"/>
                <w:lang w:bidi="en-US"/>
              </w:rPr>
              <w:t>潜水</w:t>
            </w:r>
          </w:p>
        </w:tc>
        <w:tc>
          <w:tcPr>
            <w:tcW w:w="538"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15</w:t>
            </w:r>
          </w:p>
        </w:tc>
        <w:tc>
          <w:tcPr>
            <w:tcW w:w="843" w:type="dxa"/>
            <w:vAlign w:val="center"/>
          </w:tcPr>
          <w:p w:rsidR="00C645C9" w:rsidRDefault="00F955D9">
            <w:pPr>
              <w:keepLines/>
              <w:autoSpaceDE w:val="0"/>
              <w:autoSpaceDN w:val="0"/>
              <w:adjustRightInd w:val="0"/>
              <w:snapToGrid w:val="0"/>
              <w:jc w:val="center"/>
              <w:textAlignment w:val="center"/>
              <w:rPr>
                <w:rFonts w:cs="Times New Roman"/>
                <w:sz w:val="21"/>
                <w:szCs w:val="21"/>
                <w:lang w:bidi="en-US"/>
              </w:rPr>
            </w:pPr>
            <w:r>
              <w:rPr>
                <w:rFonts w:cs="Times New Roman" w:hint="eastAsia"/>
                <w:sz w:val="21"/>
                <w:szCs w:val="21"/>
                <w:lang w:bidi="en-US"/>
              </w:rPr>
              <w:t>7</w:t>
            </w:r>
          </w:p>
        </w:tc>
        <w:tc>
          <w:tcPr>
            <w:tcW w:w="1742" w:type="dxa"/>
            <w:vAlign w:val="center"/>
          </w:tcPr>
          <w:p w:rsidR="00C645C9" w:rsidRDefault="00F955D9">
            <w:pPr>
              <w:widowControl w:val="0"/>
              <w:jc w:val="center"/>
              <w:rPr>
                <w:rFonts w:cs="Times New Roman"/>
                <w:sz w:val="21"/>
                <w:szCs w:val="21"/>
              </w:rPr>
            </w:pPr>
            <w:r>
              <w:rPr>
                <w:rFonts w:cs="Times New Roman" w:hint="eastAsia"/>
                <w:sz w:val="21"/>
                <w:szCs w:val="21"/>
              </w:rPr>
              <w:t>新北</w:t>
            </w:r>
            <w:r>
              <w:rPr>
                <w:rFonts w:cs="Times New Roman" w:hint="eastAsia"/>
                <w:sz w:val="21"/>
                <w:szCs w:val="21"/>
              </w:rPr>
              <w:t>7</w:t>
            </w:r>
            <w:r>
              <w:rPr>
                <w:rFonts w:cs="Times New Roman" w:hint="eastAsia"/>
                <w:sz w:val="21"/>
                <w:szCs w:val="21"/>
              </w:rPr>
              <w:t>井西南侧</w:t>
            </w:r>
            <w:r>
              <w:rPr>
                <w:rFonts w:cs="Times New Roman" w:hint="eastAsia"/>
                <w:sz w:val="21"/>
                <w:szCs w:val="21"/>
              </w:rPr>
              <w:t>3.2km</w:t>
            </w:r>
          </w:p>
        </w:tc>
        <w:tc>
          <w:tcPr>
            <w:tcW w:w="693"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c>
          <w:tcPr>
            <w:tcW w:w="710" w:type="dxa"/>
            <w:vMerge/>
            <w:vAlign w:val="center"/>
          </w:tcPr>
          <w:p w:rsidR="00C645C9" w:rsidRDefault="00C645C9">
            <w:pPr>
              <w:keepLines/>
              <w:autoSpaceDE w:val="0"/>
              <w:autoSpaceDN w:val="0"/>
              <w:adjustRightInd w:val="0"/>
              <w:snapToGrid w:val="0"/>
              <w:jc w:val="center"/>
              <w:textAlignment w:val="center"/>
              <w:rPr>
                <w:rFonts w:cs="Times New Roman"/>
                <w:sz w:val="21"/>
                <w:szCs w:val="21"/>
                <w:lang w:bidi="en-US"/>
              </w:rPr>
            </w:pPr>
          </w:p>
        </w:tc>
      </w:tr>
    </w:tbl>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）监测频率</w:t>
      </w:r>
    </w:p>
    <w:p w:rsidR="00C645C9" w:rsidRDefault="00F955D9">
      <w:pPr>
        <w:widowControl w:val="0"/>
        <w:adjustRightInd w:val="0"/>
        <w:snapToGrid w:val="0"/>
        <w:spacing w:line="360" w:lineRule="auto"/>
        <w:ind w:firstLineChars="196" w:firstLine="470"/>
        <w:rPr>
          <w:rFonts w:cs="Times New Roman"/>
        </w:rPr>
      </w:pPr>
      <w:r>
        <w:rPr>
          <w:rFonts w:cs="Times New Roman"/>
        </w:rPr>
        <w:t>监测</w:t>
      </w:r>
      <w:r>
        <w:rPr>
          <w:rFonts w:cs="Times New Roman"/>
        </w:rPr>
        <w:t>1</w:t>
      </w:r>
      <w:r>
        <w:rPr>
          <w:rFonts w:cs="Times New Roman"/>
        </w:rPr>
        <w:t>天，每个点位采样</w:t>
      </w:r>
      <w:r>
        <w:rPr>
          <w:rFonts w:cs="Times New Roman"/>
        </w:rPr>
        <w:t>1</w:t>
      </w:r>
      <w:r>
        <w:rPr>
          <w:rFonts w:cs="Times New Roman"/>
        </w:rPr>
        <w:t>次。</w:t>
      </w:r>
    </w:p>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）监测项目及分析方法</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fldChar w:fldCharType="begin"/>
      </w:r>
      <w:r>
        <w:rPr>
          <w:rFonts w:cs="Times New Roman"/>
          <w:szCs w:val="20"/>
        </w:rPr>
        <w:instrText xml:space="preserve"> = 1 \* GB3 \* MERGEFORMAT </w:instrText>
      </w:r>
      <w:r>
        <w:rPr>
          <w:rFonts w:cs="Times New Roman"/>
          <w:szCs w:val="20"/>
        </w:rPr>
        <w:fldChar w:fldCharType="separate"/>
      </w:r>
      <w:r>
        <w:rPr>
          <w:rFonts w:cs="Times New Roman"/>
        </w:rPr>
        <w:t>①</w:t>
      </w:r>
      <w:r>
        <w:rPr>
          <w:rFonts w:cs="Times New Roman"/>
          <w:szCs w:val="20"/>
        </w:rPr>
        <w:fldChar w:fldCharType="end"/>
      </w:r>
      <w:r>
        <w:rPr>
          <w:rFonts w:cs="Times New Roman"/>
          <w:szCs w:val="20"/>
        </w:rPr>
        <w:t>监测项目</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t>根据</w:t>
      </w:r>
      <w:r>
        <w:rPr>
          <w:rFonts w:cs="Times New Roman"/>
        </w:rPr>
        <w:t>《</w:t>
      </w:r>
      <w:bookmarkStart w:id="1255" w:name="OLE_LINK532"/>
      <w:r>
        <w:rPr>
          <w:rFonts w:cs="Times New Roman"/>
        </w:rPr>
        <w:t>环境影响评价技术导则</w:t>
      </w:r>
      <w:r>
        <w:rPr>
          <w:rFonts w:cs="Times New Roman"/>
        </w:rPr>
        <w:t xml:space="preserve"> </w:t>
      </w:r>
      <w:r>
        <w:rPr>
          <w:rFonts w:cs="Times New Roman"/>
        </w:rPr>
        <w:t>地下水环境</w:t>
      </w:r>
      <w:bookmarkEnd w:id="1255"/>
      <w:r>
        <w:rPr>
          <w:rFonts w:cs="Times New Roman"/>
        </w:rPr>
        <w:t>》（</w:t>
      </w:r>
      <w:r>
        <w:rPr>
          <w:rFonts w:cs="Times New Roman"/>
        </w:rPr>
        <w:t>HJ610-2016</w:t>
      </w:r>
      <w:r>
        <w:rPr>
          <w:rFonts w:cs="Times New Roman"/>
        </w:rPr>
        <w:t>）</w:t>
      </w:r>
      <w:r>
        <w:rPr>
          <w:rFonts w:cs="Times New Roman"/>
          <w:szCs w:val="20"/>
        </w:rPr>
        <w:t>，本次评价的监测项目包括：水位埋深、</w:t>
      </w:r>
      <w:r>
        <w:rPr>
          <w:rFonts w:cs="Times New Roman" w:hint="eastAsia"/>
          <w:szCs w:val="20"/>
        </w:rPr>
        <w:t>井深、</w:t>
      </w:r>
      <w:r>
        <w:rPr>
          <w:rFonts w:hint="eastAsia"/>
          <w:lang w:bidi="ar"/>
        </w:rPr>
        <w:t>K</w:t>
      </w:r>
      <w:r>
        <w:rPr>
          <w:rFonts w:hint="eastAsia"/>
          <w:vertAlign w:val="superscript"/>
          <w:lang w:bidi="ar"/>
        </w:rPr>
        <w:t>+</w:t>
      </w:r>
      <w:r>
        <w:rPr>
          <w:rFonts w:hint="eastAsia"/>
          <w:lang w:bidi="ar"/>
        </w:rPr>
        <w:t>、</w:t>
      </w:r>
      <w:r>
        <w:rPr>
          <w:rFonts w:hint="eastAsia"/>
          <w:lang w:bidi="ar"/>
        </w:rPr>
        <w:t>Na</w:t>
      </w:r>
      <w:r>
        <w:rPr>
          <w:rFonts w:hint="eastAsia"/>
          <w:vertAlign w:val="superscript"/>
          <w:lang w:bidi="ar"/>
        </w:rPr>
        <w:t>+</w:t>
      </w:r>
      <w:r>
        <w:rPr>
          <w:rFonts w:hint="eastAsia"/>
          <w:lang w:bidi="ar"/>
        </w:rPr>
        <w:t>、</w:t>
      </w:r>
      <w:r>
        <w:rPr>
          <w:rFonts w:hint="eastAsia"/>
          <w:lang w:bidi="ar"/>
        </w:rPr>
        <w:t>Ca</w:t>
      </w:r>
      <w:r>
        <w:rPr>
          <w:rFonts w:hint="eastAsia"/>
          <w:vertAlign w:val="superscript"/>
          <w:lang w:bidi="ar"/>
        </w:rPr>
        <w:t>2+</w:t>
      </w:r>
      <w:r>
        <w:rPr>
          <w:rFonts w:hint="eastAsia"/>
          <w:lang w:bidi="ar"/>
        </w:rPr>
        <w:t>、</w:t>
      </w:r>
      <w:r>
        <w:rPr>
          <w:rFonts w:hint="eastAsia"/>
          <w:lang w:bidi="ar"/>
        </w:rPr>
        <w:t>Mg</w:t>
      </w:r>
      <w:r>
        <w:rPr>
          <w:rFonts w:hint="eastAsia"/>
          <w:vertAlign w:val="superscript"/>
          <w:lang w:bidi="ar"/>
        </w:rPr>
        <w:t>2+</w:t>
      </w:r>
      <w:r>
        <w:rPr>
          <w:rFonts w:hint="eastAsia"/>
          <w:lang w:bidi="ar"/>
        </w:rPr>
        <w:t>、</w:t>
      </w:r>
      <w:r>
        <w:rPr>
          <w:rFonts w:hint="eastAsia"/>
          <w:lang w:bidi="ar"/>
        </w:rPr>
        <w:t>CO</w:t>
      </w:r>
      <w:r>
        <w:rPr>
          <w:rFonts w:hint="eastAsia"/>
          <w:vertAlign w:val="subscript"/>
          <w:lang w:bidi="ar"/>
        </w:rPr>
        <w:t>3</w:t>
      </w:r>
      <w:r>
        <w:rPr>
          <w:rFonts w:hint="eastAsia"/>
          <w:vertAlign w:val="superscript"/>
          <w:lang w:bidi="ar"/>
        </w:rPr>
        <w:t>2-</w:t>
      </w:r>
      <w:r>
        <w:rPr>
          <w:rFonts w:hint="eastAsia"/>
          <w:lang w:bidi="ar"/>
        </w:rPr>
        <w:t>、</w:t>
      </w:r>
      <w:r>
        <w:rPr>
          <w:rFonts w:hint="eastAsia"/>
          <w:lang w:bidi="ar"/>
        </w:rPr>
        <w:t>HCO</w:t>
      </w:r>
      <w:r>
        <w:rPr>
          <w:rFonts w:hint="eastAsia"/>
          <w:vertAlign w:val="subscript"/>
          <w:lang w:bidi="ar"/>
        </w:rPr>
        <w:t>3</w:t>
      </w:r>
      <w:r>
        <w:rPr>
          <w:rFonts w:hint="eastAsia"/>
          <w:vertAlign w:val="superscript"/>
          <w:lang w:bidi="ar"/>
        </w:rPr>
        <w:t>-</w:t>
      </w:r>
      <w:r>
        <w:rPr>
          <w:rFonts w:hint="eastAsia"/>
          <w:lang w:bidi="ar"/>
        </w:rPr>
        <w:t>、</w:t>
      </w:r>
      <w:r>
        <w:rPr>
          <w:rFonts w:hint="eastAsia"/>
          <w:lang w:bidi="ar"/>
        </w:rPr>
        <w:t>Cl</w:t>
      </w:r>
      <w:r>
        <w:rPr>
          <w:rFonts w:hint="eastAsia"/>
          <w:vertAlign w:val="superscript"/>
          <w:lang w:bidi="ar"/>
        </w:rPr>
        <w:t>-</w:t>
      </w:r>
      <w:r>
        <w:rPr>
          <w:rFonts w:hint="eastAsia"/>
          <w:lang w:bidi="ar"/>
        </w:rPr>
        <w:t>、</w:t>
      </w:r>
      <w:r>
        <w:rPr>
          <w:rFonts w:hint="eastAsia"/>
          <w:lang w:bidi="ar"/>
        </w:rPr>
        <w:t>SO</w:t>
      </w:r>
      <w:r>
        <w:rPr>
          <w:rFonts w:hint="eastAsia"/>
          <w:vertAlign w:val="subscript"/>
          <w:lang w:bidi="ar"/>
        </w:rPr>
        <w:t>4</w:t>
      </w:r>
      <w:r>
        <w:rPr>
          <w:rFonts w:hint="eastAsia"/>
          <w:vertAlign w:val="superscript"/>
          <w:lang w:bidi="ar"/>
        </w:rPr>
        <w:t>2-</w:t>
      </w:r>
      <w:r>
        <w:rPr>
          <w:rFonts w:hint="eastAsia"/>
          <w:lang w:bidi="ar"/>
        </w:rPr>
        <w:t>、</w:t>
      </w:r>
      <w:r>
        <w:rPr>
          <w:rFonts w:cs="Times New Roman"/>
          <w:szCs w:val="20"/>
        </w:rPr>
        <w:t>pH</w:t>
      </w:r>
      <w:r>
        <w:rPr>
          <w:rFonts w:cs="Times New Roman"/>
          <w:szCs w:val="20"/>
        </w:rPr>
        <w:t>、氨氮、硝酸盐、亚硝酸盐、挥发性酚类、氰化物、砷、汞、铬</w:t>
      </w:r>
      <w:r>
        <w:rPr>
          <w:rFonts w:cs="Times New Roman" w:hint="eastAsia"/>
          <w:szCs w:val="20"/>
        </w:rPr>
        <w:t>（</w:t>
      </w:r>
      <w:r>
        <w:rPr>
          <w:rFonts w:cs="Times New Roman"/>
          <w:szCs w:val="20"/>
        </w:rPr>
        <w:t>六价</w:t>
      </w:r>
      <w:r>
        <w:rPr>
          <w:rFonts w:cs="Times New Roman" w:hint="eastAsia"/>
          <w:szCs w:val="20"/>
        </w:rPr>
        <w:t>）</w:t>
      </w:r>
      <w:r>
        <w:rPr>
          <w:rFonts w:cs="Times New Roman"/>
          <w:szCs w:val="20"/>
        </w:rPr>
        <w:t>、总硬度、铅、氟、镉、铁、锰、溶解性总固体、高锰酸盐指数、硫酸盐、氯化物、总大肠菌群、细菌总数、石油类</w:t>
      </w:r>
      <w:r>
        <w:rPr>
          <w:rFonts w:cs="Times New Roman" w:hint="eastAsia"/>
          <w:szCs w:val="20"/>
        </w:rPr>
        <w:t>、硫化物</w:t>
      </w:r>
      <w:r>
        <w:rPr>
          <w:rFonts w:cs="Times New Roman"/>
          <w:szCs w:val="20"/>
        </w:rPr>
        <w:t>等</w:t>
      </w:r>
      <w:r>
        <w:rPr>
          <w:rFonts w:cs="Times New Roman" w:hint="eastAsia"/>
          <w:szCs w:val="20"/>
        </w:rPr>
        <w:t>项目</w:t>
      </w:r>
      <w:r>
        <w:rPr>
          <w:rFonts w:cs="Times New Roman"/>
          <w:szCs w:val="20"/>
        </w:rPr>
        <w:t>。</w:t>
      </w:r>
    </w:p>
    <w:p w:rsidR="00C645C9" w:rsidRDefault="00F955D9">
      <w:pPr>
        <w:widowControl w:val="0"/>
        <w:adjustRightInd w:val="0"/>
        <w:snapToGrid w:val="0"/>
        <w:spacing w:line="360" w:lineRule="auto"/>
        <w:ind w:firstLineChars="200" w:firstLine="480"/>
        <w:rPr>
          <w:rFonts w:cs="Times New Roman"/>
          <w:szCs w:val="20"/>
        </w:rPr>
      </w:pPr>
      <w:r>
        <w:rPr>
          <w:rFonts w:cs="Times New Roman"/>
          <w:szCs w:val="20"/>
        </w:rPr>
        <w:fldChar w:fldCharType="begin"/>
      </w:r>
      <w:r>
        <w:rPr>
          <w:rFonts w:cs="Times New Roman"/>
          <w:szCs w:val="20"/>
        </w:rPr>
        <w:instrText xml:space="preserve"> = 2 \* GB3 \* MERGEFORMAT </w:instrText>
      </w:r>
      <w:r>
        <w:rPr>
          <w:rFonts w:cs="Times New Roman"/>
          <w:szCs w:val="20"/>
        </w:rPr>
        <w:fldChar w:fldCharType="separate"/>
      </w:r>
      <w:r>
        <w:rPr>
          <w:rFonts w:cs="Times New Roman"/>
        </w:rPr>
        <w:t>②</w:t>
      </w:r>
      <w:r>
        <w:rPr>
          <w:rFonts w:cs="Times New Roman"/>
          <w:szCs w:val="20"/>
        </w:rPr>
        <w:fldChar w:fldCharType="end"/>
      </w:r>
      <w:r>
        <w:rPr>
          <w:rFonts w:cs="Times New Roman"/>
          <w:szCs w:val="20"/>
        </w:rPr>
        <w:t>分析方法</w:t>
      </w:r>
    </w:p>
    <w:p w:rsidR="00C645C9" w:rsidRDefault="00F955D9">
      <w:pPr>
        <w:widowControl w:val="0"/>
        <w:adjustRightInd w:val="0"/>
        <w:snapToGrid w:val="0"/>
        <w:spacing w:line="360" w:lineRule="auto"/>
        <w:ind w:firstLineChars="200" w:firstLine="480"/>
        <w:rPr>
          <w:rFonts w:cs="Times New Roman"/>
          <w:szCs w:val="20"/>
        </w:rPr>
      </w:pPr>
      <w:r>
        <w:rPr>
          <w:rFonts w:cs="Times New Roman"/>
          <w:szCs w:val="20"/>
        </w:rPr>
        <w:t>采样按照《</w:t>
      </w:r>
      <w:bookmarkStart w:id="1256" w:name="OLE_LINK534"/>
      <w:r>
        <w:rPr>
          <w:rFonts w:cs="Times New Roman"/>
          <w:szCs w:val="20"/>
        </w:rPr>
        <w:t>环境影响评价技术导则</w:t>
      </w:r>
      <w:r>
        <w:rPr>
          <w:rFonts w:cs="Times New Roman" w:hint="eastAsia"/>
          <w:szCs w:val="20"/>
        </w:rPr>
        <w:t xml:space="preserve"> </w:t>
      </w:r>
      <w:r>
        <w:rPr>
          <w:rFonts w:cs="Times New Roman"/>
          <w:szCs w:val="20"/>
        </w:rPr>
        <w:t>地下水环境</w:t>
      </w:r>
      <w:bookmarkEnd w:id="1256"/>
      <w:r>
        <w:rPr>
          <w:rFonts w:cs="Times New Roman"/>
          <w:szCs w:val="20"/>
        </w:rPr>
        <w:t>》（</w:t>
      </w:r>
      <w:r>
        <w:rPr>
          <w:rFonts w:cs="Times New Roman"/>
          <w:szCs w:val="20"/>
        </w:rPr>
        <w:t>HJ610-2016</w:t>
      </w:r>
      <w:r>
        <w:rPr>
          <w:rFonts w:cs="Times New Roman"/>
          <w:szCs w:val="20"/>
        </w:rPr>
        <w:t>）执行，监</w:t>
      </w:r>
      <w:r>
        <w:rPr>
          <w:rFonts w:cs="Times New Roman"/>
          <w:szCs w:val="20"/>
        </w:rPr>
        <w:lastRenderedPageBreak/>
        <w:t>测分析方法按照《</w:t>
      </w:r>
      <w:bookmarkStart w:id="1257" w:name="OLE_LINK531"/>
      <w:r>
        <w:rPr>
          <w:rFonts w:cs="Times New Roman"/>
          <w:szCs w:val="20"/>
        </w:rPr>
        <w:t>地下水环境监测技术规范</w:t>
      </w:r>
      <w:bookmarkEnd w:id="1257"/>
      <w:r>
        <w:rPr>
          <w:rFonts w:cs="Times New Roman"/>
          <w:szCs w:val="20"/>
        </w:rPr>
        <w:t>》（</w:t>
      </w:r>
      <w:r>
        <w:rPr>
          <w:rFonts w:cs="Times New Roman"/>
          <w:szCs w:val="20"/>
        </w:rPr>
        <w:t>HJ164-2020</w:t>
      </w:r>
      <w:r>
        <w:rPr>
          <w:rFonts w:cs="Times New Roman"/>
          <w:szCs w:val="20"/>
        </w:rPr>
        <w:t>）、《</w:t>
      </w:r>
      <w:bookmarkStart w:id="1258" w:name="OLE_LINK533"/>
      <w:r>
        <w:rPr>
          <w:rFonts w:cs="Times New Roman"/>
          <w:szCs w:val="20"/>
        </w:rPr>
        <w:t>地下水质量标准</w:t>
      </w:r>
      <w:bookmarkEnd w:id="1258"/>
      <w:r>
        <w:rPr>
          <w:rFonts w:cs="Times New Roman"/>
          <w:szCs w:val="20"/>
        </w:rPr>
        <w:t>》（</w:t>
      </w:r>
      <w:r>
        <w:rPr>
          <w:rFonts w:cs="Times New Roman"/>
          <w:szCs w:val="20"/>
        </w:rPr>
        <w:t>GB/T14848-2017</w:t>
      </w:r>
      <w:r>
        <w:rPr>
          <w:rFonts w:cs="Times New Roman"/>
          <w:szCs w:val="20"/>
        </w:rPr>
        <w:t>）有关标准和规范执行。</w:t>
      </w:r>
    </w:p>
    <w:p w:rsidR="00C645C9" w:rsidRDefault="00F955D9">
      <w:pPr>
        <w:widowControl w:val="0"/>
        <w:adjustRightInd w:val="0"/>
        <w:snapToGrid w:val="0"/>
        <w:spacing w:line="360" w:lineRule="auto"/>
        <w:ind w:firstLineChars="200" w:firstLine="480"/>
        <w:rPr>
          <w:rFonts w:cs="Times New Roman"/>
          <w:szCs w:val="20"/>
        </w:rPr>
      </w:pPr>
      <w:r>
        <w:rPr>
          <w:rFonts w:cs="Times New Roman"/>
          <w:szCs w:val="20"/>
        </w:rPr>
        <w:t>分析方法、各因子检出限等详细情况见表</w:t>
      </w:r>
      <w:r>
        <w:rPr>
          <w:rFonts w:cs="Times New Roman"/>
          <w:szCs w:val="20"/>
        </w:rPr>
        <w:t>4.</w:t>
      </w:r>
      <w:r>
        <w:rPr>
          <w:rFonts w:cs="Times New Roman" w:hint="eastAsia"/>
          <w:szCs w:val="20"/>
        </w:rPr>
        <w:t>3</w:t>
      </w:r>
      <w:r>
        <w:rPr>
          <w:rFonts w:cs="Times New Roman"/>
          <w:szCs w:val="20"/>
        </w:rPr>
        <w:t>-2</w:t>
      </w:r>
      <w:r>
        <w:rPr>
          <w:rFonts w:cs="Times New Roman"/>
          <w:szCs w:val="20"/>
        </w:rPr>
        <w:t>。</w:t>
      </w: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t>表</w:t>
      </w:r>
      <w:r>
        <w:rPr>
          <w:rFonts w:eastAsia="黑体" w:cs="Times New Roman"/>
          <w:sz w:val="21"/>
          <w:szCs w:val="21"/>
        </w:rPr>
        <w:t>4.</w:t>
      </w:r>
      <w:r>
        <w:rPr>
          <w:rFonts w:eastAsia="黑体" w:cs="Times New Roman" w:hint="eastAsia"/>
          <w:sz w:val="21"/>
          <w:szCs w:val="21"/>
        </w:rPr>
        <w:t>3</w:t>
      </w:r>
      <w:r>
        <w:rPr>
          <w:rFonts w:eastAsia="黑体" w:cs="Times New Roman"/>
          <w:sz w:val="21"/>
          <w:szCs w:val="21"/>
        </w:rPr>
        <w:t xml:space="preserve">-2   </w:t>
      </w:r>
      <w:r>
        <w:rPr>
          <w:rFonts w:eastAsia="黑体" w:cs="Times New Roman"/>
          <w:sz w:val="21"/>
          <w:szCs w:val="21"/>
        </w:rPr>
        <w:t>地下水环境监测因子和检测因子分析方法一览表</w:t>
      </w:r>
    </w:p>
    <w:tbl>
      <w:tblP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1541"/>
        <w:gridCol w:w="4935"/>
        <w:gridCol w:w="1391"/>
      </w:tblGrid>
      <w:tr w:rsidR="00C645C9">
        <w:trPr>
          <w:trHeight w:val="544"/>
          <w:tblHeader/>
          <w:jc w:val="center"/>
        </w:trPr>
        <w:tc>
          <w:tcPr>
            <w:tcW w:w="31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序号</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检测项目</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检测方法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检出限</w:t>
            </w:r>
            <w:r>
              <w:rPr>
                <w:rFonts w:cs="Times New Roman"/>
                <w:sz w:val="21"/>
                <w:szCs w:val="21"/>
              </w:rPr>
              <w:t>/</w:t>
            </w:r>
          </w:p>
          <w:p w:rsidR="00C645C9" w:rsidRDefault="00F955D9">
            <w:pPr>
              <w:widowControl w:val="0"/>
              <w:adjustRightInd w:val="0"/>
              <w:snapToGrid w:val="0"/>
              <w:jc w:val="center"/>
              <w:rPr>
                <w:rFonts w:cs="Times New Roman"/>
                <w:sz w:val="21"/>
                <w:szCs w:val="21"/>
              </w:rPr>
            </w:pPr>
            <w:r>
              <w:rPr>
                <w:rFonts w:cs="Times New Roman"/>
                <w:sz w:val="21"/>
                <w:szCs w:val="21"/>
              </w:rPr>
              <w:t>最低检出浓度</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pH</w:t>
            </w:r>
            <w:r>
              <w:rPr>
                <w:rFonts w:cs="Times New Roman"/>
                <w:sz w:val="21"/>
                <w:szCs w:val="21"/>
              </w:rPr>
              <w:t>值</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pH</w:t>
            </w:r>
            <w:r>
              <w:rPr>
                <w:rFonts w:cs="Times New Roman"/>
                <w:sz w:val="21"/>
                <w:szCs w:val="21"/>
              </w:rPr>
              <w:t>值的测定</w:t>
            </w:r>
            <w:r>
              <w:rPr>
                <w:rFonts w:cs="Times New Roman"/>
                <w:sz w:val="21"/>
                <w:szCs w:val="21"/>
              </w:rPr>
              <w:t xml:space="preserve"> </w:t>
            </w:r>
            <w:r>
              <w:rPr>
                <w:rFonts w:cs="Times New Roman"/>
                <w:sz w:val="21"/>
                <w:szCs w:val="21"/>
              </w:rPr>
              <w:t>电极法》（</w:t>
            </w:r>
            <w:r>
              <w:rPr>
                <w:rFonts w:cs="Times New Roman"/>
                <w:sz w:val="21"/>
                <w:szCs w:val="21"/>
              </w:rPr>
              <w:t>HJ 1147-2020</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总硬度</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4</w:t>
            </w:r>
            <w:r>
              <w:rPr>
                <w:rFonts w:cs="Times New Roman"/>
                <w:sz w:val="21"/>
                <w:szCs w:val="21"/>
              </w:rPr>
              <w:t>部分</w:t>
            </w:r>
            <w:r>
              <w:rPr>
                <w:rFonts w:cs="Times New Roman" w:hint="eastAsia"/>
                <w:sz w:val="21"/>
                <w:szCs w:val="21"/>
              </w:rPr>
              <w:t>：</w:t>
            </w:r>
            <w:r>
              <w:rPr>
                <w:rFonts w:cs="Times New Roman"/>
                <w:sz w:val="21"/>
                <w:szCs w:val="21"/>
              </w:rPr>
              <w:t>感官性状和物理指标》（</w:t>
            </w:r>
            <w:r>
              <w:rPr>
                <w:rFonts w:cs="Times New Roman"/>
                <w:sz w:val="21"/>
                <w:szCs w:val="21"/>
              </w:rPr>
              <w:t>GB/T 5750.4-2023</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1.0</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3</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溶解性总固体</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4</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挥发酚</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挥发酚的测定</w:t>
            </w:r>
            <w:r>
              <w:rPr>
                <w:rFonts w:cs="Times New Roman"/>
                <w:sz w:val="21"/>
                <w:szCs w:val="21"/>
              </w:rPr>
              <w:t xml:space="preserve"> 4-</w:t>
            </w:r>
            <w:r>
              <w:rPr>
                <w:rFonts w:cs="Times New Roman"/>
                <w:sz w:val="21"/>
                <w:szCs w:val="21"/>
              </w:rPr>
              <w:t>氨基安替比林分光光度法》（</w:t>
            </w:r>
            <w:r>
              <w:rPr>
                <w:rFonts w:cs="Times New Roman"/>
                <w:sz w:val="21"/>
                <w:szCs w:val="21"/>
              </w:rPr>
              <w:t>HJ 503-2009</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0.0003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5</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高锰酸盐指数</w:t>
            </w:r>
          </w:p>
          <w:p w:rsidR="00C645C9" w:rsidRDefault="00F955D9">
            <w:pPr>
              <w:widowControl w:val="0"/>
              <w:adjustRightInd w:val="0"/>
              <w:snapToGrid w:val="0"/>
              <w:jc w:val="center"/>
              <w:rPr>
                <w:rFonts w:cs="Times New Roman"/>
                <w:sz w:val="21"/>
                <w:szCs w:val="21"/>
              </w:rPr>
            </w:pPr>
            <w:r>
              <w:rPr>
                <w:rFonts w:cs="Times New Roman"/>
                <w:sz w:val="21"/>
                <w:szCs w:val="21"/>
              </w:rPr>
              <w:t>（以</w:t>
            </w:r>
            <w:r>
              <w:rPr>
                <w:rFonts w:cs="Times New Roman"/>
                <w:sz w:val="21"/>
                <w:szCs w:val="21"/>
              </w:rPr>
              <w:t>O</w:t>
            </w:r>
            <w:r>
              <w:rPr>
                <w:rFonts w:cs="Times New Roman"/>
                <w:sz w:val="21"/>
                <w:szCs w:val="21"/>
                <w:vertAlign w:val="subscript"/>
              </w:rPr>
              <w:t>2</w:t>
            </w:r>
            <w:r>
              <w:rPr>
                <w:rFonts w:cs="Times New Roman"/>
                <w:sz w:val="21"/>
                <w:szCs w:val="21"/>
              </w:rPr>
              <w:t>计）</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7</w:t>
            </w:r>
            <w:r>
              <w:rPr>
                <w:rFonts w:cs="Times New Roman"/>
                <w:sz w:val="21"/>
                <w:szCs w:val="21"/>
              </w:rPr>
              <w:t>部分</w:t>
            </w:r>
            <w:r>
              <w:rPr>
                <w:rFonts w:cs="Times New Roman" w:hint="eastAsia"/>
                <w:sz w:val="21"/>
                <w:szCs w:val="21"/>
              </w:rPr>
              <w:t>：</w:t>
            </w:r>
            <w:r>
              <w:rPr>
                <w:rFonts w:cs="Times New Roman"/>
                <w:sz w:val="21"/>
                <w:szCs w:val="21"/>
              </w:rPr>
              <w:t>有机物综合指标》（</w:t>
            </w:r>
            <w:r>
              <w:rPr>
                <w:rFonts w:cs="Times New Roman"/>
                <w:sz w:val="21"/>
                <w:szCs w:val="21"/>
              </w:rPr>
              <w:t>GB/T 5750.7-2023</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0.05</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6</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氨氮</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氨氮的测定</w:t>
            </w:r>
            <w:r>
              <w:rPr>
                <w:rFonts w:cs="Times New Roman"/>
                <w:sz w:val="21"/>
                <w:szCs w:val="21"/>
              </w:rPr>
              <w:t xml:space="preserve"> </w:t>
            </w:r>
            <w:r>
              <w:rPr>
                <w:rFonts w:cs="Times New Roman"/>
                <w:sz w:val="21"/>
                <w:szCs w:val="21"/>
              </w:rPr>
              <w:t>纳氏试剂分光光度法》（</w:t>
            </w:r>
            <w:r>
              <w:rPr>
                <w:rFonts w:cs="Times New Roman"/>
                <w:sz w:val="21"/>
                <w:szCs w:val="21"/>
              </w:rPr>
              <w:t>HJ 535-2009</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0.025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7</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总大肠菌群</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12</w:t>
            </w:r>
            <w:r>
              <w:rPr>
                <w:rFonts w:cs="Times New Roman"/>
                <w:sz w:val="21"/>
                <w:szCs w:val="21"/>
              </w:rPr>
              <w:t>部分</w:t>
            </w:r>
            <w:r>
              <w:rPr>
                <w:rFonts w:cs="Times New Roman" w:hint="eastAsia"/>
                <w:sz w:val="21"/>
                <w:szCs w:val="21"/>
              </w:rPr>
              <w:t>：</w:t>
            </w:r>
            <w:r>
              <w:rPr>
                <w:rFonts w:cs="Times New Roman"/>
                <w:sz w:val="21"/>
                <w:szCs w:val="21"/>
              </w:rPr>
              <w:t>微生物指标》（</w:t>
            </w:r>
            <w:r>
              <w:rPr>
                <w:rFonts w:cs="Times New Roman"/>
                <w:sz w:val="21"/>
                <w:szCs w:val="21"/>
              </w:rPr>
              <w:t>GB/T 5750.12-2023</w:t>
            </w:r>
            <w:r>
              <w:rPr>
                <w:rFonts w:cs="Times New Roman"/>
                <w:sz w:val="21"/>
                <w:szCs w:val="21"/>
              </w:rPr>
              <w:t>）</w:t>
            </w:r>
            <w:r>
              <w:rPr>
                <w:rFonts w:cs="Times New Roman"/>
                <w:sz w:val="21"/>
                <w:szCs w:val="21"/>
              </w:rPr>
              <w:t>5.2</w:t>
            </w:r>
            <w:r>
              <w:rPr>
                <w:rFonts w:cs="Times New Roman"/>
                <w:sz w:val="21"/>
                <w:szCs w:val="21"/>
              </w:rPr>
              <w:t>滤膜法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8</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菌落</w:t>
            </w:r>
            <w:r>
              <w:rPr>
                <w:rFonts w:cs="Times New Roman"/>
                <w:sz w:val="21"/>
                <w:szCs w:val="21"/>
              </w:rPr>
              <w:t>总数</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12</w:t>
            </w:r>
            <w:r>
              <w:rPr>
                <w:rFonts w:cs="Times New Roman"/>
                <w:sz w:val="21"/>
                <w:szCs w:val="21"/>
              </w:rPr>
              <w:t>部分</w:t>
            </w:r>
            <w:r>
              <w:rPr>
                <w:rFonts w:cs="Times New Roman" w:hint="eastAsia"/>
                <w:sz w:val="21"/>
                <w:szCs w:val="21"/>
              </w:rPr>
              <w:t>：</w:t>
            </w:r>
            <w:r>
              <w:rPr>
                <w:rFonts w:cs="Times New Roman"/>
                <w:sz w:val="21"/>
                <w:szCs w:val="21"/>
              </w:rPr>
              <w:t>微生物指标》（</w:t>
            </w:r>
            <w:r>
              <w:rPr>
                <w:rFonts w:cs="Times New Roman"/>
                <w:sz w:val="21"/>
                <w:szCs w:val="21"/>
              </w:rPr>
              <w:t>GB/T 5750.12-2023</w:t>
            </w:r>
            <w:r>
              <w:rPr>
                <w:rFonts w:cs="Times New Roman"/>
                <w:sz w:val="21"/>
                <w:szCs w:val="21"/>
              </w:rPr>
              <w:t>）</w:t>
            </w:r>
            <w:r>
              <w:rPr>
                <w:rFonts w:cs="Times New Roman"/>
                <w:sz w:val="21"/>
                <w:szCs w:val="21"/>
              </w:rPr>
              <w:t xml:space="preserve">4.1 </w:t>
            </w:r>
            <w:r>
              <w:rPr>
                <w:rFonts w:cs="Times New Roman"/>
                <w:sz w:val="21"/>
                <w:szCs w:val="21"/>
              </w:rPr>
              <w:t>平皿计数法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9</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亚硝酸盐</w:t>
            </w:r>
            <w:r>
              <w:rPr>
                <w:rFonts w:cs="Times New Roman"/>
                <w:sz w:val="21"/>
                <w:szCs w:val="21"/>
              </w:rPr>
              <w:t>（</w:t>
            </w:r>
            <w:r>
              <w:rPr>
                <w:rFonts w:cs="Times New Roman"/>
                <w:sz w:val="21"/>
                <w:szCs w:val="21"/>
              </w:rPr>
              <w:t>氮</w:t>
            </w:r>
            <w:r>
              <w:rPr>
                <w:rFonts w:cs="Times New Roman"/>
                <w:sz w:val="21"/>
                <w:szCs w:val="21"/>
              </w:rPr>
              <w:t>）</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亚硝酸盐氮的测定</w:t>
            </w:r>
            <w:r>
              <w:rPr>
                <w:rFonts w:cs="Times New Roman"/>
                <w:sz w:val="21"/>
                <w:szCs w:val="21"/>
              </w:rPr>
              <w:t xml:space="preserve"> </w:t>
            </w:r>
            <w:r>
              <w:rPr>
                <w:rFonts w:cs="Times New Roman"/>
                <w:sz w:val="21"/>
                <w:szCs w:val="21"/>
              </w:rPr>
              <w:t>分光光度法》（</w:t>
            </w:r>
            <w:r>
              <w:rPr>
                <w:rFonts w:cs="Times New Roman"/>
                <w:sz w:val="21"/>
                <w:szCs w:val="21"/>
              </w:rPr>
              <w:t>GB 7493-87</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0.003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10</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硝酸盐</w:t>
            </w:r>
            <w:r>
              <w:rPr>
                <w:rFonts w:cs="Times New Roman"/>
                <w:sz w:val="21"/>
                <w:szCs w:val="21"/>
              </w:rPr>
              <w:t>（</w:t>
            </w:r>
            <w:r>
              <w:rPr>
                <w:rFonts w:cs="Times New Roman"/>
                <w:sz w:val="21"/>
                <w:szCs w:val="21"/>
              </w:rPr>
              <w:t>氮</w:t>
            </w:r>
            <w:r>
              <w:rPr>
                <w:rFonts w:cs="Times New Roman"/>
                <w:sz w:val="21"/>
                <w:szCs w:val="21"/>
              </w:rPr>
              <w:t>）</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硝酸盐氮的测定</w:t>
            </w:r>
            <w:r>
              <w:rPr>
                <w:rFonts w:cs="Times New Roman"/>
                <w:sz w:val="21"/>
                <w:szCs w:val="21"/>
              </w:rPr>
              <w:t xml:space="preserve"> </w:t>
            </w:r>
            <w:r>
              <w:rPr>
                <w:rFonts w:cs="Times New Roman"/>
                <w:sz w:val="21"/>
                <w:szCs w:val="21"/>
              </w:rPr>
              <w:t>紫外分光光度法</w:t>
            </w:r>
            <w:r>
              <w:rPr>
                <w:rFonts w:cs="Times New Roman"/>
                <w:sz w:val="21"/>
                <w:szCs w:val="21"/>
              </w:rPr>
              <w:t>（</w:t>
            </w:r>
            <w:r>
              <w:rPr>
                <w:rFonts w:cs="Times New Roman"/>
                <w:sz w:val="21"/>
                <w:szCs w:val="21"/>
              </w:rPr>
              <w:t>试行</w:t>
            </w:r>
            <w:r>
              <w:rPr>
                <w:rFonts w:cs="Times New Roman"/>
                <w:sz w:val="21"/>
                <w:szCs w:val="21"/>
              </w:rPr>
              <w:t>）</w:t>
            </w:r>
            <w:r>
              <w:rPr>
                <w:rFonts w:cs="Times New Roman"/>
                <w:sz w:val="21"/>
                <w:szCs w:val="21"/>
              </w:rPr>
              <w:t>》（</w:t>
            </w:r>
            <w:r>
              <w:rPr>
                <w:rFonts w:cs="Times New Roman"/>
                <w:sz w:val="21"/>
                <w:szCs w:val="21"/>
              </w:rPr>
              <w:t>HJ/T 346-2007</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0.08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11</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氰化物</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5</w:t>
            </w:r>
            <w:r>
              <w:rPr>
                <w:rFonts w:cs="Times New Roman"/>
                <w:sz w:val="21"/>
                <w:szCs w:val="21"/>
              </w:rPr>
              <w:t>部分</w:t>
            </w:r>
            <w:r>
              <w:rPr>
                <w:rFonts w:cs="Times New Roman" w:hint="eastAsia"/>
                <w:sz w:val="21"/>
                <w:szCs w:val="21"/>
              </w:rPr>
              <w:t>：</w:t>
            </w:r>
            <w:r>
              <w:rPr>
                <w:rFonts w:cs="Times New Roman"/>
                <w:sz w:val="21"/>
                <w:szCs w:val="21"/>
              </w:rPr>
              <w:t>无机非金属指标》（</w:t>
            </w:r>
            <w:r>
              <w:rPr>
                <w:rFonts w:cs="Times New Roman"/>
                <w:sz w:val="21"/>
                <w:szCs w:val="21"/>
              </w:rPr>
              <w:t>GB/T 5750.5-2023</w:t>
            </w:r>
            <w:r>
              <w:rPr>
                <w:rFonts w:cs="Times New Roman"/>
                <w:sz w:val="21"/>
                <w:szCs w:val="21"/>
              </w:rPr>
              <w:t>）</w:t>
            </w:r>
            <w:r>
              <w:rPr>
                <w:rFonts w:cs="Times New Roman"/>
                <w:sz w:val="21"/>
                <w:szCs w:val="21"/>
              </w:rPr>
              <w:t xml:space="preserve">7.1 </w:t>
            </w:r>
            <w:r>
              <w:rPr>
                <w:rFonts w:cs="Times New Roman"/>
                <w:sz w:val="21"/>
                <w:szCs w:val="21"/>
              </w:rPr>
              <w:t>异烟酸</w:t>
            </w:r>
            <w:r>
              <w:rPr>
                <w:rFonts w:cs="Times New Roman"/>
                <w:sz w:val="21"/>
                <w:szCs w:val="21"/>
              </w:rPr>
              <w:t>-</w:t>
            </w:r>
            <w:r>
              <w:rPr>
                <w:rFonts w:cs="Times New Roman"/>
                <w:sz w:val="21"/>
                <w:szCs w:val="21"/>
              </w:rPr>
              <w:t>吡唑啉酮分光光度法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0.002</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12</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氟化物</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氟化物的测定</w:t>
            </w:r>
            <w:r>
              <w:rPr>
                <w:rFonts w:cs="Times New Roman"/>
                <w:sz w:val="21"/>
                <w:szCs w:val="21"/>
              </w:rPr>
              <w:t xml:space="preserve"> </w:t>
            </w:r>
            <w:r>
              <w:rPr>
                <w:rFonts w:cs="Times New Roman"/>
                <w:sz w:val="21"/>
                <w:szCs w:val="21"/>
              </w:rPr>
              <w:t>离子选择电极法》（</w:t>
            </w:r>
            <w:r>
              <w:rPr>
                <w:rFonts w:cs="Times New Roman"/>
                <w:sz w:val="21"/>
                <w:szCs w:val="21"/>
              </w:rPr>
              <w:t>GB 7484-87</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0.05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13</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汞</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汞、砷、硒、铋和锑的测定</w:t>
            </w:r>
            <w:r>
              <w:rPr>
                <w:rFonts w:cs="Times New Roman"/>
                <w:sz w:val="21"/>
                <w:szCs w:val="21"/>
              </w:rPr>
              <w:t xml:space="preserve"> </w:t>
            </w:r>
            <w:r>
              <w:rPr>
                <w:rFonts w:cs="Times New Roman"/>
                <w:sz w:val="21"/>
                <w:szCs w:val="21"/>
              </w:rPr>
              <w:t>原子荧光法》（</w:t>
            </w:r>
            <w:r>
              <w:rPr>
                <w:rFonts w:cs="Times New Roman"/>
                <w:sz w:val="21"/>
                <w:szCs w:val="21"/>
              </w:rPr>
              <w:t>HJ 694-2014</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4×10</w:t>
            </w:r>
            <w:r>
              <w:rPr>
                <w:rFonts w:cs="Times New Roman"/>
                <w:sz w:val="21"/>
                <w:szCs w:val="21"/>
                <w:vertAlign w:val="superscript"/>
              </w:rPr>
              <w:t>-5</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14</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砷</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3×10</w:t>
            </w:r>
            <w:r>
              <w:rPr>
                <w:rFonts w:cs="Times New Roman"/>
                <w:sz w:val="21"/>
                <w:szCs w:val="21"/>
                <w:vertAlign w:val="superscript"/>
              </w:rPr>
              <w:t>-4</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15</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镉</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6</w:t>
            </w:r>
            <w:r>
              <w:rPr>
                <w:rFonts w:cs="Times New Roman"/>
                <w:sz w:val="21"/>
                <w:szCs w:val="21"/>
              </w:rPr>
              <w:t>部分</w:t>
            </w:r>
            <w:r>
              <w:rPr>
                <w:rFonts w:cs="Times New Roman" w:hint="eastAsia"/>
                <w:sz w:val="21"/>
                <w:szCs w:val="21"/>
              </w:rPr>
              <w:t>：</w:t>
            </w:r>
            <w:r>
              <w:rPr>
                <w:rFonts w:cs="Times New Roman"/>
                <w:sz w:val="21"/>
                <w:szCs w:val="21"/>
              </w:rPr>
              <w:t>金属和类金属指标》（</w:t>
            </w:r>
            <w:r>
              <w:rPr>
                <w:rFonts w:cs="Times New Roman"/>
                <w:sz w:val="21"/>
                <w:szCs w:val="21"/>
              </w:rPr>
              <w:t>GB/T 5750.6-2023</w:t>
            </w:r>
            <w:r>
              <w:rPr>
                <w:rFonts w:cs="Times New Roman"/>
                <w:sz w:val="21"/>
                <w:szCs w:val="21"/>
              </w:rPr>
              <w:t>）</w:t>
            </w:r>
            <w:r>
              <w:rPr>
                <w:rFonts w:cs="Times New Roman"/>
                <w:sz w:val="21"/>
                <w:szCs w:val="21"/>
              </w:rPr>
              <w:t xml:space="preserve">12.1 </w:t>
            </w:r>
            <w:r>
              <w:rPr>
                <w:rFonts w:cs="Times New Roman"/>
                <w:sz w:val="21"/>
                <w:szCs w:val="21"/>
              </w:rPr>
              <w:t>无火焰原子吸收分光光度法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5×10</w:t>
            </w:r>
            <w:r>
              <w:rPr>
                <w:rFonts w:cs="Times New Roman"/>
                <w:sz w:val="21"/>
                <w:szCs w:val="21"/>
                <w:vertAlign w:val="superscript"/>
              </w:rPr>
              <w:t>-4</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16</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六价</w:t>
            </w:r>
            <w:r>
              <w:rPr>
                <w:rFonts w:cs="Times New Roman"/>
                <w:sz w:val="21"/>
                <w:szCs w:val="21"/>
              </w:rPr>
              <w:t>铬</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六价铬的测定</w:t>
            </w:r>
            <w:r>
              <w:rPr>
                <w:rFonts w:cs="Times New Roman"/>
                <w:sz w:val="21"/>
                <w:szCs w:val="21"/>
              </w:rPr>
              <w:t xml:space="preserve"> </w:t>
            </w:r>
            <w:r>
              <w:rPr>
                <w:rFonts w:cs="Times New Roman"/>
                <w:sz w:val="21"/>
                <w:szCs w:val="21"/>
              </w:rPr>
              <w:t>二苯碳酰二肼分光光度法》（</w:t>
            </w:r>
            <w:r>
              <w:rPr>
                <w:rFonts w:cs="Times New Roman"/>
                <w:sz w:val="21"/>
                <w:szCs w:val="21"/>
              </w:rPr>
              <w:t>GB 7467-87</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0.004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17</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铅</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6</w:t>
            </w:r>
            <w:r>
              <w:rPr>
                <w:rFonts w:cs="Times New Roman"/>
                <w:sz w:val="21"/>
                <w:szCs w:val="21"/>
              </w:rPr>
              <w:t>部分</w:t>
            </w:r>
            <w:r>
              <w:rPr>
                <w:rFonts w:cs="Times New Roman" w:hint="eastAsia"/>
                <w:sz w:val="21"/>
                <w:szCs w:val="21"/>
              </w:rPr>
              <w:t>：</w:t>
            </w:r>
            <w:r>
              <w:rPr>
                <w:rFonts w:cs="Times New Roman"/>
                <w:sz w:val="21"/>
                <w:szCs w:val="21"/>
              </w:rPr>
              <w:t>金属和类金属指标》（</w:t>
            </w:r>
            <w:r>
              <w:rPr>
                <w:rFonts w:cs="Times New Roman"/>
                <w:sz w:val="21"/>
                <w:szCs w:val="21"/>
              </w:rPr>
              <w:t>GB/T 5750.6-2023</w:t>
            </w:r>
            <w:r>
              <w:rPr>
                <w:rFonts w:cs="Times New Roman"/>
                <w:sz w:val="21"/>
                <w:szCs w:val="21"/>
              </w:rPr>
              <w:t>）</w:t>
            </w:r>
            <w:r>
              <w:rPr>
                <w:rFonts w:cs="Times New Roman"/>
                <w:sz w:val="21"/>
                <w:szCs w:val="21"/>
              </w:rPr>
              <w:t xml:space="preserve">14.1 </w:t>
            </w:r>
            <w:r>
              <w:rPr>
                <w:rFonts w:cs="Times New Roman"/>
                <w:sz w:val="21"/>
                <w:szCs w:val="21"/>
              </w:rPr>
              <w:t>无火焰原子吸收分光光度法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2.5×10</w:t>
            </w:r>
            <w:r>
              <w:rPr>
                <w:rFonts w:cs="Times New Roman"/>
                <w:sz w:val="21"/>
                <w:szCs w:val="21"/>
                <w:vertAlign w:val="superscript"/>
              </w:rPr>
              <w:t>-3</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18</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钡</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《生活饮用水标准检验方法</w:t>
            </w:r>
            <w:r>
              <w:rPr>
                <w:rFonts w:cs="Times New Roman"/>
                <w:sz w:val="21"/>
                <w:szCs w:val="21"/>
              </w:rPr>
              <w:t xml:space="preserve"> </w:t>
            </w:r>
            <w:r>
              <w:rPr>
                <w:rFonts w:cs="Times New Roman"/>
                <w:sz w:val="21"/>
                <w:szCs w:val="21"/>
              </w:rPr>
              <w:t>第</w:t>
            </w:r>
            <w:r>
              <w:rPr>
                <w:rFonts w:cs="Times New Roman"/>
                <w:sz w:val="21"/>
                <w:szCs w:val="21"/>
              </w:rPr>
              <w:t>6</w:t>
            </w:r>
            <w:r>
              <w:rPr>
                <w:rFonts w:cs="Times New Roman"/>
                <w:sz w:val="21"/>
                <w:szCs w:val="21"/>
              </w:rPr>
              <w:t>部分</w:t>
            </w:r>
            <w:r>
              <w:rPr>
                <w:rFonts w:cs="Times New Roman" w:hint="eastAsia"/>
                <w:sz w:val="21"/>
                <w:szCs w:val="21"/>
              </w:rPr>
              <w:t>：</w:t>
            </w:r>
            <w:r>
              <w:rPr>
                <w:rFonts w:cs="Times New Roman"/>
                <w:sz w:val="21"/>
                <w:szCs w:val="21"/>
              </w:rPr>
              <w:t>金属和类金属指标》（</w:t>
            </w:r>
            <w:r>
              <w:rPr>
                <w:rFonts w:cs="Times New Roman"/>
                <w:sz w:val="21"/>
                <w:szCs w:val="21"/>
              </w:rPr>
              <w:t>GB/T 5750.6-2023</w:t>
            </w:r>
            <w:r>
              <w:rPr>
                <w:rFonts w:cs="Times New Roman"/>
                <w:sz w:val="21"/>
                <w:szCs w:val="21"/>
              </w:rPr>
              <w:t>）</w:t>
            </w:r>
            <w:r>
              <w:rPr>
                <w:rFonts w:cs="Times New Roman"/>
                <w:sz w:val="21"/>
                <w:szCs w:val="21"/>
              </w:rPr>
              <w:t xml:space="preserve">19.1 </w:t>
            </w:r>
            <w:r>
              <w:rPr>
                <w:rFonts w:cs="Times New Roman"/>
                <w:sz w:val="21"/>
                <w:szCs w:val="21"/>
              </w:rPr>
              <w:t>无火焰原子吸收分光光度法</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1.0 </w:t>
            </w:r>
            <w:r>
              <w:rPr>
                <w:rFonts w:cs="Times New Roman"/>
                <w:sz w:val="21"/>
                <w:szCs w:val="21"/>
              </w:rPr>
              <w:t>×10</w:t>
            </w:r>
            <w:r>
              <w:rPr>
                <w:rFonts w:cs="Times New Roman"/>
                <w:sz w:val="21"/>
                <w:szCs w:val="21"/>
                <w:vertAlign w:val="superscript"/>
              </w:rPr>
              <w:t>-</w:t>
            </w:r>
            <w:r>
              <w:rPr>
                <w:rFonts w:cs="Times New Roman"/>
                <w:sz w:val="21"/>
                <w:szCs w:val="21"/>
                <w:vertAlign w:val="superscript"/>
              </w:rPr>
              <w:t>2</w:t>
            </w:r>
            <w:r>
              <w:rPr>
                <w:rFonts w:cs="Times New Roman"/>
                <w:sz w:val="21"/>
                <w:szCs w:val="21"/>
              </w:rPr>
              <w:t xml:space="preserve">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19</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硫酸根</w:t>
            </w:r>
          </w:p>
          <w:p w:rsidR="00C645C9" w:rsidRDefault="00F955D9">
            <w:pPr>
              <w:widowControl w:val="0"/>
              <w:adjustRightInd w:val="0"/>
              <w:snapToGrid w:val="0"/>
              <w:jc w:val="center"/>
              <w:rPr>
                <w:rFonts w:cs="Times New Roman"/>
                <w:sz w:val="21"/>
                <w:szCs w:val="21"/>
              </w:rPr>
            </w:pPr>
            <w:r>
              <w:rPr>
                <w:rFonts w:cs="Times New Roman"/>
                <w:kern w:val="2"/>
                <w:sz w:val="21"/>
                <w:szCs w:val="21"/>
              </w:rPr>
              <w:t>（硫酸盐）</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无机阴离子</w:t>
            </w:r>
            <w:r>
              <w:rPr>
                <w:rFonts w:cs="Times New Roman"/>
                <w:sz w:val="21"/>
                <w:szCs w:val="21"/>
              </w:rPr>
              <w:t>（</w:t>
            </w:r>
            <w:r>
              <w:rPr>
                <w:rFonts w:cs="Times New Roman"/>
                <w:sz w:val="21"/>
                <w:szCs w:val="21"/>
              </w:rPr>
              <w:t>F</w:t>
            </w:r>
            <w:r>
              <w:rPr>
                <w:rFonts w:cs="Times New Roman"/>
                <w:sz w:val="21"/>
                <w:szCs w:val="21"/>
                <w:vertAlign w:val="superscript"/>
              </w:rPr>
              <w:t>-</w:t>
            </w:r>
            <w:r>
              <w:rPr>
                <w:rFonts w:cs="Times New Roman"/>
                <w:sz w:val="21"/>
                <w:szCs w:val="21"/>
              </w:rPr>
              <w:t>、</w:t>
            </w:r>
            <w:r>
              <w:rPr>
                <w:rFonts w:cs="Times New Roman"/>
                <w:sz w:val="21"/>
                <w:szCs w:val="21"/>
              </w:rPr>
              <w:t>Cl</w:t>
            </w:r>
            <w:r>
              <w:rPr>
                <w:rFonts w:cs="Times New Roman"/>
                <w:sz w:val="21"/>
                <w:szCs w:val="21"/>
                <w:vertAlign w:val="superscript"/>
              </w:rPr>
              <w:t>-</w:t>
            </w:r>
            <w:r>
              <w:rPr>
                <w:rFonts w:cs="Times New Roman"/>
                <w:sz w:val="21"/>
                <w:szCs w:val="21"/>
              </w:rPr>
              <w:t>、</w:t>
            </w:r>
            <w:r>
              <w:rPr>
                <w:rFonts w:cs="Times New Roman"/>
                <w:sz w:val="21"/>
                <w:szCs w:val="21"/>
              </w:rPr>
              <w:t>NO</w:t>
            </w:r>
            <w:r>
              <w:rPr>
                <w:rFonts w:cs="Times New Roman"/>
                <w:sz w:val="21"/>
                <w:szCs w:val="21"/>
                <w:vertAlign w:val="subscript"/>
              </w:rPr>
              <w:t>2</w:t>
            </w:r>
            <w:r>
              <w:rPr>
                <w:rFonts w:cs="Times New Roman"/>
                <w:sz w:val="21"/>
                <w:szCs w:val="21"/>
                <w:vertAlign w:val="superscript"/>
              </w:rPr>
              <w:t>-</w:t>
            </w:r>
            <w:r>
              <w:rPr>
                <w:rFonts w:cs="Times New Roman"/>
                <w:sz w:val="21"/>
                <w:szCs w:val="21"/>
              </w:rPr>
              <w:t>、</w:t>
            </w:r>
            <w:r>
              <w:rPr>
                <w:rFonts w:cs="Times New Roman"/>
                <w:sz w:val="21"/>
                <w:szCs w:val="21"/>
              </w:rPr>
              <w:t>Br</w:t>
            </w:r>
            <w:r>
              <w:rPr>
                <w:rFonts w:cs="Times New Roman"/>
                <w:sz w:val="21"/>
                <w:szCs w:val="21"/>
                <w:vertAlign w:val="superscript"/>
              </w:rPr>
              <w:t>-</w:t>
            </w:r>
            <w:r>
              <w:rPr>
                <w:rFonts w:cs="Times New Roman"/>
                <w:sz w:val="21"/>
                <w:szCs w:val="21"/>
              </w:rPr>
              <w:t>、</w:t>
            </w:r>
            <w:r>
              <w:rPr>
                <w:rFonts w:cs="Times New Roman"/>
                <w:sz w:val="21"/>
                <w:szCs w:val="21"/>
              </w:rPr>
              <w:t>NO</w:t>
            </w:r>
            <w:r>
              <w:rPr>
                <w:rFonts w:cs="Times New Roman"/>
                <w:sz w:val="21"/>
                <w:szCs w:val="21"/>
                <w:vertAlign w:val="subscript"/>
              </w:rPr>
              <w:t>3</w:t>
            </w:r>
            <w:r>
              <w:rPr>
                <w:rFonts w:cs="Times New Roman"/>
                <w:sz w:val="21"/>
                <w:szCs w:val="21"/>
                <w:vertAlign w:val="superscript"/>
              </w:rPr>
              <w:t>-</w:t>
            </w:r>
            <w:r>
              <w:rPr>
                <w:rFonts w:cs="Times New Roman"/>
                <w:sz w:val="21"/>
                <w:szCs w:val="21"/>
              </w:rPr>
              <w:t>、</w:t>
            </w:r>
            <w:r>
              <w:rPr>
                <w:rFonts w:cs="Times New Roman"/>
                <w:sz w:val="21"/>
                <w:szCs w:val="21"/>
              </w:rPr>
              <w:t>PO</w:t>
            </w:r>
            <w:r>
              <w:rPr>
                <w:rFonts w:cs="Times New Roman"/>
                <w:sz w:val="21"/>
                <w:szCs w:val="21"/>
                <w:vertAlign w:val="subscript"/>
              </w:rPr>
              <w:t>4</w:t>
            </w:r>
            <w:r>
              <w:rPr>
                <w:rFonts w:cs="Times New Roman"/>
                <w:sz w:val="21"/>
                <w:szCs w:val="21"/>
                <w:vertAlign w:val="superscript"/>
              </w:rPr>
              <w:t>3-</w:t>
            </w:r>
            <w:r>
              <w:rPr>
                <w:rFonts w:cs="Times New Roman"/>
                <w:sz w:val="21"/>
                <w:szCs w:val="21"/>
              </w:rPr>
              <w:t>、</w:t>
            </w:r>
            <w:r>
              <w:rPr>
                <w:rFonts w:cs="Times New Roman"/>
                <w:sz w:val="21"/>
                <w:szCs w:val="21"/>
              </w:rPr>
              <w:t>SO</w:t>
            </w:r>
            <w:r>
              <w:rPr>
                <w:rFonts w:cs="Times New Roman"/>
                <w:sz w:val="21"/>
                <w:szCs w:val="21"/>
                <w:vertAlign w:val="subscript"/>
              </w:rPr>
              <w:t>3</w:t>
            </w:r>
            <w:r>
              <w:rPr>
                <w:rFonts w:cs="Times New Roman"/>
                <w:sz w:val="21"/>
                <w:szCs w:val="21"/>
                <w:vertAlign w:val="superscript"/>
              </w:rPr>
              <w:t>2-</w:t>
            </w:r>
            <w:r>
              <w:rPr>
                <w:rFonts w:cs="Times New Roman"/>
                <w:sz w:val="21"/>
                <w:szCs w:val="21"/>
              </w:rPr>
              <w:t>、</w:t>
            </w: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w:t>
            </w:r>
            <w:r>
              <w:rPr>
                <w:rFonts w:cs="Times New Roman"/>
                <w:sz w:val="21"/>
                <w:szCs w:val="21"/>
              </w:rPr>
              <w:t>的测定</w:t>
            </w:r>
            <w:r>
              <w:rPr>
                <w:rFonts w:cs="Times New Roman"/>
                <w:sz w:val="21"/>
                <w:szCs w:val="21"/>
              </w:rPr>
              <w:t xml:space="preserve"> </w:t>
            </w:r>
            <w:r>
              <w:rPr>
                <w:rFonts w:cs="Times New Roman"/>
                <w:sz w:val="21"/>
                <w:szCs w:val="21"/>
              </w:rPr>
              <w:t>离子色谱法》（</w:t>
            </w:r>
            <w:r>
              <w:rPr>
                <w:rFonts w:cs="Times New Roman"/>
                <w:sz w:val="21"/>
                <w:szCs w:val="21"/>
              </w:rPr>
              <w:t>HJ 84-2016</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0.018 </w:t>
            </w:r>
            <w:r>
              <w:rPr>
                <w:rFonts w:cs="Times New Roman"/>
                <w:sz w:val="21"/>
                <w:szCs w:val="21"/>
              </w:rPr>
              <w:t>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lastRenderedPageBreak/>
              <w:t>20</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氯离子</w:t>
            </w:r>
          </w:p>
          <w:p w:rsidR="00C645C9" w:rsidRDefault="00F955D9">
            <w:pPr>
              <w:widowControl w:val="0"/>
              <w:adjustRightInd w:val="0"/>
              <w:snapToGrid w:val="0"/>
              <w:jc w:val="center"/>
              <w:rPr>
                <w:rFonts w:cs="Times New Roman"/>
                <w:sz w:val="21"/>
                <w:szCs w:val="21"/>
              </w:rPr>
            </w:pPr>
            <w:r>
              <w:rPr>
                <w:rFonts w:cs="Times New Roman"/>
                <w:kern w:val="2"/>
                <w:sz w:val="21"/>
                <w:szCs w:val="21"/>
              </w:rPr>
              <w:t>（氯化物）</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0.007 </w:t>
            </w:r>
            <w:r>
              <w:rPr>
                <w:rFonts w:cs="Times New Roman"/>
                <w:sz w:val="21"/>
                <w:szCs w:val="21"/>
              </w:rPr>
              <w:t>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21</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钾离子</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可溶性阳离子（</w:t>
            </w:r>
            <w:r>
              <w:rPr>
                <w:rFonts w:cs="Times New Roman"/>
                <w:sz w:val="21"/>
                <w:szCs w:val="21"/>
              </w:rPr>
              <w:t>Li</w:t>
            </w:r>
            <w:r>
              <w:rPr>
                <w:rFonts w:cs="Times New Roman"/>
                <w:sz w:val="21"/>
                <w:szCs w:val="21"/>
                <w:vertAlign w:val="superscript"/>
              </w:rPr>
              <w:t>+</w:t>
            </w:r>
            <w:r>
              <w:rPr>
                <w:rFonts w:cs="Times New Roman"/>
                <w:sz w:val="21"/>
                <w:szCs w:val="21"/>
              </w:rPr>
              <w:t>、</w:t>
            </w:r>
            <w:r>
              <w:rPr>
                <w:rFonts w:cs="Times New Roman"/>
                <w:sz w:val="21"/>
                <w:szCs w:val="21"/>
              </w:rPr>
              <w:t>Na</w:t>
            </w:r>
            <w:r>
              <w:rPr>
                <w:rFonts w:cs="Times New Roman"/>
                <w:sz w:val="21"/>
                <w:szCs w:val="21"/>
                <w:vertAlign w:val="superscript"/>
              </w:rPr>
              <w:t>+</w:t>
            </w:r>
            <w:r>
              <w:rPr>
                <w:rFonts w:cs="Times New Roman"/>
                <w:sz w:val="21"/>
                <w:szCs w:val="21"/>
              </w:rPr>
              <w:t>、</w:t>
            </w:r>
            <w:r>
              <w:rPr>
                <w:rFonts w:cs="Times New Roman"/>
                <w:sz w:val="21"/>
                <w:szCs w:val="21"/>
              </w:rPr>
              <w:t>NH</w:t>
            </w:r>
            <w:r>
              <w:rPr>
                <w:rFonts w:cs="Times New Roman"/>
                <w:sz w:val="21"/>
                <w:szCs w:val="21"/>
                <w:vertAlign w:val="subscript"/>
              </w:rPr>
              <w:t>4</w:t>
            </w:r>
            <w:r>
              <w:rPr>
                <w:rFonts w:cs="Times New Roman"/>
                <w:sz w:val="21"/>
                <w:szCs w:val="21"/>
                <w:vertAlign w:val="superscript"/>
              </w:rPr>
              <w:t>+</w:t>
            </w:r>
            <w:r>
              <w:rPr>
                <w:rFonts w:cs="Times New Roman"/>
                <w:sz w:val="21"/>
                <w:szCs w:val="21"/>
              </w:rPr>
              <w:t>、</w:t>
            </w:r>
            <w:r>
              <w:rPr>
                <w:rFonts w:cs="Times New Roman"/>
                <w:sz w:val="21"/>
                <w:szCs w:val="21"/>
              </w:rPr>
              <w:t>K</w:t>
            </w:r>
            <w:r>
              <w:rPr>
                <w:rFonts w:cs="Times New Roman"/>
                <w:sz w:val="21"/>
                <w:szCs w:val="21"/>
                <w:vertAlign w:val="superscript"/>
              </w:rPr>
              <w:t>+</w:t>
            </w:r>
            <w:r>
              <w:rPr>
                <w:rFonts w:cs="Times New Roman"/>
                <w:sz w:val="21"/>
                <w:szCs w:val="21"/>
              </w:rPr>
              <w:t>、</w:t>
            </w:r>
            <w:r>
              <w:rPr>
                <w:rFonts w:cs="Times New Roman"/>
                <w:sz w:val="21"/>
                <w:szCs w:val="21"/>
              </w:rPr>
              <w:t>Ca</w:t>
            </w:r>
            <w:r>
              <w:rPr>
                <w:rFonts w:cs="Times New Roman"/>
                <w:sz w:val="21"/>
                <w:szCs w:val="21"/>
                <w:vertAlign w:val="superscript"/>
              </w:rPr>
              <w:t>2+</w:t>
            </w:r>
            <w:r>
              <w:rPr>
                <w:rFonts w:cs="Times New Roman"/>
                <w:sz w:val="21"/>
                <w:szCs w:val="21"/>
              </w:rPr>
              <w:t>、</w:t>
            </w:r>
            <w:r>
              <w:rPr>
                <w:rFonts w:cs="Times New Roman"/>
                <w:sz w:val="21"/>
                <w:szCs w:val="21"/>
              </w:rPr>
              <w:t>Mg</w:t>
            </w:r>
            <w:r>
              <w:rPr>
                <w:rFonts w:cs="Times New Roman"/>
                <w:sz w:val="21"/>
                <w:szCs w:val="21"/>
                <w:vertAlign w:val="superscript"/>
              </w:rPr>
              <w:t>2+</w:t>
            </w:r>
            <w:r>
              <w:rPr>
                <w:rFonts w:cs="Times New Roman"/>
                <w:sz w:val="21"/>
                <w:szCs w:val="21"/>
              </w:rPr>
              <w:t>）的测定</w:t>
            </w:r>
            <w:r>
              <w:rPr>
                <w:rFonts w:cs="Times New Roman"/>
                <w:sz w:val="21"/>
                <w:szCs w:val="21"/>
              </w:rPr>
              <w:t xml:space="preserve"> </w:t>
            </w:r>
            <w:r>
              <w:rPr>
                <w:rFonts w:cs="Times New Roman"/>
                <w:sz w:val="21"/>
                <w:szCs w:val="21"/>
              </w:rPr>
              <w:t>离子色谱法》（</w:t>
            </w:r>
            <w:r>
              <w:rPr>
                <w:rFonts w:cs="Times New Roman"/>
                <w:sz w:val="21"/>
                <w:szCs w:val="21"/>
              </w:rPr>
              <w:t>HJ 812-2016</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0.02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22</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钠离子</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0.02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23</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钙离子</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0.03 </w:t>
            </w:r>
            <w:r>
              <w:rPr>
                <w:rFonts w:cs="Times New Roman"/>
                <w:sz w:val="21"/>
                <w:szCs w:val="21"/>
              </w:rPr>
              <w:t>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24</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镁离子</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0.02 </w:t>
            </w:r>
            <w:r>
              <w:rPr>
                <w:rFonts w:cs="Times New Roman"/>
                <w:sz w:val="21"/>
                <w:szCs w:val="21"/>
              </w:rPr>
              <w:t>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25</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碳酸根</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r>
              <w:rPr>
                <w:rFonts w:cs="Times New Roman"/>
                <w:sz w:val="21"/>
                <w:szCs w:val="21"/>
              </w:rPr>
              <w:t>地下水质分析方法</w:t>
            </w:r>
            <w:r>
              <w:rPr>
                <w:rFonts w:cs="Times New Roman"/>
                <w:sz w:val="21"/>
                <w:szCs w:val="21"/>
              </w:rPr>
              <w:t xml:space="preserve"> </w:t>
            </w:r>
            <w:r>
              <w:rPr>
                <w:rFonts w:cs="Times New Roman"/>
                <w:sz w:val="21"/>
                <w:szCs w:val="21"/>
              </w:rPr>
              <w:t>第</w:t>
            </w:r>
            <w:r>
              <w:rPr>
                <w:rFonts w:cs="Times New Roman"/>
                <w:sz w:val="21"/>
                <w:szCs w:val="21"/>
              </w:rPr>
              <w:t>49</w:t>
            </w:r>
            <w:r>
              <w:rPr>
                <w:rFonts w:cs="Times New Roman"/>
                <w:sz w:val="21"/>
                <w:szCs w:val="21"/>
              </w:rPr>
              <w:t>部分：碳酸根、重碳酸根和氢氧根离子的测定</w:t>
            </w:r>
            <w:r>
              <w:rPr>
                <w:rFonts w:cs="Times New Roman"/>
                <w:sz w:val="21"/>
                <w:szCs w:val="21"/>
              </w:rPr>
              <w:t xml:space="preserve"> </w:t>
            </w:r>
            <w:r>
              <w:rPr>
                <w:rFonts w:cs="Times New Roman"/>
                <w:sz w:val="21"/>
                <w:szCs w:val="21"/>
              </w:rPr>
              <w:t>滴定法</w:t>
            </w:r>
            <w:r>
              <w:rPr>
                <w:rFonts w:cs="Times New Roman"/>
                <w:sz w:val="21"/>
                <w:szCs w:val="21"/>
              </w:rPr>
              <w:t>》（</w:t>
            </w:r>
            <w:r>
              <w:rPr>
                <w:rFonts w:cs="Times New Roman"/>
                <w:sz w:val="21"/>
                <w:szCs w:val="21"/>
              </w:rPr>
              <w:t>DZ</w:t>
            </w:r>
            <w:r>
              <w:rPr>
                <w:rFonts w:cs="Times New Roman"/>
                <w:sz w:val="21"/>
                <w:szCs w:val="21"/>
              </w:rPr>
              <w:t xml:space="preserve">/T </w:t>
            </w:r>
            <w:r>
              <w:rPr>
                <w:rFonts w:cs="Times New Roman"/>
                <w:sz w:val="21"/>
                <w:szCs w:val="21"/>
              </w:rPr>
              <w:t>0064</w:t>
            </w:r>
            <w:r>
              <w:rPr>
                <w:rFonts w:cs="Times New Roman"/>
                <w:sz w:val="21"/>
                <w:szCs w:val="21"/>
              </w:rPr>
              <w:t>.</w:t>
            </w:r>
            <w:r>
              <w:rPr>
                <w:rFonts w:cs="Times New Roman"/>
                <w:sz w:val="21"/>
                <w:szCs w:val="21"/>
              </w:rPr>
              <w:t>49-</w:t>
            </w:r>
            <w:r>
              <w:rPr>
                <w:rFonts w:cs="Times New Roman"/>
                <w:sz w:val="21"/>
                <w:szCs w:val="21"/>
              </w:rPr>
              <w:t>2021</w:t>
            </w:r>
            <w:r>
              <w:rPr>
                <w:rFonts w:cs="Times New Roman"/>
                <w:sz w:val="21"/>
                <w:szCs w:val="21"/>
              </w:rPr>
              <w:t>）</w:t>
            </w:r>
          </w:p>
        </w:tc>
        <w:tc>
          <w:tcPr>
            <w:tcW w:w="828" w:type="pct"/>
            <w:vMerge w:val="restar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 xml:space="preserve">1 </w:t>
            </w:r>
            <w:r>
              <w:rPr>
                <w:rFonts w:cs="Times New Roman"/>
                <w:sz w:val="21"/>
                <w:szCs w:val="21"/>
              </w:rPr>
              <w:t>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26</w:t>
            </w:r>
          </w:p>
        </w:tc>
        <w:tc>
          <w:tcPr>
            <w:tcW w:w="917" w:type="pct"/>
            <w:vAlign w:val="center"/>
          </w:tcPr>
          <w:p w:rsidR="00C645C9" w:rsidRDefault="00F955D9">
            <w:pPr>
              <w:widowControl w:val="0"/>
              <w:adjustRightInd w:val="0"/>
              <w:snapToGrid w:val="0"/>
              <w:jc w:val="center"/>
              <w:rPr>
                <w:rFonts w:cs="Times New Roman"/>
                <w:sz w:val="21"/>
                <w:szCs w:val="21"/>
              </w:rPr>
            </w:pPr>
            <w:r>
              <w:rPr>
                <w:rFonts w:cs="Times New Roman"/>
                <w:kern w:val="2"/>
                <w:sz w:val="21"/>
                <w:szCs w:val="21"/>
              </w:rPr>
              <w:t>碳酸氢根</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Merge/>
            <w:vAlign w:val="center"/>
          </w:tcPr>
          <w:p w:rsidR="00C645C9" w:rsidRDefault="00C645C9">
            <w:pPr>
              <w:widowControl w:val="0"/>
              <w:adjustRightInd w:val="0"/>
              <w:snapToGrid w:val="0"/>
              <w:jc w:val="center"/>
              <w:rPr>
                <w:rFonts w:cs="Times New Roman"/>
                <w:sz w:val="21"/>
                <w:szCs w:val="21"/>
              </w:rPr>
            </w:pP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27</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铁</w:t>
            </w:r>
          </w:p>
        </w:tc>
        <w:tc>
          <w:tcPr>
            <w:tcW w:w="2936" w:type="pct"/>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铁、锰的测定</w:t>
            </w:r>
            <w:r>
              <w:rPr>
                <w:rFonts w:cs="Times New Roman"/>
                <w:sz w:val="21"/>
                <w:szCs w:val="21"/>
              </w:rPr>
              <w:t xml:space="preserve"> </w:t>
            </w:r>
            <w:r>
              <w:rPr>
                <w:rFonts w:cs="Times New Roman"/>
                <w:sz w:val="21"/>
                <w:szCs w:val="21"/>
              </w:rPr>
              <w:t>火焰原子吸收分光光度法》（</w:t>
            </w:r>
            <w:r>
              <w:rPr>
                <w:rFonts w:cs="Times New Roman"/>
                <w:sz w:val="21"/>
                <w:szCs w:val="21"/>
              </w:rPr>
              <w:t>GB 11911-89</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0.03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28</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锰</w:t>
            </w:r>
          </w:p>
        </w:tc>
        <w:tc>
          <w:tcPr>
            <w:tcW w:w="2936" w:type="pct"/>
            <w:vMerge/>
            <w:vAlign w:val="center"/>
          </w:tcPr>
          <w:p w:rsidR="00C645C9" w:rsidRDefault="00C645C9">
            <w:pPr>
              <w:widowControl w:val="0"/>
              <w:adjustRightInd w:val="0"/>
              <w:snapToGrid w:val="0"/>
              <w:jc w:val="center"/>
              <w:rPr>
                <w:rFonts w:cs="Times New Roman"/>
                <w:sz w:val="21"/>
                <w:szCs w:val="21"/>
              </w:rPr>
            </w:pPr>
          </w:p>
        </w:tc>
        <w:tc>
          <w:tcPr>
            <w:tcW w:w="828"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0.01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29</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硫化物</w:t>
            </w:r>
          </w:p>
        </w:tc>
        <w:tc>
          <w:tcPr>
            <w:tcW w:w="2936" w:type="pct"/>
            <w:vAlign w:val="center"/>
          </w:tcPr>
          <w:p w:rsidR="00C645C9" w:rsidRDefault="00F955D9">
            <w:pPr>
              <w:widowControl w:val="0"/>
              <w:adjustRightInd w:val="0"/>
              <w:snapToGrid w:val="0"/>
              <w:jc w:val="center"/>
              <w:rPr>
                <w:rFonts w:cs="Times New Roman"/>
                <w:sz w:val="21"/>
                <w:szCs w:val="21"/>
              </w:rPr>
            </w:pPr>
            <w:r>
              <w:rPr>
                <w:rFonts w:cs="Times New Roman"/>
                <w:sz w:val="21"/>
                <w:szCs w:val="21"/>
              </w:rPr>
              <w:t>《水质</w:t>
            </w:r>
            <w:r>
              <w:rPr>
                <w:rFonts w:cs="Times New Roman"/>
                <w:sz w:val="21"/>
                <w:szCs w:val="21"/>
              </w:rPr>
              <w:t xml:space="preserve"> </w:t>
            </w:r>
            <w:r>
              <w:rPr>
                <w:rFonts w:cs="Times New Roman"/>
                <w:sz w:val="21"/>
                <w:szCs w:val="21"/>
              </w:rPr>
              <w:t>硫化物的测定</w:t>
            </w:r>
            <w:r>
              <w:rPr>
                <w:rFonts w:cs="Times New Roman"/>
                <w:sz w:val="21"/>
                <w:szCs w:val="21"/>
              </w:rPr>
              <w:t xml:space="preserve"> </w:t>
            </w:r>
            <w:r>
              <w:rPr>
                <w:rFonts w:cs="Times New Roman"/>
                <w:sz w:val="21"/>
                <w:szCs w:val="21"/>
              </w:rPr>
              <w:t>亚甲基蓝分光光度法》（</w:t>
            </w:r>
            <w:r>
              <w:rPr>
                <w:rFonts w:cs="Times New Roman"/>
                <w:sz w:val="21"/>
                <w:szCs w:val="21"/>
              </w:rPr>
              <w:t>HJ 1226-2021</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0.003 mg/L</w:t>
            </w:r>
          </w:p>
        </w:tc>
      </w:tr>
      <w:tr w:rsidR="00C645C9">
        <w:trPr>
          <w:trHeight w:val="544"/>
          <w:jc w:val="center"/>
        </w:trPr>
        <w:tc>
          <w:tcPr>
            <w:tcW w:w="318" w:type="pct"/>
            <w:vAlign w:val="center"/>
          </w:tcPr>
          <w:p w:rsidR="00C645C9" w:rsidRDefault="00F955D9">
            <w:pPr>
              <w:widowControl w:val="0"/>
              <w:adjustRightInd w:val="0"/>
              <w:snapToGrid w:val="0"/>
              <w:jc w:val="center"/>
              <w:rPr>
                <w:rFonts w:cs="Times New Roman"/>
                <w:kern w:val="2"/>
                <w:sz w:val="21"/>
                <w:szCs w:val="21"/>
              </w:rPr>
            </w:pPr>
            <w:r>
              <w:rPr>
                <w:rFonts w:cs="Times New Roman"/>
                <w:kern w:val="2"/>
                <w:sz w:val="21"/>
                <w:szCs w:val="21"/>
              </w:rPr>
              <w:t>30</w:t>
            </w:r>
          </w:p>
        </w:tc>
        <w:tc>
          <w:tcPr>
            <w:tcW w:w="917"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石油类</w:t>
            </w:r>
          </w:p>
        </w:tc>
        <w:tc>
          <w:tcPr>
            <w:tcW w:w="2936"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《水质</w:t>
            </w:r>
            <w:r>
              <w:rPr>
                <w:rFonts w:cs="Times New Roman"/>
                <w:sz w:val="21"/>
                <w:szCs w:val="21"/>
              </w:rPr>
              <w:t xml:space="preserve"> </w:t>
            </w:r>
            <w:r>
              <w:rPr>
                <w:rFonts w:cs="Times New Roman"/>
                <w:sz w:val="21"/>
                <w:szCs w:val="21"/>
              </w:rPr>
              <w:t>石油类的测定</w:t>
            </w:r>
            <w:r>
              <w:rPr>
                <w:rFonts w:cs="Times New Roman"/>
                <w:sz w:val="21"/>
                <w:szCs w:val="21"/>
              </w:rPr>
              <w:t xml:space="preserve"> </w:t>
            </w:r>
            <w:r>
              <w:rPr>
                <w:rFonts w:cs="Times New Roman"/>
                <w:sz w:val="21"/>
                <w:szCs w:val="21"/>
              </w:rPr>
              <w:t>紫外分光光度法（试行）》（</w:t>
            </w:r>
            <w:r>
              <w:rPr>
                <w:rFonts w:cs="Times New Roman"/>
                <w:sz w:val="21"/>
                <w:szCs w:val="21"/>
              </w:rPr>
              <w:t>HJ 970-2018</w:t>
            </w:r>
            <w:r>
              <w:rPr>
                <w:rFonts w:cs="Times New Roman"/>
                <w:sz w:val="21"/>
                <w:szCs w:val="21"/>
              </w:rPr>
              <w:t>）</w:t>
            </w:r>
          </w:p>
        </w:tc>
        <w:tc>
          <w:tcPr>
            <w:tcW w:w="828" w:type="pct"/>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0.01 mg/L</w:t>
            </w:r>
          </w:p>
        </w:tc>
      </w:tr>
    </w:tbl>
    <w:p w:rsidR="00C645C9" w:rsidRDefault="00C645C9"/>
    <w:p w:rsidR="00C645C9" w:rsidRDefault="00F955D9">
      <w:pPr>
        <w:pStyle w:val="3"/>
        <w:widowControl w:val="0"/>
        <w:adjustRightInd w:val="0"/>
        <w:snapToGrid w:val="0"/>
        <w:spacing w:before="0" w:after="0" w:line="360" w:lineRule="auto"/>
        <w:rPr>
          <w:rFonts w:ascii="Times New Roman" w:hAnsi="Times New Roman" w:cs="Times New Roman"/>
          <w:color w:val="auto"/>
        </w:rPr>
      </w:pPr>
      <w:r>
        <w:rPr>
          <w:rFonts w:ascii="Times New Roman" w:hAnsi="Times New Roman" w:cs="Times New Roman"/>
          <w:color w:val="auto"/>
        </w:rPr>
        <w:t>4.</w:t>
      </w:r>
      <w:r>
        <w:rPr>
          <w:rFonts w:ascii="Times New Roman" w:hAnsi="Times New Roman" w:cs="Times New Roman"/>
          <w:color w:val="auto"/>
          <w:lang w:eastAsia="zh-CN"/>
        </w:rPr>
        <w:t>3</w:t>
      </w:r>
      <w:r>
        <w:rPr>
          <w:rFonts w:ascii="Times New Roman" w:hAnsi="Times New Roman" w:cs="Times New Roman"/>
          <w:color w:val="auto"/>
        </w:rPr>
        <w:t>.</w:t>
      </w:r>
      <w:r>
        <w:rPr>
          <w:rFonts w:ascii="Times New Roman" w:hAnsi="Times New Roman" w:cs="Times New Roman" w:hint="eastAsia"/>
          <w:color w:val="auto"/>
          <w:lang w:eastAsia="zh-CN"/>
        </w:rPr>
        <w:t>2</w:t>
      </w:r>
      <w:r>
        <w:rPr>
          <w:rFonts w:ascii="Times New Roman" w:hAnsi="Times New Roman" w:cs="Times New Roman"/>
          <w:color w:val="auto"/>
        </w:rPr>
        <w:t>地下水环境现状评价</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1</w:t>
      </w:r>
      <w:r>
        <w:rPr>
          <w:rFonts w:cs="Times New Roman"/>
        </w:rPr>
        <w:t>）评价标准</w:t>
      </w:r>
    </w:p>
    <w:p w:rsidR="00C645C9" w:rsidRDefault="00F955D9">
      <w:pPr>
        <w:widowControl w:val="0"/>
        <w:adjustRightInd w:val="0"/>
        <w:snapToGrid w:val="0"/>
        <w:spacing w:line="360" w:lineRule="auto"/>
        <w:ind w:firstLineChars="200" w:firstLine="480"/>
        <w:rPr>
          <w:rFonts w:cs="Times New Roman"/>
        </w:rPr>
      </w:pPr>
      <w:r>
        <w:rPr>
          <w:rFonts w:cs="Times New Roman"/>
        </w:rPr>
        <w:t>石油类参照《</w:t>
      </w:r>
      <w:bookmarkStart w:id="1259" w:name="OLE_LINK535"/>
      <w:r>
        <w:rPr>
          <w:rFonts w:cs="Times New Roman"/>
        </w:rPr>
        <w:t>地表水</w:t>
      </w:r>
      <w:r>
        <w:rPr>
          <w:rFonts w:cs="Times New Roman" w:hint="eastAsia"/>
        </w:rPr>
        <w:t>环境</w:t>
      </w:r>
      <w:r>
        <w:rPr>
          <w:rFonts w:cs="Times New Roman"/>
        </w:rPr>
        <w:t>质量标准</w:t>
      </w:r>
      <w:bookmarkEnd w:id="1259"/>
      <w:r>
        <w:rPr>
          <w:rFonts w:cs="Times New Roman"/>
        </w:rPr>
        <w:t>》（</w:t>
      </w:r>
      <w:r>
        <w:rPr>
          <w:rFonts w:cs="Times New Roman"/>
        </w:rPr>
        <w:t>GB3838-2002</w:t>
      </w:r>
      <w:r>
        <w:rPr>
          <w:rFonts w:cs="Times New Roman"/>
        </w:rPr>
        <w:t>）</w:t>
      </w:r>
      <w:r>
        <w:rPr>
          <w:rFonts w:cs="Times New Roman"/>
          <w:snapToGrid w:val="0"/>
        </w:rPr>
        <w:t>Ⅲ</w:t>
      </w:r>
      <w:r>
        <w:rPr>
          <w:rFonts w:cs="Times New Roman"/>
        </w:rPr>
        <w:t>类标准；其他因子执行《地下水质量标准》（</w:t>
      </w:r>
      <w:r>
        <w:rPr>
          <w:rFonts w:cs="Times New Roman"/>
        </w:rPr>
        <w:t>GB/T14848-2017</w:t>
      </w:r>
      <w:r>
        <w:rPr>
          <w:rFonts w:cs="Times New Roman"/>
        </w:rPr>
        <w:t>）</w:t>
      </w:r>
      <w:r>
        <w:rPr>
          <w:rFonts w:cs="Times New Roman"/>
          <w:snapToGrid w:val="0"/>
        </w:rPr>
        <w:t>Ⅲ</w:t>
      </w:r>
      <w:r>
        <w:rPr>
          <w:rFonts w:cs="Times New Roman"/>
        </w:rPr>
        <w:t>类标准。</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2</w:t>
      </w:r>
      <w:r>
        <w:rPr>
          <w:rFonts w:cs="Times New Roman"/>
        </w:rPr>
        <w:t>）评价方法</w:t>
      </w:r>
    </w:p>
    <w:p w:rsidR="00C645C9" w:rsidRDefault="00F955D9">
      <w:pPr>
        <w:widowControl w:val="0"/>
        <w:adjustRightInd w:val="0"/>
        <w:snapToGrid w:val="0"/>
        <w:spacing w:line="360" w:lineRule="auto"/>
        <w:ind w:firstLineChars="200" w:firstLine="480"/>
        <w:rPr>
          <w:rFonts w:cs="Times New Roman"/>
        </w:rPr>
      </w:pPr>
      <w:r>
        <w:rPr>
          <w:rFonts w:cs="Times New Roman"/>
        </w:rPr>
        <w:t>评价方法采用标准指数法。</w:t>
      </w:r>
    </w:p>
    <w:p w:rsidR="00C645C9" w:rsidRDefault="00F955D9">
      <w:pPr>
        <w:widowControl w:val="0"/>
        <w:adjustRightInd w:val="0"/>
        <w:snapToGrid w:val="0"/>
        <w:spacing w:line="360" w:lineRule="auto"/>
        <w:ind w:firstLineChars="200" w:firstLine="500"/>
        <w:rPr>
          <w:rFonts w:cs="Times New Roman"/>
          <w:spacing w:val="5"/>
        </w:rPr>
      </w:pPr>
      <w:bookmarkStart w:id="1260" w:name="OLE_LINK546"/>
      <w:r>
        <w:rPr>
          <w:rFonts w:cs="Times New Roman"/>
          <w:spacing w:val="5"/>
        </w:rPr>
        <w:t>①</w:t>
      </w:r>
      <w:bookmarkEnd w:id="1260"/>
      <w:r>
        <w:rPr>
          <w:rFonts w:cs="Times New Roman"/>
          <w:spacing w:val="5"/>
        </w:rPr>
        <w:t>对于评价标准为定值的水质因子，其标准指数计算公式：</w:t>
      </w:r>
    </w:p>
    <w:p w:rsidR="00C645C9" w:rsidRDefault="00F955D9">
      <w:pPr>
        <w:widowControl w:val="0"/>
        <w:adjustRightInd w:val="0"/>
        <w:snapToGrid w:val="0"/>
        <w:spacing w:line="360" w:lineRule="auto"/>
        <w:ind w:right="524" w:firstLine="480"/>
        <w:jc w:val="center"/>
        <w:rPr>
          <w:rFonts w:cs="Times New Roman"/>
          <w:spacing w:val="5"/>
        </w:rPr>
      </w:pPr>
      <w:r>
        <w:rPr>
          <w:rFonts w:cs="Times New Roman"/>
          <w:noProof/>
        </w:rPr>
        <w:drawing>
          <wp:inline distT="0" distB="0" distL="114300" distR="114300">
            <wp:extent cx="656590" cy="465455"/>
            <wp:effectExtent l="0" t="0" r="10160" b="1206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33"/>
                    <a:stretch>
                      <a:fillRect/>
                    </a:stretch>
                  </pic:blipFill>
                  <pic:spPr>
                    <a:xfrm>
                      <a:off x="0" y="0"/>
                      <a:ext cx="656590" cy="465455"/>
                    </a:xfrm>
                    <a:prstGeom prst="rect">
                      <a:avLst/>
                    </a:prstGeom>
                    <a:noFill/>
                    <a:ln>
                      <a:noFill/>
                    </a:ln>
                  </pic:spPr>
                </pic:pic>
              </a:graphicData>
            </a:graphic>
          </wp:inline>
        </w:drawing>
      </w:r>
      <w:r>
        <w:rPr>
          <w:rFonts w:cs="Times New Roman"/>
          <w:spacing w:val="5"/>
        </w:rPr>
        <w:t xml:space="preserve"> </w:t>
      </w:r>
    </w:p>
    <w:p w:rsidR="00C645C9" w:rsidRDefault="00F955D9">
      <w:pPr>
        <w:widowControl w:val="0"/>
        <w:adjustRightInd w:val="0"/>
        <w:snapToGrid w:val="0"/>
        <w:spacing w:line="360" w:lineRule="auto"/>
        <w:ind w:firstLineChars="200" w:firstLine="500"/>
        <w:rPr>
          <w:rFonts w:cs="Times New Roman"/>
          <w:spacing w:val="5"/>
        </w:rPr>
      </w:pPr>
      <w:r>
        <w:rPr>
          <w:rFonts w:cs="Times New Roman"/>
          <w:spacing w:val="5"/>
        </w:rPr>
        <w:t>式中：</w:t>
      </w:r>
      <w:r>
        <w:rPr>
          <w:rFonts w:cs="Times New Roman"/>
          <w:i/>
          <w:iCs/>
          <w:spacing w:val="5"/>
        </w:rPr>
        <w:t>P</w:t>
      </w:r>
      <w:r>
        <w:rPr>
          <w:rFonts w:cs="Times New Roman"/>
          <w:i/>
          <w:iCs/>
          <w:spacing w:val="5"/>
          <w:vertAlign w:val="subscript"/>
        </w:rPr>
        <w:t>i</w:t>
      </w:r>
      <w:r>
        <w:rPr>
          <w:rFonts w:cs="Times New Roman"/>
          <w:spacing w:val="5"/>
        </w:rPr>
        <w:t>——</w:t>
      </w:r>
      <w:r>
        <w:rPr>
          <w:rFonts w:cs="Times New Roman"/>
          <w:spacing w:val="5"/>
        </w:rPr>
        <w:t>第</w:t>
      </w:r>
      <w:r>
        <w:rPr>
          <w:rFonts w:cs="Times New Roman"/>
          <w:i/>
          <w:iCs/>
          <w:spacing w:val="5"/>
        </w:rPr>
        <w:t>i</w:t>
      </w:r>
      <w:r>
        <w:rPr>
          <w:rFonts w:cs="Times New Roman"/>
          <w:spacing w:val="5"/>
        </w:rPr>
        <w:t>个水质因子的标准指数，无量纲；</w:t>
      </w:r>
    </w:p>
    <w:p w:rsidR="00C645C9" w:rsidRDefault="00F955D9">
      <w:pPr>
        <w:widowControl w:val="0"/>
        <w:adjustRightInd w:val="0"/>
        <w:snapToGrid w:val="0"/>
        <w:spacing w:line="360" w:lineRule="auto"/>
        <w:ind w:firstLineChars="500" w:firstLine="1250"/>
        <w:rPr>
          <w:rFonts w:cs="Times New Roman"/>
          <w:spacing w:val="5"/>
        </w:rPr>
      </w:pPr>
      <w:r>
        <w:rPr>
          <w:rFonts w:cs="Times New Roman"/>
          <w:i/>
          <w:iCs/>
          <w:spacing w:val="5"/>
        </w:rPr>
        <w:t>C</w:t>
      </w:r>
      <w:r>
        <w:rPr>
          <w:rFonts w:cs="Times New Roman"/>
          <w:i/>
          <w:iCs/>
          <w:spacing w:val="5"/>
          <w:vertAlign w:val="subscript"/>
        </w:rPr>
        <w:t>i</w:t>
      </w:r>
      <w:r>
        <w:rPr>
          <w:rFonts w:cs="Times New Roman"/>
          <w:spacing w:val="5"/>
        </w:rPr>
        <w:t>——</w:t>
      </w:r>
      <w:r>
        <w:rPr>
          <w:rFonts w:cs="Times New Roman"/>
          <w:spacing w:val="5"/>
        </w:rPr>
        <w:t>第</w:t>
      </w:r>
      <w:r>
        <w:rPr>
          <w:rFonts w:cs="Times New Roman"/>
          <w:i/>
          <w:iCs/>
          <w:spacing w:val="5"/>
        </w:rPr>
        <w:t>i</w:t>
      </w:r>
      <w:r>
        <w:rPr>
          <w:rFonts w:cs="Times New Roman"/>
          <w:spacing w:val="5"/>
        </w:rPr>
        <w:t>个水质因子的监测浓度，</w:t>
      </w:r>
      <w:r>
        <w:rPr>
          <w:rFonts w:cs="Times New Roman"/>
          <w:spacing w:val="5"/>
        </w:rPr>
        <w:t>mg/L</w:t>
      </w:r>
      <w:r>
        <w:rPr>
          <w:rFonts w:cs="Times New Roman"/>
          <w:spacing w:val="5"/>
        </w:rPr>
        <w:t>；</w:t>
      </w:r>
    </w:p>
    <w:p w:rsidR="00C645C9" w:rsidRDefault="00F955D9">
      <w:pPr>
        <w:widowControl w:val="0"/>
        <w:adjustRightInd w:val="0"/>
        <w:snapToGrid w:val="0"/>
        <w:spacing w:line="360" w:lineRule="auto"/>
        <w:ind w:firstLineChars="500" w:firstLine="1250"/>
        <w:rPr>
          <w:rFonts w:cs="Times New Roman"/>
          <w:spacing w:val="5"/>
        </w:rPr>
      </w:pPr>
      <w:r>
        <w:rPr>
          <w:rFonts w:cs="Times New Roman"/>
          <w:i/>
          <w:iCs/>
          <w:spacing w:val="5"/>
        </w:rPr>
        <w:t>C</w:t>
      </w:r>
      <w:r>
        <w:rPr>
          <w:rFonts w:cs="Times New Roman"/>
          <w:i/>
          <w:iCs/>
          <w:spacing w:val="5"/>
          <w:vertAlign w:val="subscript"/>
        </w:rPr>
        <w:t>si</w:t>
      </w:r>
      <w:r>
        <w:rPr>
          <w:rFonts w:cs="Times New Roman"/>
          <w:spacing w:val="5"/>
        </w:rPr>
        <w:t>——</w:t>
      </w:r>
      <w:r>
        <w:rPr>
          <w:rFonts w:cs="Times New Roman"/>
          <w:spacing w:val="5"/>
        </w:rPr>
        <w:t>第</w:t>
      </w:r>
      <w:r>
        <w:rPr>
          <w:rFonts w:cs="Times New Roman"/>
          <w:i/>
          <w:iCs/>
          <w:spacing w:val="5"/>
        </w:rPr>
        <w:t>i</w:t>
      </w:r>
      <w:r>
        <w:rPr>
          <w:rFonts w:cs="Times New Roman"/>
          <w:spacing w:val="5"/>
        </w:rPr>
        <w:t>个水质因子的标准浓度，</w:t>
      </w:r>
      <w:r>
        <w:rPr>
          <w:rFonts w:cs="Times New Roman"/>
          <w:spacing w:val="5"/>
        </w:rPr>
        <w:t>mg/L</w:t>
      </w:r>
      <w:r>
        <w:rPr>
          <w:rFonts w:cs="Times New Roman"/>
          <w:spacing w:val="5"/>
        </w:rPr>
        <w:t>。</w:t>
      </w:r>
    </w:p>
    <w:p w:rsidR="00C645C9" w:rsidRDefault="00F955D9">
      <w:pPr>
        <w:widowControl w:val="0"/>
        <w:adjustRightInd w:val="0"/>
        <w:snapToGrid w:val="0"/>
        <w:spacing w:line="360" w:lineRule="auto"/>
        <w:ind w:firstLineChars="200" w:firstLine="500"/>
        <w:rPr>
          <w:rFonts w:cs="Times New Roman"/>
          <w:spacing w:val="5"/>
        </w:rPr>
      </w:pPr>
      <w:bookmarkStart w:id="1261" w:name="OLE_LINK547"/>
      <w:r>
        <w:rPr>
          <w:rFonts w:cs="Times New Roman"/>
          <w:spacing w:val="5"/>
        </w:rPr>
        <w:t>②</w:t>
      </w:r>
      <w:bookmarkEnd w:id="1261"/>
      <w:r>
        <w:rPr>
          <w:rFonts w:cs="Times New Roman"/>
          <w:spacing w:val="5"/>
        </w:rPr>
        <w:t>对于评价标准为区间值的水质因子（如</w:t>
      </w:r>
      <w:r>
        <w:rPr>
          <w:rFonts w:cs="Times New Roman"/>
          <w:spacing w:val="5"/>
        </w:rPr>
        <w:t>pH</w:t>
      </w:r>
      <w:r>
        <w:rPr>
          <w:rFonts w:cs="Times New Roman"/>
          <w:spacing w:val="5"/>
        </w:rPr>
        <w:t>值），其标准指数计算公式：</w:t>
      </w:r>
    </w:p>
    <w:p w:rsidR="00C645C9" w:rsidRDefault="00F955D9">
      <w:pPr>
        <w:widowControl w:val="0"/>
        <w:adjustRightInd w:val="0"/>
        <w:snapToGrid w:val="0"/>
        <w:spacing w:line="360" w:lineRule="auto"/>
        <w:ind w:right="522" w:firstLine="482"/>
        <w:jc w:val="center"/>
        <w:rPr>
          <w:rFonts w:cs="Times New Roman"/>
          <w:spacing w:val="5"/>
        </w:rPr>
      </w:pPr>
      <w:r>
        <w:rPr>
          <w:rFonts w:cs="Times New Roman"/>
          <w:noProof/>
        </w:rPr>
        <w:drawing>
          <wp:inline distT="0" distB="0" distL="114300" distR="114300">
            <wp:extent cx="1193165" cy="425450"/>
            <wp:effectExtent l="0" t="0" r="6985" b="1333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34"/>
                    <a:stretch>
                      <a:fillRect/>
                    </a:stretch>
                  </pic:blipFill>
                  <pic:spPr>
                    <a:xfrm>
                      <a:off x="0" y="0"/>
                      <a:ext cx="1193165" cy="425450"/>
                    </a:xfrm>
                    <a:prstGeom prst="rect">
                      <a:avLst/>
                    </a:prstGeom>
                    <a:noFill/>
                    <a:ln>
                      <a:noFill/>
                    </a:ln>
                  </pic:spPr>
                </pic:pic>
              </a:graphicData>
            </a:graphic>
          </wp:inline>
        </w:drawing>
      </w:r>
      <w:r>
        <w:rPr>
          <w:rFonts w:cs="Times New Roman"/>
          <w:spacing w:val="5"/>
        </w:rPr>
        <w:t>，</w:t>
      </w:r>
      <w:r>
        <w:rPr>
          <w:rFonts w:cs="Times New Roman"/>
          <w:spacing w:val="5"/>
        </w:rPr>
        <w:t>pH≤7</w:t>
      </w:r>
      <w:r>
        <w:rPr>
          <w:rFonts w:cs="Times New Roman"/>
          <w:spacing w:val="5"/>
        </w:rPr>
        <w:t>时；</w:t>
      </w:r>
    </w:p>
    <w:p w:rsidR="00C645C9" w:rsidRDefault="00F955D9">
      <w:pPr>
        <w:widowControl w:val="0"/>
        <w:adjustRightInd w:val="0"/>
        <w:snapToGrid w:val="0"/>
        <w:spacing w:line="360" w:lineRule="auto"/>
        <w:ind w:right="524" w:firstLine="480"/>
        <w:jc w:val="center"/>
        <w:rPr>
          <w:rFonts w:cs="Times New Roman"/>
          <w:spacing w:val="5"/>
        </w:rPr>
      </w:pPr>
      <w:r>
        <w:rPr>
          <w:rFonts w:cs="Times New Roman"/>
          <w:noProof/>
        </w:rPr>
        <w:lastRenderedPageBreak/>
        <w:drawing>
          <wp:inline distT="0" distB="0" distL="114300" distR="114300">
            <wp:extent cx="1191895" cy="424815"/>
            <wp:effectExtent l="0" t="0" r="8255" b="13970"/>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35"/>
                    <a:stretch>
                      <a:fillRect/>
                    </a:stretch>
                  </pic:blipFill>
                  <pic:spPr>
                    <a:xfrm>
                      <a:off x="0" y="0"/>
                      <a:ext cx="1191895" cy="424815"/>
                    </a:xfrm>
                    <a:prstGeom prst="rect">
                      <a:avLst/>
                    </a:prstGeom>
                    <a:noFill/>
                    <a:ln>
                      <a:noFill/>
                    </a:ln>
                  </pic:spPr>
                </pic:pic>
              </a:graphicData>
            </a:graphic>
          </wp:inline>
        </w:drawing>
      </w:r>
      <w:r>
        <w:rPr>
          <w:rFonts w:cs="Times New Roman"/>
          <w:spacing w:val="5"/>
        </w:rPr>
        <w:t>，</w:t>
      </w:r>
      <w:r>
        <w:rPr>
          <w:rFonts w:cs="Times New Roman"/>
          <w:spacing w:val="5"/>
        </w:rPr>
        <w:t>pH</w:t>
      </w:r>
      <w:r>
        <w:rPr>
          <w:rFonts w:cs="Times New Roman"/>
          <w:spacing w:val="5"/>
        </w:rPr>
        <w:t>＞</w:t>
      </w:r>
      <w:r>
        <w:rPr>
          <w:rFonts w:cs="Times New Roman"/>
          <w:spacing w:val="5"/>
        </w:rPr>
        <w:t>7</w:t>
      </w:r>
      <w:r>
        <w:rPr>
          <w:rFonts w:cs="Times New Roman"/>
          <w:spacing w:val="5"/>
        </w:rPr>
        <w:t>时；</w:t>
      </w:r>
    </w:p>
    <w:p w:rsidR="00C645C9" w:rsidRDefault="00F955D9">
      <w:pPr>
        <w:widowControl w:val="0"/>
        <w:adjustRightInd w:val="0"/>
        <w:snapToGrid w:val="0"/>
        <w:spacing w:line="360" w:lineRule="auto"/>
        <w:ind w:firstLineChars="200" w:firstLine="500"/>
        <w:rPr>
          <w:rFonts w:cs="Times New Roman"/>
          <w:spacing w:val="5"/>
        </w:rPr>
      </w:pPr>
      <w:r>
        <w:rPr>
          <w:rFonts w:cs="Times New Roman"/>
          <w:spacing w:val="5"/>
        </w:rPr>
        <w:t>式中：</w:t>
      </w:r>
      <w:r>
        <w:rPr>
          <w:rFonts w:cs="Times New Roman"/>
          <w:i/>
          <w:iCs/>
          <w:spacing w:val="5"/>
        </w:rPr>
        <w:t>P</w:t>
      </w:r>
      <w:r>
        <w:rPr>
          <w:rFonts w:cs="Times New Roman"/>
          <w:i/>
          <w:iCs/>
          <w:spacing w:val="5"/>
          <w:vertAlign w:val="subscript"/>
        </w:rPr>
        <w:t>pH</w:t>
      </w:r>
      <w:r>
        <w:rPr>
          <w:rFonts w:cs="Times New Roman"/>
          <w:lang w:val="zh-CN"/>
        </w:rPr>
        <w:t>——</w:t>
      </w:r>
      <w:r>
        <w:rPr>
          <w:rFonts w:cs="Times New Roman"/>
          <w:spacing w:val="5"/>
        </w:rPr>
        <w:t>pH</w:t>
      </w:r>
      <w:r>
        <w:rPr>
          <w:rFonts w:cs="Times New Roman"/>
          <w:spacing w:val="5"/>
        </w:rPr>
        <w:t>的标准指数，无量纲；</w:t>
      </w:r>
    </w:p>
    <w:p w:rsidR="00C645C9" w:rsidRDefault="00F955D9">
      <w:pPr>
        <w:widowControl w:val="0"/>
        <w:adjustRightInd w:val="0"/>
        <w:snapToGrid w:val="0"/>
        <w:spacing w:line="360" w:lineRule="auto"/>
        <w:ind w:firstLineChars="500" w:firstLine="1250"/>
        <w:rPr>
          <w:rFonts w:cs="Times New Roman"/>
          <w:spacing w:val="5"/>
        </w:rPr>
      </w:pPr>
      <w:r>
        <w:rPr>
          <w:rFonts w:cs="Times New Roman"/>
          <w:i/>
          <w:iCs/>
          <w:spacing w:val="5"/>
        </w:rPr>
        <w:t>pH</w:t>
      </w:r>
      <w:r w:rsidRPr="005718BB">
        <w:rPr>
          <w:rFonts w:cs="Times New Roman"/>
        </w:rPr>
        <w:t>——</w:t>
      </w:r>
      <w:r>
        <w:rPr>
          <w:rFonts w:cs="Times New Roman"/>
          <w:spacing w:val="5"/>
        </w:rPr>
        <w:t>pH</w:t>
      </w:r>
      <w:r>
        <w:rPr>
          <w:rFonts w:cs="Times New Roman"/>
          <w:spacing w:val="5"/>
        </w:rPr>
        <w:t>监测值；</w:t>
      </w:r>
    </w:p>
    <w:p w:rsidR="00C645C9" w:rsidRDefault="00F955D9">
      <w:pPr>
        <w:widowControl w:val="0"/>
        <w:adjustRightInd w:val="0"/>
        <w:snapToGrid w:val="0"/>
        <w:spacing w:line="360" w:lineRule="auto"/>
        <w:ind w:firstLineChars="500" w:firstLine="1250"/>
        <w:rPr>
          <w:rFonts w:cs="Times New Roman"/>
          <w:spacing w:val="5"/>
        </w:rPr>
      </w:pPr>
      <w:r>
        <w:rPr>
          <w:rFonts w:cs="Times New Roman"/>
          <w:i/>
          <w:iCs/>
          <w:spacing w:val="5"/>
        </w:rPr>
        <w:t>pH</w:t>
      </w:r>
      <w:r>
        <w:rPr>
          <w:rFonts w:cs="Times New Roman"/>
          <w:i/>
          <w:iCs/>
          <w:spacing w:val="5"/>
          <w:vertAlign w:val="subscript"/>
        </w:rPr>
        <w:t>sd</w:t>
      </w:r>
      <w:r w:rsidRPr="005718BB">
        <w:rPr>
          <w:rFonts w:cs="Times New Roman"/>
        </w:rPr>
        <w:t>——</w:t>
      </w:r>
      <w:r>
        <w:rPr>
          <w:rFonts w:cs="Times New Roman"/>
          <w:spacing w:val="5"/>
        </w:rPr>
        <w:t>标准中</w:t>
      </w:r>
      <w:r>
        <w:rPr>
          <w:rFonts w:cs="Times New Roman"/>
          <w:spacing w:val="5"/>
        </w:rPr>
        <w:t>pH</w:t>
      </w:r>
      <w:r>
        <w:rPr>
          <w:rFonts w:cs="Times New Roman"/>
          <w:spacing w:val="5"/>
        </w:rPr>
        <w:t>的下限值；</w:t>
      </w:r>
    </w:p>
    <w:p w:rsidR="00C645C9" w:rsidRDefault="00F955D9">
      <w:pPr>
        <w:widowControl w:val="0"/>
        <w:adjustRightInd w:val="0"/>
        <w:snapToGrid w:val="0"/>
        <w:spacing w:line="360" w:lineRule="auto"/>
        <w:ind w:firstLineChars="500" w:firstLine="1250"/>
        <w:rPr>
          <w:rFonts w:cs="Times New Roman"/>
          <w:spacing w:val="5"/>
        </w:rPr>
      </w:pPr>
      <w:r>
        <w:rPr>
          <w:rFonts w:cs="Times New Roman"/>
          <w:i/>
          <w:iCs/>
          <w:spacing w:val="5"/>
        </w:rPr>
        <w:t>pH</w:t>
      </w:r>
      <w:r>
        <w:rPr>
          <w:rFonts w:cs="Times New Roman"/>
          <w:i/>
          <w:iCs/>
          <w:spacing w:val="5"/>
          <w:vertAlign w:val="subscript"/>
        </w:rPr>
        <w:t>su</w:t>
      </w:r>
      <w:r w:rsidRPr="005718BB">
        <w:rPr>
          <w:rFonts w:cs="Times New Roman"/>
        </w:rPr>
        <w:t>——</w:t>
      </w:r>
      <w:r>
        <w:rPr>
          <w:rFonts w:cs="Times New Roman"/>
          <w:spacing w:val="5"/>
        </w:rPr>
        <w:t>标准中</w:t>
      </w:r>
      <w:r>
        <w:rPr>
          <w:rFonts w:cs="Times New Roman"/>
          <w:spacing w:val="5"/>
        </w:rPr>
        <w:t>pH</w:t>
      </w:r>
      <w:r>
        <w:rPr>
          <w:rFonts w:cs="Times New Roman"/>
          <w:spacing w:val="5"/>
        </w:rPr>
        <w:t>的上限值。</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3</w:t>
      </w:r>
      <w:r>
        <w:rPr>
          <w:rFonts w:cs="Times New Roman"/>
        </w:rPr>
        <w:t>）监测及评价结果</w:t>
      </w:r>
    </w:p>
    <w:p w:rsidR="00C645C9" w:rsidRDefault="00F955D9">
      <w:pPr>
        <w:widowControl w:val="0"/>
        <w:adjustRightInd w:val="0"/>
        <w:snapToGrid w:val="0"/>
        <w:spacing w:line="360" w:lineRule="auto"/>
        <w:ind w:firstLineChars="200" w:firstLine="480"/>
        <w:rPr>
          <w:rFonts w:cs="Times New Roman"/>
        </w:rPr>
      </w:pPr>
      <w:r>
        <w:rPr>
          <w:rFonts w:cs="Times New Roman"/>
        </w:rPr>
        <w:t>本次环评地下水监测及</w:t>
      </w:r>
      <w:r>
        <w:rPr>
          <w:rFonts w:cs="Times New Roman" w:hint="eastAsia"/>
        </w:rPr>
        <w:t>评价</w:t>
      </w:r>
      <w:r>
        <w:rPr>
          <w:rFonts w:cs="Times New Roman"/>
        </w:rPr>
        <w:t>结果见表</w:t>
      </w:r>
      <w:r>
        <w:rPr>
          <w:rFonts w:cs="Times New Roman"/>
        </w:rPr>
        <w:t>4.</w:t>
      </w:r>
      <w:r>
        <w:rPr>
          <w:rFonts w:cs="Times New Roman" w:hint="eastAsia"/>
        </w:rPr>
        <w:t>3</w:t>
      </w:r>
      <w:r>
        <w:rPr>
          <w:rFonts w:cs="Times New Roman"/>
        </w:rPr>
        <w:t>-3</w:t>
      </w:r>
      <w:r>
        <w:rPr>
          <w:rFonts w:cs="Times New Roman"/>
        </w:rPr>
        <w:t>~</w:t>
      </w:r>
      <w:r>
        <w:rPr>
          <w:rFonts w:cs="Times New Roman" w:hint="eastAsia"/>
        </w:rPr>
        <w:t>4</w:t>
      </w:r>
      <w:r>
        <w:rPr>
          <w:rFonts w:cs="Times New Roman"/>
        </w:rPr>
        <w:t>。</w:t>
      </w:r>
      <w:r>
        <w:rPr>
          <w:rFonts w:cs="Times New Roman"/>
        </w:rPr>
        <w:t>由</w:t>
      </w:r>
      <w:bookmarkStart w:id="1262" w:name="OLE_LINK540"/>
      <w:r>
        <w:rPr>
          <w:rFonts w:cs="Times New Roman"/>
        </w:rPr>
        <w:t>表</w:t>
      </w:r>
      <w:r>
        <w:rPr>
          <w:rFonts w:cs="Times New Roman"/>
        </w:rPr>
        <w:t>4.</w:t>
      </w:r>
      <w:r>
        <w:rPr>
          <w:rFonts w:cs="Times New Roman" w:hint="eastAsia"/>
        </w:rPr>
        <w:t>3</w:t>
      </w:r>
      <w:r>
        <w:rPr>
          <w:rFonts w:cs="Times New Roman"/>
        </w:rPr>
        <w:t>-3</w:t>
      </w:r>
      <w:bookmarkEnd w:id="1262"/>
      <w:r>
        <w:rPr>
          <w:rFonts w:cs="Times New Roman" w:hint="eastAsia"/>
        </w:rPr>
        <w:t>~</w:t>
      </w:r>
      <w:r>
        <w:rPr>
          <w:rFonts w:cs="Times New Roman" w:hint="eastAsia"/>
        </w:rPr>
        <w:t>4</w:t>
      </w:r>
      <w:r>
        <w:rPr>
          <w:rFonts w:cs="Times New Roman" w:hint="eastAsia"/>
        </w:rPr>
        <w:t>可以看出</w:t>
      </w:r>
      <w:r>
        <w:rPr>
          <w:rFonts w:cs="Times New Roman"/>
        </w:rPr>
        <w:t>，</w:t>
      </w:r>
      <w:r>
        <w:rPr>
          <w:rFonts w:hint="eastAsia"/>
        </w:rPr>
        <w:t>监测</w:t>
      </w:r>
      <w:r>
        <w:rPr>
          <w:rFonts w:hint="eastAsia"/>
        </w:rPr>
        <w:t>期间</w:t>
      </w:r>
      <w:r>
        <w:rPr>
          <w:rFonts w:hint="eastAsia"/>
        </w:rPr>
        <w:t>，</w:t>
      </w:r>
      <w:r>
        <w:rPr>
          <w:rFonts w:cs="Times New Roman"/>
        </w:rPr>
        <w:t>各潜水监测点中石油类满足《地表水环境质量标准》（</w:t>
      </w:r>
      <w:r>
        <w:rPr>
          <w:rFonts w:cs="Times New Roman"/>
        </w:rPr>
        <w:t>GB3838-2002</w:t>
      </w:r>
      <w:r>
        <w:rPr>
          <w:rFonts w:cs="Times New Roman"/>
        </w:rPr>
        <w:t>）</w:t>
      </w:r>
      <w:r>
        <w:rPr>
          <w:rFonts w:cs="Times New Roman"/>
        </w:rPr>
        <w:t>Ⅲ</w:t>
      </w:r>
      <w:r>
        <w:rPr>
          <w:rFonts w:cs="Times New Roman"/>
        </w:rPr>
        <w:t>类标准，其余监测因子除总硬度、溶解性总固体、硫酸盐、氯化物外均满足《地下水质量标准》（</w:t>
      </w:r>
      <w:r>
        <w:rPr>
          <w:rFonts w:cs="Times New Roman"/>
        </w:rPr>
        <w:t>GB/T14848-2017</w:t>
      </w:r>
      <w:r>
        <w:rPr>
          <w:rFonts w:cs="Times New Roman"/>
        </w:rPr>
        <w:t>）</w:t>
      </w:r>
      <w:r>
        <w:rPr>
          <w:rFonts w:cs="Times New Roman"/>
        </w:rPr>
        <w:t>Ⅲ</w:t>
      </w:r>
      <w:r>
        <w:rPr>
          <w:rFonts w:cs="Times New Roman"/>
        </w:rPr>
        <w:t>类标准。超标与区域水文地质条件有关，</w:t>
      </w:r>
      <w:r>
        <w:rPr>
          <w:rFonts w:cs="Times New Roman" w:hint="eastAsia"/>
        </w:rPr>
        <w:t>反映</w:t>
      </w:r>
      <w:r>
        <w:rPr>
          <w:rFonts w:cs="Times New Roman"/>
        </w:rPr>
        <w:t>的是干旱区浅层地下水的共性。</w:t>
      </w:r>
      <w:r>
        <w:rPr>
          <w:rFonts w:cs="Times New Roman"/>
        </w:rPr>
        <w:t>超标主要是受干旱气候、蒸发浓缩作用、原生水文地质环境等因素综合影响，并非受人类活动所致</w:t>
      </w:r>
      <w:r>
        <w:rPr>
          <w:rFonts w:cs="Times New Roman"/>
        </w:rPr>
        <w:t>。</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hint="eastAsia"/>
        </w:rPr>
        <w:t>4</w:t>
      </w:r>
      <w:r>
        <w:rPr>
          <w:rFonts w:cs="Times New Roman"/>
        </w:rPr>
        <w:t>）包气带污染现状调查</w:t>
      </w:r>
    </w:p>
    <w:p w:rsidR="00C645C9" w:rsidRDefault="00F955D9">
      <w:pPr>
        <w:widowControl w:val="0"/>
        <w:adjustRightInd w:val="0"/>
        <w:snapToGrid w:val="0"/>
        <w:spacing w:line="360" w:lineRule="auto"/>
        <w:ind w:firstLineChars="200" w:firstLine="500"/>
        <w:rPr>
          <w:rFonts w:cs="Times New Roman"/>
        </w:rPr>
      </w:pPr>
      <w:r>
        <w:rPr>
          <w:rFonts w:cs="Times New Roman"/>
          <w:spacing w:val="5"/>
        </w:rPr>
        <w:t>①</w:t>
      </w:r>
      <w:r>
        <w:rPr>
          <w:rFonts w:cs="Times New Roman"/>
        </w:rPr>
        <w:t>监测布点</w:t>
      </w:r>
    </w:p>
    <w:p w:rsidR="00C645C9" w:rsidRDefault="00F955D9">
      <w:pPr>
        <w:widowControl w:val="0"/>
        <w:adjustRightInd w:val="0"/>
        <w:snapToGrid w:val="0"/>
        <w:spacing w:line="360" w:lineRule="auto"/>
        <w:ind w:firstLineChars="200" w:firstLine="480"/>
        <w:rPr>
          <w:rFonts w:cs="Times New Roman"/>
        </w:rPr>
      </w:pPr>
      <w:r>
        <w:rPr>
          <w:rFonts w:cs="Times New Roman"/>
        </w:rPr>
        <w:t>根据</w:t>
      </w:r>
      <w:bookmarkStart w:id="1263" w:name="OLE_LINK539"/>
      <w:r>
        <w:rPr>
          <w:rFonts w:cs="Times New Roman"/>
        </w:rPr>
        <w:t>《环境影响评价技术导则</w:t>
      </w:r>
      <w:r>
        <w:rPr>
          <w:rFonts w:cs="Times New Roman"/>
        </w:rPr>
        <w:t xml:space="preserve"> </w:t>
      </w:r>
      <w:r>
        <w:rPr>
          <w:rFonts w:cs="Times New Roman"/>
        </w:rPr>
        <w:t>地下水环境》（</w:t>
      </w:r>
      <w:r>
        <w:rPr>
          <w:rFonts w:cs="Times New Roman"/>
        </w:rPr>
        <w:t>HJ610-2016</w:t>
      </w:r>
      <w:r>
        <w:rPr>
          <w:rFonts w:cs="Times New Roman"/>
        </w:rPr>
        <w:t>）</w:t>
      </w:r>
      <w:bookmarkEnd w:id="1263"/>
      <w:r>
        <w:rPr>
          <w:rFonts w:cs="Times New Roman"/>
        </w:rPr>
        <w:t>，对于一、二级的改扩建项目，应在可能造成地下水污染的主要装置或设施附近开展包气带污染现状调查，对包气带进行分层取样。</w:t>
      </w:r>
    </w:p>
    <w:p w:rsidR="00C645C9" w:rsidRDefault="00F955D9">
      <w:pPr>
        <w:widowControl w:val="0"/>
        <w:adjustRightInd w:val="0"/>
        <w:snapToGrid w:val="0"/>
        <w:spacing w:line="360" w:lineRule="auto"/>
        <w:ind w:firstLineChars="200" w:firstLine="480"/>
      </w:pPr>
      <w:r>
        <w:rPr>
          <w:rFonts w:cs="Times New Roman"/>
        </w:rPr>
        <w:t>根据现场调查，本</w:t>
      </w:r>
      <w:r>
        <w:rPr>
          <w:rFonts w:cs="Times New Roman"/>
        </w:rPr>
        <w:t>工程</w:t>
      </w:r>
      <w:r>
        <w:rPr>
          <w:rFonts w:cs="Times New Roman"/>
        </w:rPr>
        <w:t>可能造成地下水污染的主要工程为</w:t>
      </w:r>
      <w:bookmarkStart w:id="1264" w:name="OLE_LINK536"/>
      <w:r>
        <w:rPr>
          <w:rFonts w:cs="Times New Roman"/>
        </w:rPr>
        <w:t>已建</w:t>
      </w:r>
      <w:r>
        <w:rPr>
          <w:rFonts w:cs="Times New Roman" w:hint="eastAsia"/>
        </w:rPr>
        <w:t>井</w:t>
      </w:r>
      <w:r>
        <w:rPr>
          <w:rFonts w:cs="Times New Roman"/>
        </w:rPr>
        <w:t>场</w:t>
      </w:r>
      <w:bookmarkEnd w:id="1264"/>
      <w:r>
        <w:rPr>
          <w:rFonts w:cs="Times New Roman" w:hint="eastAsia"/>
        </w:rPr>
        <w:t>。</w:t>
      </w:r>
      <w:r>
        <w:rPr>
          <w:rFonts w:cs="Times New Roman"/>
        </w:rPr>
        <w:t>本次评价</w:t>
      </w:r>
      <w:r>
        <w:rPr>
          <w:rFonts w:cs="Times New Roman" w:hint="eastAsia"/>
        </w:rPr>
        <w:t>在</w:t>
      </w:r>
      <w:r>
        <w:rPr>
          <w:rFonts w:cs="Times New Roman"/>
        </w:rPr>
        <w:t>已建井场占地范围内及占地外</w:t>
      </w:r>
      <w:r>
        <w:rPr>
          <w:rFonts w:cs="Times New Roman" w:hint="eastAsia"/>
        </w:rPr>
        <w:t>布设</w:t>
      </w:r>
      <w:r>
        <w:rPr>
          <w:rFonts w:cs="Times New Roman" w:hint="eastAsia"/>
        </w:rPr>
        <w:t>2</w:t>
      </w:r>
      <w:r>
        <w:rPr>
          <w:rFonts w:cs="Times New Roman" w:hint="eastAsia"/>
        </w:rPr>
        <w:t>个</w:t>
      </w:r>
      <w:r>
        <w:rPr>
          <w:rFonts w:cs="Times New Roman"/>
        </w:rPr>
        <w:t>包气带</w:t>
      </w:r>
      <w:r>
        <w:rPr>
          <w:rFonts w:cs="Times New Roman" w:hint="eastAsia"/>
        </w:rPr>
        <w:t>监测点，</w:t>
      </w:r>
      <w:r>
        <w:rPr>
          <w:rFonts w:cs="Times New Roman" w:hint="eastAsia"/>
        </w:rPr>
        <w:t>监测点基本满足</w:t>
      </w:r>
      <w:r>
        <w:rPr>
          <w:rFonts w:cs="Times New Roman"/>
        </w:rPr>
        <w:t>《环境影响评价技术导则</w:t>
      </w:r>
      <w:r>
        <w:rPr>
          <w:rFonts w:cs="Times New Roman"/>
        </w:rPr>
        <w:t xml:space="preserve"> </w:t>
      </w:r>
      <w:r>
        <w:rPr>
          <w:rFonts w:cs="Times New Roman"/>
        </w:rPr>
        <w:t>地下水环境》（</w:t>
      </w:r>
      <w:r>
        <w:rPr>
          <w:rFonts w:cs="Times New Roman"/>
        </w:rPr>
        <w:t>HJ610-2016</w:t>
      </w:r>
      <w:r>
        <w:rPr>
          <w:rFonts w:cs="Times New Roman"/>
        </w:rPr>
        <w:t>）</w:t>
      </w:r>
      <w:r>
        <w:rPr>
          <w:rFonts w:cs="Times New Roman" w:hint="eastAsia"/>
        </w:rPr>
        <w:t>的要求</w:t>
      </w:r>
      <w:r>
        <w:rPr>
          <w:rFonts w:hint="eastAsia"/>
        </w:rPr>
        <w:t>，</w:t>
      </w:r>
      <w:r>
        <w:t>各监测点设置情况</w:t>
      </w:r>
      <w:r>
        <w:rPr>
          <w:rFonts w:hint="eastAsia"/>
        </w:rPr>
        <w:t>见</w:t>
      </w:r>
      <w:r>
        <w:t>表</w:t>
      </w:r>
      <w:r>
        <w:t>4.</w:t>
      </w:r>
      <w:r>
        <w:rPr>
          <w:rFonts w:hint="eastAsia"/>
        </w:rPr>
        <w:t>3-6</w:t>
      </w:r>
      <w:r>
        <w:rPr>
          <w:rFonts w:cs="Times New Roman"/>
        </w:rPr>
        <w:t>。</w:t>
      </w:r>
    </w:p>
    <w:p w:rsidR="00C645C9" w:rsidRDefault="00F955D9">
      <w:pPr>
        <w:pStyle w:val="af7"/>
        <w:outlineLvl w:val="9"/>
        <w:rPr>
          <w:szCs w:val="21"/>
        </w:rPr>
      </w:pPr>
      <w:r>
        <w:rPr>
          <w:szCs w:val="21"/>
        </w:rPr>
        <w:t>表</w:t>
      </w:r>
      <w:r>
        <w:rPr>
          <w:szCs w:val="21"/>
        </w:rPr>
        <w:t>4.</w:t>
      </w:r>
      <w:r>
        <w:rPr>
          <w:rFonts w:hint="eastAsia"/>
          <w:szCs w:val="21"/>
        </w:rPr>
        <w:t>3</w:t>
      </w:r>
      <w:r>
        <w:rPr>
          <w:szCs w:val="21"/>
        </w:rPr>
        <w:t>-</w:t>
      </w:r>
      <w:r>
        <w:rPr>
          <w:rFonts w:hint="eastAsia"/>
          <w:szCs w:val="21"/>
        </w:rPr>
        <w:t>6</w:t>
      </w:r>
      <w:r>
        <w:rPr>
          <w:szCs w:val="21"/>
        </w:rPr>
        <w:t xml:space="preserve">   </w:t>
      </w:r>
      <w:r>
        <w:rPr>
          <w:szCs w:val="21"/>
        </w:rPr>
        <w:t>包气带现状监测点位置</w:t>
      </w:r>
    </w:p>
    <w:tbl>
      <w:tblPr>
        <w:tblStyle w:val="af3"/>
        <w:tblW w:w="0" w:type="auto"/>
        <w:tblLook w:val="04A0" w:firstRow="1" w:lastRow="0" w:firstColumn="1" w:lastColumn="0" w:noHBand="0" w:noVBand="1"/>
      </w:tblPr>
      <w:tblGrid>
        <w:gridCol w:w="2840"/>
        <w:gridCol w:w="2841"/>
        <w:gridCol w:w="2841"/>
      </w:tblGrid>
      <w:tr w:rsidR="00C645C9">
        <w:tc>
          <w:tcPr>
            <w:tcW w:w="2840" w:type="dxa"/>
          </w:tcPr>
          <w:p w:rsidR="00C645C9" w:rsidRDefault="00F955D9">
            <w:pPr>
              <w:pStyle w:val="af7"/>
              <w:outlineLvl w:val="9"/>
              <w:rPr>
                <w:rFonts w:eastAsiaTheme="minorEastAsia"/>
                <w:szCs w:val="21"/>
              </w:rPr>
            </w:pPr>
            <w:r>
              <w:rPr>
                <w:rFonts w:eastAsiaTheme="minorEastAsia"/>
                <w:szCs w:val="21"/>
              </w:rPr>
              <w:t>调查点位</w:t>
            </w:r>
          </w:p>
        </w:tc>
        <w:tc>
          <w:tcPr>
            <w:tcW w:w="2841" w:type="dxa"/>
          </w:tcPr>
          <w:p w:rsidR="00C645C9" w:rsidRDefault="00F955D9">
            <w:pPr>
              <w:pStyle w:val="af7"/>
              <w:outlineLvl w:val="9"/>
              <w:rPr>
                <w:rFonts w:eastAsiaTheme="minorEastAsia"/>
                <w:szCs w:val="21"/>
              </w:rPr>
            </w:pPr>
            <w:r>
              <w:rPr>
                <w:rFonts w:eastAsiaTheme="minorEastAsia"/>
                <w:szCs w:val="21"/>
              </w:rPr>
              <w:t>采样深度</w:t>
            </w:r>
          </w:p>
        </w:tc>
        <w:tc>
          <w:tcPr>
            <w:tcW w:w="2841" w:type="dxa"/>
          </w:tcPr>
          <w:p w:rsidR="00C645C9" w:rsidRDefault="00F955D9">
            <w:pPr>
              <w:pStyle w:val="af7"/>
              <w:outlineLvl w:val="9"/>
              <w:rPr>
                <w:rFonts w:eastAsiaTheme="minorEastAsia"/>
                <w:szCs w:val="21"/>
              </w:rPr>
            </w:pPr>
            <w:r>
              <w:rPr>
                <w:rFonts w:eastAsiaTheme="minorEastAsia"/>
                <w:szCs w:val="21"/>
              </w:rPr>
              <w:t>备注</w:t>
            </w:r>
          </w:p>
        </w:tc>
      </w:tr>
      <w:tr w:rsidR="00C645C9">
        <w:tc>
          <w:tcPr>
            <w:tcW w:w="2840" w:type="dxa"/>
          </w:tcPr>
          <w:p w:rsidR="00C645C9" w:rsidRDefault="00F955D9">
            <w:pPr>
              <w:pStyle w:val="af7"/>
              <w:outlineLvl w:val="9"/>
              <w:rPr>
                <w:rFonts w:eastAsiaTheme="minorEastAsia"/>
                <w:szCs w:val="21"/>
              </w:rPr>
            </w:pPr>
            <w:bookmarkStart w:id="1265" w:name="OLE_LINK549"/>
            <w:bookmarkStart w:id="1266" w:name="OLE_LINK545"/>
            <w:r>
              <w:rPr>
                <w:rFonts w:eastAsiaTheme="minorEastAsia" w:hint="eastAsia"/>
                <w:szCs w:val="21"/>
              </w:rPr>
              <w:t>新北</w:t>
            </w:r>
            <w:r>
              <w:rPr>
                <w:rFonts w:eastAsiaTheme="minorEastAsia" w:hint="eastAsia"/>
                <w:szCs w:val="21"/>
              </w:rPr>
              <w:t>1X</w:t>
            </w:r>
            <w:r>
              <w:rPr>
                <w:rFonts w:eastAsiaTheme="minorEastAsia" w:hint="eastAsia"/>
                <w:szCs w:val="21"/>
              </w:rPr>
              <w:t>井井场</w:t>
            </w:r>
            <w:bookmarkEnd w:id="1265"/>
            <w:r>
              <w:rPr>
                <w:rFonts w:eastAsiaTheme="minorEastAsia"/>
                <w:szCs w:val="21"/>
              </w:rPr>
              <w:t>占地</w:t>
            </w:r>
            <w:bookmarkEnd w:id="1266"/>
            <w:r>
              <w:rPr>
                <w:rFonts w:eastAsiaTheme="minorEastAsia"/>
                <w:szCs w:val="21"/>
              </w:rPr>
              <w:t>范围内</w:t>
            </w:r>
          </w:p>
        </w:tc>
        <w:tc>
          <w:tcPr>
            <w:tcW w:w="2841" w:type="dxa"/>
          </w:tcPr>
          <w:p w:rsidR="00C645C9" w:rsidRDefault="00F955D9">
            <w:pPr>
              <w:pStyle w:val="af7"/>
              <w:outlineLvl w:val="9"/>
              <w:rPr>
                <w:rFonts w:eastAsiaTheme="minorEastAsia"/>
                <w:szCs w:val="21"/>
              </w:rPr>
            </w:pPr>
            <w:r>
              <w:rPr>
                <w:rFonts w:eastAsiaTheme="minorEastAsia"/>
                <w:szCs w:val="21"/>
              </w:rPr>
              <w:t>0~20cm</w:t>
            </w:r>
          </w:p>
        </w:tc>
        <w:tc>
          <w:tcPr>
            <w:tcW w:w="2841" w:type="dxa"/>
          </w:tcPr>
          <w:p w:rsidR="00C645C9" w:rsidRDefault="00F955D9">
            <w:pPr>
              <w:pStyle w:val="af7"/>
              <w:outlineLvl w:val="9"/>
              <w:rPr>
                <w:rFonts w:eastAsiaTheme="minorEastAsia"/>
                <w:szCs w:val="21"/>
              </w:rPr>
            </w:pPr>
            <w:r>
              <w:rPr>
                <w:rFonts w:eastAsiaTheme="minorEastAsia"/>
                <w:szCs w:val="21"/>
              </w:rPr>
              <w:t>污染控制点</w:t>
            </w:r>
          </w:p>
        </w:tc>
      </w:tr>
      <w:tr w:rsidR="00C645C9">
        <w:tc>
          <w:tcPr>
            <w:tcW w:w="2840" w:type="dxa"/>
          </w:tcPr>
          <w:p w:rsidR="00C645C9" w:rsidRDefault="00F955D9">
            <w:pPr>
              <w:pStyle w:val="af7"/>
              <w:outlineLvl w:val="9"/>
              <w:rPr>
                <w:rFonts w:eastAsiaTheme="minorEastAsia"/>
                <w:szCs w:val="21"/>
              </w:rPr>
            </w:pPr>
            <w:r>
              <w:rPr>
                <w:rFonts w:eastAsiaTheme="minorEastAsia" w:hint="eastAsia"/>
                <w:szCs w:val="21"/>
              </w:rPr>
              <w:t>新北</w:t>
            </w:r>
            <w:r>
              <w:rPr>
                <w:rFonts w:eastAsiaTheme="minorEastAsia" w:hint="eastAsia"/>
                <w:szCs w:val="21"/>
              </w:rPr>
              <w:t>1X</w:t>
            </w:r>
            <w:r>
              <w:rPr>
                <w:rFonts w:eastAsiaTheme="minorEastAsia" w:hint="eastAsia"/>
                <w:szCs w:val="21"/>
              </w:rPr>
              <w:t>井井场</w:t>
            </w:r>
            <w:r>
              <w:rPr>
                <w:rFonts w:eastAsiaTheme="minorEastAsia"/>
                <w:szCs w:val="21"/>
              </w:rPr>
              <w:t>占地范围外</w:t>
            </w:r>
          </w:p>
        </w:tc>
        <w:tc>
          <w:tcPr>
            <w:tcW w:w="2841" w:type="dxa"/>
          </w:tcPr>
          <w:p w:rsidR="00C645C9" w:rsidRDefault="00F955D9">
            <w:pPr>
              <w:pStyle w:val="af7"/>
              <w:outlineLvl w:val="9"/>
              <w:rPr>
                <w:rFonts w:eastAsiaTheme="minorEastAsia"/>
                <w:szCs w:val="21"/>
              </w:rPr>
            </w:pPr>
            <w:r>
              <w:rPr>
                <w:rFonts w:eastAsiaTheme="minorEastAsia"/>
                <w:szCs w:val="21"/>
              </w:rPr>
              <w:t>0~20cm</w:t>
            </w:r>
          </w:p>
        </w:tc>
        <w:tc>
          <w:tcPr>
            <w:tcW w:w="2841" w:type="dxa"/>
          </w:tcPr>
          <w:p w:rsidR="00C645C9" w:rsidRDefault="00F955D9">
            <w:pPr>
              <w:pStyle w:val="af7"/>
              <w:outlineLvl w:val="9"/>
              <w:rPr>
                <w:rFonts w:eastAsiaTheme="minorEastAsia"/>
                <w:szCs w:val="21"/>
              </w:rPr>
            </w:pPr>
            <w:r>
              <w:rPr>
                <w:rFonts w:eastAsiaTheme="minorEastAsia"/>
                <w:szCs w:val="21"/>
              </w:rPr>
              <w:t>清洁对照点</w:t>
            </w:r>
          </w:p>
        </w:tc>
      </w:tr>
    </w:tbl>
    <w:p w:rsidR="00C645C9" w:rsidRDefault="00F955D9">
      <w:pPr>
        <w:widowControl w:val="0"/>
        <w:adjustRightInd w:val="0"/>
        <w:snapToGrid w:val="0"/>
        <w:spacing w:line="360" w:lineRule="auto"/>
        <w:ind w:firstLineChars="200" w:firstLine="500"/>
        <w:rPr>
          <w:rFonts w:cs="Times New Roman"/>
        </w:rPr>
      </w:pPr>
      <w:r>
        <w:rPr>
          <w:rFonts w:cs="Times New Roman"/>
          <w:spacing w:val="5"/>
        </w:rPr>
        <w:t>②</w:t>
      </w:r>
      <w:r>
        <w:rPr>
          <w:rFonts w:cs="Times New Roman"/>
        </w:rPr>
        <w:t>监测因子、时间与频次</w:t>
      </w:r>
    </w:p>
    <w:p w:rsidR="00C645C9" w:rsidRDefault="00F955D9">
      <w:pPr>
        <w:widowControl w:val="0"/>
        <w:adjustRightInd w:val="0"/>
        <w:snapToGrid w:val="0"/>
        <w:spacing w:line="360" w:lineRule="auto"/>
        <w:ind w:firstLineChars="200" w:firstLine="480"/>
        <w:rPr>
          <w:rFonts w:cs="Times New Roman"/>
        </w:rPr>
      </w:pPr>
      <w:r>
        <w:rPr>
          <w:rFonts w:cs="Times New Roman"/>
        </w:rPr>
        <w:t>监测因子：石油类。</w:t>
      </w:r>
    </w:p>
    <w:p w:rsidR="00C645C9" w:rsidRDefault="00F955D9">
      <w:pPr>
        <w:widowControl w:val="0"/>
        <w:adjustRightInd w:val="0"/>
        <w:snapToGrid w:val="0"/>
        <w:spacing w:line="360" w:lineRule="auto"/>
        <w:ind w:firstLineChars="200" w:firstLine="480"/>
        <w:rPr>
          <w:rFonts w:cs="Times New Roman"/>
        </w:rPr>
      </w:pPr>
      <w:r>
        <w:rPr>
          <w:rFonts w:cs="Times New Roman"/>
        </w:rPr>
        <w:t>监测时间：</w:t>
      </w:r>
      <w:r>
        <w:rPr>
          <w:rFonts w:cs="Times New Roman"/>
        </w:rPr>
        <w:t>202</w:t>
      </w:r>
      <w:r>
        <w:rPr>
          <w:rFonts w:cs="Times New Roman" w:hint="eastAsia"/>
        </w:rPr>
        <w:t>5</w:t>
      </w:r>
      <w:r>
        <w:rPr>
          <w:rFonts w:cs="Times New Roman"/>
        </w:rPr>
        <w:t>年</w:t>
      </w:r>
      <w:r>
        <w:rPr>
          <w:rFonts w:cs="Times New Roman" w:hint="eastAsia"/>
        </w:rPr>
        <w:t>4</w:t>
      </w:r>
      <w:r>
        <w:rPr>
          <w:rFonts w:cs="Times New Roman"/>
        </w:rPr>
        <w:t>月，监测一天，采样一次。</w:t>
      </w:r>
    </w:p>
    <w:p w:rsidR="00C645C9" w:rsidRDefault="00F955D9">
      <w:pPr>
        <w:widowControl w:val="0"/>
        <w:adjustRightInd w:val="0"/>
        <w:snapToGrid w:val="0"/>
        <w:spacing w:line="360" w:lineRule="auto"/>
        <w:ind w:firstLineChars="200" w:firstLine="480"/>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t>③</w:t>
      </w:r>
      <w:r>
        <w:rPr>
          <w:rFonts w:cs="Times New Roman"/>
        </w:rPr>
        <w:fldChar w:fldCharType="end"/>
      </w:r>
      <w:r>
        <w:rPr>
          <w:rFonts w:cs="Times New Roman"/>
        </w:rPr>
        <w:t>监测结果</w:t>
      </w:r>
      <w:r>
        <w:rPr>
          <w:rFonts w:cs="Times New Roman"/>
        </w:rPr>
        <w:t xml:space="preserve"> </w:t>
      </w:r>
    </w:p>
    <w:p w:rsidR="00C645C9" w:rsidRDefault="00F955D9">
      <w:pPr>
        <w:widowControl w:val="0"/>
        <w:adjustRightInd w:val="0"/>
        <w:snapToGrid w:val="0"/>
        <w:spacing w:line="360" w:lineRule="auto"/>
        <w:ind w:firstLineChars="200" w:firstLine="480"/>
        <w:rPr>
          <w:rFonts w:cs="Times New Roman"/>
        </w:rPr>
      </w:pPr>
      <w:r>
        <w:rPr>
          <w:rFonts w:cs="Times New Roman"/>
        </w:rPr>
        <w:t>包气带监测结果见表</w:t>
      </w:r>
      <w:r>
        <w:rPr>
          <w:rFonts w:cs="Times New Roman"/>
        </w:rPr>
        <w:t>4.</w:t>
      </w:r>
      <w:r>
        <w:rPr>
          <w:rFonts w:cs="Times New Roman" w:hint="eastAsia"/>
        </w:rPr>
        <w:t>3-</w:t>
      </w:r>
      <w:r>
        <w:rPr>
          <w:rFonts w:cs="Times New Roman" w:hint="eastAsia"/>
        </w:rPr>
        <w:t>7</w:t>
      </w:r>
      <w:r>
        <w:rPr>
          <w:rFonts w:cs="Times New Roman" w:hint="eastAsia"/>
        </w:rPr>
        <w:t>。</w:t>
      </w: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lastRenderedPageBreak/>
        <w:t>表</w:t>
      </w:r>
      <w:r>
        <w:rPr>
          <w:rFonts w:eastAsia="黑体" w:cs="Times New Roman"/>
          <w:sz w:val="21"/>
          <w:szCs w:val="21"/>
        </w:rPr>
        <w:t>4.</w:t>
      </w:r>
      <w:r>
        <w:rPr>
          <w:rFonts w:eastAsia="黑体" w:cs="Times New Roman" w:hint="eastAsia"/>
          <w:sz w:val="21"/>
          <w:szCs w:val="21"/>
        </w:rPr>
        <w:t>3-</w:t>
      </w:r>
      <w:r>
        <w:rPr>
          <w:rFonts w:eastAsia="黑体" w:cs="Times New Roman" w:hint="eastAsia"/>
          <w:sz w:val="21"/>
          <w:szCs w:val="21"/>
        </w:rPr>
        <w:t>7</w:t>
      </w:r>
      <w:r>
        <w:rPr>
          <w:rFonts w:eastAsia="黑体" w:cs="Times New Roman"/>
          <w:sz w:val="21"/>
          <w:szCs w:val="21"/>
        </w:rPr>
        <w:t xml:space="preserve">   </w:t>
      </w:r>
      <w:r>
        <w:rPr>
          <w:rFonts w:eastAsia="黑体" w:cs="Times New Roman"/>
          <w:sz w:val="21"/>
          <w:szCs w:val="21"/>
        </w:rPr>
        <w:t>包气带现状监测点位置</w:t>
      </w:r>
    </w:p>
    <w:tbl>
      <w:tblPr>
        <w:tblStyle w:val="af3"/>
        <w:tblW w:w="0" w:type="auto"/>
        <w:tblLayout w:type="fixed"/>
        <w:tblLook w:val="04A0" w:firstRow="1" w:lastRow="0" w:firstColumn="1" w:lastColumn="0" w:noHBand="0" w:noVBand="1"/>
      </w:tblPr>
      <w:tblGrid>
        <w:gridCol w:w="1000"/>
        <w:gridCol w:w="1353"/>
        <w:gridCol w:w="1306"/>
        <w:gridCol w:w="1599"/>
        <w:gridCol w:w="1964"/>
        <w:gridCol w:w="1300"/>
      </w:tblGrid>
      <w:tr w:rsidR="00C645C9">
        <w:tc>
          <w:tcPr>
            <w:tcW w:w="2353"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监测点位</w:t>
            </w:r>
          </w:p>
        </w:tc>
        <w:tc>
          <w:tcPr>
            <w:tcW w:w="1306" w:type="dxa"/>
            <w:vAlign w:val="center"/>
          </w:tcPr>
          <w:p w:rsidR="00C645C9" w:rsidRDefault="00F955D9">
            <w:pPr>
              <w:adjustRightInd w:val="0"/>
              <w:snapToGrid w:val="0"/>
              <w:jc w:val="center"/>
              <w:rPr>
                <w:rFonts w:cs="Times New Roman"/>
                <w:sz w:val="21"/>
                <w:szCs w:val="21"/>
              </w:rPr>
            </w:pPr>
            <w:r>
              <w:rPr>
                <w:rFonts w:cs="Times New Roman"/>
                <w:sz w:val="21"/>
                <w:szCs w:val="21"/>
              </w:rPr>
              <w:t>监测项目</w:t>
            </w:r>
          </w:p>
        </w:tc>
        <w:tc>
          <w:tcPr>
            <w:tcW w:w="1599" w:type="dxa"/>
            <w:vAlign w:val="center"/>
          </w:tcPr>
          <w:p w:rsidR="00C645C9" w:rsidRDefault="00F955D9">
            <w:pPr>
              <w:adjustRightInd w:val="0"/>
              <w:snapToGrid w:val="0"/>
              <w:jc w:val="center"/>
              <w:rPr>
                <w:rFonts w:cs="Times New Roman"/>
                <w:sz w:val="21"/>
                <w:szCs w:val="21"/>
              </w:rPr>
            </w:pPr>
            <w:r>
              <w:rPr>
                <w:rFonts w:cs="Times New Roman"/>
                <w:sz w:val="21"/>
                <w:szCs w:val="21"/>
              </w:rPr>
              <w:t>监测值（</w:t>
            </w:r>
            <w:r>
              <w:rPr>
                <w:rFonts w:cs="Times New Roman"/>
                <w:sz w:val="21"/>
                <w:szCs w:val="21"/>
              </w:rPr>
              <w:t>mg/L</w:t>
            </w:r>
            <w:r>
              <w:rPr>
                <w:rFonts w:cs="Times New Roman"/>
                <w:sz w:val="21"/>
                <w:szCs w:val="21"/>
              </w:rPr>
              <w:t>）</w:t>
            </w:r>
          </w:p>
        </w:tc>
        <w:tc>
          <w:tcPr>
            <w:tcW w:w="1964" w:type="dxa"/>
            <w:vAlign w:val="center"/>
          </w:tcPr>
          <w:p w:rsidR="00C645C9" w:rsidRDefault="00F955D9">
            <w:pPr>
              <w:adjustRightInd w:val="0"/>
              <w:snapToGrid w:val="0"/>
              <w:jc w:val="center"/>
              <w:rPr>
                <w:rFonts w:cs="Times New Roman"/>
                <w:sz w:val="21"/>
                <w:szCs w:val="21"/>
              </w:rPr>
            </w:pPr>
            <w:r>
              <w:rPr>
                <w:rFonts w:cs="Times New Roman"/>
                <w:sz w:val="21"/>
                <w:szCs w:val="21"/>
              </w:rPr>
              <w:t>标准限值（</w:t>
            </w:r>
            <w:r>
              <w:rPr>
                <w:rFonts w:cs="Times New Roman"/>
                <w:sz w:val="21"/>
                <w:szCs w:val="21"/>
              </w:rPr>
              <w:t>mg/kg</w:t>
            </w:r>
            <w:r>
              <w:rPr>
                <w:rFonts w:cs="Times New Roman"/>
                <w:sz w:val="21"/>
                <w:szCs w:val="21"/>
              </w:rPr>
              <w:t>）</w:t>
            </w:r>
          </w:p>
        </w:tc>
        <w:tc>
          <w:tcPr>
            <w:tcW w:w="1300" w:type="dxa"/>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c>
          <w:tcPr>
            <w:tcW w:w="1000" w:type="dxa"/>
            <w:vMerge w:val="restart"/>
            <w:vAlign w:val="center"/>
          </w:tcPr>
          <w:p w:rsidR="00C645C9" w:rsidRDefault="00F955D9">
            <w:pPr>
              <w:adjustRightInd w:val="0"/>
              <w:snapToGrid w:val="0"/>
              <w:jc w:val="center"/>
              <w:rPr>
                <w:rFonts w:cs="Times New Roman"/>
                <w:sz w:val="21"/>
                <w:szCs w:val="21"/>
              </w:rPr>
            </w:pPr>
            <w:r>
              <w:rPr>
                <w:rFonts w:eastAsiaTheme="minorEastAsia" w:cs="Times New Roman" w:hint="eastAsia"/>
                <w:sz w:val="21"/>
                <w:szCs w:val="21"/>
              </w:rPr>
              <w:t>新北</w:t>
            </w:r>
            <w:r>
              <w:rPr>
                <w:rFonts w:eastAsiaTheme="minorEastAsia" w:cs="Times New Roman" w:hint="eastAsia"/>
                <w:sz w:val="21"/>
                <w:szCs w:val="21"/>
              </w:rPr>
              <w:t>1X</w:t>
            </w:r>
            <w:r>
              <w:rPr>
                <w:rFonts w:eastAsiaTheme="minorEastAsia" w:cs="Times New Roman" w:hint="eastAsia"/>
                <w:sz w:val="21"/>
                <w:szCs w:val="21"/>
              </w:rPr>
              <w:t>井井场</w:t>
            </w:r>
          </w:p>
        </w:tc>
        <w:tc>
          <w:tcPr>
            <w:tcW w:w="1353" w:type="dxa"/>
            <w:vAlign w:val="center"/>
          </w:tcPr>
          <w:p w:rsidR="00C645C9" w:rsidRDefault="00F955D9">
            <w:pPr>
              <w:adjustRightInd w:val="0"/>
              <w:snapToGrid w:val="0"/>
              <w:jc w:val="center"/>
              <w:rPr>
                <w:rFonts w:cs="Times New Roman"/>
                <w:sz w:val="21"/>
                <w:szCs w:val="21"/>
              </w:rPr>
            </w:pPr>
            <w:r>
              <w:rPr>
                <w:rFonts w:cs="Times New Roman"/>
                <w:sz w:val="21"/>
                <w:szCs w:val="21"/>
              </w:rPr>
              <w:t>占地范围内</w:t>
            </w:r>
          </w:p>
        </w:tc>
        <w:tc>
          <w:tcPr>
            <w:tcW w:w="1306" w:type="dxa"/>
            <w:vMerge w:val="restart"/>
            <w:vAlign w:val="center"/>
          </w:tcPr>
          <w:p w:rsidR="00C645C9" w:rsidRDefault="00F955D9">
            <w:pPr>
              <w:widowControl/>
              <w:adjustRightInd w:val="0"/>
              <w:snapToGrid w:val="0"/>
              <w:jc w:val="center"/>
              <w:rPr>
                <w:rFonts w:cs="Times New Roman"/>
                <w:sz w:val="21"/>
                <w:szCs w:val="21"/>
              </w:rPr>
            </w:pPr>
            <w:r>
              <w:rPr>
                <w:rFonts w:cs="Times New Roman"/>
                <w:sz w:val="20"/>
                <w:szCs w:val="20"/>
                <w:lang w:bidi="ar"/>
              </w:rPr>
              <w:t>石油烃</w:t>
            </w:r>
          </w:p>
        </w:tc>
        <w:tc>
          <w:tcPr>
            <w:tcW w:w="1599"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964" w:type="dxa"/>
            <w:vMerge w:val="restart"/>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1300" w:type="dxa"/>
            <w:vMerge w:val="restar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c>
          <w:tcPr>
            <w:tcW w:w="1000" w:type="dxa"/>
            <w:vMerge/>
            <w:vAlign w:val="center"/>
          </w:tcPr>
          <w:p w:rsidR="00C645C9" w:rsidRDefault="00C645C9">
            <w:pPr>
              <w:adjustRightInd w:val="0"/>
              <w:snapToGrid w:val="0"/>
              <w:jc w:val="center"/>
              <w:rPr>
                <w:rFonts w:cs="Times New Roman"/>
                <w:sz w:val="21"/>
                <w:szCs w:val="21"/>
              </w:rPr>
            </w:pPr>
          </w:p>
        </w:tc>
        <w:tc>
          <w:tcPr>
            <w:tcW w:w="1353" w:type="dxa"/>
            <w:vAlign w:val="center"/>
          </w:tcPr>
          <w:p w:rsidR="00C645C9" w:rsidRDefault="00F955D9">
            <w:pPr>
              <w:adjustRightInd w:val="0"/>
              <w:snapToGrid w:val="0"/>
              <w:jc w:val="center"/>
              <w:rPr>
                <w:rFonts w:cs="Times New Roman"/>
                <w:sz w:val="21"/>
                <w:szCs w:val="21"/>
              </w:rPr>
            </w:pPr>
            <w:r>
              <w:rPr>
                <w:rFonts w:cs="Times New Roman"/>
                <w:sz w:val="21"/>
                <w:szCs w:val="21"/>
              </w:rPr>
              <w:t>占地范围外</w:t>
            </w:r>
          </w:p>
        </w:tc>
        <w:tc>
          <w:tcPr>
            <w:tcW w:w="1306" w:type="dxa"/>
            <w:vMerge/>
            <w:vAlign w:val="center"/>
          </w:tcPr>
          <w:p w:rsidR="00C645C9" w:rsidRDefault="00C645C9">
            <w:pPr>
              <w:adjustRightInd w:val="0"/>
              <w:snapToGrid w:val="0"/>
              <w:jc w:val="center"/>
              <w:rPr>
                <w:rFonts w:cs="Times New Roman"/>
                <w:sz w:val="21"/>
                <w:szCs w:val="21"/>
              </w:rPr>
            </w:pPr>
          </w:p>
        </w:tc>
        <w:tc>
          <w:tcPr>
            <w:tcW w:w="1599"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964" w:type="dxa"/>
            <w:vMerge/>
            <w:vAlign w:val="center"/>
          </w:tcPr>
          <w:p w:rsidR="00C645C9" w:rsidRDefault="00C645C9">
            <w:pPr>
              <w:adjustRightInd w:val="0"/>
              <w:snapToGrid w:val="0"/>
              <w:jc w:val="center"/>
              <w:rPr>
                <w:rFonts w:cs="Times New Roman"/>
                <w:sz w:val="21"/>
                <w:szCs w:val="21"/>
              </w:rPr>
            </w:pPr>
          </w:p>
        </w:tc>
        <w:tc>
          <w:tcPr>
            <w:tcW w:w="1300" w:type="dxa"/>
            <w:vMerge/>
            <w:vAlign w:val="center"/>
          </w:tcPr>
          <w:p w:rsidR="00C645C9" w:rsidRDefault="00C645C9">
            <w:pPr>
              <w:adjustRightInd w:val="0"/>
              <w:snapToGrid w:val="0"/>
              <w:jc w:val="center"/>
              <w:rPr>
                <w:rFonts w:cs="Times New Roman"/>
                <w:sz w:val="21"/>
                <w:szCs w:val="21"/>
              </w:rPr>
            </w:pPr>
          </w:p>
        </w:tc>
      </w:tr>
    </w:tbl>
    <w:p w:rsidR="00C645C9" w:rsidRDefault="00F955D9">
      <w:pPr>
        <w:widowControl w:val="0"/>
        <w:adjustRightInd w:val="0"/>
        <w:snapToGrid w:val="0"/>
        <w:spacing w:line="360" w:lineRule="auto"/>
        <w:ind w:firstLineChars="200" w:firstLine="480"/>
        <w:rPr>
          <w:rFonts w:cs="Times New Roman"/>
        </w:rPr>
      </w:pPr>
      <w:r>
        <w:rPr>
          <w:rFonts w:cs="Times New Roman"/>
        </w:rPr>
        <w:t>从表</w:t>
      </w:r>
      <w:r>
        <w:rPr>
          <w:rFonts w:cs="Times New Roman"/>
        </w:rPr>
        <w:t>4.</w:t>
      </w:r>
      <w:r>
        <w:rPr>
          <w:rFonts w:cs="Times New Roman" w:hint="eastAsia"/>
        </w:rPr>
        <w:t>3</w:t>
      </w:r>
      <w:r>
        <w:rPr>
          <w:rFonts w:cs="Times New Roman"/>
        </w:rPr>
        <w:t>-</w:t>
      </w:r>
      <w:r>
        <w:rPr>
          <w:rFonts w:cs="Times New Roman" w:hint="eastAsia"/>
        </w:rPr>
        <w:t>7</w:t>
      </w:r>
      <w:r>
        <w:rPr>
          <w:rFonts w:cs="Times New Roman"/>
        </w:rPr>
        <w:t>调查结果可知，评价区域内已建</w:t>
      </w:r>
      <w:r>
        <w:rPr>
          <w:rFonts w:cs="Times New Roman" w:hint="eastAsia"/>
        </w:rPr>
        <w:t>井</w:t>
      </w:r>
      <w:r>
        <w:rPr>
          <w:rFonts w:cs="Times New Roman"/>
        </w:rPr>
        <w:t>场永久占地内外的油田特征污染物石油类监测数值相差不大，因此，评价区域内已建工程的包气带未受到油田开发的污染影响</w:t>
      </w:r>
      <w:r>
        <w:rPr>
          <w:rFonts w:cs="Times New Roman" w:hint="eastAsia"/>
        </w:rPr>
        <w:t>。</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267" w:name="_Toc22685"/>
      <w:r>
        <w:rPr>
          <w:rFonts w:ascii="Times New Roman" w:hAnsi="Times New Roman" w:cs="Times New Roman"/>
          <w:color w:val="auto"/>
          <w:lang w:eastAsia="zh-CN"/>
        </w:rPr>
        <w:t>4.</w:t>
      </w:r>
      <w:r>
        <w:rPr>
          <w:rFonts w:ascii="Times New Roman" w:hAnsi="Times New Roman" w:cs="Times New Roman"/>
          <w:color w:val="auto"/>
          <w:lang w:eastAsia="zh-CN"/>
        </w:rPr>
        <w:t>4</w:t>
      </w:r>
      <w:r>
        <w:rPr>
          <w:rFonts w:ascii="Times New Roman" w:hAnsi="Times New Roman" w:cs="Times New Roman"/>
          <w:color w:val="auto"/>
          <w:lang w:eastAsia="zh-CN"/>
        </w:rPr>
        <w:t>地表水环境现状调查与评价</w:t>
      </w:r>
      <w:bookmarkEnd w:id="1267"/>
    </w:p>
    <w:p w:rsidR="00C645C9" w:rsidRDefault="00F955D9">
      <w:pPr>
        <w:widowControl w:val="0"/>
        <w:adjustRightInd w:val="0"/>
        <w:snapToGrid w:val="0"/>
        <w:spacing w:line="360" w:lineRule="auto"/>
        <w:ind w:firstLineChars="200" w:firstLine="480"/>
        <w:rPr>
          <w:rFonts w:cs="Times New Roman"/>
        </w:rPr>
        <w:sectPr w:rsidR="00C645C9">
          <w:pgSz w:w="11906" w:h="16838"/>
          <w:pgMar w:top="1440" w:right="1800" w:bottom="1440" w:left="1800" w:header="851" w:footer="992" w:gutter="0"/>
          <w:cols w:space="425"/>
          <w:docGrid w:type="lines" w:linePitch="312"/>
        </w:sectPr>
      </w:pPr>
      <w:bookmarkStart w:id="1268" w:name="OLE_LINK527"/>
      <w:r>
        <w:rPr>
          <w:rFonts w:cs="Times New Roman"/>
        </w:rPr>
        <w:t>本</w:t>
      </w:r>
      <w:r>
        <w:rPr>
          <w:rFonts w:cs="Times New Roman" w:hint="eastAsia"/>
        </w:rPr>
        <w:t>工程</w:t>
      </w:r>
      <w:r>
        <w:rPr>
          <w:rFonts w:cs="Times New Roman"/>
        </w:rPr>
        <w:t>不涉及地表水体。因此，本评价不进行地表水环境质量现状评价，仅对地下水进行评价</w:t>
      </w:r>
      <w:r>
        <w:rPr>
          <w:rFonts w:cs="Times New Roman" w:hint="eastAsia"/>
        </w:rPr>
        <w:t>。</w:t>
      </w:r>
      <w:bookmarkEnd w:id="1268"/>
    </w:p>
    <w:p w:rsidR="00C645C9" w:rsidRDefault="00F955D9">
      <w:pPr>
        <w:pStyle w:val="11"/>
        <w:jc w:val="center"/>
        <w:rPr>
          <w:rFonts w:eastAsia="黑体"/>
          <w:b w:val="0"/>
          <w:kern w:val="0"/>
          <w:sz w:val="21"/>
          <w:szCs w:val="21"/>
        </w:rPr>
      </w:pPr>
      <w:bookmarkStart w:id="1269" w:name="OLE_LINK542"/>
      <w:bookmarkStart w:id="1270" w:name="OLE_LINK1228"/>
      <w:r>
        <w:rPr>
          <w:rFonts w:eastAsia="黑体" w:hint="eastAsia"/>
          <w:b w:val="0"/>
          <w:kern w:val="0"/>
          <w:sz w:val="21"/>
          <w:szCs w:val="21"/>
        </w:rPr>
        <w:lastRenderedPageBreak/>
        <w:t>表</w:t>
      </w:r>
      <w:r>
        <w:rPr>
          <w:rFonts w:eastAsia="黑体" w:hint="eastAsia"/>
          <w:b w:val="0"/>
          <w:kern w:val="0"/>
          <w:sz w:val="21"/>
          <w:szCs w:val="21"/>
        </w:rPr>
        <w:t xml:space="preserve">4.3-3   </w:t>
      </w:r>
      <w:bookmarkStart w:id="1271" w:name="OLE_LINK842"/>
      <w:r>
        <w:rPr>
          <w:rFonts w:eastAsia="黑体" w:hint="eastAsia"/>
          <w:b w:val="0"/>
          <w:kern w:val="0"/>
          <w:sz w:val="21"/>
          <w:szCs w:val="21"/>
        </w:rPr>
        <w:t>地下水水质现状监测及评价</w:t>
      </w:r>
      <w:bookmarkEnd w:id="1271"/>
      <w:r>
        <w:rPr>
          <w:rFonts w:eastAsia="黑体" w:hint="eastAsia"/>
          <w:b w:val="0"/>
          <w:kern w:val="0"/>
          <w:sz w:val="21"/>
          <w:szCs w:val="21"/>
        </w:rPr>
        <w:t>结果一览表</w:t>
      </w:r>
      <w:r>
        <w:rPr>
          <w:rFonts w:eastAsia="黑体" w:hint="eastAsia"/>
          <w:b w:val="0"/>
          <w:kern w:val="0"/>
          <w:sz w:val="21"/>
          <w:szCs w:val="21"/>
        </w:rPr>
        <w:t>（</w:t>
      </w:r>
      <w:r>
        <w:rPr>
          <w:rFonts w:eastAsia="黑体" w:hint="eastAsia"/>
          <w:b w:val="0"/>
          <w:kern w:val="0"/>
          <w:sz w:val="21"/>
          <w:szCs w:val="21"/>
        </w:rPr>
        <w:t>1</w:t>
      </w:r>
      <w:r>
        <w:rPr>
          <w:rFonts w:eastAsia="黑体" w:hint="eastAsia"/>
          <w:b w:val="0"/>
          <w:kern w:val="0"/>
          <w:sz w:val="21"/>
          <w:szCs w:val="21"/>
        </w:rPr>
        <w:t>）</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3"/>
        <w:gridCol w:w="1691"/>
        <w:gridCol w:w="1282"/>
        <w:gridCol w:w="1617"/>
        <w:gridCol w:w="1617"/>
        <w:gridCol w:w="1616"/>
        <w:gridCol w:w="1616"/>
        <w:gridCol w:w="1616"/>
        <w:gridCol w:w="1616"/>
        <w:gridCol w:w="1060"/>
      </w:tblGrid>
      <w:tr w:rsidR="00C645C9">
        <w:trPr>
          <w:trHeight w:val="285"/>
        </w:trPr>
        <w:tc>
          <w:tcPr>
            <w:tcW w:w="156" w:type="pct"/>
            <w:vMerge w:val="restart"/>
            <w:tcBorders>
              <w:top w:val="single" w:sz="4" w:space="0" w:color="auto"/>
              <w:left w:val="single" w:sz="4" w:space="0" w:color="auto"/>
              <w:right w:val="single" w:sz="4" w:space="0" w:color="auto"/>
            </w:tcBorders>
            <w:noWrap/>
            <w:vAlign w:val="center"/>
          </w:tcPr>
          <w:bookmarkEnd w:id="1269"/>
          <w:p w:rsidR="00C645C9" w:rsidRDefault="00F955D9">
            <w:pPr>
              <w:autoSpaceDE w:val="0"/>
              <w:spacing w:line="240" w:lineRule="exact"/>
              <w:jc w:val="center"/>
              <w:rPr>
                <w:rFonts w:cs="Times New Roman"/>
                <w:sz w:val="21"/>
                <w:szCs w:val="21"/>
              </w:rPr>
            </w:pPr>
            <w:r>
              <w:rPr>
                <w:rFonts w:cs="Times New Roman"/>
                <w:sz w:val="21"/>
                <w:szCs w:val="21"/>
              </w:rPr>
              <w:t>序号</w:t>
            </w:r>
          </w:p>
        </w:tc>
        <w:tc>
          <w:tcPr>
            <w:tcW w:w="596" w:type="pct"/>
            <w:vMerge w:val="restart"/>
            <w:tcBorders>
              <w:top w:val="single" w:sz="4" w:space="0" w:color="auto"/>
              <w:left w:val="single" w:sz="4" w:space="0" w:color="auto"/>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检测项目</w:t>
            </w:r>
          </w:p>
        </w:tc>
        <w:tc>
          <w:tcPr>
            <w:tcW w:w="452" w:type="pct"/>
            <w:vMerge w:val="restar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单位</w:t>
            </w:r>
          </w:p>
        </w:tc>
        <w:tc>
          <w:tcPr>
            <w:tcW w:w="3420" w:type="pct"/>
            <w:gridSpan w:val="6"/>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sz w:val="21"/>
                <w:szCs w:val="21"/>
              </w:rPr>
              <w:t>监测及评价结果</w:t>
            </w:r>
          </w:p>
        </w:tc>
        <w:tc>
          <w:tcPr>
            <w:tcW w:w="374" w:type="pct"/>
            <w:vMerge w:val="restart"/>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sz w:val="21"/>
                <w:szCs w:val="21"/>
              </w:rPr>
              <w:t>标准限值</w:t>
            </w:r>
            <w:r>
              <w:rPr>
                <w:rFonts w:cs="Times New Roman"/>
                <w:sz w:val="21"/>
                <w:szCs w:val="21"/>
              </w:rPr>
              <w:t>（</w:t>
            </w:r>
            <w:r>
              <w:rPr>
                <w:rFonts w:cs="Times New Roman"/>
                <w:sz w:val="21"/>
                <w:szCs w:val="21"/>
              </w:rPr>
              <w:t>III</w:t>
            </w:r>
            <w:r>
              <w:rPr>
                <w:rFonts w:cs="Times New Roman"/>
                <w:sz w:val="21"/>
                <w:szCs w:val="21"/>
              </w:rPr>
              <w:t>类</w:t>
            </w:r>
            <w:r>
              <w:rPr>
                <w:rFonts w:cs="Times New Roman"/>
                <w:sz w:val="21"/>
                <w:szCs w:val="21"/>
              </w:rPr>
              <w:t>）</w:t>
            </w:r>
          </w:p>
        </w:tc>
      </w:tr>
      <w:tr w:rsidR="00C645C9">
        <w:trPr>
          <w:trHeight w:val="300"/>
        </w:trPr>
        <w:tc>
          <w:tcPr>
            <w:tcW w:w="156" w:type="pct"/>
            <w:vMerge/>
            <w:tcBorders>
              <w:left w:val="single" w:sz="4" w:space="0" w:color="auto"/>
              <w:right w:val="single" w:sz="4" w:space="0" w:color="auto"/>
            </w:tcBorders>
            <w:vAlign w:val="center"/>
          </w:tcPr>
          <w:p w:rsidR="00C645C9" w:rsidRDefault="00C645C9">
            <w:pPr>
              <w:rPr>
                <w:rFonts w:cs="Times New Roman"/>
                <w:sz w:val="21"/>
                <w:szCs w:val="21"/>
              </w:rPr>
            </w:pPr>
            <w:bookmarkStart w:id="1272" w:name="OLE_LINK1052" w:colFirst="3" w:colLast="5"/>
          </w:p>
        </w:tc>
        <w:tc>
          <w:tcPr>
            <w:tcW w:w="596" w:type="pct"/>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452"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c>
          <w:tcPr>
            <w:tcW w:w="1140" w:type="pct"/>
            <w:gridSpan w:val="2"/>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rPr>
            </w:pPr>
            <w:r>
              <w:rPr>
                <w:rFonts w:cs="Times New Roman" w:hint="eastAsia"/>
                <w:sz w:val="21"/>
                <w:szCs w:val="21"/>
              </w:rPr>
              <w:t>项目区上游</w:t>
            </w:r>
          </w:p>
        </w:tc>
        <w:tc>
          <w:tcPr>
            <w:tcW w:w="1140" w:type="pct"/>
            <w:gridSpan w:val="2"/>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rPr>
            </w:pPr>
            <w:r>
              <w:rPr>
                <w:rFonts w:cs="Times New Roman" w:hint="eastAsia"/>
                <w:sz w:val="21"/>
                <w:szCs w:val="21"/>
              </w:rPr>
              <w:t>项目区附近</w:t>
            </w:r>
            <w:r>
              <w:rPr>
                <w:rFonts w:cs="Times New Roman" w:hint="eastAsia"/>
                <w:sz w:val="21"/>
                <w:szCs w:val="21"/>
              </w:rPr>
              <w:t>1</w:t>
            </w:r>
          </w:p>
        </w:tc>
        <w:tc>
          <w:tcPr>
            <w:tcW w:w="1140" w:type="pct"/>
            <w:gridSpan w:val="2"/>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rPr>
            </w:pPr>
            <w:r>
              <w:rPr>
                <w:rFonts w:cs="Times New Roman" w:hint="eastAsia"/>
                <w:sz w:val="21"/>
                <w:szCs w:val="21"/>
              </w:rPr>
              <w:t>项目区附近</w:t>
            </w:r>
            <w:r>
              <w:rPr>
                <w:rFonts w:cs="Times New Roman" w:hint="eastAsia"/>
                <w:sz w:val="21"/>
                <w:szCs w:val="21"/>
              </w:rPr>
              <w:t>2</w:t>
            </w:r>
          </w:p>
        </w:tc>
        <w:tc>
          <w:tcPr>
            <w:tcW w:w="374"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r>
      <w:tr w:rsidR="00C645C9">
        <w:trPr>
          <w:trHeight w:val="285"/>
        </w:trPr>
        <w:tc>
          <w:tcPr>
            <w:tcW w:w="156" w:type="pct"/>
            <w:vMerge/>
            <w:tcBorders>
              <w:left w:val="single" w:sz="4" w:space="0" w:color="auto"/>
              <w:bottom w:val="single" w:sz="4" w:space="0" w:color="auto"/>
              <w:right w:val="single" w:sz="4" w:space="0" w:color="auto"/>
            </w:tcBorders>
            <w:vAlign w:val="center"/>
          </w:tcPr>
          <w:p w:rsidR="00C645C9" w:rsidRDefault="00C645C9">
            <w:pPr>
              <w:rPr>
                <w:rFonts w:cs="Times New Roman"/>
                <w:sz w:val="21"/>
                <w:szCs w:val="21"/>
              </w:rPr>
            </w:pPr>
            <w:bookmarkStart w:id="1273" w:name="OLE_LINK541" w:colFirst="9" w:colLast="9"/>
            <w:bookmarkEnd w:id="1272"/>
          </w:p>
        </w:tc>
        <w:tc>
          <w:tcPr>
            <w:tcW w:w="596" w:type="pct"/>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452"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监测值</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标准指数</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监测值</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标准指数</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监测值</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标准指数</w:t>
            </w:r>
          </w:p>
        </w:tc>
        <w:tc>
          <w:tcPr>
            <w:tcW w:w="374"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bookmarkStart w:id="1274" w:name="OLE_LINK544" w:colFirst="4" w:colLast="4"/>
            <w:bookmarkStart w:id="1275" w:name="OLE_LINK843" w:colFirst="3" w:colLast="3"/>
            <w:bookmarkStart w:id="1276" w:name="OLE_LINK1535" w:colFirst="7" w:colLast="7"/>
            <w:bookmarkStart w:id="1277" w:name="OLE_LINK1534" w:colFirst="5" w:colLast="5"/>
            <w:r>
              <w:rPr>
                <w:rFonts w:cs="Times New Roman"/>
                <w:sz w:val="21"/>
                <w:szCs w:val="21"/>
                <w:lang w:bidi="ar"/>
              </w:rPr>
              <w:t>1</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pH</w:t>
            </w:r>
            <w:r>
              <w:rPr>
                <w:rFonts w:cs="Times New Roman"/>
                <w:sz w:val="21"/>
                <w:szCs w:val="21"/>
                <w:lang w:bidi="ar"/>
              </w:rPr>
              <w:t>值</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无量纲</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6.5~8.5</w:t>
            </w:r>
          </w:p>
        </w:tc>
      </w:tr>
      <w:tr w:rsidR="00C645C9">
        <w:trPr>
          <w:trHeight w:val="343"/>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2"/>
                <w:sz w:val="21"/>
                <w:szCs w:val="21"/>
              </w:rPr>
            </w:pPr>
            <w:bookmarkStart w:id="1278" w:name="OLE_LINK1060" w:colFirst="5" w:colLast="5"/>
            <w:bookmarkStart w:id="1279" w:name="OLE_LINK1536" w:colFirst="4" w:colLast="4"/>
            <w:bookmarkEnd w:id="1273"/>
            <w:r>
              <w:rPr>
                <w:rFonts w:cs="Times New Roman"/>
                <w:sz w:val="21"/>
                <w:szCs w:val="21"/>
                <w:lang w:bidi="ar"/>
              </w:rPr>
              <w:t>2</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氨氮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0.5</w:t>
            </w:r>
          </w:p>
        </w:tc>
      </w:tr>
      <w:bookmarkEnd w:id="1274"/>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7"/>
                <w:sz w:val="21"/>
                <w:szCs w:val="21"/>
              </w:rPr>
            </w:pPr>
            <w:r>
              <w:rPr>
                <w:rFonts w:cs="Times New Roman"/>
                <w:sz w:val="21"/>
                <w:szCs w:val="21"/>
                <w:lang w:bidi="ar"/>
              </w:rPr>
              <w:t>3</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亚硝酸盐氮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4</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硝酸盐氮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20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2"/>
                <w:sz w:val="21"/>
                <w:szCs w:val="21"/>
              </w:rPr>
            </w:pPr>
            <w:r>
              <w:rPr>
                <w:rFonts w:cs="Times New Roman"/>
                <w:sz w:val="21"/>
                <w:szCs w:val="21"/>
                <w:lang w:bidi="ar"/>
              </w:rPr>
              <w:t>5</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氰化物</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6</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挥发酚</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0.002</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7</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汞</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8</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砷</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4"/>
                <w:position w:val="2"/>
                <w:sz w:val="21"/>
                <w:szCs w:val="21"/>
              </w:rPr>
            </w:pPr>
            <w:r>
              <w:rPr>
                <w:rFonts w:cs="Times New Roman"/>
                <w:sz w:val="21"/>
                <w:szCs w:val="21"/>
                <w:lang w:bidi="ar"/>
              </w:rPr>
              <w:t>9</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铬</w:t>
            </w:r>
            <w:r>
              <w:rPr>
                <w:rFonts w:cs="Times New Roman"/>
                <w:sz w:val="21"/>
                <w:szCs w:val="21"/>
                <w:lang w:bidi="ar"/>
              </w:rPr>
              <w:t>（</w:t>
            </w:r>
            <w:r>
              <w:rPr>
                <w:rFonts w:cs="Times New Roman"/>
                <w:sz w:val="21"/>
                <w:szCs w:val="21"/>
                <w:lang w:bidi="ar"/>
              </w:rPr>
              <w:t>六价</w:t>
            </w:r>
            <w:r>
              <w:rPr>
                <w:rFonts w:cs="Times New Roman"/>
                <w:sz w:val="21"/>
                <w:szCs w:val="21"/>
                <w:lang w:bidi="ar"/>
              </w:rPr>
              <w:t>）</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
                <w:sz w:val="21"/>
                <w:szCs w:val="21"/>
              </w:rPr>
            </w:pPr>
            <w:r>
              <w:rPr>
                <w:rFonts w:cs="Times New Roman"/>
                <w:sz w:val="21"/>
                <w:szCs w:val="21"/>
                <w:lang w:bidi="ar"/>
              </w:rPr>
              <w:t>10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bookmarkStart w:id="1280" w:name="OLE_LINK1141"/>
            <w:r>
              <w:rPr>
                <w:rFonts w:cs="Times New Roman"/>
                <w:b/>
                <w:bCs/>
                <w:sz w:val="21"/>
                <w:szCs w:val="21"/>
                <w:lang w:bidi="ar"/>
              </w:rPr>
              <w:t>总硬度</w:t>
            </w:r>
            <w:bookmarkEnd w:id="1280"/>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450</w:t>
            </w: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铅</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3"/>
                <w:sz w:val="21"/>
                <w:szCs w:val="21"/>
              </w:rPr>
            </w:pPr>
            <w:r>
              <w:rPr>
                <w:rFonts w:cs="Times New Roman"/>
                <w:sz w:val="21"/>
                <w:szCs w:val="21"/>
                <w:lang w:bidi="ar"/>
              </w:rPr>
              <w:t>12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氟化物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13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镉</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pacing w:val="-20"/>
                <w:sz w:val="21"/>
                <w:szCs w:val="21"/>
              </w:rPr>
              <w:t>M</w:t>
            </w:r>
            <w:r>
              <w:rPr>
                <w:rFonts w:cs="Times New Roman"/>
                <w:sz w:val="21"/>
                <w:szCs w:val="21"/>
              </w:rPr>
              <w:t>PN/L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bookmarkStart w:id="1281" w:name="OLE_LINK1543" w:colFirst="4" w:colLast="4"/>
            <w:r>
              <w:rPr>
                <w:rFonts w:cs="Times New Roman"/>
                <w:sz w:val="21"/>
                <w:szCs w:val="21"/>
                <w:lang w:bidi="ar"/>
              </w:rPr>
              <w:t>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铁</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CFU/ml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0.3</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15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锰</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0.1</w:t>
            </w:r>
          </w:p>
        </w:tc>
      </w:tr>
      <w:bookmarkEnd w:id="1281"/>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9"/>
                <w:sz w:val="21"/>
                <w:szCs w:val="21"/>
              </w:rPr>
            </w:pPr>
            <w:r>
              <w:rPr>
                <w:rFonts w:cs="Times New Roman"/>
                <w:sz w:val="21"/>
                <w:szCs w:val="21"/>
                <w:lang w:bidi="ar"/>
              </w:rPr>
              <w:t>16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bookmarkStart w:id="1282" w:name="OLE_LINK1144"/>
            <w:r>
              <w:rPr>
                <w:rFonts w:cs="Times New Roman"/>
                <w:b/>
                <w:bCs/>
                <w:sz w:val="21"/>
                <w:szCs w:val="21"/>
                <w:lang w:bidi="ar"/>
              </w:rPr>
              <w:t>溶解性总固体</w:t>
            </w:r>
            <w:bookmarkEnd w:id="1282"/>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1000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17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耗氧量</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3.0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4"/>
                <w:sz w:val="21"/>
                <w:szCs w:val="21"/>
              </w:rPr>
            </w:pPr>
            <w:bookmarkStart w:id="1283" w:name="OLE_LINK1058" w:colFirst="3" w:colLast="7"/>
            <w:r>
              <w:rPr>
                <w:rFonts w:cs="Times New Roman"/>
                <w:sz w:val="21"/>
                <w:szCs w:val="21"/>
                <w:lang w:bidi="ar"/>
              </w:rPr>
              <w:t>18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b/>
                <w:bCs/>
                <w:sz w:val="21"/>
                <w:szCs w:val="21"/>
              </w:rPr>
            </w:pPr>
            <w:bookmarkStart w:id="1284" w:name="OLE_LINK1142"/>
            <w:r>
              <w:rPr>
                <w:rFonts w:cs="Times New Roman"/>
                <w:b/>
                <w:bCs/>
                <w:sz w:val="21"/>
                <w:szCs w:val="21"/>
                <w:lang w:bidi="ar"/>
              </w:rPr>
              <w:t>硫酸根</w:t>
            </w:r>
            <w:bookmarkEnd w:id="1284"/>
            <w:r>
              <w:rPr>
                <w:rFonts w:cs="Times New Roman"/>
                <w:b/>
                <w:bCs/>
                <w:sz w:val="21"/>
                <w:szCs w:val="21"/>
                <w:lang w:bidi="ar"/>
              </w:rPr>
              <w:t>（硫</w:t>
            </w:r>
            <w:r>
              <w:rPr>
                <w:rFonts w:cs="Times New Roman" w:hint="eastAsia"/>
                <w:b/>
                <w:bCs/>
                <w:sz w:val="21"/>
                <w:szCs w:val="21"/>
                <w:lang w:bidi="ar"/>
              </w:rPr>
              <w:t>酸盐</w:t>
            </w:r>
            <w:r>
              <w:rPr>
                <w:rFonts w:cs="Times New Roman"/>
                <w:b/>
                <w:bCs/>
                <w:sz w:val="21"/>
                <w:szCs w:val="21"/>
                <w:lang w:bidi="ar"/>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250</w:t>
            </w:r>
          </w:p>
        </w:tc>
      </w:tr>
      <w:bookmarkEnd w:id="1283"/>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4"/>
                <w:sz w:val="21"/>
                <w:szCs w:val="21"/>
              </w:rPr>
            </w:pPr>
            <w:r>
              <w:rPr>
                <w:rFonts w:cs="Times New Roman"/>
                <w:sz w:val="21"/>
                <w:szCs w:val="21"/>
                <w:lang w:bidi="ar"/>
              </w:rPr>
              <w:lastRenderedPageBreak/>
              <w:t>19</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b/>
                <w:bCs/>
                <w:sz w:val="21"/>
                <w:szCs w:val="21"/>
              </w:rPr>
            </w:pPr>
            <w:bookmarkStart w:id="1285" w:name="OLE_LINK1143"/>
            <w:r>
              <w:rPr>
                <w:rFonts w:cs="Times New Roman"/>
                <w:b/>
                <w:bCs/>
                <w:sz w:val="21"/>
                <w:szCs w:val="21"/>
                <w:lang w:bidi="ar"/>
              </w:rPr>
              <w:t>氯离子</w:t>
            </w:r>
            <w:bookmarkEnd w:id="1285"/>
            <w:r>
              <w:rPr>
                <w:rFonts w:cs="Times New Roman"/>
                <w:b/>
                <w:bCs/>
                <w:sz w:val="21"/>
                <w:szCs w:val="21"/>
                <w:lang w:bidi="ar"/>
              </w:rPr>
              <w:t>（氯化物）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4"/>
                <w:sz w:val="21"/>
                <w:szCs w:val="21"/>
              </w:rPr>
              <w:t>mg</w:t>
            </w:r>
            <w:r>
              <w:rPr>
                <w:rFonts w:cs="Times New Roman"/>
                <w:spacing w:val="16"/>
                <w:position w:val="4"/>
                <w:sz w:val="21"/>
                <w:szCs w:val="21"/>
              </w:rPr>
              <w:t>/</w:t>
            </w:r>
            <w:r>
              <w:rPr>
                <w:rFonts w:cs="Times New Roman"/>
                <w:position w:val="4"/>
                <w:sz w:val="21"/>
                <w:szCs w:val="21"/>
              </w:rPr>
              <w:t>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250</w:t>
            </w: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6"/>
                <w:sz w:val="21"/>
                <w:szCs w:val="21"/>
              </w:rPr>
            </w:pPr>
            <w:bookmarkStart w:id="1286" w:name="OLE_LINK1053" w:colFirst="3" w:colLast="3"/>
            <w:bookmarkStart w:id="1287" w:name="OLE_LINK1064" w:colFirst="4" w:colLast="4"/>
            <w:bookmarkStart w:id="1288" w:name="OLE_LINK1062" w:colFirst="3" w:colLast="3"/>
            <w:bookmarkEnd w:id="1275"/>
            <w:bookmarkEnd w:id="1278"/>
            <w:r>
              <w:rPr>
                <w:rFonts w:cs="Times New Roman"/>
                <w:sz w:val="21"/>
                <w:szCs w:val="21"/>
                <w:lang w:bidi="ar"/>
              </w:rPr>
              <w:t>20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总大肠菌群</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pacing w:val="-1"/>
                <w:position w:val="2"/>
                <w:sz w:val="21"/>
                <w:szCs w:val="21"/>
              </w:rPr>
              <w:t>CFU/100mL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3.0</w:t>
            </w:r>
          </w:p>
        </w:tc>
      </w:tr>
      <w:bookmarkEnd w:id="1286"/>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21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细菌总数</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2"/>
                <w:sz w:val="21"/>
                <w:szCs w:val="21"/>
              </w:rPr>
              <w:t>CFU</w:t>
            </w:r>
            <w:r>
              <w:rPr>
                <w:rFonts w:cs="Times New Roman"/>
                <w:spacing w:val="26"/>
                <w:position w:val="2"/>
                <w:sz w:val="21"/>
                <w:szCs w:val="21"/>
              </w:rPr>
              <w:t>/</w:t>
            </w:r>
            <w:r>
              <w:rPr>
                <w:rFonts w:cs="Times New Roman"/>
                <w:position w:val="2"/>
                <w:sz w:val="21"/>
                <w:szCs w:val="21"/>
              </w:rPr>
              <w:t>mL</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22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硫化物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4"/>
                <w:sz w:val="21"/>
                <w:szCs w:val="21"/>
              </w:rPr>
              <w:t>mg</w:t>
            </w:r>
            <w:r>
              <w:rPr>
                <w:rFonts w:cs="Times New Roman"/>
                <w:spacing w:val="16"/>
                <w:position w:val="4"/>
                <w:sz w:val="21"/>
                <w:szCs w:val="21"/>
              </w:rPr>
              <w:t>/</w:t>
            </w:r>
            <w:r>
              <w:rPr>
                <w:rFonts w:cs="Times New Roman"/>
                <w:position w:val="4"/>
                <w:sz w:val="21"/>
                <w:szCs w:val="21"/>
              </w:rPr>
              <w:t>L</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0.02</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2</w:t>
            </w:r>
            <w:r>
              <w:rPr>
                <w:rFonts w:cs="Times New Roman"/>
                <w:sz w:val="21"/>
                <w:szCs w:val="21"/>
                <w:lang w:bidi="ar"/>
              </w:rPr>
              <w:t>3</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石油类</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position w:val="4"/>
                <w:sz w:val="21"/>
                <w:szCs w:val="21"/>
              </w:rPr>
              <w:t>mg</w:t>
            </w:r>
            <w:r>
              <w:rPr>
                <w:rFonts w:cs="Times New Roman"/>
                <w:spacing w:val="16"/>
                <w:position w:val="4"/>
                <w:sz w:val="21"/>
                <w:szCs w:val="21"/>
              </w:rPr>
              <w:t>/</w:t>
            </w:r>
            <w:r>
              <w:rPr>
                <w:rFonts w:cs="Times New Roman"/>
                <w:position w:val="4"/>
                <w:sz w:val="21"/>
                <w:szCs w:val="21"/>
              </w:rPr>
              <w:t>L</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570"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1616"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0.05</w:t>
            </w:r>
          </w:p>
        </w:tc>
      </w:tr>
    </w:tbl>
    <w:bookmarkEnd w:id="1270"/>
    <w:bookmarkEnd w:id="1276"/>
    <w:bookmarkEnd w:id="1277"/>
    <w:bookmarkEnd w:id="1279"/>
    <w:bookmarkEnd w:id="1287"/>
    <w:bookmarkEnd w:id="1288"/>
    <w:p w:rsidR="00C645C9" w:rsidRDefault="00F955D9">
      <w:pPr>
        <w:pStyle w:val="11"/>
        <w:jc w:val="center"/>
        <w:rPr>
          <w:rFonts w:eastAsia="黑体"/>
          <w:b w:val="0"/>
          <w:kern w:val="0"/>
          <w:sz w:val="21"/>
          <w:szCs w:val="21"/>
        </w:rPr>
      </w:pPr>
      <w:r>
        <w:rPr>
          <w:rFonts w:eastAsia="黑体" w:hint="eastAsia"/>
          <w:b w:val="0"/>
          <w:kern w:val="0"/>
          <w:sz w:val="21"/>
          <w:szCs w:val="21"/>
        </w:rPr>
        <w:t>表</w:t>
      </w:r>
      <w:r>
        <w:rPr>
          <w:rFonts w:eastAsia="黑体" w:hint="eastAsia"/>
          <w:b w:val="0"/>
          <w:kern w:val="0"/>
          <w:sz w:val="21"/>
          <w:szCs w:val="21"/>
        </w:rPr>
        <w:t xml:space="preserve">4.3-4   </w:t>
      </w:r>
      <w:r>
        <w:rPr>
          <w:rFonts w:eastAsia="黑体" w:hint="eastAsia"/>
          <w:b w:val="0"/>
          <w:kern w:val="0"/>
          <w:sz w:val="21"/>
          <w:szCs w:val="21"/>
        </w:rPr>
        <w:t>地下水水质现状监测及评价结果一览表</w:t>
      </w:r>
      <w:r>
        <w:rPr>
          <w:rFonts w:eastAsia="黑体" w:hint="eastAsia"/>
          <w:b w:val="0"/>
          <w:kern w:val="0"/>
          <w:sz w:val="21"/>
          <w:szCs w:val="21"/>
        </w:rPr>
        <w:t>（</w:t>
      </w:r>
      <w:r>
        <w:rPr>
          <w:rFonts w:eastAsia="黑体" w:hint="eastAsia"/>
          <w:b w:val="0"/>
          <w:kern w:val="0"/>
          <w:sz w:val="21"/>
          <w:szCs w:val="21"/>
        </w:rPr>
        <w:t>2</w:t>
      </w:r>
      <w:r>
        <w:rPr>
          <w:rFonts w:eastAsia="黑体" w:hint="eastAsia"/>
          <w:b w:val="0"/>
          <w:kern w:val="0"/>
          <w:sz w:val="21"/>
          <w:szCs w:val="21"/>
        </w:rPr>
        <w:t>）</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3"/>
        <w:gridCol w:w="1691"/>
        <w:gridCol w:w="1282"/>
        <w:gridCol w:w="2425"/>
        <w:gridCol w:w="2425"/>
        <w:gridCol w:w="2424"/>
        <w:gridCol w:w="2424"/>
        <w:gridCol w:w="1060"/>
      </w:tblGrid>
      <w:tr w:rsidR="00C645C9">
        <w:trPr>
          <w:trHeight w:val="285"/>
        </w:trPr>
        <w:tc>
          <w:tcPr>
            <w:tcW w:w="156" w:type="pct"/>
            <w:vMerge w:val="restart"/>
            <w:tcBorders>
              <w:top w:val="single" w:sz="4" w:space="0" w:color="auto"/>
              <w:left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序号</w:t>
            </w:r>
          </w:p>
        </w:tc>
        <w:tc>
          <w:tcPr>
            <w:tcW w:w="596" w:type="pct"/>
            <w:vMerge w:val="restart"/>
            <w:tcBorders>
              <w:top w:val="single" w:sz="4" w:space="0" w:color="auto"/>
              <w:left w:val="single" w:sz="4" w:space="0" w:color="auto"/>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检测项目</w:t>
            </w:r>
          </w:p>
        </w:tc>
        <w:tc>
          <w:tcPr>
            <w:tcW w:w="452" w:type="pct"/>
            <w:vMerge w:val="restar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单位</w:t>
            </w:r>
          </w:p>
        </w:tc>
        <w:tc>
          <w:tcPr>
            <w:tcW w:w="3420" w:type="pct"/>
            <w:gridSpan w:val="4"/>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sz w:val="21"/>
                <w:szCs w:val="21"/>
              </w:rPr>
              <w:t>监测及评价结果</w:t>
            </w:r>
          </w:p>
        </w:tc>
        <w:tc>
          <w:tcPr>
            <w:tcW w:w="374" w:type="pct"/>
            <w:vMerge w:val="restart"/>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rPr>
            </w:pPr>
            <w:r>
              <w:rPr>
                <w:rFonts w:cs="Times New Roman"/>
                <w:sz w:val="21"/>
                <w:szCs w:val="21"/>
              </w:rPr>
              <w:t>标准限值</w:t>
            </w:r>
            <w:r>
              <w:rPr>
                <w:rFonts w:cs="Times New Roman"/>
                <w:sz w:val="21"/>
                <w:szCs w:val="21"/>
              </w:rPr>
              <w:t>（</w:t>
            </w:r>
            <w:r>
              <w:rPr>
                <w:rFonts w:cs="Times New Roman"/>
                <w:sz w:val="21"/>
                <w:szCs w:val="21"/>
              </w:rPr>
              <w:t>III</w:t>
            </w:r>
            <w:r>
              <w:rPr>
                <w:rFonts w:cs="Times New Roman"/>
                <w:sz w:val="21"/>
                <w:szCs w:val="21"/>
              </w:rPr>
              <w:t>类</w:t>
            </w:r>
            <w:r>
              <w:rPr>
                <w:rFonts w:cs="Times New Roman"/>
                <w:sz w:val="21"/>
                <w:szCs w:val="21"/>
              </w:rPr>
              <w:t>）</w:t>
            </w:r>
          </w:p>
        </w:tc>
      </w:tr>
      <w:tr w:rsidR="00C645C9">
        <w:trPr>
          <w:trHeight w:val="300"/>
        </w:trPr>
        <w:tc>
          <w:tcPr>
            <w:tcW w:w="156" w:type="pct"/>
            <w:vMerge/>
            <w:tcBorders>
              <w:left w:val="single" w:sz="4" w:space="0" w:color="auto"/>
              <w:right w:val="single" w:sz="4" w:space="0" w:color="auto"/>
            </w:tcBorders>
            <w:vAlign w:val="center"/>
          </w:tcPr>
          <w:p w:rsidR="00C645C9" w:rsidRDefault="00C645C9">
            <w:pPr>
              <w:rPr>
                <w:rFonts w:cs="Times New Roman"/>
                <w:sz w:val="21"/>
                <w:szCs w:val="21"/>
              </w:rPr>
            </w:pPr>
          </w:p>
        </w:tc>
        <w:tc>
          <w:tcPr>
            <w:tcW w:w="596" w:type="pct"/>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452"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c>
          <w:tcPr>
            <w:tcW w:w="1710" w:type="pct"/>
            <w:gridSpan w:val="2"/>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rPr>
            </w:pPr>
            <w:r>
              <w:rPr>
                <w:rFonts w:cs="Times New Roman"/>
                <w:sz w:val="21"/>
                <w:szCs w:val="21"/>
              </w:rPr>
              <w:t>项目区侧向水井</w:t>
            </w:r>
          </w:p>
        </w:tc>
        <w:tc>
          <w:tcPr>
            <w:tcW w:w="1710" w:type="pct"/>
            <w:gridSpan w:val="2"/>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rPr>
            </w:pPr>
            <w:r>
              <w:rPr>
                <w:rFonts w:cs="Times New Roman"/>
                <w:sz w:val="21"/>
                <w:szCs w:val="21"/>
              </w:rPr>
              <w:t>项目区下游</w:t>
            </w:r>
          </w:p>
        </w:tc>
        <w:tc>
          <w:tcPr>
            <w:tcW w:w="374"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r>
      <w:tr w:rsidR="00C645C9">
        <w:trPr>
          <w:trHeight w:val="285"/>
        </w:trPr>
        <w:tc>
          <w:tcPr>
            <w:tcW w:w="156" w:type="pct"/>
            <w:vMerge/>
            <w:tcBorders>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596" w:type="pct"/>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452"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监测值</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标准指数</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监测值</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标准指数</w:t>
            </w:r>
          </w:p>
        </w:tc>
        <w:tc>
          <w:tcPr>
            <w:tcW w:w="374" w:type="pct"/>
            <w:vMerge/>
            <w:tcBorders>
              <w:top w:val="single" w:sz="4" w:space="0" w:color="auto"/>
              <w:left w:val="nil"/>
              <w:bottom w:val="single" w:sz="4" w:space="0" w:color="auto"/>
              <w:right w:val="single" w:sz="4" w:space="0" w:color="auto"/>
            </w:tcBorders>
            <w:vAlign w:val="center"/>
          </w:tcPr>
          <w:p w:rsidR="00C645C9" w:rsidRDefault="00C645C9">
            <w:pPr>
              <w:rPr>
                <w:rFonts w:cs="Times New Roman"/>
                <w:sz w:val="21"/>
                <w:szCs w:val="21"/>
              </w:rPr>
            </w:pP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1</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pH</w:t>
            </w:r>
            <w:r>
              <w:rPr>
                <w:rFonts w:cs="Times New Roman"/>
                <w:sz w:val="21"/>
                <w:szCs w:val="21"/>
                <w:lang w:bidi="ar"/>
              </w:rPr>
              <w:t>值</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无量纲</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6.5~8.5</w:t>
            </w:r>
          </w:p>
        </w:tc>
      </w:tr>
      <w:tr w:rsidR="00C645C9">
        <w:trPr>
          <w:trHeight w:val="343"/>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2"/>
                <w:sz w:val="21"/>
                <w:szCs w:val="21"/>
              </w:rPr>
            </w:pPr>
            <w:r>
              <w:rPr>
                <w:rFonts w:cs="Times New Roman"/>
                <w:sz w:val="21"/>
                <w:szCs w:val="21"/>
                <w:lang w:bidi="ar"/>
              </w:rPr>
              <w:t>2</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氨氮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7"/>
                <w:sz w:val="21"/>
                <w:szCs w:val="21"/>
              </w:rPr>
            </w:pPr>
            <w:r>
              <w:rPr>
                <w:rFonts w:cs="Times New Roman"/>
                <w:sz w:val="21"/>
                <w:szCs w:val="21"/>
                <w:lang w:bidi="ar"/>
              </w:rPr>
              <w:t>3</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亚硝酸盐氮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4</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硝酸盐氮</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20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2"/>
                <w:sz w:val="21"/>
                <w:szCs w:val="21"/>
              </w:rPr>
            </w:pPr>
            <w:r>
              <w:rPr>
                <w:rFonts w:cs="Times New Roman"/>
                <w:sz w:val="21"/>
                <w:szCs w:val="21"/>
                <w:lang w:bidi="ar"/>
              </w:rPr>
              <w:t>5</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氰化物</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6</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挥发酚</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0.002</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7</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汞</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8</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砷</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pacing w:val="4"/>
                <w:position w:val="2"/>
                <w:sz w:val="21"/>
                <w:szCs w:val="21"/>
              </w:rPr>
            </w:pPr>
            <w:r>
              <w:rPr>
                <w:rFonts w:cs="Times New Roman"/>
                <w:sz w:val="21"/>
                <w:szCs w:val="21"/>
                <w:lang w:bidi="ar"/>
              </w:rPr>
              <w:t>9</w:t>
            </w:r>
          </w:p>
        </w:tc>
        <w:tc>
          <w:tcPr>
            <w:tcW w:w="596" w:type="pct"/>
            <w:tcBorders>
              <w:top w:val="single" w:sz="4" w:space="0" w:color="auto"/>
              <w:left w:val="single" w:sz="4" w:space="0" w:color="auto"/>
              <w:bottom w:val="single" w:sz="4" w:space="0" w:color="auto"/>
              <w:right w:val="single" w:sz="4" w:space="0" w:color="auto"/>
            </w:tcBorders>
            <w:noWrap/>
            <w:vAlign w:val="center"/>
          </w:tcPr>
          <w:p w:rsidR="00C645C9" w:rsidRDefault="00F955D9">
            <w:pPr>
              <w:jc w:val="center"/>
              <w:textAlignment w:val="center"/>
              <w:rPr>
                <w:rFonts w:cs="Times New Roman"/>
                <w:sz w:val="21"/>
                <w:szCs w:val="21"/>
              </w:rPr>
            </w:pPr>
            <w:r>
              <w:rPr>
                <w:rFonts w:cs="Times New Roman"/>
                <w:sz w:val="21"/>
                <w:szCs w:val="21"/>
                <w:lang w:bidi="ar"/>
              </w:rPr>
              <w:t>铬</w:t>
            </w:r>
            <w:r>
              <w:rPr>
                <w:rFonts w:cs="Times New Roman"/>
                <w:sz w:val="21"/>
                <w:szCs w:val="21"/>
                <w:lang w:bidi="ar"/>
              </w:rPr>
              <w:t>（</w:t>
            </w:r>
            <w:r>
              <w:rPr>
                <w:rFonts w:cs="Times New Roman"/>
                <w:sz w:val="21"/>
                <w:szCs w:val="21"/>
                <w:lang w:bidi="ar"/>
              </w:rPr>
              <w:t>六价</w:t>
            </w:r>
            <w:r>
              <w:rPr>
                <w:rFonts w:cs="Times New Roman"/>
                <w:sz w:val="21"/>
                <w:szCs w:val="21"/>
                <w:lang w:bidi="ar"/>
              </w:rPr>
              <w:t>）</w:t>
            </w:r>
          </w:p>
        </w:tc>
        <w:tc>
          <w:tcPr>
            <w:tcW w:w="452"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
                <w:sz w:val="21"/>
                <w:szCs w:val="21"/>
              </w:rPr>
            </w:pPr>
            <w:r>
              <w:rPr>
                <w:rFonts w:cs="Times New Roman"/>
                <w:sz w:val="21"/>
                <w:szCs w:val="21"/>
                <w:lang w:bidi="ar"/>
              </w:rPr>
              <w:t>10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总硬度</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450</w:t>
            </w: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铅</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0.01</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3"/>
                <w:sz w:val="21"/>
                <w:szCs w:val="21"/>
              </w:rPr>
            </w:pPr>
            <w:r>
              <w:rPr>
                <w:rFonts w:cs="Times New Roman"/>
                <w:sz w:val="21"/>
                <w:szCs w:val="21"/>
                <w:lang w:bidi="ar"/>
              </w:rPr>
              <w:t>12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氟化物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13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镉</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pacing w:val="-20"/>
                <w:sz w:val="21"/>
                <w:szCs w:val="21"/>
              </w:rPr>
              <w:t>M</w:t>
            </w:r>
            <w:r>
              <w:rPr>
                <w:rFonts w:cs="Times New Roman"/>
                <w:sz w:val="21"/>
                <w:szCs w:val="21"/>
              </w:rPr>
              <w:t>PN/L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0.005</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bookmarkStart w:id="1289" w:name="OLE_LINK1547" w:colFirst="6" w:colLast="6"/>
            <w:r>
              <w:rPr>
                <w:rFonts w:cs="Times New Roman"/>
                <w:sz w:val="21"/>
                <w:szCs w:val="21"/>
                <w:lang w:bidi="ar"/>
              </w:rPr>
              <w:t>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铁</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CFU/ml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0.3</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lastRenderedPageBreak/>
              <w:t>15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锰</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0.1</w:t>
            </w:r>
          </w:p>
        </w:tc>
      </w:tr>
      <w:bookmarkEnd w:id="1289"/>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9"/>
                <w:sz w:val="21"/>
                <w:szCs w:val="21"/>
              </w:rPr>
            </w:pPr>
            <w:r>
              <w:rPr>
                <w:rFonts w:cs="Times New Roman"/>
                <w:sz w:val="21"/>
                <w:szCs w:val="21"/>
                <w:lang w:bidi="ar"/>
              </w:rPr>
              <w:t>16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溶解性总固体</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1000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17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耗氧量</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3.0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4"/>
                <w:sz w:val="21"/>
                <w:szCs w:val="21"/>
              </w:rPr>
            </w:pPr>
            <w:r>
              <w:rPr>
                <w:rFonts w:cs="Times New Roman"/>
                <w:sz w:val="21"/>
                <w:szCs w:val="21"/>
                <w:lang w:bidi="ar"/>
              </w:rPr>
              <w:t>18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硫酸根（硫</w:t>
            </w:r>
            <w:r>
              <w:rPr>
                <w:rFonts w:cs="Times New Roman" w:hint="eastAsia"/>
                <w:sz w:val="21"/>
                <w:szCs w:val="21"/>
                <w:lang w:bidi="ar"/>
              </w:rPr>
              <w:t>酸盐</w:t>
            </w:r>
            <w:r>
              <w:rPr>
                <w:rFonts w:cs="Times New Roman"/>
                <w:sz w:val="21"/>
                <w:szCs w:val="21"/>
                <w:lang w:bidi="ar"/>
              </w:rPr>
              <w:t>）</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mg/L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250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24"/>
                <w:sz w:val="21"/>
                <w:szCs w:val="21"/>
              </w:rPr>
            </w:pPr>
            <w:r>
              <w:rPr>
                <w:rFonts w:cs="Times New Roman"/>
                <w:sz w:val="21"/>
                <w:szCs w:val="21"/>
                <w:lang w:bidi="ar"/>
              </w:rPr>
              <w:t>19</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氯离子（氯化物）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4"/>
                <w:sz w:val="21"/>
                <w:szCs w:val="21"/>
              </w:rPr>
              <w:t>mg</w:t>
            </w:r>
            <w:r>
              <w:rPr>
                <w:rFonts w:cs="Times New Roman"/>
                <w:spacing w:val="16"/>
                <w:position w:val="4"/>
                <w:sz w:val="21"/>
                <w:szCs w:val="21"/>
              </w:rPr>
              <w:t>/</w:t>
            </w:r>
            <w:r>
              <w:rPr>
                <w:rFonts w:cs="Times New Roman"/>
                <w:position w:val="4"/>
                <w:sz w:val="21"/>
                <w:szCs w:val="21"/>
              </w:rPr>
              <w:t>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b/>
                <w:bCs/>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b/>
                <w:bCs/>
                <w:sz w:val="21"/>
                <w:szCs w:val="21"/>
                <w:lang w:bidi="ar"/>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b/>
                <w:bCs/>
                <w:sz w:val="21"/>
                <w:szCs w:val="21"/>
                <w:lang w:bidi="ar"/>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240" w:lineRule="exact"/>
              <w:jc w:val="center"/>
              <w:textAlignment w:val="center"/>
              <w:rPr>
                <w:rFonts w:cs="Times New Roman"/>
                <w:b/>
                <w:bCs/>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250</w:t>
            </w:r>
          </w:p>
        </w:tc>
      </w:tr>
      <w:tr w:rsidR="00C645C9">
        <w:trPr>
          <w:trHeight w:val="90"/>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6"/>
                <w:sz w:val="21"/>
                <w:szCs w:val="21"/>
              </w:rPr>
            </w:pPr>
            <w:r>
              <w:rPr>
                <w:rFonts w:cs="Times New Roman"/>
                <w:sz w:val="21"/>
                <w:szCs w:val="21"/>
                <w:lang w:bidi="ar"/>
              </w:rPr>
              <w:t>20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总大肠菌群</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pacing w:val="-1"/>
                <w:position w:val="2"/>
                <w:sz w:val="21"/>
                <w:szCs w:val="21"/>
              </w:rPr>
              <w:t>CFU/100mL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3.0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21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细菌总数</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2"/>
                <w:sz w:val="21"/>
                <w:szCs w:val="21"/>
              </w:rPr>
              <w:t>CFU</w:t>
            </w:r>
            <w:r>
              <w:rPr>
                <w:rFonts w:cs="Times New Roman"/>
                <w:spacing w:val="26"/>
                <w:position w:val="2"/>
                <w:sz w:val="21"/>
                <w:szCs w:val="21"/>
              </w:rPr>
              <w:t>/</w:t>
            </w:r>
            <w:r>
              <w:rPr>
                <w:rFonts w:cs="Times New Roman"/>
                <w:position w:val="2"/>
                <w:sz w:val="21"/>
                <w:szCs w:val="21"/>
              </w:rPr>
              <w:t>mL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vAlign w:val="center"/>
          </w:tcPr>
          <w:p w:rsidR="00C645C9" w:rsidRDefault="00F955D9">
            <w:pPr>
              <w:widowControl w:val="0"/>
              <w:adjustRightInd w:val="0"/>
              <w:snapToGrid w:val="0"/>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240" w:lineRule="exact"/>
              <w:jc w:val="center"/>
              <w:textAlignment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100</w:t>
            </w:r>
          </w:p>
        </w:tc>
      </w:tr>
      <w:tr w:rsidR="00C645C9">
        <w:trPr>
          <w:trHeight w:val="285"/>
        </w:trPr>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pacing w:val="5"/>
                <w:sz w:val="21"/>
                <w:szCs w:val="21"/>
              </w:rPr>
            </w:pPr>
            <w:r>
              <w:rPr>
                <w:rFonts w:cs="Times New Roman"/>
                <w:sz w:val="21"/>
                <w:szCs w:val="21"/>
                <w:lang w:bidi="ar"/>
              </w:rPr>
              <w:t>22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rPr>
            </w:pPr>
            <w:r>
              <w:rPr>
                <w:rFonts w:cs="Times New Roman"/>
                <w:sz w:val="21"/>
                <w:szCs w:val="21"/>
                <w:lang w:bidi="ar"/>
              </w:rPr>
              <w:t>硫化物</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position w:val="4"/>
                <w:sz w:val="21"/>
                <w:szCs w:val="21"/>
              </w:rPr>
              <w:t>mg</w:t>
            </w:r>
            <w:r>
              <w:rPr>
                <w:rFonts w:cs="Times New Roman"/>
                <w:spacing w:val="16"/>
                <w:position w:val="4"/>
                <w:sz w:val="21"/>
                <w:szCs w:val="21"/>
              </w:rPr>
              <w:t>/</w:t>
            </w:r>
            <w:r>
              <w:rPr>
                <w:rFonts w:cs="Times New Roman"/>
                <w:position w:val="4"/>
                <w:sz w:val="21"/>
                <w:szCs w:val="21"/>
              </w:rPr>
              <w:t>L</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spacing w:line="360" w:lineRule="auto"/>
              <w:jc w:val="center"/>
              <w:textAlignment w:val="bottom"/>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hint="eastAsia"/>
                <w:sz w:val="21"/>
                <w:szCs w:val="21"/>
              </w:rPr>
              <w:t>**</w:t>
            </w:r>
          </w:p>
        </w:tc>
        <w:tc>
          <w:tcPr>
            <w:tcW w:w="855"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lang w:bidi="ar"/>
              </w:rPr>
            </w:pPr>
            <w:r>
              <w:rPr>
                <w:rFonts w:cs="Times New Roman" w:hint="eastAsia"/>
                <w:sz w:val="21"/>
                <w:szCs w:val="21"/>
              </w:rPr>
              <w:t>**</w:t>
            </w: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C645C9" w:rsidRDefault="00F955D9">
            <w:pPr>
              <w:autoSpaceDE w:val="0"/>
              <w:spacing w:line="240" w:lineRule="exact"/>
              <w:jc w:val="center"/>
              <w:rPr>
                <w:rFonts w:cs="Times New Roman"/>
                <w:sz w:val="21"/>
                <w:szCs w:val="21"/>
              </w:rPr>
            </w:pPr>
            <w:r>
              <w:rPr>
                <w:rFonts w:cs="Times New Roman"/>
                <w:sz w:val="21"/>
                <w:szCs w:val="21"/>
              </w:rPr>
              <w:t>0.02</w:t>
            </w:r>
          </w:p>
        </w:tc>
      </w:tr>
    </w:tbl>
    <w:bookmarkEnd w:id="1241"/>
    <w:p w:rsidR="00C645C9" w:rsidRDefault="00F955D9">
      <w:pPr>
        <w:pStyle w:val="11"/>
        <w:jc w:val="center"/>
      </w:pPr>
      <w:r>
        <w:rPr>
          <w:rFonts w:eastAsia="黑体"/>
          <w:b w:val="0"/>
          <w:kern w:val="0"/>
          <w:sz w:val="21"/>
          <w:szCs w:val="21"/>
        </w:rPr>
        <w:t>表</w:t>
      </w:r>
      <w:r>
        <w:rPr>
          <w:rFonts w:eastAsia="黑体"/>
          <w:b w:val="0"/>
          <w:kern w:val="0"/>
          <w:sz w:val="21"/>
          <w:szCs w:val="21"/>
        </w:rPr>
        <w:t xml:space="preserve">4.3-5   </w:t>
      </w:r>
      <w:r>
        <w:rPr>
          <w:rFonts w:eastAsia="黑体"/>
          <w:b w:val="0"/>
          <w:kern w:val="0"/>
          <w:sz w:val="21"/>
          <w:szCs w:val="21"/>
        </w:rPr>
        <w:t>地下水检测分析因子分析结果一览表</w:t>
      </w:r>
    </w:p>
    <w:tbl>
      <w:tblPr>
        <w:tblW w:w="505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9"/>
        <w:gridCol w:w="1294"/>
        <w:gridCol w:w="2143"/>
        <w:gridCol w:w="2143"/>
        <w:gridCol w:w="2143"/>
        <w:gridCol w:w="2145"/>
        <w:gridCol w:w="2150"/>
      </w:tblGrid>
      <w:tr w:rsidR="00C645C9">
        <w:trPr>
          <w:cantSplit/>
          <w:trHeight w:val="483"/>
          <w:jc w:val="center"/>
        </w:trPr>
        <w:tc>
          <w:tcPr>
            <w:tcW w:w="1212" w:type="pct"/>
            <w:gridSpan w:val="2"/>
            <w:tcBorders>
              <w:top w:val="single" w:sz="8" w:space="0" w:color="auto"/>
              <w:left w:val="single" w:sz="8"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项目</w:t>
            </w:r>
          </w:p>
        </w:tc>
        <w:tc>
          <w:tcPr>
            <w:tcW w:w="757" w:type="pct"/>
            <w:tcBorders>
              <w:top w:val="single" w:sz="8"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sz w:val="21"/>
                <w:szCs w:val="21"/>
              </w:rPr>
              <w:t>项目区上游</w:t>
            </w:r>
          </w:p>
        </w:tc>
        <w:tc>
          <w:tcPr>
            <w:tcW w:w="2144" w:type="dxa"/>
            <w:tcBorders>
              <w:top w:val="single" w:sz="8"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sz w:val="21"/>
                <w:szCs w:val="21"/>
              </w:rPr>
              <w:t>项目区附近</w:t>
            </w:r>
            <w:r>
              <w:rPr>
                <w:rFonts w:cs="Times New Roman"/>
                <w:sz w:val="21"/>
                <w:szCs w:val="21"/>
              </w:rPr>
              <w:t>1</w:t>
            </w:r>
          </w:p>
        </w:tc>
        <w:tc>
          <w:tcPr>
            <w:tcW w:w="2144" w:type="dxa"/>
            <w:tcBorders>
              <w:top w:val="single" w:sz="8"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sz w:val="21"/>
                <w:szCs w:val="21"/>
              </w:rPr>
              <w:t>项目区附近</w:t>
            </w:r>
            <w:r>
              <w:rPr>
                <w:rFonts w:cs="Times New Roman"/>
                <w:sz w:val="21"/>
                <w:szCs w:val="21"/>
              </w:rPr>
              <w:t>2</w:t>
            </w:r>
          </w:p>
        </w:tc>
        <w:tc>
          <w:tcPr>
            <w:tcW w:w="2144" w:type="dxa"/>
            <w:tcBorders>
              <w:top w:val="single" w:sz="8"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cs="Times New Roman"/>
                <w:sz w:val="21"/>
                <w:szCs w:val="21"/>
              </w:rPr>
            </w:pPr>
            <w:r>
              <w:rPr>
                <w:rFonts w:cs="Times New Roman"/>
                <w:sz w:val="21"/>
                <w:szCs w:val="21"/>
              </w:rPr>
              <w:t>项目区侧向水井</w:t>
            </w:r>
          </w:p>
        </w:tc>
        <w:tc>
          <w:tcPr>
            <w:tcW w:w="2148" w:type="dxa"/>
            <w:tcBorders>
              <w:top w:val="single" w:sz="8"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cs="Times New Roman"/>
                <w:sz w:val="21"/>
                <w:szCs w:val="21"/>
              </w:rPr>
            </w:pPr>
            <w:r>
              <w:rPr>
                <w:rFonts w:cs="Times New Roman"/>
                <w:sz w:val="21"/>
                <w:szCs w:val="21"/>
              </w:rPr>
              <w:t>项目区下游</w:t>
            </w:r>
          </w:p>
        </w:tc>
      </w:tr>
      <w:tr w:rsidR="00C645C9">
        <w:trPr>
          <w:cantSplit/>
          <w:trHeight w:val="483"/>
          <w:jc w:val="center"/>
        </w:trPr>
        <w:tc>
          <w:tcPr>
            <w:tcW w:w="755" w:type="pct"/>
            <w:vMerge w:val="restart"/>
            <w:tcBorders>
              <w:top w:val="single" w:sz="4" w:space="0" w:color="auto"/>
              <w:left w:val="single" w:sz="8"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bookmarkStart w:id="1290" w:name="OLE_LINK543" w:colFirst="2" w:colLast="2"/>
            <w:bookmarkStart w:id="1291" w:name="OLE_LINK1538" w:colFirst="4" w:colLast="4"/>
            <w:r>
              <w:rPr>
                <w:rFonts w:eastAsiaTheme="minorEastAsia" w:cs="Times New Roman"/>
                <w:sz w:val="21"/>
                <w:szCs w:val="21"/>
              </w:rPr>
              <w:t>监测值</w:t>
            </w:r>
            <w:r>
              <w:rPr>
                <w:rFonts w:eastAsiaTheme="minorEastAsia" w:cs="Times New Roman"/>
                <w:sz w:val="21"/>
                <w:szCs w:val="21"/>
              </w:rPr>
              <w:t>（</w:t>
            </w:r>
            <w:r>
              <w:rPr>
                <w:rFonts w:eastAsiaTheme="minorEastAsia" w:cs="Times New Roman"/>
                <w:sz w:val="21"/>
                <w:szCs w:val="21"/>
              </w:rPr>
              <w:t>mg/L</w:t>
            </w:r>
            <w:r>
              <w:rPr>
                <w:rFonts w:eastAsiaTheme="minorEastAsia" w:cs="Times New Roman"/>
                <w:sz w:val="21"/>
                <w:szCs w:val="21"/>
              </w:rPr>
              <w:t>）</w:t>
            </w: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K</w:t>
            </w:r>
            <w:r>
              <w:rPr>
                <w:rFonts w:eastAsiaTheme="minorEastAsia" w:cs="Times New Roman"/>
                <w:sz w:val="21"/>
                <w:szCs w:val="21"/>
                <w:vertAlign w:val="superscript"/>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N</w:t>
            </w:r>
            <w:r>
              <w:rPr>
                <w:rFonts w:eastAsiaTheme="minorEastAsia" w:cs="Times New Roman"/>
                <w:sz w:val="21"/>
                <w:szCs w:val="21"/>
                <w:vertAlign w:val="subscript"/>
              </w:rPr>
              <w:t>a</w:t>
            </w:r>
            <w:r>
              <w:rPr>
                <w:rFonts w:eastAsiaTheme="minorEastAsia" w:cs="Times New Roman"/>
                <w:sz w:val="21"/>
                <w:szCs w:val="21"/>
                <w:vertAlign w:val="superscript"/>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bookmarkEnd w:id="1290"/>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Ca</w:t>
            </w:r>
            <w:r>
              <w:rPr>
                <w:rFonts w:eastAsiaTheme="minorEastAsia" w:cs="Times New Roman"/>
                <w:sz w:val="21"/>
                <w:szCs w:val="21"/>
                <w:vertAlign w:val="superscript"/>
              </w:rPr>
              <w:t>2+</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Mg</w:t>
            </w:r>
            <w:r>
              <w:rPr>
                <w:rFonts w:eastAsiaTheme="minorEastAsia" w:cs="Times New Roman"/>
                <w:sz w:val="21"/>
                <w:szCs w:val="21"/>
                <w:vertAlign w:val="superscript"/>
              </w:rPr>
              <w:t>2+</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CO</w:t>
            </w:r>
            <w:r>
              <w:rPr>
                <w:rFonts w:eastAsiaTheme="minorEastAsia" w:cs="Times New Roman"/>
                <w:sz w:val="21"/>
                <w:szCs w:val="21"/>
                <w:vertAlign w:val="subscript"/>
              </w:rPr>
              <w:t>3</w:t>
            </w:r>
            <w:r>
              <w:rPr>
                <w:rFonts w:eastAsiaTheme="minorEastAsia" w:cs="Times New Roman"/>
                <w:sz w:val="21"/>
                <w:szCs w:val="21"/>
                <w:vertAlign w:val="superscript"/>
              </w:rPr>
              <w:t>2-</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bookmarkStart w:id="1292" w:name="OLE_LINK1069"/>
            <w:r>
              <w:rPr>
                <w:rFonts w:eastAsiaTheme="minorEastAsia" w:cs="Times New Roman"/>
                <w:sz w:val="21"/>
                <w:szCs w:val="21"/>
              </w:rPr>
              <w:t>HCO</w:t>
            </w:r>
            <w:r>
              <w:rPr>
                <w:rFonts w:eastAsiaTheme="minorEastAsia" w:cs="Times New Roman"/>
                <w:sz w:val="21"/>
                <w:szCs w:val="21"/>
                <w:vertAlign w:val="superscript"/>
              </w:rPr>
              <w:t>3-</w:t>
            </w:r>
            <w:bookmarkEnd w:id="1292"/>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Cl</w:t>
            </w:r>
            <w:r>
              <w:rPr>
                <w:rFonts w:eastAsiaTheme="minorEastAsia" w:cs="Times New Roman"/>
                <w:sz w:val="21"/>
                <w:szCs w:val="21"/>
                <w:vertAlign w:val="superscript"/>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SO</w:t>
            </w:r>
            <w:r>
              <w:rPr>
                <w:rFonts w:eastAsiaTheme="minorEastAsia" w:cs="Times New Roman"/>
                <w:sz w:val="21"/>
                <w:szCs w:val="21"/>
                <w:vertAlign w:val="subscript"/>
              </w:rPr>
              <w:t>4</w:t>
            </w:r>
            <w:r>
              <w:rPr>
                <w:rFonts w:eastAsiaTheme="minorEastAsia" w:cs="Times New Roman"/>
                <w:sz w:val="21"/>
                <w:szCs w:val="21"/>
                <w:vertAlign w:val="superscript"/>
              </w:rPr>
              <w:t>2-</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val="restart"/>
            <w:tcBorders>
              <w:top w:val="single" w:sz="4" w:space="0" w:color="auto"/>
              <w:left w:val="single" w:sz="8"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lastRenderedPageBreak/>
              <w:t>毫克当量浓度</w:t>
            </w:r>
            <w:r>
              <w:rPr>
                <w:rFonts w:eastAsiaTheme="minorEastAsia" w:cs="Times New Roman"/>
                <w:sz w:val="21"/>
                <w:szCs w:val="21"/>
              </w:rPr>
              <w:t>（</w:t>
            </w:r>
            <w:r>
              <w:rPr>
                <w:rFonts w:eastAsiaTheme="minorEastAsia" w:cs="Times New Roman"/>
                <w:sz w:val="21"/>
                <w:szCs w:val="21"/>
              </w:rPr>
              <w:t>meq/l</w:t>
            </w:r>
            <w:r>
              <w:rPr>
                <w:rFonts w:eastAsiaTheme="minorEastAsia" w:cs="Times New Roman"/>
                <w:sz w:val="21"/>
                <w:szCs w:val="21"/>
              </w:rPr>
              <w:t>）</w:t>
            </w: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K</w:t>
            </w:r>
            <w:r>
              <w:rPr>
                <w:rFonts w:eastAsiaTheme="minorEastAsia" w:cs="Times New Roman"/>
                <w:sz w:val="21"/>
                <w:szCs w:val="21"/>
                <w:vertAlign w:val="superscript"/>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Na</w:t>
            </w:r>
            <w:r>
              <w:rPr>
                <w:rFonts w:eastAsiaTheme="minorEastAsia" w:cs="Times New Roman"/>
                <w:sz w:val="21"/>
                <w:szCs w:val="21"/>
                <w:vertAlign w:val="superscript"/>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Ca</w:t>
            </w:r>
            <w:r>
              <w:rPr>
                <w:rFonts w:eastAsiaTheme="minorEastAsia" w:cs="Times New Roman"/>
                <w:sz w:val="21"/>
                <w:szCs w:val="21"/>
                <w:vertAlign w:val="superscript"/>
              </w:rPr>
              <w:t>2+</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Mg</w:t>
            </w:r>
            <w:r>
              <w:rPr>
                <w:rFonts w:eastAsiaTheme="minorEastAsia" w:cs="Times New Roman"/>
                <w:sz w:val="21"/>
                <w:szCs w:val="21"/>
                <w:vertAlign w:val="superscript"/>
              </w:rPr>
              <w:t>2+</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CO</w:t>
            </w:r>
            <w:r>
              <w:rPr>
                <w:rFonts w:eastAsiaTheme="minorEastAsia" w:cs="Times New Roman"/>
                <w:sz w:val="21"/>
                <w:szCs w:val="21"/>
                <w:vertAlign w:val="subscript"/>
              </w:rPr>
              <w:t>3</w:t>
            </w:r>
            <w:r>
              <w:rPr>
                <w:rFonts w:eastAsiaTheme="minorEastAsia" w:cs="Times New Roman"/>
                <w:sz w:val="21"/>
                <w:szCs w:val="21"/>
                <w:vertAlign w:val="superscript"/>
              </w:rPr>
              <w:t>2-</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757" w:type="pct"/>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spacing w:line="240" w:lineRule="exact"/>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HCO</w:t>
            </w:r>
            <w:r>
              <w:rPr>
                <w:rFonts w:eastAsiaTheme="minorEastAsia" w:cs="Times New Roman"/>
                <w:sz w:val="21"/>
                <w:szCs w:val="21"/>
                <w:vertAlign w:val="superscript"/>
              </w:rPr>
              <w:t>3-</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4"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Cl</w:t>
            </w:r>
            <w:r>
              <w:rPr>
                <w:rFonts w:eastAsiaTheme="minorEastAsia" w:cs="Times New Roman"/>
                <w:sz w:val="21"/>
                <w:szCs w:val="21"/>
                <w:vertAlign w:val="superscript"/>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4"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tr w:rsidR="00C645C9">
        <w:trPr>
          <w:cantSplit/>
          <w:trHeight w:val="483"/>
          <w:jc w:val="center"/>
        </w:trPr>
        <w:tc>
          <w:tcPr>
            <w:tcW w:w="755" w:type="pct"/>
            <w:vMerge/>
            <w:tcBorders>
              <w:top w:val="single" w:sz="4" w:space="0" w:color="auto"/>
              <w:left w:val="single" w:sz="8" w:space="0" w:color="auto"/>
              <w:bottom w:val="single" w:sz="4" w:space="0" w:color="auto"/>
              <w:right w:val="single" w:sz="4" w:space="0" w:color="auto"/>
            </w:tcBorders>
            <w:vAlign w:val="center"/>
          </w:tcPr>
          <w:p w:rsidR="00C645C9" w:rsidRDefault="00C645C9">
            <w:pPr>
              <w:spacing w:line="240" w:lineRule="atLeast"/>
              <w:rPr>
                <w:rFonts w:eastAsiaTheme="minorEastAsia" w:cs="Times New Roman"/>
                <w:sz w:val="21"/>
                <w:szCs w:val="21"/>
              </w:rPr>
            </w:pPr>
          </w:p>
        </w:tc>
        <w:tc>
          <w:tcPr>
            <w:tcW w:w="457" w:type="pct"/>
            <w:tcBorders>
              <w:top w:val="single" w:sz="4" w:space="0" w:color="auto"/>
              <w:left w:val="single" w:sz="4" w:space="0" w:color="auto"/>
              <w:bottom w:val="single" w:sz="8" w:space="0" w:color="auto"/>
              <w:right w:val="single" w:sz="4" w:space="0" w:color="auto"/>
            </w:tcBorders>
            <w:vAlign w:val="center"/>
          </w:tcPr>
          <w:p w:rsidR="00C645C9" w:rsidRDefault="00F955D9">
            <w:pPr>
              <w:suppressAutoHyphens/>
              <w:spacing w:line="240" w:lineRule="atLeast"/>
              <w:jc w:val="center"/>
              <w:rPr>
                <w:rFonts w:eastAsiaTheme="minorEastAsia" w:cs="Times New Roman"/>
                <w:sz w:val="21"/>
                <w:szCs w:val="21"/>
              </w:rPr>
            </w:pPr>
            <w:r>
              <w:rPr>
                <w:rFonts w:eastAsiaTheme="minorEastAsia" w:cs="Times New Roman"/>
                <w:sz w:val="21"/>
                <w:szCs w:val="21"/>
              </w:rPr>
              <w:t>SO</w:t>
            </w:r>
            <w:r>
              <w:rPr>
                <w:rFonts w:eastAsiaTheme="minorEastAsia" w:cs="Times New Roman"/>
                <w:sz w:val="21"/>
                <w:szCs w:val="21"/>
                <w:vertAlign w:val="subscript"/>
              </w:rPr>
              <w:t>4</w:t>
            </w:r>
            <w:r>
              <w:rPr>
                <w:rFonts w:eastAsiaTheme="minorEastAsia" w:cs="Times New Roman"/>
                <w:sz w:val="21"/>
                <w:szCs w:val="21"/>
                <w:vertAlign w:val="superscript"/>
              </w:rPr>
              <w:t>2-</w:t>
            </w:r>
          </w:p>
        </w:tc>
        <w:tc>
          <w:tcPr>
            <w:tcW w:w="2144" w:type="dxa"/>
            <w:tcBorders>
              <w:top w:val="single" w:sz="4" w:space="0" w:color="auto"/>
              <w:left w:val="single" w:sz="4" w:space="0" w:color="auto"/>
              <w:bottom w:val="single" w:sz="8"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8"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8"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4" w:type="dxa"/>
            <w:tcBorders>
              <w:top w:val="single" w:sz="4" w:space="0" w:color="auto"/>
              <w:left w:val="single" w:sz="4" w:space="0" w:color="auto"/>
              <w:bottom w:val="single" w:sz="8"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c>
          <w:tcPr>
            <w:tcW w:w="2149" w:type="dxa"/>
            <w:tcBorders>
              <w:top w:val="single" w:sz="4" w:space="0" w:color="auto"/>
              <w:left w:val="single" w:sz="4" w:space="0" w:color="auto"/>
              <w:bottom w:val="single" w:sz="8" w:space="0" w:color="auto"/>
              <w:right w:val="single" w:sz="4" w:space="0" w:color="auto"/>
            </w:tcBorders>
            <w:vAlign w:val="center"/>
          </w:tcPr>
          <w:p w:rsidR="00C645C9" w:rsidRDefault="00F955D9">
            <w:pPr>
              <w:jc w:val="center"/>
              <w:textAlignment w:val="center"/>
              <w:rPr>
                <w:rFonts w:eastAsiaTheme="minorEastAsia" w:cs="Times New Roman"/>
                <w:sz w:val="21"/>
                <w:szCs w:val="21"/>
              </w:rPr>
            </w:pPr>
            <w:r>
              <w:rPr>
                <w:rFonts w:cs="Times New Roman" w:hint="eastAsia"/>
                <w:sz w:val="21"/>
                <w:szCs w:val="21"/>
              </w:rPr>
              <w:t>**</w:t>
            </w:r>
          </w:p>
        </w:tc>
      </w:tr>
      <w:bookmarkEnd w:id="1291"/>
    </w:tbl>
    <w:p w:rsidR="00C645C9" w:rsidRDefault="00C645C9"/>
    <w:p w:rsidR="00C645C9" w:rsidRDefault="00C645C9">
      <w:pPr>
        <w:sectPr w:rsidR="00C645C9">
          <w:pgSz w:w="16838" w:h="11906" w:orient="landscape"/>
          <w:pgMar w:top="1800" w:right="1440" w:bottom="1800" w:left="1440" w:header="851" w:footer="992" w:gutter="0"/>
          <w:cols w:space="425"/>
          <w:docGrid w:type="lines" w:linePitch="312"/>
        </w:sectPr>
      </w:pPr>
    </w:p>
    <w:p w:rsidR="00C645C9" w:rsidRDefault="00C645C9">
      <w:pPr>
        <w:rPr>
          <w:rFonts w:eastAsia="黑体" w:cs="Times New Roman"/>
          <w:sz w:val="21"/>
          <w:szCs w:val="21"/>
        </w:rPr>
      </w:pPr>
    </w:p>
    <w:p w:rsidR="00C645C9" w:rsidRDefault="00F955D9">
      <w:pPr>
        <w:jc w:val="center"/>
        <w:sectPr w:rsidR="00C645C9">
          <w:pgSz w:w="16838" w:h="11906" w:orient="landscape"/>
          <w:pgMar w:top="1800" w:right="1440" w:bottom="1800" w:left="1440" w:header="851" w:footer="992" w:gutter="0"/>
          <w:cols w:space="425"/>
          <w:docGrid w:type="lines" w:linePitch="312"/>
        </w:sectPr>
      </w:pPr>
      <w:r>
        <w:rPr>
          <w:rFonts w:eastAsia="黑体" w:cs="Times New Roman" w:hint="eastAsia"/>
          <w:sz w:val="21"/>
          <w:szCs w:val="21"/>
        </w:rPr>
        <w:t>图</w:t>
      </w:r>
      <w:r>
        <w:rPr>
          <w:rFonts w:eastAsia="黑体" w:cs="Times New Roman"/>
          <w:sz w:val="21"/>
          <w:szCs w:val="21"/>
        </w:rPr>
        <w:t>4.</w:t>
      </w:r>
      <w:r>
        <w:rPr>
          <w:rFonts w:eastAsia="黑体" w:cs="Times New Roman" w:hint="eastAsia"/>
          <w:sz w:val="21"/>
          <w:szCs w:val="21"/>
        </w:rPr>
        <w:t>3</w:t>
      </w:r>
      <w:r>
        <w:rPr>
          <w:rFonts w:eastAsia="黑体" w:cs="Times New Roman"/>
          <w:sz w:val="21"/>
          <w:szCs w:val="21"/>
        </w:rPr>
        <w:t xml:space="preserve">-1  </w:t>
      </w:r>
      <w:r>
        <w:rPr>
          <w:rFonts w:eastAsia="黑体" w:cs="Times New Roman" w:hint="eastAsia"/>
          <w:sz w:val="21"/>
          <w:szCs w:val="21"/>
        </w:rPr>
        <w:t>本工程</w:t>
      </w:r>
      <w:r>
        <w:rPr>
          <w:rFonts w:eastAsia="黑体" w:cs="Times New Roman"/>
          <w:sz w:val="21"/>
          <w:szCs w:val="21"/>
        </w:rPr>
        <w:t>监测点</w:t>
      </w:r>
      <w:r>
        <w:rPr>
          <w:rFonts w:eastAsia="黑体" w:cs="Times New Roman" w:hint="eastAsia"/>
          <w:sz w:val="21"/>
          <w:szCs w:val="21"/>
        </w:rPr>
        <w:t>位图</w:t>
      </w:r>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293" w:name="_Toc17139"/>
      <w:bookmarkStart w:id="1294" w:name="_Toc374724185"/>
      <w:bookmarkStart w:id="1295" w:name="_Toc42981109"/>
      <w:bookmarkStart w:id="1296" w:name="_Toc75438893"/>
      <w:bookmarkStart w:id="1297" w:name="_Toc361761832"/>
      <w:bookmarkStart w:id="1298" w:name="_Toc508291888"/>
      <w:bookmarkStart w:id="1299" w:name="_Toc10770"/>
      <w:bookmarkStart w:id="1300" w:name="_Toc353966740"/>
      <w:bookmarkEnd w:id="1181"/>
      <w:bookmarkEnd w:id="1182"/>
      <w:bookmarkEnd w:id="1183"/>
      <w:r>
        <w:rPr>
          <w:rFonts w:ascii="Times New Roman" w:hAnsi="Times New Roman" w:cs="Times New Roman"/>
          <w:color w:val="auto"/>
          <w:lang w:eastAsia="zh-CN"/>
        </w:rPr>
        <w:lastRenderedPageBreak/>
        <w:t>4.</w:t>
      </w:r>
      <w:r>
        <w:rPr>
          <w:rFonts w:ascii="Times New Roman" w:hAnsi="Times New Roman" w:cs="Times New Roman" w:hint="eastAsia"/>
          <w:color w:val="auto"/>
          <w:lang w:eastAsia="zh-CN"/>
        </w:rPr>
        <w:t>5</w:t>
      </w:r>
      <w:r>
        <w:rPr>
          <w:rFonts w:ascii="Times New Roman" w:hAnsi="Times New Roman" w:cs="Times New Roman"/>
          <w:color w:val="auto"/>
          <w:lang w:eastAsia="zh-CN"/>
        </w:rPr>
        <w:t>土壤环境现状调查与评价</w:t>
      </w:r>
      <w:bookmarkEnd w:id="1293"/>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301" w:name="_Toc20324"/>
      <w:bookmarkStart w:id="1302" w:name="_Toc19650"/>
      <w:bookmarkStart w:id="1303" w:name="_Toc17428"/>
      <w:r>
        <w:rPr>
          <w:rFonts w:ascii="Times New Roman" w:hAnsi="Times New Roman" w:cs="Times New Roman"/>
          <w:color w:val="auto"/>
          <w:lang w:eastAsia="zh-CN"/>
        </w:rPr>
        <w:t>4.</w:t>
      </w:r>
      <w:r>
        <w:rPr>
          <w:rFonts w:ascii="Times New Roman" w:hAnsi="Times New Roman" w:cs="Times New Roman" w:hint="eastAsia"/>
          <w:color w:val="auto"/>
          <w:lang w:eastAsia="zh-CN"/>
        </w:rPr>
        <w:t>5</w:t>
      </w:r>
      <w:r>
        <w:rPr>
          <w:rFonts w:ascii="Times New Roman" w:hAnsi="Times New Roman" w:cs="Times New Roman"/>
          <w:color w:val="auto"/>
          <w:lang w:eastAsia="zh-CN"/>
        </w:rPr>
        <w:t>.1</w:t>
      </w:r>
      <w:bookmarkEnd w:id="1301"/>
      <w:bookmarkEnd w:id="1302"/>
      <w:bookmarkEnd w:id="1303"/>
      <w:r>
        <w:rPr>
          <w:rFonts w:ascii="Times New Roman" w:hAnsi="Times New Roman" w:cs="Times New Roman"/>
          <w:color w:val="auto"/>
          <w:lang w:eastAsia="zh-CN"/>
        </w:rPr>
        <w:t>土壤类型及分布调查</w:t>
      </w:r>
    </w:p>
    <w:p w:rsidR="00C645C9" w:rsidRDefault="00F955D9">
      <w:pPr>
        <w:adjustRightInd w:val="0"/>
        <w:snapToGrid w:val="0"/>
        <w:spacing w:line="360" w:lineRule="auto"/>
        <w:ind w:firstLineChars="200" w:firstLine="480"/>
        <w:jc w:val="both"/>
        <w:rPr>
          <w:rFonts w:cs="Times New Roman"/>
        </w:rPr>
      </w:pPr>
      <w:r>
        <w:rPr>
          <w:rFonts w:cs="Times New Roman"/>
        </w:rPr>
        <w:t>根据遥感影像图、土壤类型图、《新疆土壤》及现场踏勘结果，本工程所在区域土壤类型主要以</w:t>
      </w:r>
      <w:r>
        <w:rPr>
          <w:rFonts w:cs="Times New Roman" w:hint="eastAsia"/>
        </w:rPr>
        <w:t>潮土</w:t>
      </w:r>
      <w:r>
        <w:rPr>
          <w:rFonts w:cs="Times New Roman"/>
        </w:rPr>
        <w:t>为主。评价区土壤类型见图</w:t>
      </w:r>
      <w:r>
        <w:rPr>
          <w:rFonts w:cs="Times New Roman"/>
        </w:rPr>
        <w:t>4.</w:t>
      </w:r>
      <w:r>
        <w:rPr>
          <w:rFonts w:cs="Times New Roman"/>
        </w:rPr>
        <w:t>5</w:t>
      </w:r>
      <w:r>
        <w:rPr>
          <w:rFonts w:cs="Times New Roman"/>
        </w:rPr>
        <w:t>-1</w:t>
      </w:r>
      <w:r>
        <w:rPr>
          <w:rFonts w:cs="Times New Roman"/>
        </w:rPr>
        <w:t>。</w:t>
      </w:r>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潮土是发育于富含碳酸盐或不含碳酸盐的河流冲积物土，受地下潜水作用，经过耕作熟化而形成的一种半水成土壤。土壤腐殖积累过程较弱。具有腐殖质层（耕作层）、氧化还原层及母质层等剖面层次，沉积层理明显</w:t>
      </w:r>
      <w:r>
        <w:rPr>
          <w:rFonts w:hint="eastAsia"/>
          <w:b w:val="0"/>
          <w:kern w:val="0"/>
          <w:sz w:val="24"/>
          <w:szCs w:val="24"/>
        </w:rPr>
        <w:t>。潮土土层深厚，矿质养分丰富，有利于深根作物生长，但有机质、氮素和磷含量偏低，且易旱涝，局部地区有盐渍化问题。</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304" w:name="_Toc775"/>
      <w:bookmarkStart w:id="1305" w:name="_Toc14591"/>
      <w:r>
        <w:rPr>
          <w:rFonts w:ascii="Times New Roman" w:hAnsi="Times New Roman" w:cs="Times New Roman"/>
          <w:color w:val="auto"/>
          <w:lang w:eastAsia="zh-CN"/>
        </w:rPr>
        <w:t>4.</w:t>
      </w:r>
      <w:bookmarkEnd w:id="1304"/>
      <w:bookmarkEnd w:id="1305"/>
      <w:r>
        <w:rPr>
          <w:rFonts w:ascii="Times New Roman" w:hAnsi="Times New Roman" w:cs="Times New Roman" w:hint="eastAsia"/>
          <w:color w:val="auto"/>
          <w:lang w:eastAsia="zh-CN"/>
        </w:rPr>
        <w:t>5.2</w:t>
      </w:r>
      <w:r>
        <w:rPr>
          <w:rFonts w:ascii="Times New Roman" w:hAnsi="Times New Roman" w:cs="Times New Roman"/>
          <w:color w:val="auto"/>
          <w:lang w:eastAsia="zh-CN"/>
        </w:rPr>
        <w:t>土壤理化性质调查</w:t>
      </w:r>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本工程同时按照生态影响型项目和污染影响型项目考虑，根据项目工程分析情况，针对项目占地的土壤理化性质进行分析，主要包括土体结构、土壤结构、土壤质地、阳离子交换量、</w:t>
      </w:r>
      <w:r>
        <w:rPr>
          <w:rFonts w:hint="eastAsia"/>
          <w:b w:val="0"/>
          <w:kern w:val="0"/>
          <w:sz w:val="24"/>
          <w:szCs w:val="24"/>
        </w:rPr>
        <w:t>氧化还原电位</w:t>
      </w:r>
      <w:r>
        <w:rPr>
          <w:b w:val="0"/>
          <w:kern w:val="0"/>
          <w:sz w:val="24"/>
          <w:szCs w:val="24"/>
        </w:rPr>
        <w:t>、饱和导水</w:t>
      </w:r>
      <w:r>
        <w:rPr>
          <w:b w:val="0"/>
          <w:kern w:val="0"/>
          <w:sz w:val="24"/>
          <w:szCs w:val="24"/>
        </w:rPr>
        <w:t>率、土壤容重、孔隙度等。取样点位为本工程附近土壤表层样（</w:t>
      </w:r>
      <w:r>
        <w:rPr>
          <w:b w:val="0"/>
          <w:kern w:val="0"/>
          <w:sz w:val="24"/>
          <w:szCs w:val="24"/>
        </w:rPr>
        <w:t>0-0.2m</w:t>
      </w:r>
      <w:r>
        <w:rPr>
          <w:b w:val="0"/>
          <w:kern w:val="0"/>
          <w:sz w:val="24"/>
          <w:szCs w:val="24"/>
        </w:rPr>
        <w:t>）。分析结果如表</w:t>
      </w:r>
      <w:r>
        <w:rPr>
          <w:b w:val="0"/>
          <w:kern w:val="0"/>
          <w:sz w:val="24"/>
          <w:szCs w:val="24"/>
        </w:rPr>
        <w:t>4.5-1</w:t>
      </w:r>
      <w:r>
        <w:rPr>
          <w:b w:val="0"/>
          <w:kern w:val="0"/>
          <w:sz w:val="24"/>
          <w:szCs w:val="24"/>
        </w:rPr>
        <w:t>所示</w:t>
      </w:r>
      <w:r>
        <w:rPr>
          <w:rFonts w:hint="eastAsia"/>
          <w:b w:val="0"/>
          <w:kern w:val="0"/>
          <w:sz w:val="24"/>
          <w:szCs w:val="24"/>
        </w:rPr>
        <w:t>。</w:t>
      </w:r>
    </w:p>
    <w:p w:rsidR="00C645C9" w:rsidRDefault="00F955D9">
      <w:pPr>
        <w:adjustRightInd w:val="0"/>
        <w:snapToGrid w:val="0"/>
        <w:jc w:val="center"/>
        <w:rPr>
          <w:rFonts w:eastAsia="黑体" w:cs="Times New Roman"/>
          <w:kern w:val="10"/>
          <w:sz w:val="21"/>
          <w:szCs w:val="21"/>
        </w:rPr>
      </w:pPr>
      <w:r>
        <w:rPr>
          <w:rFonts w:eastAsia="黑体" w:cs="Times New Roman"/>
          <w:kern w:val="10"/>
          <w:sz w:val="21"/>
          <w:szCs w:val="21"/>
        </w:rPr>
        <w:t>表</w:t>
      </w:r>
      <w:r>
        <w:rPr>
          <w:rFonts w:eastAsia="黑体" w:cs="Times New Roman"/>
          <w:kern w:val="10"/>
          <w:sz w:val="21"/>
          <w:szCs w:val="21"/>
        </w:rPr>
        <w:t xml:space="preserve">4.5-1   </w:t>
      </w:r>
      <w:r>
        <w:rPr>
          <w:rFonts w:eastAsia="黑体" w:cs="Times New Roman"/>
          <w:kern w:val="10"/>
          <w:sz w:val="21"/>
          <w:szCs w:val="21"/>
        </w:rPr>
        <w:t>土壤理化性质表</w:t>
      </w:r>
    </w:p>
    <w:tbl>
      <w:tblPr>
        <w:tblW w:w="0" w:type="auto"/>
        <w:tblInd w:w="93" w:type="dxa"/>
        <w:tblLayout w:type="fixed"/>
        <w:tblLook w:val="04A0" w:firstRow="1" w:lastRow="0" w:firstColumn="1" w:lastColumn="0" w:noHBand="0" w:noVBand="1"/>
      </w:tblPr>
      <w:tblGrid>
        <w:gridCol w:w="425"/>
        <w:gridCol w:w="3653"/>
        <w:gridCol w:w="2174"/>
        <w:gridCol w:w="2174"/>
      </w:tblGrid>
      <w:tr w:rsidR="00C645C9">
        <w:trPr>
          <w:trHeight w:val="321"/>
        </w:trPr>
        <w:tc>
          <w:tcPr>
            <w:tcW w:w="40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点号</w:t>
            </w:r>
          </w:p>
        </w:tc>
        <w:tc>
          <w:tcPr>
            <w:tcW w:w="43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rPr>
              <w:t>新北</w:t>
            </w:r>
            <w:r>
              <w:rPr>
                <w:rFonts w:cs="Times New Roman"/>
                <w:sz w:val="21"/>
                <w:szCs w:val="21"/>
              </w:rPr>
              <w:t>1X</w:t>
            </w:r>
            <w:r>
              <w:rPr>
                <w:rFonts w:cs="Times New Roman"/>
                <w:sz w:val="21"/>
                <w:szCs w:val="21"/>
              </w:rPr>
              <w:t>井井场</w:t>
            </w:r>
          </w:p>
        </w:tc>
      </w:tr>
      <w:tr w:rsidR="00C645C9">
        <w:trPr>
          <w:trHeight w:val="321"/>
        </w:trPr>
        <w:tc>
          <w:tcPr>
            <w:tcW w:w="40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点位坐标</w:t>
            </w:r>
          </w:p>
        </w:tc>
        <w:tc>
          <w:tcPr>
            <w:tcW w:w="43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rPr>
              <w:t>**</w:t>
            </w:r>
          </w:p>
        </w:tc>
      </w:tr>
      <w:tr w:rsidR="00C645C9">
        <w:trPr>
          <w:trHeight w:val="321"/>
        </w:trPr>
        <w:tc>
          <w:tcPr>
            <w:tcW w:w="4078"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采样深度</w:t>
            </w:r>
          </w:p>
        </w:tc>
        <w:tc>
          <w:tcPr>
            <w:tcW w:w="2174"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keepLines/>
              <w:widowControl w:val="0"/>
              <w:autoSpaceDE w:val="0"/>
              <w:autoSpaceDN w:val="0"/>
              <w:adjustRightInd w:val="0"/>
              <w:snapToGrid w:val="0"/>
              <w:jc w:val="center"/>
              <w:textAlignment w:val="center"/>
              <w:rPr>
                <w:rFonts w:cs="Times New Roman"/>
                <w:sz w:val="21"/>
                <w:szCs w:val="21"/>
              </w:rPr>
            </w:pPr>
            <w:r>
              <w:rPr>
                <w:rFonts w:cs="Times New Roman" w:hint="eastAsia"/>
                <w:sz w:val="21"/>
                <w:szCs w:val="21"/>
              </w:rPr>
              <w:t>**</w:t>
            </w:r>
          </w:p>
        </w:tc>
        <w:tc>
          <w:tcPr>
            <w:tcW w:w="2174" w:type="dxa"/>
            <w:tcBorders>
              <w:top w:val="single" w:sz="4" w:space="0" w:color="000000"/>
              <w:left w:val="single" w:sz="4" w:space="0" w:color="000000"/>
              <w:bottom w:val="single" w:sz="4" w:space="0" w:color="auto"/>
              <w:right w:val="single" w:sz="4" w:space="0" w:color="000000"/>
            </w:tcBorders>
            <w:shd w:val="clear" w:color="auto" w:fill="auto"/>
            <w:vAlign w:val="center"/>
          </w:tcPr>
          <w:p w:rsidR="00C645C9" w:rsidRDefault="00F955D9">
            <w:pPr>
              <w:jc w:val="center"/>
              <w:rPr>
                <w:rFonts w:cs="Times New Roman"/>
                <w:sz w:val="21"/>
                <w:szCs w:val="21"/>
                <w:lang w:bidi="ar"/>
              </w:rPr>
            </w:pPr>
            <w:r>
              <w:rPr>
                <w:rFonts w:cs="Times New Roman" w:hint="eastAsia"/>
                <w:sz w:val="21"/>
                <w:szCs w:val="21"/>
              </w:rPr>
              <w:t>**</w:t>
            </w:r>
          </w:p>
        </w:tc>
      </w:tr>
      <w:tr w:rsidR="00C645C9">
        <w:trPr>
          <w:trHeight w:val="3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现场记录</w:t>
            </w: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颜色</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2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z w:val="21"/>
                <w:szCs w:val="21"/>
              </w:rPr>
              <w:t>土壤结构</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2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rPr>
                <w:rFonts w:cs="Times New Roman"/>
                <w:sz w:val="21"/>
                <w:szCs w:val="21"/>
              </w:rPr>
            </w:pPr>
            <w:r>
              <w:rPr>
                <w:rFonts w:cs="Times New Roman"/>
                <w:sz w:val="21"/>
                <w:szCs w:val="21"/>
              </w:rPr>
              <w:t>土壤质地</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2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砂砾含量</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2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其他异物</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49"/>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土壤容重（</w:t>
            </w:r>
            <w:r>
              <w:rPr>
                <w:rFonts w:cs="Times New Roman"/>
                <w:sz w:val="21"/>
                <w:szCs w:val="21"/>
                <w:lang w:bidi="ar"/>
              </w:rPr>
              <w:t>g/cm</w:t>
            </w:r>
            <w:r>
              <w:rPr>
                <w:rFonts w:cs="Times New Roman"/>
                <w:sz w:val="21"/>
                <w:szCs w:val="21"/>
                <w:vertAlign w:val="superscript"/>
                <w:lang w:bidi="ar"/>
              </w:rPr>
              <w:t>3</w:t>
            </w:r>
            <w:r>
              <w:rPr>
                <w:rFonts w:cs="Times New Roman"/>
                <w:sz w:val="21"/>
                <w:szCs w:val="21"/>
                <w:lang w:bidi="ar"/>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69"/>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bookmarkStart w:id="1306" w:name="OLE_LINK551"/>
            <w:r>
              <w:rPr>
                <w:rFonts w:cs="Times New Roman"/>
                <w:sz w:val="21"/>
                <w:szCs w:val="21"/>
                <w:lang w:bidi="ar"/>
              </w:rPr>
              <w:t>阳离子交换量</w:t>
            </w:r>
            <w:bookmarkEnd w:id="1306"/>
            <w:r>
              <w:rPr>
                <w:rFonts w:cs="Times New Roman"/>
                <w:sz w:val="21"/>
                <w:szCs w:val="21"/>
                <w:lang w:bidi="ar"/>
              </w:rPr>
              <w:t>（</w:t>
            </w:r>
            <w:r>
              <w:rPr>
                <w:rFonts w:cs="Times New Roman"/>
                <w:sz w:val="21"/>
                <w:szCs w:val="21"/>
                <w:lang w:bidi="en-US"/>
              </w:rPr>
              <w:t>cmol</w:t>
            </w:r>
            <w:r>
              <w:rPr>
                <w:rFonts w:cs="Times New Roman"/>
                <w:sz w:val="21"/>
                <w:szCs w:val="21"/>
                <w:vertAlign w:val="superscript"/>
                <w:lang w:bidi="en-US"/>
              </w:rPr>
              <w:t>+</w:t>
            </w:r>
            <w:r>
              <w:rPr>
                <w:rFonts w:cs="Times New Roman"/>
                <w:sz w:val="21"/>
                <w:szCs w:val="21"/>
                <w:lang w:bidi="en-US"/>
              </w:rPr>
              <w:t>/kg</w:t>
            </w:r>
            <w:r>
              <w:rPr>
                <w:rFonts w:cs="Times New Roman"/>
                <w:sz w:val="21"/>
                <w:szCs w:val="21"/>
                <w:lang w:bidi="ar"/>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69"/>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氧化还原电位</w:t>
            </w:r>
            <w:r>
              <w:rPr>
                <w:rFonts w:cs="Times New Roman"/>
                <w:sz w:val="21"/>
                <w:szCs w:val="21"/>
                <w:lang w:bidi="ar"/>
              </w:rPr>
              <w:t>（</w:t>
            </w:r>
            <w:r>
              <w:rPr>
                <w:rFonts w:cs="Times New Roman"/>
                <w:sz w:val="21"/>
                <w:szCs w:val="21"/>
                <w:lang w:bidi="ar"/>
              </w:rPr>
              <w:t>mV</w:t>
            </w:r>
            <w:r>
              <w:rPr>
                <w:rFonts w:cs="Times New Roman"/>
                <w:sz w:val="21"/>
                <w:szCs w:val="21"/>
                <w:lang w:bidi="ar"/>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409"/>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bookmarkStart w:id="1307" w:name="OLE_LINK550" w:colFirst="3" w:colLast="3"/>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饱和导水率</w:t>
            </w:r>
            <w:r>
              <w:rPr>
                <w:rFonts w:cs="Times New Roman"/>
                <w:sz w:val="21"/>
                <w:szCs w:val="21"/>
                <w:lang w:bidi="ar"/>
              </w:rPr>
              <w:t>（</w:t>
            </w:r>
            <w:r>
              <w:rPr>
                <w:rFonts w:cs="Times New Roman"/>
                <w:sz w:val="21"/>
                <w:szCs w:val="21"/>
                <w:lang w:bidi="ar"/>
              </w:rPr>
              <w:t>渗透率</w:t>
            </w:r>
            <w:r>
              <w:rPr>
                <w:rFonts w:cs="Times New Roman"/>
                <w:sz w:val="21"/>
                <w:szCs w:val="21"/>
                <w:lang w:bidi="ar"/>
              </w:rPr>
              <w:t>K</w:t>
            </w:r>
            <w:r>
              <w:rPr>
                <w:rFonts w:cs="Times New Roman"/>
                <w:sz w:val="21"/>
                <w:szCs w:val="21"/>
                <w:vertAlign w:val="subscript"/>
                <w:lang w:bidi="ar"/>
              </w:rPr>
              <w:t>10</w:t>
            </w:r>
            <w:r>
              <w:rPr>
                <w:rFonts w:cs="Times New Roman"/>
                <w:sz w:val="21"/>
                <w:szCs w:val="21"/>
                <w:lang w:bidi="ar"/>
              </w:rPr>
              <w:t>）</w:t>
            </w:r>
            <w:r>
              <w:rPr>
                <w:rFonts w:cs="Times New Roman"/>
                <w:sz w:val="21"/>
                <w:szCs w:val="21"/>
                <w:lang w:bidi="ar"/>
              </w:rPr>
              <w:t>（</w:t>
            </w:r>
            <w:r>
              <w:rPr>
                <w:rFonts w:cs="Times New Roman"/>
                <w:sz w:val="21"/>
                <w:szCs w:val="21"/>
                <w:lang w:bidi="ar"/>
              </w:rPr>
              <w:t>mm/min</w:t>
            </w:r>
            <w:r>
              <w:rPr>
                <w:rFonts w:cs="Times New Roman"/>
                <w:sz w:val="21"/>
                <w:szCs w:val="21"/>
                <w:lang w:bidi="ar"/>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tr w:rsidR="00C645C9">
        <w:trPr>
          <w:trHeight w:val="321"/>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rPr>
                <w:rFonts w:cs="Times New Roman"/>
                <w:sz w:val="21"/>
                <w:szCs w:val="21"/>
              </w:rPr>
            </w:pPr>
          </w:p>
        </w:tc>
        <w:tc>
          <w:tcPr>
            <w:tcW w:w="365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孔隙度（</w:t>
            </w:r>
            <w:r>
              <w:rPr>
                <w:rFonts w:cs="Times New Roman"/>
                <w:sz w:val="21"/>
                <w:szCs w:val="21"/>
                <w:lang w:bidi="ar"/>
              </w:rPr>
              <w:t>%</w:t>
            </w:r>
            <w:r>
              <w:rPr>
                <w:rFonts w:cs="Times New Roman"/>
                <w:sz w:val="21"/>
                <w:szCs w:val="21"/>
                <w:lang w:bidi="ar"/>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r>
      <w:bookmarkEnd w:id="1307"/>
    </w:tbl>
    <w:p w:rsidR="00C645C9" w:rsidRDefault="00C645C9">
      <w:pPr>
        <w:sectPr w:rsidR="00C645C9">
          <w:pgSz w:w="11906" w:h="16838"/>
          <w:pgMar w:top="1440" w:right="1800" w:bottom="1440" w:left="1800" w:header="851" w:footer="992" w:gutter="0"/>
          <w:cols w:space="425"/>
          <w:docGrid w:type="lines" w:linePitch="312"/>
        </w:sectPr>
      </w:pPr>
    </w:p>
    <w:p w:rsidR="00C645C9" w:rsidRDefault="00C645C9">
      <w:pPr>
        <w:jc w:val="center"/>
        <w:rPr>
          <w:rFonts w:eastAsia="黑体" w:cs="Times New Roman"/>
          <w:sz w:val="21"/>
          <w:szCs w:val="21"/>
        </w:rPr>
      </w:pPr>
    </w:p>
    <w:p w:rsidR="00C645C9" w:rsidRDefault="00F955D9">
      <w:pPr>
        <w:jc w:val="center"/>
        <w:rPr>
          <w:rFonts w:eastAsia="黑体" w:cs="Times New Roman"/>
          <w:sz w:val="21"/>
          <w:szCs w:val="21"/>
        </w:rPr>
      </w:pPr>
      <w:r>
        <w:rPr>
          <w:rFonts w:eastAsia="黑体" w:cs="Times New Roman"/>
          <w:sz w:val="21"/>
          <w:szCs w:val="21"/>
        </w:rPr>
        <w:t>图</w:t>
      </w:r>
      <w:r>
        <w:rPr>
          <w:rFonts w:eastAsia="黑体" w:cs="Times New Roman"/>
          <w:sz w:val="21"/>
          <w:szCs w:val="21"/>
        </w:rPr>
        <w:t xml:space="preserve">4.5-1   </w:t>
      </w:r>
      <w:r>
        <w:rPr>
          <w:rFonts w:eastAsia="黑体" w:cs="Times New Roman"/>
          <w:sz w:val="21"/>
          <w:szCs w:val="21"/>
        </w:rPr>
        <w:t>本工程土壤类型图</w:t>
      </w:r>
    </w:p>
    <w:p w:rsidR="00C645C9" w:rsidRDefault="00C645C9">
      <w:pPr>
        <w:sectPr w:rsidR="00C645C9">
          <w:pgSz w:w="16838" w:h="11906" w:orient="landscape"/>
          <w:pgMar w:top="1800" w:right="1440" w:bottom="1800" w:left="1440" w:header="851" w:footer="992" w:gutter="0"/>
          <w:cols w:space="425"/>
          <w:docGrid w:type="lines" w:linePitch="312"/>
        </w:sectPr>
      </w:pPr>
    </w:p>
    <w:p w:rsidR="00C645C9" w:rsidRDefault="00F955D9">
      <w:pPr>
        <w:pStyle w:val="3"/>
        <w:widowControl w:val="0"/>
        <w:adjustRightInd w:val="0"/>
        <w:snapToGrid w:val="0"/>
        <w:spacing w:before="0" w:after="0" w:line="360" w:lineRule="auto"/>
        <w:rPr>
          <w:rFonts w:ascii="Times New Roman" w:hAnsi="Times New Roman" w:cs="Times New Roman"/>
          <w:color w:val="auto"/>
        </w:rPr>
      </w:pPr>
      <w:bookmarkStart w:id="1308" w:name="_Toc10791"/>
      <w:bookmarkStart w:id="1309" w:name="_Toc214"/>
      <w:bookmarkStart w:id="1310" w:name="_Toc19935"/>
      <w:bookmarkStart w:id="1311" w:name="OLE_LINK278"/>
      <w:r>
        <w:rPr>
          <w:rFonts w:ascii="Times New Roman" w:hAnsi="Times New Roman" w:cs="Times New Roman"/>
          <w:color w:val="auto"/>
        </w:rPr>
        <w:lastRenderedPageBreak/>
        <w:t>4.</w:t>
      </w:r>
      <w:r>
        <w:rPr>
          <w:rFonts w:ascii="Times New Roman" w:hAnsi="Times New Roman" w:cs="Times New Roman" w:hint="eastAsia"/>
          <w:color w:val="auto"/>
          <w:lang w:eastAsia="zh-CN"/>
        </w:rPr>
        <w:t>5</w:t>
      </w:r>
      <w:r>
        <w:rPr>
          <w:rFonts w:ascii="Times New Roman" w:hAnsi="Times New Roman" w:cs="Times New Roman"/>
          <w:color w:val="auto"/>
        </w:rPr>
        <w:t>.</w:t>
      </w:r>
      <w:r>
        <w:rPr>
          <w:rFonts w:ascii="Times New Roman" w:hAnsi="Times New Roman" w:cs="Times New Roman"/>
          <w:color w:val="auto"/>
          <w:lang w:eastAsia="zh-CN"/>
        </w:rPr>
        <w:t>3</w:t>
      </w:r>
      <w:bookmarkEnd w:id="1308"/>
      <w:bookmarkEnd w:id="1309"/>
      <w:bookmarkEnd w:id="1310"/>
      <w:r>
        <w:rPr>
          <w:rFonts w:ascii="Times New Roman" w:hAnsi="Times New Roman" w:cs="Times New Roman"/>
          <w:color w:val="auto"/>
        </w:rPr>
        <w:t>土壤环境现状监测</w:t>
      </w:r>
    </w:p>
    <w:p w:rsidR="00C645C9" w:rsidRDefault="00F955D9">
      <w:pPr>
        <w:adjustRightInd w:val="0"/>
        <w:snapToGrid w:val="0"/>
        <w:spacing w:line="360" w:lineRule="auto"/>
        <w:ind w:firstLineChars="200" w:firstLine="496"/>
        <w:jc w:val="both"/>
        <w:rPr>
          <w:rFonts w:cs="Times New Roman"/>
          <w:spacing w:val="4"/>
        </w:rPr>
      </w:pPr>
      <w:bookmarkStart w:id="1312" w:name="OLE_LINK552"/>
      <w:bookmarkStart w:id="1313" w:name="OLE_LINK562"/>
      <w:bookmarkEnd w:id="1311"/>
      <w:r>
        <w:rPr>
          <w:rFonts w:cs="Times New Roman"/>
          <w:spacing w:val="4"/>
        </w:rPr>
        <w:t>根据</w:t>
      </w:r>
      <w:bookmarkStart w:id="1314" w:name="OLE_LINK553"/>
      <w:r>
        <w:rPr>
          <w:rFonts w:cs="Times New Roman"/>
          <w:spacing w:val="4"/>
        </w:rPr>
        <w:t>《环境影响评价技术导则</w:t>
      </w:r>
      <w:r>
        <w:rPr>
          <w:rFonts w:cs="Times New Roman"/>
          <w:spacing w:val="4"/>
        </w:rPr>
        <w:t xml:space="preserve"> </w:t>
      </w:r>
      <w:r>
        <w:rPr>
          <w:rFonts w:cs="Times New Roman"/>
          <w:spacing w:val="4"/>
        </w:rPr>
        <w:t>土壤环境（试行）》（</w:t>
      </w:r>
      <w:r>
        <w:rPr>
          <w:rFonts w:cs="Times New Roman"/>
          <w:spacing w:val="4"/>
        </w:rPr>
        <w:t>HJ964-2018</w:t>
      </w:r>
      <w:r>
        <w:rPr>
          <w:rFonts w:cs="Times New Roman"/>
          <w:spacing w:val="4"/>
        </w:rPr>
        <w:t>）</w:t>
      </w:r>
      <w:bookmarkEnd w:id="1312"/>
      <w:r>
        <w:rPr>
          <w:rFonts w:cs="Times New Roman"/>
          <w:spacing w:val="4"/>
        </w:rPr>
        <w:t>和《环境影响评价技术导则</w:t>
      </w:r>
      <w:r>
        <w:rPr>
          <w:rFonts w:cs="Times New Roman"/>
          <w:spacing w:val="4"/>
        </w:rPr>
        <w:t xml:space="preserve"> </w:t>
      </w:r>
      <w:r>
        <w:rPr>
          <w:rFonts w:cs="Times New Roman"/>
          <w:spacing w:val="4"/>
        </w:rPr>
        <w:t>陆地石油天然气开发建设项目》（</w:t>
      </w:r>
      <w:r>
        <w:rPr>
          <w:rFonts w:cs="Times New Roman"/>
          <w:spacing w:val="4"/>
        </w:rPr>
        <w:t>HJ349-2023</w:t>
      </w:r>
      <w:r>
        <w:rPr>
          <w:rFonts w:cs="Times New Roman"/>
          <w:spacing w:val="4"/>
        </w:rPr>
        <w:t>）</w:t>
      </w:r>
      <w:bookmarkEnd w:id="1313"/>
      <w:bookmarkEnd w:id="1314"/>
      <w:r>
        <w:rPr>
          <w:rFonts w:cs="Times New Roman"/>
          <w:spacing w:val="4"/>
        </w:rPr>
        <w:t>，本工程所在区域属于土壤盐化地区，本工程项目类别应按照土壤污染影响型和生态影响型考虑</w:t>
      </w:r>
      <w:r>
        <w:rPr>
          <w:rFonts w:cs="Times New Roman" w:hint="eastAsia"/>
          <w:spacing w:val="4"/>
        </w:rPr>
        <w:t>。根据</w:t>
      </w:r>
      <w:r>
        <w:rPr>
          <w:rFonts w:cs="Times New Roman"/>
          <w:spacing w:val="4"/>
        </w:rPr>
        <w:t>《环境影响评价技术导则</w:t>
      </w:r>
      <w:r>
        <w:rPr>
          <w:rFonts w:cs="Times New Roman"/>
          <w:spacing w:val="4"/>
        </w:rPr>
        <w:t xml:space="preserve"> </w:t>
      </w:r>
      <w:r>
        <w:rPr>
          <w:rFonts w:cs="Times New Roman"/>
          <w:spacing w:val="4"/>
        </w:rPr>
        <w:t>土壤环境（试行）》（</w:t>
      </w:r>
      <w:r>
        <w:rPr>
          <w:rFonts w:cs="Times New Roman"/>
          <w:spacing w:val="4"/>
        </w:rPr>
        <w:t>HJ964-2018</w:t>
      </w:r>
      <w:r>
        <w:rPr>
          <w:rFonts w:cs="Times New Roman"/>
          <w:spacing w:val="4"/>
        </w:rPr>
        <w:t>）</w:t>
      </w:r>
      <w:r>
        <w:t>布点要求，本评价在占地范围内设置</w:t>
      </w:r>
      <w:r>
        <w:rPr>
          <w:rFonts w:hint="eastAsia"/>
        </w:rPr>
        <w:t>3</w:t>
      </w:r>
      <w:r>
        <w:t>个柱状样和</w:t>
      </w:r>
      <w:r>
        <w:rPr>
          <w:rFonts w:hint="eastAsia"/>
        </w:rPr>
        <w:t>3</w:t>
      </w:r>
      <w:r>
        <w:t>个表层样，占地范围外设置</w:t>
      </w:r>
      <w:r>
        <w:rPr>
          <w:rFonts w:hint="eastAsia"/>
        </w:rPr>
        <w:t>4</w:t>
      </w:r>
      <w:r>
        <w:t>个表层样；</w:t>
      </w:r>
      <w:bookmarkStart w:id="1315" w:name="OLE_LINK993"/>
      <w:r>
        <w:t>土壤类型</w:t>
      </w:r>
      <w:bookmarkEnd w:id="1315"/>
      <w:r>
        <w:rPr>
          <w:rFonts w:hint="eastAsia"/>
        </w:rPr>
        <w:t>主要</w:t>
      </w:r>
      <w:r>
        <w:t>为</w:t>
      </w:r>
      <w:r>
        <w:rPr>
          <w:rFonts w:hint="eastAsia"/>
        </w:rPr>
        <w:t>潮土</w:t>
      </w:r>
      <w:r>
        <w:t>。土壤监测布点符合</w:t>
      </w:r>
      <w:r>
        <w:rPr>
          <w:rFonts w:cs="Times New Roman"/>
          <w:spacing w:val="4"/>
        </w:rPr>
        <w:t>《环境影响评价技术导则</w:t>
      </w:r>
      <w:r>
        <w:rPr>
          <w:rFonts w:cs="Times New Roman"/>
          <w:spacing w:val="4"/>
        </w:rPr>
        <w:t xml:space="preserve"> </w:t>
      </w:r>
      <w:r>
        <w:rPr>
          <w:rFonts w:cs="Times New Roman"/>
          <w:spacing w:val="4"/>
        </w:rPr>
        <w:t>土壤环境（试行）》（</w:t>
      </w:r>
      <w:r>
        <w:rPr>
          <w:rFonts w:cs="Times New Roman"/>
          <w:spacing w:val="4"/>
        </w:rPr>
        <w:t>HJ964-2018</w:t>
      </w:r>
      <w:r>
        <w:rPr>
          <w:rFonts w:cs="Times New Roman"/>
          <w:spacing w:val="4"/>
        </w:rPr>
        <w:t>）和《环境影响评价技术导则</w:t>
      </w:r>
      <w:r>
        <w:rPr>
          <w:rFonts w:cs="Times New Roman"/>
          <w:spacing w:val="4"/>
        </w:rPr>
        <w:t xml:space="preserve"> </w:t>
      </w:r>
      <w:r>
        <w:rPr>
          <w:rFonts w:cs="Times New Roman"/>
          <w:spacing w:val="4"/>
        </w:rPr>
        <w:t>陆地石油天然气开发建设项目》（</w:t>
      </w:r>
      <w:r>
        <w:rPr>
          <w:rFonts w:cs="Times New Roman"/>
          <w:spacing w:val="4"/>
        </w:rPr>
        <w:t>HJ349-2023</w:t>
      </w:r>
      <w:r>
        <w:rPr>
          <w:rFonts w:cs="Times New Roman"/>
          <w:spacing w:val="4"/>
        </w:rPr>
        <w:t>）</w:t>
      </w:r>
      <w:r>
        <w:rPr>
          <w:rFonts w:cs="Times New Roman" w:hint="eastAsia"/>
          <w:spacing w:val="4"/>
        </w:rPr>
        <w:t>中</w:t>
      </w:r>
      <w:r>
        <w:t>污染影响型和生态影响型项目布点要求。</w:t>
      </w:r>
    </w:p>
    <w:p w:rsidR="00C645C9" w:rsidRDefault="00F955D9">
      <w:pPr>
        <w:adjustRightInd w:val="0"/>
        <w:snapToGrid w:val="0"/>
        <w:spacing w:line="360" w:lineRule="auto"/>
        <w:ind w:firstLineChars="200" w:firstLine="480"/>
        <w:jc w:val="both"/>
      </w:pPr>
      <w:bookmarkStart w:id="1316" w:name="OLE_LINK561"/>
      <w:r>
        <w:t>（</w:t>
      </w:r>
      <w:r>
        <w:t>1</w:t>
      </w:r>
      <w:r>
        <w:t>）</w:t>
      </w:r>
      <w:r>
        <w:rPr>
          <w:rFonts w:cs="Times New Roman"/>
          <w:spacing w:val="4"/>
        </w:rPr>
        <w:t>监测布点</w:t>
      </w:r>
      <w:bookmarkEnd w:id="1316"/>
    </w:p>
    <w:p w:rsidR="00C645C9" w:rsidRDefault="00F955D9">
      <w:pPr>
        <w:adjustRightInd w:val="0"/>
        <w:snapToGrid w:val="0"/>
        <w:spacing w:line="360" w:lineRule="auto"/>
        <w:ind w:firstLineChars="200" w:firstLine="496"/>
        <w:jc w:val="both"/>
      </w:pPr>
      <w:r>
        <w:rPr>
          <w:rFonts w:cs="Times New Roman"/>
          <w:spacing w:val="4"/>
        </w:rPr>
        <w:t>根据项目区域土壤类型的特点，以及土地利用方式，分为建设用地和农用地进行评价。</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①</w:t>
      </w:r>
      <w:r>
        <w:rPr>
          <w:rFonts w:cs="Times New Roman"/>
          <w:spacing w:val="4"/>
        </w:rPr>
        <w:t>占地范围内：</w:t>
      </w:r>
    </w:p>
    <w:p w:rsidR="00C645C9" w:rsidRDefault="00F955D9">
      <w:pPr>
        <w:adjustRightInd w:val="0"/>
        <w:snapToGrid w:val="0"/>
        <w:spacing w:line="360" w:lineRule="auto"/>
        <w:ind w:firstLineChars="200" w:firstLine="496"/>
        <w:jc w:val="both"/>
        <w:rPr>
          <w:rFonts w:cs="Times New Roman"/>
          <w:spacing w:val="4"/>
        </w:rPr>
      </w:pPr>
      <w:bookmarkStart w:id="1317" w:name="OLE_LINK554"/>
      <w:r>
        <w:rPr>
          <w:rFonts w:cs="Times New Roman"/>
          <w:spacing w:val="4"/>
        </w:rPr>
        <w:t>占地范围内共</w:t>
      </w:r>
      <w:r>
        <w:rPr>
          <w:rFonts w:cs="Times New Roman" w:hint="eastAsia"/>
          <w:spacing w:val="4"/>
        </w:rPr>
        <w:t>布设</w:t>
      </w:r>
      <w:r>
        <w:rPr>
          <w:rFonts w:cs="Times New Roman" w:hint="eastAsia"/>
          <w:spacing w:val="4"/>
        </w:rPr>
        <w:t>3</w:t>
      </w:r>
      <w:bookmarkStart w:id="1318" w:name="OLE_LINK556"/>
      <w:r>
        <w:rPr>
          <w:rFonts w:cs="Times New Roman"/>
          <w:spacing w:val="4"/>
        </w:rPr>
        <w:t>个</w:t>
      </w:r>
      <w:r>
        <w:rPr>
          <w:rFonts w:cs="Times New Roman" w:hint="eastAsia"/>
          <w:spacing w:val="4"/>
        </w:rPr>
        <w:t>表层</w:t>
      </w:r>
      <w:r>
        <w:rPr>
          <w:rFonts w:cs="Times New Roman"/>
          <w:spacing w:val="4"/>
        </w:rPr>
        <w:t>样监测点</w:t>
      </w:r>
      <w:bookmarkEnd w:id="1318"/>
      <w:r>
        <w:rPr>
          <w:rFonts w:cs="Times New Roman"/>
          <w:spacing w:val="4"/>
        </w:rPr>
        <w:t>：</w:t>
      </w:r>
      <w:bookmarkStart w:id="1319" w:name="OLE_LINK574"/>
      <w:r>
        <w:rPr>
          <w:rFonts w:cs="Times New Roman"/>
          <w:spacing w:val="4"/>
        </w:rPr>
        <w:t>TN1</w:t>
      </w:r>
      <w:r>
        <w:rPr>
          <w:rFonts w:cs="Times New Roman"/>
          <w:spacing w:val="4"/>
        </w:rPr>
        <w:t>（新北</w:t>
      </w:r>
      <w:r>
        <w:rPr>
          <w:rFonts w:cs="Times New Roman"/>
          <w:spacing w:val="4"/>
        </w:rPr>
        <w:t>1X</w:t>
      </w:r>
      <w:r>
        <w:rPr>
          <w:rFonts w:cs="Times New Roman"/>
          <w:spacing w:val="4"/>
        </w:rPr>
        <w:t>井）、</w:t>
      </w:r>
      <w:r>
        <w:rPr>
          <w:rFonts w:cs="Times New Roman"/>
          <w:spacing w:val="4"/>
        </w:rPr>
        <w:t>TN2</w:t>
      </w:r>
      <w:r>
        <w:rPr>
          <w:rFonts w:cs="Times New Roman"/>
          <w:spacing w:val="4"/>
        </w:rPr>
        <w:t>（新北</w:t>
      </w:r>
      <w:r>
        <w:rPr>
          <w:rFonts w:cs="Times New Roman"/>
          <w:spacing w:val="4"/>
        </w:rPr>
        <w:t>1X</w:t>
      </w:r>
      <w:r>
        <w:rPr>
          <w:rFonts w:cs="Times New Roman"/>
          <w:spacing w:val="4"/>
        </w:rPr>
        <w:t>井东侧）、</w:t>
      </w:r>
      <w:r>
        <w:rPr>
          <w:rFonts w:cs="Times New Roman"/>
          <w:spacing w:val="4"/>
        </w:rPr>
        <w:t>TN3</w:t>
      </w:r>
      <w:r>
        <w:rPr>
          <w:rFonts w:cs="Times New Roman"/>
          <w:spacing w:val="4"/>
        </w:rPr>
        <w:t>（新北</w:t>
      </w:r>
      <w:r>
        <w:rPr>
          <w:rFonts w:cs="Times New Roman"/>
          <w:spacing w:val="4"/>
        </w:rPr>
        <w:t>1X</w:t>
      </w:r>
      <w:r>
        <w:rPr>
          <w:rFonts w:cs="Times New Roman"/>
          <w:spacing w:val="4"/>
        </w:rPr>
        <w:t>井北侧）</w:t>
      </w:r>
      <w:bookmarkEnd w:id="1319"/>
      <w:r>
        <w:rPr>
          <w:rFonts w:cs="Times New Roman"/>
          <w:spacing w:val="4"/>
        </w:rPr>
        <w:t>。</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占地范围内共</w:t>
      </w:r>
      <w:r>
        <w:rPr>
          <w:rFonts w:cs="Times New Roman" w:hint="eastAsia"/>
          <w:spacing w:val="4"/>
        </w:rPr>
        <w:t>布设</w:t>
      </w:r>
      <w:r>
        <w:rPr>
          <w:rFonts w:cs="Times New Roman" w:hint="eastAsia"/>
          <w:spacing w:val="4"/>
        </w:rPr>
        <w:t>3</w:t>
      </w:r>
      <w:r>
        <w:rPr>
          <w:rFonts w:cs="Times New Roman"/>
          <w:spacing w:val="4"/>
        </w:rPr>
        <w:t>个柱状样监测点</w:t>
      </w:r>
      <w:bookmarkEnd w:id="1317"/>
      <w:r>
        <w:rPr>
          <w:rFonts w:cs="Times New Roman"/>
          <w:spacing w:val="4"/>
        </w:rPr>
        <w:t>：</w:t>
      </w:r>
      <w:bookmarkStart w:id="1320" w:name="OLE_LINK555"/>
      <w:r>
        <w:rPr>
          <w:rFonts w:cs="Times New Roman"/>
          <w:spacing w:val="4"/>
        </w:rPr>
        <w:t>TN1</w:t>
      </w:r>
      <w:r>
        <w:rPr>
          <w:rFonts w:cs="Times New Roman"/>
          <w:spacing w:val="4"/>
        </w:rPr>
        <w:t>（新北</w:t>
      </w:r>
      <w:r>
        <w:rPr>
          <w:rFonts w:cs="Times New Roman"/>
          <w:spacing w:val="4"/>
        </w:rPr>
        <w:t>1X</w:t>
      </w:r>
      <w:r>
        <w:rPr>
          <w:rFonts w:cs="Times New Roman"/>
          <w:spacing w:val="4"/>
        </w:rPr>
        <w:t>井）、</w:t>
      </w:r>
      <w:r>
        <w:rPr>
          <w:rFonts w:cs="Times New Roman"/>
          <w:spacing w:val="4"/>
        </w:rPr>
        <w:t>TN2</w:t>
      </w:r>
      <w:r>
        <w:rPr>
          <w:rFonts w:cs="Times New Roman"/>
          <w:spacing w:val="4"/>
        </w:rPr>
        <w:t>（新北</w:t>
      </w:r>
      <w:r>
        <w:rPr>
          <w:rFonts w:cs="Times New Roman"/>
          <w:spacing w:val="4"/>
        </w:rPr>
        <w:t>1X</w:t>
      </w:r>
      <w:r>
        <w:rPr>
          <w:rFonts w:cs="Times New Roman"/>
          <w:spacing w:val="4"/>
        </w:rPr>
        <w:t>井东侧）、</w:t>
      </w:r>
      <w:r>
        <w:rPr>
          <w:rFonts w:cs="Times New Roman"/>
          <w:spacing w:val="4"/>
        </w:rPr>
        <w:t>TN3</w:t>
      </w:r>
      <w:r>
        <w:rPr>
          <w:rFonts w:cs="Times New Roman"/>
          <w:spacing w:val="4"/>
        </w:rPr>
        <w:t>（新北</w:t>
      </w:r>
      <w:r>
        <w:rPr>
          <w:rFonts w:cs="Times New Roman"/>
          <w:spacing w:val="4"/>
        </w:rPr>
        <w:t>1X</w:t>
      </w:r>
      <w:r>
        <w:rPr>
          <w:rFonts w:cs="Times New Roman"/>
          <w:spacing w:val="4"/>
        </w:rPr>
        <w:t>井北侧）</w:t>
      </w:r>
      <w:bookmarkEnd w:id="1320"/>
      <w:r>
        <w:rPr>
          <w:rFonts w:cs="Times New Roman"/>
          <w:spacing w:val="4"/>
        </w:rPr>
        <w:t>；</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②</w:t>
      </w:r>
      <w:r>
        <w:rPr>
          <w:rFonts w:cs="Times New Roman"/>
          <w:spacing w:val="4"/>
        </w:rPr>
        <w:t>占地范围外：</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占地范围外</w:t>
      </w:r>
      <w:r>
        <w:rPr>
          <w:rFonts w:cs="Times New Roman" w:hint="eastAsia"/>
          <w:spacing w:val="4"/>
        </w:rPr>
        <w:t>共</w:t>
      </w:r>
      <w:r>
        <w:rPr>
          <w:rFonts w:cs="Times New Roman"/>
          <w:spacing w:val="4"/>
        </w:rPr>
        <w:t>布设</w:t>
      </w:r>
      <w:r>
        <w:rPr>
          <w:rFonts w:cs="Times New Roman" w:hint="eastAsia"/>
          <w:spacing w:val="4"/>
        </w:rPr>
        <w:t>4</w:t>
      </w:r>
      <w:r>
        <w:rPr>
          <w:rFonts w:cs="Times New Roman"/>
          <w:spacing w:val="4"/>
        </w:rPr>
        <w:t>个</w:t>
      </w:r>
      <w:r>
        <w:rPr>
          <w:rFonts w:cs="Times New Roman" w:hint="eastAsia"/>
          <w:spacing w:val="4"/>
        </w:rPr>
        <w:t>表层</w:t>
      </w:r>
      <w:r>
        <w:rPr>
          <w:rFonts w:cs="Times New Roman"/>
          <w:spacing w:val="4"/>
        </w:rPr>
        <w:t>样监测点：</w:t>
      </w:r>
      <w:bookmarkStart w:id="1321" w:name="OLE_LINK559"/>
      <w:r>
        <w:rPr>
          <w:rFonts w:cs="Times New Roman"/>
          <w:spacing w:val="4"/>
        </w:rPr>
        <w:t>TW1</w:t>
      </w:r>
      <w:r>
        <w:rPr>
          <w:rFonts w:cs="Times New Roman"/>
          <w:spacing w:val="4"/>
        </w:rPr>
        <w:t>（新北</w:t>
      </w:r>
      <w:r>
        <w:rPr>
          <w:rFonts w:cs="Times New Roman"/>
          <w:spacing w:val="4"/>
        </w:rPr>
        <w:t>1X</w:t>
      </w:r>
      <w:r>
        <w:rPr>
          <w:rFonts w:cs="Times New Roman"/>
          <w:spacing w:val="4"/>
        </w:rPr>
        <w:t>井井场东侧外</w:t>
      </w:r>
      <w:r>
        <w:rPr>
          <w:rFonts w:cs="Times New Roman"/>
          <w:spacing w:val="4"/>
        </w:rPr>
        <w:t>50m</w:t>
      </w:r>
      <w:r>
        <w:rPr>
          <w:rFonts w:cs="Times New Roman"/>
          <w:spacing w:val="4"/>
        </w:rPr>
        <w:t>）、</w:t>
      </w:r>
      <w:r>
        <w:rPr>
          <w:rFonts w:cs="Times New Roman"/>
          <w:spacing w:val="4"/>
        </w:rPr>
        <w:t>TW2</w:t>
      </w:r>
      <w:r>
        <w:rPr>
          <w:rFonts w:cs="Times New Roman"/>
          <w:spacing w:val="4"/>
        </w:rPr>
        <w:t>（新北</w:t>
      </w:r>
      <w:r>
        <w:rPr>
          <w:rFonts w:cs="Times New Roman"/>
          <w:spacing w:val="4"/>
        </w:rPr>
        <w:t>1X</w:t>
      </w:r>
      <w:r>
        <w:rPr>
          <w:rFonts w:cs="Times New Roman"/>
          <w:spacing w:val="4"/>
        </w:rPr>
        <w:t>井井场南侧外</w:t>
      </w:r>
      <w:r>
        <w:rPr>
          <w:rFonts w:cs="Times New Roman"/>
          <w:spacing w:val="4"/>
        </w:rPr>
        <w:t>50m</w:t>
      </w:r>
      <w:r>
        <w:rPr>
          <w:rFonts w:cs="Times New Roman"/>
          <w:spacing w:val="4"/>
        </w:rPr>
        <w:t>）、</w:t>
      </w:r>
      <w:r>
        <w:rPr>
          <w:rFonts w:cs="Times New Roman"/>
          <w:spacing w:val="4"/>
        </w:rPr>
        <w:t>TW3</w:t>
      </w:r>
      <w:r>
        <w:rPr>
          <w:rFonts w:cs="Times New Roman"/>
          <w:spacing w:val="4"/>
        </w:rPr>
        <w:t>（新北</w:t>
      </w:r>
      <w:r>
        <w:rPr>
          <w:rFonts w:cs="Times New Roman"/>
          <w:spacing w:val="4"/>
        </w:rPr>
        <w:t>1X</w:t>
      </w:r>
      <w:r>
        <w:rPr>
          <w:rFonts w:cs="Times New Roman"/>
          <w:spacing w:val="4"/>
        </w:rPr>
        <w:t>井井场西侧外</w:t>
      </w:r>
      <w:r>
        <w:rPr>
          <w:rFonts w:cs="Times New Roman"/>
          <w:spacing w:val="4"/>
        </w:rPr>
        <w:t>50m</w:t>
      </w:r>
      <w:r>
        <w:rPr>
          <w:rFonts w:cs="Times New Roman"/>
          <w:spacing w:val="4"/>
        </w:rPr>
        <w:t>）、</w:t>
      </w:r>
      <w:r>
        <w:rPr>
          <w:rFonts w:cs="Times New Roman"/>
          <w:spacing w:val="4"/>
        </w:rPr>
        <w:t>TW4</w:t>
      </w:r>
      <w:r>
        <w:rPr>
          <w:rFonts w:cs="Times New Roman"/>
          <w:spacing w:val="4"/>
        </w:rPr>
        <w:t>（</w:t>
      </w:r>
      <w:r>
        <w:rPr>
          <w:rFonts w:cs="Times New Roman" w:hint="eastAsia"/>
          <w:spacing w:val="4"/>
        </w:rPr>
        <w:t>新北</w:t>
      </w:r>
      <w:r>
        <w:rPr>
          <w:rFonts w:cs="Times New Roman" w:hint="eastAsia"/>
          <w:spacing w:val="4"/>
        </w:rPr>
        <w:t>1X</w:t>
      </w:r>
      <w:r>
        <w:rPr>
          <w:rFonts w:cs="Times New Roman" w:hint="eastAsia"/>
          <w:spacing w:val="4"/>
        </w:rPr>
        <w:t>井井场北侧外</w:t>
      </w:r>
      <w:r>
        <w:rPr>
          <w:rFonts w:cs="Times New Roman" w:hint="eastAsia"/>
          <w:spacing w:val="4"/>
        </w:rPr>
        <w:t>50m</w:t>
      </w:r>
      <w:r>
        <w:rPr>
          <w:rFonts w:cs="Times New Roman"/>
          <w:spacing w:val="4"/>
        </w:rPr>
        <w:t>）</w:t>
      </w:r>
      <w:bookmarkEnd w:id="1321"/>
      <w:r>
        <w:rPr>
          <w:rFonts w:cs="Times New Roman"/>
          <w:spacing w:val="4"/>
        </w:rPr>
        <w:t>。</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具体监测点位及监测因子见表</w:t>
      </w:r>
      <w:r>
        <w:rPr>
          <w:rFonts w:cs="Times New Roman"/>
          <w:spacing w:val="4"/>
        </w:rPr>
        <w:t>4.5-</w:t>
      </w:r>
      <w:r>
        <w:rPr>
          <w:rFonts w:cs="Times New Roman" w:hint="eastAsia"/>
          <w:spacing w:val="4"/>
        </w:rPr>
        <w:t>2</w:t>
      </w:r>
      <w:r>
        <w:rPr>
          <w:rFonts w:cs="Times New Roman"/>
          <w:spacing w:val="4"/>
        </w:rPr>
        <w:t>。</w:t>
      </w:r>
    </w:p>
    <w:p w:rsidR="00C645C9" w:rsidRDefault="00F955D9">
      <w:pPr>
        <w:pStyle w:val="a5"/>
        <w:snapToGrid w:val="0"/>
        <w:spacing w:line="240" w:lineRule="auto"/>
        <w:jc w:val="center"/>
        <w:rPr>
          <w:rFonts w:ascii="Times New Roman" w:eastAsia="黑体" w:hAnsi="Times New Roman" w:cs="Times New Roman"/>
          <w:kern w:val="10"/>
          <w:sz w:val="21"/>
          <w:szCs w:val="21"/>
        </w:rPr>
      </w:pPr>
      <w:r>
        <w:rPr>
          <w:rFonts w:ascii="Times New Roman" w:eastAsia="黑体" w:hAnsi="Times New Roman" w:cs="Times New Roman"/>
          <w:kern w:val="10"/>
          <w:sz w:val="21"/>
          <w:szCs w:val="21"/>
        </w:rPr>
        <w:t>表</w:t>
      </w:r>
      <w:r>
        <w:rPr>
          <w:rFonts w:ascii="Times New Roman" w:eastAsia="黑体" w:hAnsi="Times New Roman" w:cs="Times New Roman"/>
          <w:kern w:val="10"/>
          <w:sz w:val="21"/>
          <w:szCs w:val="21"/>
        </w:rPr>
        <w:t>4.5-</w:t>
      </w:r>
      <w:r>
        <w:rPr>
          <w:rFonts w:ascii="Times New Roman" w:eastAsia="黑体" w:hAnsi="Times New Roman" w:cs="Times New Roman" w:hint="eastAsia"/>
          <w:kern w:val="10"/>
          <w:sz w:val="21"/>
          <w:szCs w:val="21"/>
        </w:rPr>
        <w:t>2</w:t>
      </w:r>
      <w:r>
        <w:rPr>
          <w:rFonts w:ascii="Times New Roman" w:eastAsia="黑体" w:hAnsi="Times New Roman" w:cs="Times New Roman"/>
          <w:kern w:val="10"/>
          <w:sz w:val="21"/>
          <w:szCs w:val="21"/>
        </w:rPr>
        <w:t xml:space="preserve">   </w:t>
      </w:r>
      <w:r>
        <w:rPr>
          <w:rFonts w:ascii="Times New Roman" w:eastAsia="黑体" w:hAnsi="Times New Roman" w:cs="Times New Roman"/>
          <w:kern w:val="10"/>
          <w:sz w:val="21"/>
          <w:szCs w:val="21"/>
        </w:rPr>
        <w:t>土壤监测点位及监测项目表</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1114"/>
        <w:gridCol w:w="2220"/>
        <w:gridCol w:w="1540"/>
        <w:gridCol w:w="3480"/>
        <w:gridCol w:w="646"/>
      </w:tblGrid>
      <w:tr w:rsidR="00C645C9">
        <w:trPr>
          <w:trHeight w:val="426"/>
          <w:jc w:val="center"/>
        </w:trPr>
        <w:tc>
          <w:tcPr>
            <w:tcW w:w="403" w:type="dxa"/>
            <w:shd w:val="clear" w:color="auto" w:fill="auto"/>
            <w:vAlign w:val="center"/>
          </w:tcPr>
          <w:p w:rsidR="00C645C9" w:rsidRDefault="00F955D9">
            <w:pPr>
              <w:pStyle w:val="affff1"/>
              <w:snapToGrid w:val="0"/>
              <w:rPr>
                <w:rFonts w:cs="Times New Roman"/>
                <w:szCs w:val="21"/>
              </w:rPr>
            </w:pPr>
            <w:r>
              <w:rPr>
                <w:rFonts w:cs="Times New Roman"/>
                <w:szCs w:val="21"/>
              </w:rPr>
              <w:t>分类</w:t>
            </w:r>
          </w:p>
        </w:tc>
        <w:tc>
          <w:tcPr>
            <w:tcW w:w="1114" w:type="dxa"/>
            <w:shd w:val="clear" w:color="auto" w:fill="auto"/>
            <w:vAlign w:val="center"/>
          </w:tcPr>
          <w:p w:rsidR="00C645C9" w:rsidRDefault="00F955D9">
            <w:pPr>
              <w:pStyle w:val="affff1"/>
              <w:snapToGrid w:val="0"/>
              <w:rPr>
                <w:rFonts w:cs="Times New Roman"/>
                <w:szCs w:val="21"/>
              </w:rPr>
            </w:pPr>
            <w:r>
              <w:rPr>
                <w:rFonts w:cs="Times New Roman"/>
                <w:szCs w:val="21"/>
              </w:rPr>
              <w:t>采样层位</w:t>
            </w:r>
          </w:p>
        </w:tc>
        <w:tc>
          <w:tcPr>
            <w:tcW w:w="2220" w:type="dxa"/>
            <w:shd w:val="clear" w:color="auto" w:fill="auto"/>
            <w:vAlign w:val="center"/>
          </w:tcPr>
          <w:p w:rsidR="00C645C9" w:rsidRDefault="00F955D9">
            <w:pPr>
              <w:pStyle w:val="affff1"/>
              <w:snapToGrid w:val="0"/>
              <w:rPr>
                <w:rFonts w:cs="Times New Roman"/>
                <w:szCs w:val="21"/>
              </w:rPr>
            </w:pPr>
            <w:r>
              <w:rPr>
                <w:rFonts w:cs="Times New Roman"/>
                <w:szCs w:val="21"/>
              </w:rPr>
              <w:t>采样区名称</w:t>
            </w:r>
          </w:p>
        </w:tc>
        <w:tc>
          <w:tcPr>
            <w:tcW w:w="1540" w:type="dxa"/>
            <w:shd w:val="clear" w:color="auto" w:fill="auto"/>
            <w:vAlign w:val="center"/>
          </w:tcPr>
          <w:p w:rsidR="00C645C9" w:rsidRDefault="00F955D9">
            <w:pPr>
              <w:pStyle w:val="affff1"/>
              <w:snapToGrid w:val="0"/>
              <w:rPr>
                <w:rFonts w:cs="Times New Roman"/>
                <w:szCs w:val="21"/>
              </w:rPr>
            </w:pPr>
            <w:r>
              <w:rPr>
                <w:rFonts w:cs="Times New Roman"/>
                <w:szCs w:val="21"/>
              </w:rPr>
              <w:t>地理坐标</w:t>
            </w:r>
          </w:p>
        </w:tc>
        <w:tc>
          <w:tcPr>
            <w:tcW w:w="3480" w:type="dxa"/>
            <w:shd w:val="clear" w:color="auto" w:fill="auto"/>
            <w:vAlign w:val="center"/>
          </w:tcPr>
          <w:p w:rsidR="00C645C9" w:rsidRDefault="00F955D9">
            <w:pPr>
              <w:pStyle w:val="affff1"/>
              <w:snapToGrid w:val="0"/>
              <w:rPr>
                <w:rFonts w:cs="Times New Roman"/>
                <w:szCs w:val="21"/>
              </w:rPr>
            </w:pPr>
            <w:r>
              <w:rPr>
                <w:rFonts w:cs="Times New Roman"/>
                <w:szCs w:val="21"/>
              </w:rPr>
              <w:t>监测因子</w:t>
            </w:r>
          </w:p>
        </w:tc>
        <w:tc>
          <w:tcPr>
            <w:tcW w:w="646" w:type="dxa"/>
            <w:shd w:val="clear" w:color="auto" w:fill="auto"/>
            <w:vAlign w:val="center"/>
          </w:tcPr>
          <w:p w:rsidR="00C645C9" w:rsidRDefault="00F955D9">
            <w:pPr>
              <w:pStyle w:val="affff1"/>
              <w:snapToGrid w:val="0"/>
              <w:rPr>
                <w:rFonts w:cs="Times New Roman"/>
                <w:szCs w:val="21"/>
              </w:rPr>
            </w:pPr>
            <w:r>
              <w:rPr>
                <w:rFonts w:cs="Times New Roman"/>
                <w:szCs w:val="21"/>
              </w:rPr>
              <w:t>备注</w:t>
            </w:r>
          </w:p>
        </w:tc>
      </w:tr>
      <w:tr w:rsidR="00C645C9">
        <w:trPr>
          <w:trHeight w:val="269"/>
          <w:jc w:val="center"/>
        </w:trPr>
        <w:tc>
          <w:tcPr>
            <w:tcW w:w="403" w:type="dxa"/>
            <w:vMerge w:val="restart"/>
            <w:shd w:val="clear" w:color="auto" w:fill="auto"/>
            <w:vAlign w:val="center"/>
          </w:tcPr>
          <w:p w:rsidR="00C645C9" w:rsidRDefault="00F955D9">
            <w:pPr>
              <w:pStyle w:val="affff1"/>
              <w:snapToGrid w:val="0"/>
              <w:rPr>
                <w:rFonts w:cs="Times New Roman"/>
                <w:szCs w:val="21"/>
              </w:rPr>
            </w:pPr>
            <w:bookmarkStart w:id="1322" w:name="OLE_LINK557" w:colFirst="3" w:colLast="3"/>
            <w:bookmarkStart w:id="1323" w:name="OLE_LINK558" w:colFirst="2" w:colLast="2"/>
            <w:r>
              <w:rPr>
                <w:rFonts w:cs="Times New Roman"/>
                <w:szCs w:val="21"/>
              </w:rPr>
              <w:t>占地范围内（建设</w:t>
            </w:r>
            <w:r>
              <w:rPr>
                <w:rFonts w:cs="Times New Roman"/>
                <w:szCs w:val="21"/>
              </w:rPr>
              <w:lastRenderedPageBreak/>
              <w:t>用地标准）</w:t>
            </w:r>
          </w:p>
        </w:tc>
        <w:tc>
          <w:tcPr>
            <w:tcW w:w="1114" w:type="dxa"/>
            <w:vMerge w:val="restart"/>
            <w:shd w:val="clear" w:color="auto" w:fill="auto"/>
            <w:vAlign w:val="center"/>
          </w:tcPr>
          <w:p w:rsidR="00C645C9" w:rsidRDefault="00F955D9">
            <w:pPr>
              <w:pStyle w:val="affff1"/>
              <w:snapToGrid w:val="0"/>
              <w:rPr>
                <w:rFonts w:cs="Times New Roman"/>
                <w:szCs w:val="21"/>
              </w:rPr>
            </w:pPr>
            <w:r>
              <w:rPr>
                <w:rFonts w:cs="Times New Roman"/>
                <w:szCs w:val="21"/>
              </w:rPr>
              <w:lastRenderedPageBreak/>
              <w:t>表层样</w:t>
            </w:r>
          </w:p>
        </w:tc>
        <w:tc>
          <w:tcPr>
            <w:tcW w:w="2220" w:type="dxa"/>
            <w:shd w:val="clear" w:color="auto" w:fill="auto"/>
            <w:vAlign w:val="center"/>
          </w:tcPr>
          <w:p w:rsidR="00C645C9" w:rsidRDefault="00F955D9">
            <w:pPr>
              <w:pStyle w:val="affff1"/>
              <w:snapToGrid w:val="0"/>
              <w:rPr>
                <w:rFonts w:cs="Times New Roman"/>
                <w:szCs w:val="21"/>
              </w:rPr>
            </w:pPr>
            <w:r>
              <w:rPr>
                <w:rFonts w:cs="Times New Roman"/>
                <w:szCs w:val="21"/>
              </w:rPr>
              <w:t>TN1</w:t>
            </w:r>
            <w:r>
              <w:rPr>
                <w:rFonts w:cs="Times New Roman"/>
                <w:szCs w:val="21"/>
              </w:rPr>
              <w:t>（新北</w:t>
            </w:r>
            <w:r>
              <w:rPr>
                <w:rFonts w:cs="Times New Roman"/>
                <w:szCs w:val="21"/>
              </w:rPr>
              <w:t>1X</w:t>
            </w:r>
            <w:r>
              <w:rPr>
                <w:rFonts w:cs="Times New Roman"/>
                <w:szCs w:val="21"/>
              </w:rPr>
              <w:t>井）</w:t>
            </w:r>
          </w:p>
        </w:tc>
        <w:tc>
          <w:tcPr>
            <w:tcW w:w="1540" w:type="dxa"/>
            <w:shd w:val="clear" w:color="auto" w:fill="auto"/>
            <w:vAlign w:val="center"/>
          </w:tcPr>
          <w:p w:rsidR="00C645C9" w:rsidRDefault="00F955D9">
            <w:pPr>
              <w:pStyle w:val="affff1"/>
              <w:snapToGrid w:val="0"/>
              <w:rPr>
                <w:rFonts w:cs="Times New Roman"/>
                <w:szCs w:val="21"/>
              </w:rPr>
            </w:pPr>
            <w:bookmarkStart w:id="1324" w:name="OLE_LINK514"/>
            <w:r>
              <w:rPr>
                <w:rFonts w:cs="Times New Roman" w:hint="eastAsia"/>
                <w:szCs w:val="21"/>
              </w:rPr>
              <w:t>**</w:t>
            </w:r>
            <w:bookmarkEnd w:id="1324"/>
          </w:p>
        </w:tc>
        <w:tc>
          <w:tcPr>
            <w:tcW w:w="3480" w:type="dxa"/>
            <w:shd w:val="clear" w:color="auto" w:fill="auto"/>
            <w:vAlign w:val="center"/>
          </w:tcPr>
          <w:p w:rsidR="00C645C9" w:rsidRDefault="00F955D9">
            <w:pPr>
              <w:pStyle w:val="affff1"/>
              <w:snapToGrid w:val="0"/>
              <w:rPr>
                <w:rFonts w:cs="Times New Roman"/>
                <w:szCs w:val="21"/>
              </w:rPr>
            </w:pPr>
            <w:bookmarkStart w:id="1325" w:name="OLE_LINK570"/>
            <w:r>
              <w:rPr>
                <w:rFonts w:cs="Times New Roman"/>
                <w:szCs w:val="21"/>
              </w:rPr>
              <w:t>《土壤环境质量</w:t>
            </w:r>
            <w:r>
              <w:rPr>
                <w:rFonts w:cs="Times New Roman"/>
                <w:szCs w:val="21"/>
              </w:rPr>
              <w:t xml:space="preserve"> </w:t>
            </w:r>
            <w:r>
              <w:rPr>
                <w:rFonts w:cs="Times New Roman"/>
                <w:szCs w:val="21"/>
              </w:rPr>
              <w:t>建设用地土壤污染风险管控标准（试行）》（</w:t>
            </w:r>
            <w:r>
              <w:rPr>
                <w:rFonts w:cs="Times New Roman"/>
                <w:szCs w:val="21"/>
              </w:rPr>
              <w:t>GB36600-2018</w:t>
            </w:r>
            <w:r>
              <w:rPr>
                <w:rFonts w:cs="Times New Roman"/>
                <w:szCs w:val="21"/>
              </w:rPr>
              <w:t>）第二类用地的</w:t>
            </w:r>
            <w:r>
              <w:rPr>
                <w:rFonts w:cs="Times New Roman"/>
                <w:szCs w:val="21"/>
              </w:rPr>
              <w:t>45</w:t>
            </w:r>
            <w:r>
              <w:rPr>
                <w:rFonts w:cs="Times New Roman"/>
                <w:szCs w:val="21"/>
              </w:rPr>
              <w:t>项基本因子</w:t>
            </w:r>
            <w:r>
              <w:rPr>
                <w:rFonts w:cs="Times New Roman"/>
                <w:szCs w:val="21"/>
              </w:rPr>
              <w:t>+</w:t>
            </w:r>
            <w:r>
              <w:rPr>
                <w:rFonts w:cs="Times New Roman"/>
                <w:szCs w:val="21"/>
              </w:rPr>
              <w:t>特征因子：石油烃</w:t>
            </w:r>
            <w:r>
              <w:rPr>
                <w:rFonts w:cs="Times New Roman"/>
                <w:szCs w:val="21"/>
              </w:rPr>
              <w:t>+</w:t>
            </w:r>
            <w:r>
              <w:rPr>
                <w:rFonts w:cs="Times New Roman"/>
                <w:szCs w:val="21"/>
              </w:rPr>
              <w:t>土壤盐分含量</w:t>
            </w:r>
            <w:r>
              <w:rPr>
                <w:rFonts w:cs="Times New Roman"/>
                <w:szCs w:val="21"/>
              </w:rPr>
              <w:t>+</w:t>
            </w:r>
            <w:r>
              <w:rPr>
                <w:rFonts w:cs="Times New Roman" w:hint="eastAsia"/>
                <w:szCs w:val="21"/>
              </w:rPr>
              <w:t>p</w:t>
            </w:r>
            <w:r>
              <w:rPr>
                <w:rFonts w:cs="Times New Roman"/>
                <w:szCs w:val="21"/>
              </w:rPr>
              <w:t>H</w:t>
            </w:r>
            <w:bookmarkEnd w:id="1325"/>
          </w:p>
        </w:tc>
        <w:tc>
          <w:tcPr>
            <w:tcW w:w="646" w:type="dxa"/>
            <w:vMerge w:val="restart"/>
            <w:shd w:val="clear" w:color="auto" w:fill="auto"/>
            <w:vAlign w:val="center"/>
          </w:tcPr>
          <w:p w:rsidR="00C645C9" w:rsidRDefault="00F955D9">
            <w:pPr>
              <w:pStyle w:val="affff1"/>
              <w:snapToGrid w:val="0"/>
              <w:rPr>
                <w:rFonts w:cs="Times New Roman"/>
                <w:szCs w:val="21"/>
              </w:rPr>
            </w:pPr>
            <w:r>
              <w:rPr>
                <w:rFonts w:cs="Times New Roman"/>
                <w:szCs w:val="21"/>
              </w:rPr>
              <w:t>实测</w:t>
            </w:r>
          </w:p>
        </w:tc>
      </w:tr>
      <w:tr w:rsidR="00C645C9">
        <w:trPr>
          <w:trHeight w:val="269"/>
          <w:jc w:val="center"/>
        </w:trPr>
        <w:tc>
          <w:tcPr>
            <w:tcW w:w="403" w:type="dxa"/>
            <w:vMerge/>
            <w:shd w:val="clear" w:color="auto" w:fill="auto"/>
            <w:vAlign w:val="center"/>
          </w:tcPr>
          <w:p w:rsidR="00C645C9" w:rsidRDefault="00C645C9">
            <w:pPr>
              <w:pStyle w:val="affff1"/>
              <w:snapToGrid w:val="0"/>
              <w:jc w:val="both"/>
              <w:rPr>
                <w:rFonts w:cs="Times New Roman"/>
              </w:rPr>
            </w:pPr>
          </w:p>
        </w:tc>
        <w:tc>
          <w:tcPr>
            <w:tcW w:w="1114" w:type="dxa"/>
            <w:vMerge/>
            <w:shd w:val="clear" w:color="auto" w:fill="auto"/>
            <w:vAlign w:val="center"/>
          </w:tcPr>
          <w:p w:rsidR="00C645C9" w:rsidRDefault="00C645C9">
            <w:pPr>
              <w:pStyle w:val="affff1"/>
              <w:snapToGrid w:val="0"/>
              <w:jc w:val="both"/>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TN2</w:t>
            </w:r>
            <w:r>
              <w:rPr>
                <w:rFonts w:cs="Times New Roman"/>
                <w:szCs w:val="21"/>
              </w:rPr>
              <w:t>（新北</w:t>
            </w:r>
            <w:r>
              <w:rPr>
                <w:rFonts w:cs="Times New Roman"/>
                <w:szCs w:val="21"/>
              </w:rPr>
              <w:t>1X</w:t>
            </w:r>
            <w:r>
              <w:rPr>
                <w:rFonts w:cs="Times New Roman"/>
                <w:szCs w:val="21"/>
              </w:rPr>
              <w:t>井东侧）</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val="restart"/>
            <w:shd w:val="clear" w:color="auto" w:fill="auto"/>
            <w:vAlign w:val="center"/>
          </w:tcPr>
          <w:p w:rsidR="00C645C9" w:rsidRDefault="00F955D9">
            <w:pPr>
              <w:pStyle w:val="affff1"/>
              <w:snapToGrid w:val="0"/>
              <w:rPr>
                <w:rFonts w:cs="Times New Roman"/>
              </w:rPr>
            </w:pPr>
            <w:r>
              <w:rPr>
                <w:rFonts w:cs="Times New Roman" w:hint="eastAsia"/>
                <w:szCs w:val="21"/>
              </w:rPr>
              <w:t>p</w:t>
            </w:r>
            <w:r>
              <w:rPr>
                <w:rFonts w:cs="Times New Roman"/>
                <w:szCs w:val="21"/>
              </w:rPr>
              <w:t>H+</w:t>
            </w:r>
            <w:r>
              <w:rPr>
                <w:rFonts w:cs="Times New Roman"/>
                <w:szCs w:val="21"/>
              </w:rPr>
              <w:t>石油烃</w:t>
            </w:r>
            <w:r>
              <w:rPr>
                <w:rFonts w:cs="Times New Roman"/>
                <w:szCs w:val="21"/>
              </w:rPr>
              <w:t>+</w:t>
            </w:r>
            <w:r>
              <w:rPr>
                <w:rFonts w:cs="Times New Roman"/>
                <w:szCs w:val="21"/>
              </w:rPr>
              <w:t>土壤盐分含量</w:t>
            </w:r>
          </w:p>
        </w:tc>
        <w:tc>
          <w:tcPr>
            <w:tcW w:w="646" w:type="dxa"/>
            <w:vMerge/>
            <w:shd w:val="clear" w:color="auto" w:fill="auto"/>
            <w:vAlign w:val="center"/>
          </w:tcPr>
          <w:p w:rsidR="00C645C9" w:rsidRDefault="00C645C9">
            <w:pPr>
              <w:pStyle w:val="affff1"/>
              <w:snapToGrid w:val="0"/>
              <w:jc w:val="both"/>
              <w:rPr>
                <w:rFonts w:cs="Times New Roman"/>
              </w:rPr>
            </w:pPr>
          </w:p>
        </w:tc>
      </w:tr>
      <w:tr w:rsidR="00C645C9">
        <w:trPr>
          <w:trHeight w:val="269"/>
          <w:jc w:val="center"/>
        </w:trPr>
        <w:tc>
          <w:tcPr>
            <w:tcW w:w="403" w:type="dxa"/>
            <w:vMerge/>
            <w:shd w:val="clear" w:color="auto" w:fill="auto"/>
            <w:vAlign w:val="center"/>
          </w:tcPr>
          <w:p w:rsidR="00C645C9" w:rsidRDefault="00C645C9">
            <w:pPr>
              <w:pStyle w:val="affff1"/>
              <w:snapToGrid w:val="0"/>
              <w:jc w:val="both"/>
              <w:rPr>
                <w:rFonts w:cs="Times New Roman"/>
              </w:rPr>
            </w:pPr>
          </w:p>
        </w:tc>
        <w:tc>
          <w:tcPr>
            <w:tcW w:w="1114" w:type="dxa"/>
            <w:vMerge/>
            <w:shd w:val="clear" w:color="auto" w:fill="auto"/>
            <w:vAlign w:val="center"/>
          </w:tcPr>
          <w:p w:rsidR="00C645C9" w:rsidRDefault="00C645C9">
            <w:pPr>
              <w:pStyle w:val="affff1"/>
              <w:snapToGrid w:val="0"/>
              <w:jc w:val="both"/>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TN3</w:t>
            </w:r>
            <w:r>
              <w:rPr>
                <w:rFonts w:cs="Times New Roman"/>
                <w:szCs w:val="21"/>
              </w:rPr>
              <w:t>（新北</w:t>
            </w:r>
            <w:r>
              <w:rPr>
                <w:rFonts w:cs="Times New Roman"/>
                <w:szCs w:val="21"/>
              </w:rPr>
              <w:t>1X</w:t>
            </w:r>
            <w:r>
              <w:rPr>
                <w:rFonts w:cs="Times New Roman"/>
                <w:szCs w:val="21"/>
              </w:rPr>
              <w:t>井北侧）</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jc w:val="both"/>
              <w:rPr>
                <w:rFonts w:cs="Times New Roman"/>
              </w:rPr>
            </w:pPr>
          </w:p>
        </w:tc>
        <w:tc>
          <w:tcPr>
            <w:tcW w:w="646" w:type="dxa"/>
            <w:vMerge/>
            <w:shd w:val="clear" w:color="auto" w:fill="auto"/>
            <w:vAlign w:val="center"/>
          </w:tcPr>
          <w:p w:rsidR="00C645C9" w:rsidRDefault="00C645C9">
            <w:pPr>
              <w:pStyle w:val="affff1"/>
              <w:snapToGrid w:val="0"/>
              <w:jc w:val="both"/>
              <w:rPr>
                <w:rFonts w:cs="Times New Roman"/>
              </w:rPr>
            </w:pPr>
          </w:p>
        </w:tc>
      </w:tr>
      <w:tr w:rsidR="00C645C9">
        <w:trPr>
          <w:trHeight w:val="432"/>
          <w:jc w:val="center"/>
        </w:trPr>
        <w:tc>
          <w:tcPr>
            <w:tcW w:w="403" w:type="dxa"/>
            <w:vMerge/>
            <w:shd w:val="clear" w:color="auto" w:fill="auto"/>
            <w:vAlign w:val="center"/>
          </w:tcPr>
          <w:p w:rsidR="00C645C9" w:rsidRDefault="00C645C9">
            <w:pPr>
              <w:pStyle w:val="affff1"/>
              <w:snapToGrid w:val="0"/>
              <w:rPr>
                <w:rFonts w:cs="Times New Roman"/>
                <w:szCs w:val="21"/>
              </w:rPr>
            </w:pPr>
            <w:bookmarkStart w:id="1326" w:name="OLE_LINK548" w:colFirst="3" w:colLast="3"/>
            <w:bookmarkEnd w:id="1322"/>
            <w:bookmarkEnd w:id="1323"/>
          </w:p>
        </w:tc>
        <w:tc>
          <w:tcPr>
            <w:tcW w:w="1114" w:type="dxa"/>
            <w:vMerge w:val="restart"/>
            <w:shd w:val="clear" w:color="auto" w:fill="auto"/>
            <w:vAlign w:val="center"/>
          </w:tcPr>
          <w:p w:rsidR="00C645C9" w:rsidRDefault="00F955D9">
            <w:pPr>
              <w:pStyle w:val="affff1"/>
              <w:snapToGrid w:val="0"/>
              <w:rPr>
                <w:rFonts w:cs="Times New Roman"/>
                <w:szCs w:val="21"/>
              </w:rPr>
            </w:pPr>
            <w:r>
              <w:rPr>
                <w:rFonts w:cs="Times New Roman"/>
                <w:szCs w:val="21"/>
              </w:rPr>
              <w:t>柱状样</w:t>
            </w:r>
          </w:p>
        </w:tc>
        <w:tc>
          <w:tcPr>
            <w:tcW w:w="2220" w:type="dxa"/>
            <w:shd w:val="clear" w:color="auto" w:fill="auto"/>
            <w:vAlign w:val="center"/>
          </w:tcPr>
          <w:p w:rsidR="00C645C9" w:rsidRDefault="00F955D9">
            <w:pPr>
              <w:pStyle w:val="affff1"/>
              <w:snapToGrid w:val="0"/>
              <w:rPr>
                <w:rFonts w:cs="Times New Roman"/>
                <w:szCs w:val="21"/>
              </w:rPr>
            </w:pPr>
            <w:r>
              <w:rPr>
                <w:rFonts w:cs="Times New Roman"/>
                <w:szCs w:val="21"/>
              </w:rPr>
              <w:t>TN1</w:t>
            </w:r>
            <w:r>
              <w:rPr>
                <w:rFonts w:cs="Times New Roman"/>
                <w:szCs w:val="21"/>
              </w:rPr>
              <w:t>（新北</w:t>
            </w:r>
            <w:r>
              <w:rPr>
                <w:rFonts w:cs="Times New Roman"/>
                <w:szCs w:val="21"/>
              </w:rPr>
              <w:t>1X</w:t>
            </w:r>
            <w:r>
              <w:rPr>
                <w:rFonts w:cs="Times New Roman"/>
                <w:szCs w:val="21"/>
              </w:rPr>
              <w:t>井）</w:t>
            </w:r>
          </w:p>
        </w:tc>
        <w:tc>
          <w:tcPr>
            <w:tcW w:w="1540" w:type="dxa"/>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rPr>
                <w:rFonts w:cs="Times New Roman"/>
                <w:szCs w:val="21"/>
              </w:rPr>
            </w:pPr>
          </w:p>
        </w:tc>
        <w:tc>
          <w:tcPr>
            <w:tcW w:w="646" w:type="dxa"/>
            <w:vMerge/>
            <w:shd w:val="clear" w:color="auto" w:fill="auto"/>
            <w:vAlign w:val="center"/>
          </w:tcPr>
          <w:p w:rsidR="00C645C9" w:rsidRDefault="00C645C9">
            <w:pPr>
              <w:pStyle w:val="affff1"/>
              <w:snapToGrid w:val="0"/>
              <w:rPr>
                <w:rFonts w:cs="Times New Roman"/>
                <w:szCs w:val="21"/>
              </w:rPr>
            </w:pPr>
          </w:p>
        </w:tc>
      </w:tr>
      <w:tr w:rsidR="00C645C9">
        <w:trPr>
          <w:trHeight w:val="432"/>
          <w:jc w:val="center"/>
        </w:trPr>
        <w:tc>
          <w:tcPr>
            <w:tcW w:w="403" w:type="dxa"/>
            <w:vMerge/>
            <w:shd w:val="clear" w:color="auto" w:fill="auto"/>
            <w:vAlign w:val="center"/>
          </w:tcPr>
          <w:p w:rsidR="00C645C9" w:rsidRDefault="00C645C9">
            <w:pPr>
              <w:pStyle w:val="affff1"/>
              <w:snapToGrid w:val="0"/>
              <w:rPr>
                <w:rFonts w:cs="Times New Roman"/>
              </w:rPr>
            </w:pPr>
          </w:p>
        </w:tc>
        <w:tc>
          <w:tcPr>
            <w:tcW w:w="1114" w:type="dxa"/>
            <w:vMerge/>
            <w:shd w:val="clear" w:color="auto" w:fill="auto"/>
            <w:vAlign w:val="center"/>
          </w:tcPr>
          <w:p w:rsidR="00C645C9" w:rsidRDefault="00C645C9">
            <w:pPr>
              <w:pStyle w:val="affff1"/>
              <w:snapToGrid w:val="0"/>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TN2</w:t>
            </w:r>
            <w:r>
              <w:rPr>
                <w:rFonts w:cs="Times New Roman"/>
                <w:szCs w:val="21"/>
              </w:rPr>
              <w:t>（新北</w:t>
            </w:r>
            <w:r>
              <w:rPr>
                <w:rFonts w:cs="Times New Roman"/>
                <w:szCs w:val="21"/>
              </w:rPr>
              <w:t>1X</w:t>
            </w:r>
            <w:r>
              <w:rPr>
                <w:rFonts w:cs="Times New Roman"/>
                <w:szCs w:val="21"/>
              </w:rPr>
              <w:t>井东侧）</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rPr>
                <w:rFonts w:cs="Times New Roman"/>
              </w:rPr>
            </w:pPr>
          </w:p>
        </w:tc>
        <w:tc>
          <w:tcPr>
            <w:tcW w:w="646" w:type="dxa"/>
            <w:vMerge/>
            <w:shd w:val="clear" w:color="auto" w:fill="auto"/>
            <w:vAlign w:val="center"/>
          </w:tcPr>
          <w:p w:rsidR="00C645C9" w:rsidRDefault="00C645C9">
            <w:pPr>
              <w:pStyle w:val="affff1"/>
              <w:snapToGrid w:val="0"/>
              <w:rPr>
                <w:rFonts w:cs="Times New Roman"/>
              </w:rPr>
            </w:pPr>
          </w:p>
        </w:tc>
      </w:tr>
      <w:tr w:rsidR="00C645C9">
        <w:trPr>
          <w:trHeight w:val="432"/>
          <w:jc w:val="center"/>
        </w:trPr>
        <w:tc>
          <w:tcPr>
            <w:tcW w:w="403" w:type="dxa"/>
            <w:vMerge/>
            <w:shd w:val="clear" w:color="auto" w:fill="auto"/>
            <w:vAlign w:val="center"/>
          </w:tcPr>
          <w:p w:rsidR="00C645C9" w:rsidRDefault="00C645C9">
            <w:pPr>
              <w:pStyle w:val="affff1"/>
              <w:snapToGrid w:val="0"/>
              <w:rPr>
                <w:rFonts w:cs="Times New Roman"/>
              </w:rPr>
            </w:pPr>
          </w:p>
        </w:tc>
        <w:tc>
          <w:tcPr>
            <w:tcW w:w="1114" w:type="dxa"/>
            <w:vMerge/>
            <w:shd w:val="clear" w:color="auto" w:fill="auto"/>
            <w:vAlign w:val="center"/>
          </w:tcPr>
          <w:p w:rsidR="00C645C9" w:rsidRDefault="00C645C9">
            <w:pPr>
              <w:pStyle w:val="affff1"/>
              <w:snapToGrid w:val="0"/>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TN3</w:t>
            </w:r>
            <w:r>
              <w:rPr>
                <w:rFonts w:cs="Times New Roman"/>
                <w:szCs w:val="21"/>
              </w:rPr>
              <w:t>（新北</w:t>
            </w:r>
            <w:r>
              <w:rPr>
                <w:rFonts w:cs="Times New Roman"/>
                <w:szCs w:val="21"/>
              </w:rPr>
              <w:t>1X</w:t>
            </w:r>
            <w:r>
              <w:rPr>
                <w:rFonts w:cs="Times New Roman"/>
                <w:szCs w:val="21"/>
              </w:rPr>
              <w:t>井北侧）</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rPr>
                <w:rFonts w:cs="Times New Roman"/>
              </w:rPr>
            </w:pPr>
          </w:p>
        </w:tc>
        <w:tc>
          <w:tcPr>
            <w:tcW w:w="646" w:type="dxa"/>
            <w:vMerge/>
            <w:shd w:val="clear" w:color="auto" w:fill="auto"/>
            <w:vAlign w:val="center"/>
          </w:tcPr>
          <w:p w:rsidR="00C645C9" w:rsidRDefault="00C645C9">
            <w:pPr>
              <w:pStyle w:val="affff1"/>
              <w:snapToGrid w:val="0"/>
              <w:rPr>
                <w:rFonts w:cs="Times New Roman"/>
              </w:rPr>
            </w:pPr>
          </w:p>
        </w:tc>
      </w:tr>
      <w:bookmarkEnd w:id="1326"/>
      <w:tr w:rsidR="00C645C9">
        <w:trPr>
          <w:trHeight w:val="222"/>
          <w:jc w:val="center"/>
        </w:trPr>
        <w:tc>
          <w:tcPr>
            <w:tcW w:w="403" w:type="dxa"/>
            <w:vMerge w:val="restart"/>
            <w:shd w:val="clear" w:color="auto" w:fill="auto"/>
            <w:vAlign w:val="center"/>
          </w:tcPr>
          <w:p w:rsidR="00C645C9" w:rsidRDefault="00F955D9">
            <w:pPr>
              <w:pStyle w:val="affff1"/>
              <w:snapToGrid w:val="0"/>
              <w:rPr>
                <w:rFonts w:cs="Times New Roman"/>
                <w:szCs w:val="21"/>
              </w:rPr>
            </w:pPr>
            <w:r>
              <w:rPr>
                <w:rFonts w:cs="Times New Roman"/>
                <w:szCs w:val="21"/>
              </w:rPr>
              <w:t>占地范围外（农用地标准）</w:t>
            </w:r>
          </w:p>
        </w:tc>
        <w:tc>
          <w:tcPr>
            <w:tcW w:w="1114" w:type="dxa"/>
            <w:vMerge w:val="restart"/>
            <w:shd w:val="clear" w:color="auto" w:fill="auto"/>
            <w:vAlign w:val="center"/>
          </w:tcPr>
          <w:p w:rsidR="00C645C9" w:rsidRDefault="00F955D9">
            <w:pPr>
              <w:pStyle w:val="affff1"/>
              <w:snapToGrid w:val="0"/>
              <w:rPr>
                <w:rFonts w:cs="Times New Roman"/>
                <w:szCs w:val="21"/>
              </w:rPr>
            </w:pPr>
            <w:r>
              <w:rPr>
                <w:rFonts w:cs="Times New Roman"/>
                <w:szCs w:val="21"/>
              </w:rPr>
              <w:t>表层样</w:t>
            </w:r>
          </w:p>
        </w:tc>
        <w:tc>
          <w:tcPr>
            <w:tcW w:w="2220" w:type="dxa"/>
            <w:shd w:val="clear" w:color="auto" w:fill="auto"/>
            <w:vAlign w:val="center"/>
          </w:tcPr>
          <w:p w:rsidR="00C645C9" w:rsidRDefault="00F955D9">
            <w:pPr>
              <w:pStyle w:val="affff1"/>
              <w:snapToGrid w:val="0"/>
              <w:rPr>
                <w:rFonts w:cs="Times New Roman"/>
                <w:szCs w:val="21"/>
              </w:rPr>
            </w:pPr>
            <w:r>
              <w:rPr>
                <w:rFonts w:cs="Times New Roman"/>
                <w:szCs w:val="21"/>
              </w:rPr>
              <w:t>TW1</w:t>
            </w:r>
            <w:r>
              <w:rPr>
                <w:rFonts w:cs="Times New Roman"/>
                <w:szCs w:val="21"/>
              </w:rPr>
              <w:t>（</w:t>
            </w:r>
            <w:bookmarkStart w:id="1327" w:name="OLE_LINK1151"/>
            <w:r>
              <w:rPr>
                <w:rFonts w:cs="Times New Roman"/>
                <w:szCs w:val="21"/>
              </w:rPr>
              <w:t>新北</w:t>
            </w:r>
            <w:r>
              <w:rPr>
                <w:rFonts w:cs="Times New Roman"/>
                <w:szCs w:val="21"/>
              </w:rPr>
              <w:t>1X</w:t>
            </w:r>
            <w:r>
              <w:rPr>
                <w:rFonts w:cs="Times New Roman"/>
                <w:szCs w:val="21"/>
              </w:rPr>
              <w:t>井井场东侧外</w:t>
            </w:r>
            <w:r>
              <w:rPr>
                <w:rFonts w:cs="Times New Roman"/>
                <w:szCs w:val="21"/>
              </w:rPr>
              <w:t>50m</w:t>
            </w:r>
            <w:bookmarkEnd w:id="1327"/>
            <w:r>
              <w:rPr>
                <w:rFonts w:cs="Times New Roman"/>
                <w:szCs w:val="21"/>
              </w:rPr>
              <w:t>）</w:t>
            </w:r>
          </w:p>
        </w:tc>
        <w:tc>
          <w:tcPr>
            <w:tcW w:w="1540" w:type="dxa"/>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3480" w:type="dxa"/>
            <w:shd w:val="clear" w:color="auto" w:fill="auto"/>
            <w:vAlign w:val="center"/>
          </w:tcPr>
          <w:p w:rsidR="00C645C9" w:rsidRDefault="00F955D9">
            <w:pPr>
              <w:pStyle w:val="affff1"/>
              <w:snapToGrid w:val="0"/>
              <w:rPr>
                <w:rFonts w:cs="Times New Roman"/>
                <w:szCs w:val="21"/>
              </w:rPr>
            </w:pPr>
            <w:bookmarkStart w:id="1328" w:name="OLE_LINK568"/>
            <w:r>
              <w:rPr>
                <w:rFonts w:cs="Times New Roman"/>
                <w:snapToGrid w:val="0"/>
                <w:szCs w:val="21"/>
                <w:lang w:bidi="ar"/>
              </w:rPr>
              <w:t>《土壤环境质量</w:t>
            </w:r>
            <w:r>
              <w:rPr>
                <w:rFonts w:cs="Times New Roman"/>
                <w:snapToGrid w:val="0"/>
                <w:szCs w:val="21"/>
                <w:lang w:bidi="ar"/>
              </w:rPr>
              <w:t xml:space="preserve"> </w:t>
            </w:r>
            <w:r>
              <w:rPr>
                <w:rFonts w:cs="Times New Roman"/>
                <w:snapToGrid w:val="0"/>
                <w:szCs w:val="21"/>
                <w:lang w:bidi="ar"/>
              </w:rPr>
              <w:t>农用地土壤污染风险管控标准（试行）》（</w:t>
            </w:r>
            <w:r>
              <w:rPr>
                <w:rFonts w:cs="Times New Roman"/>
                <w:snapToGrid w:val="0"/>
                <w:szCs w:val="21"/>
                <w:lang w:bidi="ar"/>
              </w:rPr>
              <w:t>GB15618-2018</w:t>
            </w:r>
            <w:r>
              <w:rPr>
                <w:rFonts w:cs="Times New Roman"/>
                <w:snapToGrid w:val="0"/>
                <w:szCs w:val="21"/>
                <w:lang w:bidi="ar"/>
              </w:rPr>
              <w:t>）中表</w:t>
            </w:r>
            <w:r>
              <w:rPr>
                <w:rFonts w:cs="Times New Roman"/>
                <w:snapToGrid w:val="0"/>
                <w:szCs w:val="21"/>
                <w:lang w:bidi="ar"/>
              </w:rPr>
              <w:t>1</w:t>
            </w:r>
            <w:r>
              <w:rPr>
                <w:rFonts w:cs="Times New Roman"/>
                <w:snapToGrid w:val="0"/>
                <w:szCs w:val="21"/>
                <w:lang w:bidi="ar"/>
              </w:rPr>
              <w:t>规定的基</w:t>
            </w:r>
            <w:r>
              <w:rPr>
                <w:rFonts w:cs="Times New Roman" w:hint="eastAsia"/>
                <w:snapToGrid w:val="0"/>
                <w:szCs w:val="21"/>
                <w:lang w:bidi="ar"/>
              </w:rPr>
              <w:t>本工程</w:t>
            </w:r>
            <w:r>
              <w:rPr>
                <w:rFonts w:cs="Times New Roman"/>
                <w:snapToGrid w:val="0"/>
                <w:szCs w:val="21"/>
                <w:lang w:bidi="ar"/>
              </w:rPr>
              <w:t>：</w:t>
            </w:r>
            <w:bookmarkEnd w:id="1328"/>
            <w:r>
              <w:rPr>
                <w:rFonts w:cs="Times New Roman"/>
                <w:snapToGrid w:val="0"/>
                <w:szCs w:val="21"/>
                <w:lang w:bidi="ar"/>
              </w:rPr>
              <w:t>pH+8</w:t>
            </w:r>
            <w:r>
              <w:rPr>
                <w:rFonts w:cs="Times New Roman"/>
                <w:snapToGrid w:val="0"/>
                <w:szCs w:val="21"/>
                <w:lang w:bidi="ar"/>
              </w:rPr>
              <w:t>项重金属</w:t>
            </w:r>
            <w:r>
              <w:rPr>
                <w:rFonts w:cs="Times New Roman"/>
                <w:snapToGrid w:val="0"/>
                <w:szCs w:val="21"/>
                <w:lang w:bidi="ar"/>
              </w:rPr>
              <w:t>+</w:t>
            </w:r>
            <w:bookmarkStart w:id="1329" w:name="OLE_LINK569"/>
            <w:r>
              <w:rPr>
                <w:rFonts w:cs="Times New Roman"/>
                <w:snapToGrid w:val="0"/>
                <w:szCs w:val="21"/>
                <w:lang w:bidi="ar"/>
              </w:rPr>
              <w:t>土壤盐分含量，石油烃</w:t>
            </w:r>
            <w:bookmarkEnd w:id="1329"/>
          </w:p>
        </w:tc>
        <w:tc>
          <w:tcPr>
            <w:tcW w:w="646" w:type="dxa"/>
            <w:vMerge/>
            <w:shd w:val="clear" w:color="auto" w:fill="auto"/>
            <w:vAlign w:val="center"/>
          </w:tcPr>
          <w:p w:rsidR="00C645C9" w:rsidRDefault="00C645C9">
            <w:pPr>
              <w:pStyle w:val="affff1"/>
              <w:snapToGrid w:val="0"/>
              <w:rPr>
                <w:rFonts w:cs="Times New Roman"/>
                <w:szCs w:val="21"/>
              </w:rPr>
            </w:pPr>
          </w:p>
        </w:tc>
      </w:tr>
      <w:tr w:rsidR="00C645C9">
        <w:trPr>
          <w:trHeight w:val="541"/>
          <w:jc w:val="center"/>
        </w:trPr>
        <w:tc>
          <w:tcPr>
            <w:tcW w:w="403" w:type="dxa"/>
            <w:vMerge/>
            <w:shd w:val="clear" w:color="auto" w:fill="auto"/>
            <w:vAlign w:val="center"/>
          </w:tcPr>
          <w:p w:rsidR="00C645C9" w:rsidRDefault="00C645C9">
            <w:pPr>
              <w:pStyle w:val="affff1"/>
              <w:snapToGrid w:val="0"/>
              <w:rPr>
                <w:rFonts w:cs="Times New Roman"/>
                <w:szCs w:val="21"/>
              </w:rPr>
            </w:pPr>
          </w:p>
        </w:tc>
        <w:tc>
          <w:tcPr>
            <w:tcW w:w="1114" w:type="dxa"/>
            <w:vMerge/>
            <w:shd w:val="clear" w:color="auto" w:fill="auto"/>
            <w:vAlign w:val="center"/>
          </w:tcPr>
          <w:p w:rsidR="00C645C9" w:rsidRDefault="00C645C9">
            <w:pPr>
              <w:pStyle w:val="affff1"/>
              <w:snapToGrid w:val="0"/>
              <w:rPr>
                <w:rFonts w:cs="Times New Roman"/>
                <w:szCs w:val="21"/>
              </w:rPr>
            </w:pPr>
          </w:p>
        </w:tc>
        <w:tc>
          <w:tcPr>
            <w:tcW w:w="2220" w:type="dxa"/>
            <w:shd w:val="clear" w:color="auto" w:fill="auto"/>
            <w:vAlign w:val="center"/>
          </w:tcPr>
          <w:p w:rsidR="00C645C9" w:rsidRDefault="00F955D9">
            <w:pPr>
              <w:pStyle w:val="affff1"/>
              <w:snapToGrid w:val="0"/>
              <w:rPr>
                <w:rFonts w:cs="Times New Roman"/>
                <w:szCs w:val="21"/>
              </w:rPr>
            </w:pPr>
            <w:r>
              <w:rPr>
                <w:rFonts w:cs="Times New Roman"/>
                <w:szCs w:val="21"/>
              </w:rPr>
              <w:t>TW2</w:t>
            </w:r>
            <w:r>
              <w:rPr>
                <w:rFonts w:cs="Times New Roman"/>
                <w:szCs w:val="21"/>
              </w:rPr>
              <w:t>（</w:t>
            </w:r>
            <w:bookmarkStart w:id="1330" w:name="OLE_LINK1152"/>
            <w:r>
              <w:rPr>
                <w:rFonts w:cs="Times New Roman"/>
                <w:szCs w:val="21"/>
              </w:rPr>
              <w:t>新北</w:t>
            </w:r>
            <w:r>
              <w:rPr>
                <w:rFonts w:cs="Times New Roman"/>
                <w:szCs w:val="21"/>
              </w:rPr>
              <w:t>1X</w:t>
            </w:r>
            <w:r>
              <w:rPr>
                <w:rFonts w:cs="Times New Roman"/>
                <w:szCs w:val="21"/>
              </w:rPr>
              <w:t>井井场南侧外</w:t>
            </w:r>
            <w:r>
              <w:rPr>
                <w:rFonts w:cs="Times New Roman"/>
                <w:szCs w:val="21"/>
              </w:rPr>
              <w:t>50m</w:t>
            </w:r>
            <w:bookmarkEnd w:id="1330"/>
            <w:r>
              <w:rPr>
                <w:rFonts w:cs="Times New Roman"/>
                <w:szCs w:val="21"/>
              </w:rPr>
              <w:t>）</w:t>
            </w:r>
          </w:p>
        </w:tc>
        <w:tc>
          <w:tcPr>
            <w:tcW w:w="1540" w:type="dxa"/>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3480" w:type="dxa"/>
            <w:vMerge w:val="restart"/>
            <w:shd w:val="clear" w:color="auto" w:fill="auto"/>
            <w:vAlign w:val="center"/>
          </w:tcPr>
          <w:p w:rsidR="00C645C9" w:rsidRDefault="00F955D9">
            <w:pPr>
              <w:pStyle w:val="affff1"/>
              <w:snapToGrid w:val="0"/>
              <w:rPr>
                <w:rFonts w:cs="Times New Roman"/>
                <w:snapToGrid w:val="0"/>
                <w:szCs w:val="21"/>
                <w:lang w:bidi="ar"/>
              </w:rPr>
            </w:pPr>
            <w:bookmarkStart w:id="1331" w:name="OLE_LINK560"/>
            <w:r>
              <w:rPr>
                <w:rFonts w:cs="Times New Roman"/>
                <w:snapToGrid w:val="0"/>
                <w:szCs w:val="21"/>
                <w:lang w:bidi="ar"/>
              </w:rPr>
              <w:t>p</w:t>
            </w:r>
            <w:r>
              <w:rPr>
                <w:rFonts w:cs="Times New Roman"/>
                <w:szCs w:val="21"/>
              </w:rPr>
              <w:t>H+</w:t>
            </w:r>
            <w:r>
              <w:rPr>
                <w:rFonts w:cs="Times New Roman"/>
                <w:szCs w:val="21"/>
              </w:rPr>
              <w:t>石油烃</w:t>
            </w:r>
            <w:r>
              <w:rPr>
                <w:rFonts w:cs="Times New Roman"/>
                <w:szCs w:val="21"/>
              </w:rPr>
              <w:t>+</w:t>
            </w:r>
            <w:r>
              <w:rPr>
                <w:rFonts w:cs="Times New Roman"/>
                <w:szCs w:val="21"/>
              </w:rPr>
              <w:t>土壤盐分含量</w:t>
            </w:r>
            <w:bookmarkEnd w:id="1331"/>
          </w:p>
        </w:tc>
        <w:tc>
          <w:tcPr>
            <w:tcW w:w="646" w:type="dxa"/>
            <w:vMerge/>
            <w:shd w:val="clear" w:color="auto" w:fill="auto"/>
            <w:vAlign w:val="center"/>
          </w:tcPr>
          <w:p w:rsidR="00C645C9" w:rsidRDefault="00C645C9">
            <w:pPr>
              <w:pStyle w:val="affff1"/>
              <w:snapToGrid w:val="0"/>
              <w:rPr>
                <w:rFonts w:cs="Times New Roman"/>
                <w:szCs w:val="21"/>
              </w:rPr>
            </w:pPr>
          </w:p>
        </w:tc>
      </w:tr>
      <w:tr w:rsidR="00C645C9">
        <w:trPr>
          <w:trHeight w:val="541"/>
          <w:jc w:val="center"/>
        </w:trPr>
        <w:tc>
          <w:tcPr>
            <w:tcW w:w="403" w:type="dxa"/>
            <w:vMerge/>
            <w:shd w:val="clear" w:color="auto" w:fill="auto"/>
            <w:vAlign w:val="center"/>
          </w:tcPr>
          <w:p w:rsidR="00C645C9" w:rsidRDefault="00C645C9">
            <w:pPr>
              <w:pStyle w:val="affff1"/>
              <w:snapToGrid w:val="0"/>
              <w:jc w:val="left"/>
              <w:rPr>
                <w:rFonts w:cs="Times New Roman"/>
              </w:rPr>
            </w:pPr>
          </w:p>
        </w:tc>
        <w:tc>
          <w:tcPr>
            <w:tcW w:w="1114" w:type="dxa"/>
            <w:vMerge/>
            <w:shd w:val="clear" w:color="auto" w:fill="auto"/>
            <w:vAlign w:val="center"/>
          </w:tcPr>
          <w:p w:rsidR="00C645C9" w:rsidRDefault="00C645C9">
            <w:pPr>
              <w:pStyle w:val="affff1"/>
              <w:snapToGrid w:val="0"/>
              <w:jc w:val="left"/>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TW3</w:t>
            </w:r>
            <w:r>
              <w:rPr>
                <w:rFonts w:cs="Times New Roman"/>
                <w:szCs w:val="21"/>
              </w:rPr>
              <w:t>（</w:t>
            </w:r>
            <w:bookmarkStart w:id="1332" w:name="OLE_LINK1153"/>
            <w:r>
              <w:rPr>
                <w:rFonts w:cs="Times New Roman"/>
                <w:szCs w:val="21"/>
              </w:rPr>
              <w:t>新北</w:t>
            </w:r>
            <w:r>
              <w:rPr>
                <w:rFonts w:cs="Times New Roman"/>
                <w:szCs w:val="21"/>
              </w:rPr>
              <w:t>1X</w:t>
            </w:r>
            <w:r>
              <w:rPr>
                <w:rFonts w:cs="Times New Roman"/>
                <w:szCs w:val="21"/>
              </w:rPr>
              <w:t>井井场西侧外</w:t>
            </w:r>
            <w:r>
              <w:rPr>
                <w:rFonts w:cs="Times New Roman"/>
                <w:szCs w:val="21"/>
              </w:rPr>
              <w:t>50m</w:t>
            </w:r>
            <w:bookmarkEnd w:id="1332"/>
            <w:r>
              <w:rPr>
                <w:rFonts w:cs="Times New Roman"/>
                <w:szCs w:val="21"/>
              </w:rPr>
              <w:t>）</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jc w:val="left"/>
              <w:rPr>
                <w:rFonts w:cs="Times New Roman"/>
              </w:rPr>
            </w:pPr>
          </w:p>
        </w:tc>
        <w:tc>
          <w:tcPr>
            <w:tcW w:w="646" w:type="dxa"/>
            <w:vMerge/>
            <w:shd w:val="clear" w:color="auto" w:fill="auto"/>
            <w:vAlign w:val="center"/>
          </w:tcPr>
          <w:p w:rsidR="00C645C9" w:rsidRDefault="00C645C9">
            <w:pPr>
              <w:pStyle w:val="affff1"/>
              <w:snapToGrid w:val="0"/>
              <w:jc w:val="left"/>
              <w:rPr>
                <w:rFonts w:cs="Times New Roman"/>
              </w:rPr>
            </w:pPr>
          </w:p>
        </w:tc>
      </w:tr>
      <w:tr w:rsidR="00C645C9">
        <w:trPr>
          <w:trHeight w:val="541"/>
          <w:jc w:val="center"/>
        </w:trPr>
        <w:tc>
          <w:tcPr>
            <w:tcW w:w="403" w:type="dxa"/>
            <w:vMerge/>
            <w:shd w:val="clear" w:color="auto" w:fill="auto"/>
            <w:vAlign w:val="center"/>
          </w:tcPr>
          <w:p w:rsidR="00C645C9" w:rsidRDefault="00C645C9">
            <w:pPr>
              <w:pStyle w:val="affff1"/>
              <w:snapToGrid w:val="0"/>
              <w:jc w:val="left"/>
              <w:rPr>
                <w:rFonts w:cs="Times New Roman"/>
              </w:rPr>
            </w:pPr>
          </w:p>
        </w:tc>
        <w:tc>
          <w:tcPr>
            <w:tcW w:w="1114" w:type="dxa"/>
            <w:vMerge/>
            <w:shd w:val="clear" w:color="auto" w:fill="auto"/>
            <w:vAlign w:val="center"/>
          </w:tcPr>
          <w:p w:rsidR="00C645C9" w:rsidRDefault="00C645C9">
            <w:pPr>
              <w:pStyle w:val="affff1"/>
              <w:snapToGrid w:val="0"/>
              <w:jc w:val="left"/>
              <w:rPr>
                <w:rFonts w:cs="Times New Roman"/>
              </w:rPr>
            </w:pPr>
          </w:p>
        </w:tc>
        <w:tc>
          <w:tcPr>
            <w:tcW w:w="2220" w:type="dxa"/>
            <w:shd w:val="clear" w:color="auto" w:fill="auto"/>
            <w:vAlign w:val="center"/>
          </w:tcPr>
          <w:p w:rsidR="00C645C9" w:rsidRDefault="00F955D9">
            <w:pPr>
              <w:pStyle w:val="affff1"/>
              <w:snapToGrid w:val="0"/>
              <w:rPr>
                <w:rFonts w:cs="Times New Roman"/>
              </w:rPr>
            </w:pPr>
            <w:r>
              <w:rPr>
                <w:rFonts w:cs="Times New Roman"/>
                <w:szCs w:val="21"/>
              </w:rPr>
              <w:t>TW4</w:t>
            </w:r>
            <w:r>
              <w:rPr>
                <w:rFonts w:cs="Times New Roman"/>
                <w:szCs w:val="21"/>
              </w:rPr>
              <w:t>（</w:t>
            </w:r>
            <w:bookmarkStart w:id="1333" w:name="OLE_LINK1154"/>
            <w:r>
              <w:rPr>
                <w:rFonts w:cs="Times New Roman"/>
                <w:szCs w:val="21"/>
              </w:rPr>
              <w:t>新北</w:t>
            </w:r>
            <w:r>
              <w:rPr>
                <w:rFonts w:cs="Times New Roman"/>
                <w:szCs w:val="21"/>
              </w:rPr>
              <w:t>1X</w:t>
            </w:r>
            <w:r>
              <w:rPr>
                <w:rFonts w:cs="Times New Roman"/>
                <w:szCs w:val="21"/>
              </w:rPr>
              <w:t>井井场北侧外</w:t>
            </w:r>
            <w:r>
              <w:rPr>
                <w:rFonts w:cs="Times New Roman"/>
                <w:szCs w:val="21"/>
              </w:rPr>
              <w:t>50m</w:t>
            </w:r>
            <w:bookmarkEnd w:id="1333"/>
            <w:r>
              <w:rPr>
                <w:rFonts w:cs="Times New Roman"/>
                <w:szCs w:val="21"/>
              </w:rPr>
              <w:t>）</w:t>
            </w:r>
          </w:p>
        </w:tc>
        <w:tc>
          <w:tcPr>
            <w:tcW w:w="1540" w:type="dxa"/>
            <w:shd w:val="clear" w:color="auto" w:fill="auto"/>
            <w:vAlign w:val="center"/>
          </w:tcPr>
          <w:p w:rsidR="00C645C9" w:rsidRDefault="00F955D9">
            <w:pPr>
              <w:adjustRightInd w:val="0"/>
              <w:snapToGrid w:val="0"/>
              <w:jc w:val="center"/>
              <w:rPr>
                <w:rFonts w:cs="Times New Roman"/>
              </w:rPr>
            </w:pPr>
            <w:r>
              <w:rPr>
                <w:rFonts w:cs="Times New Roman" w:hint="eastAsia"/>
                <w:sz w:val="21"/>
                <w:szCs w:val="21"/>
              </w:rPr>
              <w:t>**</w:t>
            </w:r>
          </w:p>
        </w:tc>
        <w:tc>
          <w:tcPr>
            <w:tcW w:w="3480" w:type="dxa"/>
            <w:vMerge/>
            <w:shd w:val="clear" w:color="auto" w:fill="auto"/>
            <w:vAlign w:val="center"/>
          </w:tcPr>
          <w:p w:rsidR="00C645C9" w:rsidRDefault="00C645C9">
            <w:pPr>
              <w:pStyle w:val="affff1"/>
              <w:snapToGrid w:val="0"/>
              <w:jc w:val="left"/>
              <w:rPr>
                <w:rFonts w:cs="Times New Roman"/>
              </w:rPr>
            </w:pPr>
          </w:p>
        </w:tc>
        <w:tc>
          <w:tcPr>
            <w:tcW w:w="646" w:type="dxa"/>
            <w:vMerge/>
            <w:shd w:val="clear" w:color="auto" w:fill="auto"/>
            <w:vAlign w:val="center"/>
          </w:tcPr>
          <w:p w:rsidR="00C645C9" w:rsidRDefault="00C645C9">
            <w:pPr>
              <w:pStyle w:val="affff1"/>
              <w:snapToGrid w:val="0"/>
              <w:jc w:val="left"/>
              <w:rPr>
                <w:rFonts w:cs="Times New Roman"/>
              </w:rPr>
            </w:pPr>
          </w:p>
        </w:tc>
      </w:tr>
    </w:tbl>
    <w:p w:rsidR="00C645C9" w:rsidRDefault="00F955D9">
      <w:pPr>
        <w:adjustRightInd w:val="0"/>
        <w:snapToGrid w:val="0"/>
        <w:spacing w:line="360" w:lineRule="auto"/>
        <w:ind w:firstLineChars="200" w:firstLine="496"/>
        <w:jc w:val="both"/>
        <w:rPr>
          <w:rFonts w:cs="Times New Roman"/>
          <w:spacing w:val="4"/>
        </w:rPr>
      </w:pPr>
      <w:r>
        <w:rPr>
          <w:rFonts w:cs="Times New Roman" w:hint="eastAsia"/>
          <w:spacing w:val="4"/>
        </w:rPr>
        <w:t>（</w:t>
      </w:r>
      <w:r>
        <w:rPr>
          <w:rFonts w:cs="Times New Roman" w:hint="eastAsia"/>
          <w:spacing w:val="4"/>
        </w:rPr>
        <w:t>2</w:t>
      </w:r>
      <w:r>
        <w:rPr>
          <w:rFonts w:cs="Times New Roman" w:hint="eastAsia"/>
          <w:spacing w:val="4"/>
        </w:rPr>
        <w:t>）</w:t>
      </w:r>
      <w:r>
        <w:rPr>
          <w:rFonts w:cs="Times New Roman"/>
          <w:spacing w:val="4"/>
        </w:rPr>
        <w:t>监测频率</w:t>
      </w:r>
    </w:p>
    <w:p w:rsidR="00C645C9" w:rsidRDefault="00F955D9">
      <w:pPr>
        <w:adjustRightInd w:val="0"/>
        <w:snapToGrid w:val="0"/>
        <w:spacing w:line="360" w:lineRule="auto"/>
        <w:ind w:firstLineChars="200" w:firstLine="496"/>
        <w:jc w:val="both"/>
        <w:rPr>
          <w:rFonts w:cs="Times New Roman"/>
          <w:spacing w:val="4"/>
        </w:rPr>
      </w:pPr>
      <w:r>
        <w:rPr>
          <w:rFonts w:cs="Times New Roman" w:hint="eastAsia"/>
          <w:spacing w:val="4"/>
        </w:rPr>
        <w:t>监测</w:t>
      </w:r>
      <w:r>
        <w:rPr>
          <w:rFonts w:cs="Times New Roman" w:hint="eastAsia"/>
          <w:spacing w:val="4"/>
        </w:rPr>
        <w:t>1</w:t>
      </w:r>
      <w:r>
        <w:rPr>
          <w:rFonts w:cs="Times New Roman" w:hint="eastAsia"/>
          <w:spacing w:val="4"/>
        </w:rPr>
        <w:t>天，</w:t>
      </w:r>
      <w:r>
        <w:rPr>
          <w:rFonts w:cs="Times New Roman"/>
          <w:spacing w:val="4"/>
        </w:rPr>
        <w:t>监测</w:t>
      </w:r>
      <w:r>
        <w:rPr>
          <w:rFonts w:cs="Times New Roman"/>
          <w:spacing w:val="4"/>
        </w:rPr>
        <w:t>1</w:t>
      </w:r>
      <w:r>
        <w:rPr>
          <w:rFonts w:cs="Times New Roman"/>
          <w:spacing w:val="4"/>
        </w:rPr>
        <w:t>次。</w:t>
      </w:r>
    </w:p>
    <w:p w:rsidR="00C645C9" w:rsidRDefault="00F955D9">
      <w:pPr>
        <w:adjustRightInd w:val="0"/>
        <w:snapToGrid w:val="0"/>
        <w:spacing w:line="360" w:lineRule="auto"/>
        <w:ind w:firstLineChars="200" w:firstLine="496"/>
        <w:jc w:val="both"/>
        <w:rPr>
          <w:rFonts w:cs="Times New Roman"/>
          <w:spacing w:val="4"/>
        </w:rPr>
      </w:pPr>
      <w:r>
        <w:rPr>
          <w:rFonts w:cs="Times New Roman"/>
          <w:spacing w:val="4"/>
        </w:rPr>
        <w:t>（</w:t>
      </w:r>
      <w:r>
        <w:rPr>
          <w:rFonts w:cs="Times New Roman" w:hint="eastAsia"/>
          <w:spacing w:val="4"/>
        </w:rPr>
        <w:t>3</w:t>
      </w:r>
      <w:r>
        <w:rPr>
          <w:rFonts w:cs="Times New Roman"/>
          <w:spacing w:val="4"/>
        </w:rPr>
        <w:t>）监测单位</w:t>
      </w:r>
    </w:p>
    <w:p w:rsidR="00C645C9" w:rsidRDefault="00F955D9">
      <w:pPr>
        <w:adjustRightInd w:val="0"/>
        <w:snapToGrid w:val="0"/>
        <w:spacing w:line="360" w:lineRule="auto"/>
        <w:ind w:firstLineChars="200" w:firstLine="496"/>
        <w:jc w:val="both"/>
        <w:rPr>
          <w:rFonts w:cs="Times New Roman"/>
          <w:spacing w:val="4"/>
        </w:rPr>
      </w:pPr>
      <w:bookmarkStart w:id="1334" w:name="OLE_LINK424"/>
      <w:r>
        <w:rPr>
          <w:rFonts w:cs="Times New Roman"/>
          <w:spacing w:val="4"/>
        </w:rPr>
        <w:t>本次评价土壤检测委托</w:t>
      </w:r>
      <w:r>
        <w:rPr>
          <w:rFonts w:cs="Times New Roman" w:hint="eastAsia"/>
          <w:spacing w:val="4"/>
        </w:rPr>
        <w:t>新疆昇腾环保科技有限公司</w:t>
      </w:r>
      <w:r>
        <w:rPr>
          <w:rFonts w:cs="Times New Roman"/>
          <w:spacing w:val="4"/>
        </w:rPr>
        <w:t>对土壤环境质量现状进行了监测，监测时间为</w:t>
      </w:r>
      <w:r>
        <w:rPr>
          <w:rFonts w:cs="Times New Roman"/>
          <w:spacing w:val="4"/>
        </w:rPr>
        <w:t>202</w:t>
      </w:r>
      <w:r>
        <w:rPr>
          <w:rFonts w:cs="Times New Roman" w:hint="eastAsia"/>
          <w:spacing w:val="4"/>
        </w:rPr>
        <w:t>5</w:t>
      </w:r>
      <w:r>
        <w:rPr>
          <w:rFonts w:cs="Times New Roman"/>
          <w:spacing w:val="4"/>
        </w:rPr>
        <w:t>年</w:t>
      </w:r>
      <w:r>
        <w:rPr>
          <w:rFonts w:cs="Times New Roman" w:hint="eastAsia"/>
          <w:spacing w:val="4"/>
        </w:rPr>
        <w:t>4</w:t>
      </w:r>
      <w:r>
        <w:rPr>
          <w:rFonts w:cs="Times New Roman"/>
          <w:spacing w:val="4"/>
        </w:rPr>
        <w:t>月</w:t>
      </w:r>
      <w:r>
        <w:rPr>
          <w:rFonts w:cs="Times New Roman" w:hint="eastAsia"/>
          <w:spacing w:val="4"/>
        </w:rPr>
        <w:t>。</w:t>
      </w:r>
    </w:p>
    <w:bookmarkEnd w:id="1334"/>
    <w:p w:rsidR="00C645C9" w:rsidRDefault="00F955D9">
      <w:pPr>
        <w:adjustRightInd w:val="0"/>
        <w:snapToGrid w:val="0"/>
        <w:spacing w:line="360" w:lineRule="auto"/>
        <w:ind w:firstLineChars="200" w:firstLine="480"/>
        <w:jc w:val="both"/>
        <w:rPr>
          <w:rFonts w:cs="Times New Roman"/>
          <w:spacing w:val="4"/>
        </w:rPr>
      </w:pPr>
      <w:r>
        <w:t>（</w:t>
      </w:r>
      <w:r>
        <w:rPr>
          <w:rFonts w:hint="eastAsia"/>
        </w:rPr>
        <w:t>4</w:t>
      </w:r>
      <w:r>
        <w:t>）</w:t>
      </w:r>
      <w:r>
        <w:rPr>
          <w:rFonts w:cs="Times New Roman"/>
          <w:spacing w:val="4"/>
        </w:rPr>
        <w:t>监测项目及分析</w:t>
      </w:r>
      <w:r>
        <w:rPr>
          <w:rFonts w:cs="Times New Roman"/>
          <w:spacing w:val="4"/>
        </w:rPr>
        <w:t>方法</w:t>
      </w:r>
    </w:p>
    <w:p w:rsidR="00C645C9" w:rsidRDefault="00F955D9">
      <w:pPr>
        <w:widowControl w:val="0"/>
        <w:adjustRightInd w:val="0"/>
        <w:snapToGrid w:val="0"/>
        <w:spacing w:line="360" w:lineRule="auto"/>
        <w:ind w:firstLineChars="200" w:firstLine="480"/>
        <w:jc w:val="both"/>
        <w:rPr>
          <w:rFonts w:cs="Times New Roman"/>
          <w:spacing w:val="4"/>
        </w:rPr>
      </w:pPr>
      <w:r>
        <w:rPr>
          <w:rFonts w:cs="Times New Roman"/>
          <w:szCs w:val="20"/>
        </w:rPr>
        <w:fldChar w:fldCharType="begin"/>
      </w:r>
      <w:r>
        <w:rPr>
          <w:rFonts w:cs="Times New Roman"/>
          <w:szCs w:val="20"/>
        </w:rPr>
        <w:instrText xml:space="preserve"> = 1 \* GB3 \* MERGEFORMAT </w:instrText>
      </w:r>
      <w:r>
        <w:rPr>
          <w:rFonts w:cs="Times New Roman"/>
          <w:szCs w:val="20"/>
        </w:rPr>
        <w:fldChar w:fldCharType="separate"/>
      </w:r>
      <w:r>
        <w:rPr>
          <w:rFonts w:cs="Times New Roman"/>
        </w:rPr>
        <w:t>①</w:t>
      </w:r>
      <w:r>
        <w:rPr>
          <w:rFonts w:cs="Times New Roman"/>
          <w:szCs w:val="20"/>
        </w:rPr>
        <w:fldChar w:fldCharType="end"/>
      </w:r>
      <w:r>
        <w:rPr>
          <w:rFonts w:cs="Times New Roman"/>
          <w:szCs w:val="20"/>
        </w:rPr>
        <w:t>监测项目</w:t>
      </w:r>
    </w:p>
    <w:p w:rsidR="00C645C9" w:rsidRDefault="00F955D9">
      <w:pPr>
        <w:widowControl w:val="0"/>
        <w:adjustRightInd w:val="0"/>
        <w:snapToGrid w:val="0"/>
        <w:spacing w:line="360" w:lineRule="auto"/>
        <w:ind w:firstLineChars="200" w:firstLine="496"/>
        <w:jc w:val="both"/>
        <w:rPr>
          <w:rFonts w:cs="Times New Roman"/>
          <w:spacing w:val="4"/>
        </w:rPr>
      </w:pPr>
      <w:r>
        <w:rPr>
          <w:rFonts w:cs="Times New Roman"/>
          <w:spacing w:val="4"/>
        </w:rPr>
        <w:t>根据</w:t>
      </w:r>
      <w:bookmarkStart w:id="1335" w:name="OLE_LINK567"/>
      <w:r>
        <w:rPr>
          <w:rFonts w:cs="Times New Roman"/>
          <w:spacing w:val="4"/>
        </w:rPr>
        <w:t>《</w:t>
      </w:r>
      <w:bookmarkStart w:id="1336" w:name="OLE_LINK563"/>
      <w:r>
        <w:rPr>
          <w:rFonts w:cs="Times New Roman"/>
          <w:spacing w:val="4"/>
        </w:rPr>
        <w:t>环境影响评价技术导则</w:t>
      </w:r>
      <w:r>
        <w:rPr>
          <w:rFonts w:cs="Times New Roman"/>
          <w:spacing w:val="4"/>
        </w:rPr>
        <w:t xml:space="preserve"> </w:t>
      </w:r>
      <w:r>
        <w:rPr>
          <w:rFonts w:cs="Times New Roman"/>
          <w:spacing w:val="4"/>
        </w:rPr>
        <w:t>土壤环境（试行）</w:t>
      </w:r>
      <w:bookmarkEnd w:id="1336"/>
      <w:r>
        <w:rPr>
          <w:rFonts w:cs="Times New Roman"/>
          <w:spacing w:val="4"/>
        </w:rPr>
        <w:t>》</w:t>
      </w:r>
      <w:bookmarkEnd w:id="1335"/>
      <w:r>
        <w:rPr>
          <w:rFonts w:cs="Times New Roman"/>
          <w:spacing w:val="4"/>
        </w:rPr>
        <w:t>（</w:t>
      </w:r>
      <w:r>
        <w:rPr>
          <w:rFonts w:cs="Times New Roman"/>
          <w:spacing w:val="4"/>
        </w:rPr>
        <w:t>HJ964-2018</w:t>
      </w:r>
      <w:r>
        <w:rPr>
          <w:rFonts w:cs="Times New Roman"/>
          <w:spacing w:val="4"/>
        </w:rPr>
        <w:t>）和《环境影响</w:t>
      </w:r>
      <w:r>
        <w:rPr>
          <w:rFonts w:cs="Times New Roman"/>
          <w:szCs w:val="20"/>
        </w:rPr>
        <w:t>评价技术导则</w:t>
      </w:r>
      <w:r>
        <w:rPr>
          <w:rFonts w:cs="Times New Roman"/>
          <w:szCs w:val="20"/>
        </w:rPr>
        <w:t xml:space="preserve"> </w:t>
      </w:r>
      <w:r>
        <w:rPr>
          <w:rFonts w:cs="Times New Roman"/>
          <w:szCs w:val="20"/>
        </w:rPr>
        <w:t>陆地石油天然气开发建设项目》（</w:t>
      </w:r>
      <w:r>
        <w:rPr>
          <w:rFonts w:cs="Times New Roman"/>
          <w:szCs w:val="20"/>
        </w:rPr>
        <w:t>HJ349-2023</w:t>
      </w:r>
      <w:r>
        <w:rPr>
          <w:rFonts w:cs="Times New Roman"/>
          <w:szCs w:val="20"/>
        </w:rPr>
        <w:t>）</w:t>
      </w:r>
      <w:r>
        <w:rPr>
          <w:rFonts w:cs="Times New Roman"/>
          <w:szCs w:val="20"/>
        </w:rPr>
        <w:t>，本次评价</w:t>
      </w:r>
      <w:r>
        <w:rPr>
          <w:rFonts w:cs="Times New Roman"/>
          <w:spacing w:val="4"/>
        </w:rPr>
        <w:t>的监测项目包括：</w:t>
      </w:r>
    </w:p>
    <w:p w:rsidR="00C645C9" w:rsidRDefault="00F955D9">
      <w:pPr>
        <w:widowControl w:val="0"/>
        <w:adjustRightInd w:val="0"/>
        <w:snapToGrid w:val="0"/>
        <w:spacing w:line="360" w:lineRule="auto"/>
        <w:ind w:firstLineChars="200" w:firstLine="496"/>
        <w:jc w:val="both"/>
        <w:rPr>
          <w:rFonts w:cs="Times New Roman"/>
          <w:spacing w:val="4"/>
        </w:rPr>
      </w:pPr>
      <w:r>
        <w:rPr>
          <w:rFonts w:cs="Times New Roman"/>
          <w:spacing w:val="4"/>
        </w:rPr>
        <w:t>《</w:t>
      </w:r>
      <w:bookmarkStart w:id="1337" w:name="OLE_LINK1074"/>
      <w:r>
        <w:rPr>
          <w:rFonts w:cs="Times New Roman"/>
          <w:spacing w:val="4"/>
        </w:rPr>
        <w:t>土壤环境质量</w:t>
      </w:r>
      <w:r>
        <w:rPr>
          <w:rFonts w:cs="Times New Roman"/>
          <w:spacing w:val="4"/>
        </w:rPr>
        <w:t xml:space="preserve"> </w:t>
      </w:r>
      <w:r>
        <w:rPr>
          <w:rFonts w:cs="Times New Roman"/>
          <w:spacing w:val="4"/>
        </w:rPr>
        <w:t>农用地土壤污染风险管控标准（试行）</w:t>
      </w:r>
      <w:bookmarkEnd w:id="1337"/>
      <w:r>
        <w:rPr>
          <w:rFonts w:cs="Times New Roman"/>
          <w:spacing w:val="4"/>
        </w:rPr>
        <w:t>》（</w:t>
      </w:r>
      <w:r>
        <w:rPr>
          <w:rFonts w:cs="Times New Roman"/>
          <w:spacing w:val="4"/>
        </w:rPr>
        <w:t>GB15618-2018</w:t>
      </w:r>
      <w:r>
        <w:rPr>
          <w:rFonts w:cs="Times New Roman"/>
          <w:spacing w:val="4"/>
        </w:rPr>
        <w:t>）中表</w:t>
      </w:r>
      <w:r>
        <w:rPr>
          <w:rFonts w:cs="Times New Roman"/>
          <w:spacing w:val="4"/>
        </w:rPr>
        <w:t>1</w:t>
      </w:r>
      <w:r>
        <w:rPr>
          <w:rFonts w:cs="Times New Roman"/>
          <w:spacing w:val="4"/>
        </w:rPr>
        <w:t>规定的基</w:t>
      </w:r>
      <w:r>
        <w:rPr>
          <w:rFonts w:cs="Times New Roman" w:hint="eastAsia"/>
          <w:spacing w:val="4"/>
        </w:rPr>
        <w:t>本工程</w:t>
      </w:r>
      <w:r>
        <w:rPr>
          <w:rFonts w:cs="Times New Roman"/>
          <w:spacing w:val="4"/>
        </w:rPr>
        <w:t>：镉、汞、砷、</w:t>
      </w:r>
      <w:bookmarkStart w:id="1338" w:name="OLE_LINK1020"/>
      <w:r>
        <w:rPr>
          <w:rFonts w:cs="Times New Roman"/>
          <w:spacing w:val="4"/>
        </w:rPr>
        <w:t>铅</w:t>
      </w:r>
      <w:bookmarkEnd w:id="1338"/>
      <w:r>
        <w:rPr>
          <w:rFonts w:cs="Times New Roman"/>
          <w:spacing w:val="4"/>
        </w:rPr>
        <w:t>、铬、铜、镍、锌</w:t>
      </w:r>
      <w:r>
        <w:rPr>
          <w:rFonts w:cs="Times New Roman" w:hint="eastAsia"/>
          <w:spacing w:val="4"/>
        </w:rPr>
        <w:t>、</w:t>
      </w:r>
      <w:r>
        <w:rPr>
          <w:rFonts w:cs="Times New Roman" w:hint="eastAsia"/>
          <w:spacing w:val="4"/>
        </w:rPr>
        <w:t>pH</w:t>
      </w:r>
      <w:r>
        <w:rPr>
          <w:rFonts w:cs="Times New Roman" w:hint="eastAsia"/>
          <w:spacing w:val="4"/>
        </w:rPr>
        <w:t>、土壤盐分含量、石油烃</w:t>
      </w:r>
      <w:bookmarkStart w:id="1339" w:name="OLE_LINK571"/>
      <w:r>
        <w:rPr>
          <w:rFonts w:cs="Times New Roman" w:hint="eastAsia"/>
          <w:spacing w:val="4"/>
        </w:rPr>
        <w:t>共计</w:t>
      </w:r>
      <w:r>
        <w:rPr>
          <w:rFonts w:cs="Times New Roman" w:hint="eastAsia"/>
          <w:spacing w:val="4"/>
        </w:rPr>
        <w:t>11</w:t>
      </w:r>
      <w:r>
        <w:rPr>
          <w:rFonts w:cs="Times New Roman" w:hint="eastAsia"/>
          <w:spacing w:val="4"/>
        </w:rPr>
        <w:t>项。</w:t>
      </w:r>
      <w:bookmarkEnd w:id="1339"/>
    </w:p>
    <w:p w:rsidR="00C645C9" w:rsidRDefault="00F955D9">
      <w:pPr>
        <w:widowControl w:val="0"/>
        <w:adjustRightInd w:val="0"/>
        <w:snapToGrid w:val="0"/>
        <w:spacing w:line="360" w:lineRule="auto"/>
        <w:ind w:firstLineChars="200" w:firstLine="496"/>
        <w:jc w:val="both"/>
        <w:rPr>
          <w:rFonts w:cs="Times New Roman"/>
          <w:spacing w:val="4"/>
        </w:rPr>
      </w:pPr>
      <w:r>
        <w:rPr>
          <w:rFonts w:cs="Times New Roman"/>
          <w:spacing w:val="4"/>
        </w:rPr>
        <w:t>《土壤环境质量</w:t>
      </w:r>
      <w:r>
        <w:rPr>
          <w:rFonts w:cs="Times New Roman"/>
          <w:spacing w:val="4"/>
        </w:rPr>
        <w:t xml:space="preserve"> </w:t>
      </w:r>
      <w:r>
        <w:rPr>
          <w:rFonts w:cs="Times New Roman"/>
          <w:spacing w:val="4"/>
        </w:rPr>
        <w:t>建设用地土壤污染风险管控标准（试行）》（</w:t>
      </w:r>
      <w:r>
        <w:rPr>
          <w:rFonts w:cs="Times New Roman"/>
          <w:spacing w:val="4"/>
        </w:rPr>
        <w:t>GB36600-2018</w:t>
      </w:r>
      <w:r>
        <w:rPr>
          <w:rFonts w:cs="Times New Roman"/>
          <w:spacing w:val="4"/>
        </w:rPr>
        <w:t>）第二类用地的基本因子</w:t>
      </w:r>
      <w:r>
        <w:rPr>
          <w:rFonts w:cs="Times New Roman"/>
          <w:spacing w:val="4"/>
        </w:rPr>
        <w:t>+</w:t>
      </w:r>
      <w:r>
        <w:rPr>
          <w:rFonts w:cs="Times New Roman"/>
          <w:spacing w:val="4"/>
        </w:rPr>
        <w:t>特征因子：砷</w:t>
      </w:r>
      <w:r>
        <w:rPr>
          <w:rFonts w:cs="Times New Roman" w:hint="eastAsia"/>
          <w:spacing w:val="4"/>
        </w:rPr>
        <w:t>、</w:t>
      </w:r>
      <w:r>
        <w:rPr>
          <w:rFonts w:cs="Times New Roman"/>
          <w:spacing w:val="4"/>
        </w:rPr>
        <w:t>镉</w:t>
      </w:r>
      <w:r>
        <w:rPr>
          <w:rFonts w:cs="Times New Roman" w:hint="eastAsia"/>
          <w:spacing w:val="4"/>
        </w:rPr>
        <w:t>、</w:t>
      </w:r>
      <w:r>
        <w:rPr>
          <w:rFonts w:cs="Times New Roman"/>
          <w:spacing w:val="4"/>
        </w:rPr>
        <w:t>铬</w:t>
      </w:r>
      <w:r>
        <w:rPr>
          <w:rFonts w:cs="Times New Roman" w:hint="eastAsia"/>
          <w:spacing w:val="4"/>
        </w:rPr>
        <w:t>（</w:t>
      </w:r>
      <w:r>
        <w:rPr>
          <w:rFonts w:cs="Times New Roman"/>
          <w:spacing w:val="4"/>
        </w:rPr>
        <w:t>六价</w:t>
      </w:r>
      <w:r>
        <w:rPr>
          <w:rFonts w:cs="Times New Roman" w:hint="eastAsia"/>
          <w:spacing w:val="4"/>
        </w:rPr>
        <w:t>）、</w:t>
      </w:r>
      <w:r>
        <w:rPr>
          <w:rFonts w:cs="Times New Roman"/>
          <w:spacing w:val="4"/>
        </w:rPr>
        <w:t>铜</w:t>
      </w:r>
      <w:r>
        <w:rPr>
          <w:rFonts w:cs="Times New Roman" w:hint="eastAsia"/>
          <w:spacing w:val="4"/>
        </w:rPr>
        <w:t>、</w:t>
      </w:r>
      <w:r>
        <w:rPr>
          <w:rFonts w:cs="Times New Roman"/>
          <w:spacing w:val="4"/>
        </w:rPr>
        <w:t>铅</w:t>
      </w:r>
      <w:r>
        <w:rPr>
          <w:rFonts w:cs="Times New Roman" w:hint="eastAsia"/>
          <w:spacing w:val="4"/>
        </w:rPr>
        <w:t>、</w:t>
      </w:r>
      <w:r>
        <w:rPr>
          <w:rFonts w:cs="Times New Roman"/>
          <w:spacing w:val="4"/>
        </w:rPr>
        <w:t>汞</w:t>
      </w:r>
      <w:r>
        <w:rPr>
          <w:rFonts w:cs="Times New Roman" w:hint="eastAsia"/>
          <w:spacing w:val="4"/>
        </w:rPr>
        <w:t>、</w:t>
      </w:r>
      <w:r>
        <w:rPr>
          <w:rFonts w:cs="Times New Roman"/>
          <w:spacing w:val="4"/>
        </w:rPr>
        <w:t>镍</w:t>
      </w:r>
      <w:r>
        <w:rPr>
          <w:rFonts w:cs="Times New Roman" w:hint="eastAsia"/>
          <w:spacing w:val="4"/>
        </w:rPr>
        <w:t>、</w:t>
      </w:r>
      <w:r>
        <w:rPr>
          <w:rFonts w:cs="Times New Roman"/>
          <w:spacing w:val="4"/>
        </w:rPr>
        <w:t>四氯化碳</w:t>
      </w:r>
      <w:r>
        <w:rPr>
          <w:rFonts w:cs="Times New Roman" w:hint="eastAsia"/>
          <w:spacing w:val="4"/>
        </w:rPr>
        <w:t>、</w:t>
      </w:r>
      <w:r>
        <w:rPr>
          <w:rFonts w:cs="Times New Roman"/>
          <w:spacing w:val="4"/>
        </w:rPr>
        <w:t>氯仿</w:t>
      </w:r>
      <w:r>
        <w:rPr>
          <w:rFonts w:cs="Times New Roman" w:hint="eastAsia"/>
          <w:spacing w:val="4"/>
        </w:rPr>
        <w:t>、</w:t>
      </w:r>
      <w:r>
        <w:rPr>
          <w:rFonts w:cs="Times New Roman"/>
          <w:spacing w:val="4"/>
        </w:rPr>
        <w:t>氯甲烷</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二氯乙烷</w:t>
      </w:r>
      <w:r>
        <w:rPr>
          <w:rFonts w:cs="Times New Roman" w:hint="eastAsia"/>
          <w:spacing w:val="4"/>
        </w:rPr>
        <w:t>、</w:t>
      </w:r>
      <w:r>
        <w:rPr>
          <w:rFonts w:cs="Times New Roman"/>
          <w:spacing w:val="4"/>
        </w:rPr>
        <w:t>1</w:t>
      </w:r>
      <w:r>
        <w:rPr>
          <w:rFonts w:cs="Times New Roman"/>
          <w:spacing w:val="4"/>
        </w:rPr>
        <w:t>，</w:t>
      </w:r>
      <w:r>
        <w:rPr>
          <w:rFonts w:cs="Times New Roman"/>
          <w:spacing w:val="4"/>
        </w:rPr>
        <w:t>2-</w:t>
      </w:r>
      <w:r>
        <w:rPr>
          <w:rFonts w:cs="Times New Roman"/>
          <w:spacing w:val="4"/>
        </w:rPr>
        <w:t>二氯乙烷</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二氯乙烯</w:t>
      </w:r>
      <w:r>
        <w:rPr>
          <w:rFonts w:cs="Times New Roman" w:hint="eastAsia"/>
          <w:spacing w:val="4"/>
        </w:rPr>
        <w:t>、</w:t>
      </w:r>
      <w:r>
        <w:rPr>
          <w:rFonts w:cs="Times New Roman"/>
          <w:spacing w:val="4"/>
        </w:rPr>
        <w:t>顺式</w:t>
      </w:r>
      <w:r>
        <w:rPr>
          <w:rFonts w:cs="Times New Roman"/>
          <w:spacing w:val="4"/>
        </w:rPr>
        <w:t>-1</w:t>
      </w:r>
      <w:r>
        <w:rPr>
          <w:rFonts w:cs="Times New Roman"/>
          <w:spacing w:val="4"/>
        </w:rPr>
        <w:t>，</w:t>
      </w:r>
      <w:r>
        <w:rPr>
          <w:rFonts w:cs="Times New Roman"/>
          <w:spacing w:val="4"/>
        </w:rPr>
        <w:t>2-</w:t>
      </w:r>
      <w:r>
        <w:rPr>
          <w:rFonts w:cs="Times New Roman"/>
          <w:spacing w:val="4"/>
        </w:rPr>
        <w:t>二氯乙烯</w:t>
      </w:r>
      <w:r>
        <w:rPr>
          <w:rFonts w:cs="Times New Roman" w:hint="eastAsia"/>
          <w:spacing w:val="4"/>
        </w:rPr>
        <w:t>、</w:t>
      </w:r>
      <w:r>
        <w:rPr>
          <w:rFonts w:cs="Times New Roman"/>
          <w:spacing w:val="4"/>
        </w:rPr>
        <w:t>反式</w:t>
      </w:r>
      <w:r>
        <w:rPr>
          <w:rFonts w:cs="Times New Roman"/>
          <w:spacing w:val="4"/>
        </w:rPr>
        <w:t>-1</w:t>
      </w:r>
      <w:r>
        <w:rPr>
          <w:rFonts w:cs="Times New Roman"/>
          <w:spacing w:val="4"/>
        </w:rPr>
        <w:t>，</w:t>
      </w:r>
      <w:r>
        <w:rPr>
          <w:rFonts w:cs="Times New Roman"/>
          <w:spacing w:val="4"/>
        </w:rPr>
        <w:t>2-</w:t>
      </w:r>
      <w:r>
        <w:rPr>
          <w:rFonts w:cs="Times New Roman"/>
          <w:spacing w:val="4"/>
        </w:rPr>
        <w:t>二氯乙烯</w:t>
      </w:r>
      <w:r>
        <w:rPr>
          <w:rFonts w:cs="Times New Roman" w:hint="eastAsia"/>
          <w:spacing w:val="4"/>
        </w:rPr>
        <w:t>、</w:t>
      </w:r>
      <w:r>
        <w:rPr>
          <w:rFonts w:cs="Times New Roman"/>
          <w:spacing w:val="4"/>
        </w:rPr>
        <w:t>二氯甲烷</w:t>
      </w:r>
      <w:r>
        <w:rPr>
          <w:rFonts w:cs="Times New Roman" w:hint="eastAsia"/>
          <w:spacing w:val="4"/>
        </w:rPr>
        <w:t>、</w:t>
      </w:r>
      <w:r>
        <w:rPr>
          <w:rFonts w:cs="Times New Roman"/>
          <w:spacing w:val="4"/>
        </w:rPr>
        <w:t>1</w:t>
      </w:r>
      <w:r>
        <w:rPr>
          <w:rFonts w:cs="Times New Roman"/>
          <w:spacing w:val="4"/>
        </w:rPr>
        <w:t>，</w:t>
      </w:r>
      <w:r>
        <w:rPr>
          <w:rFonts w:cs="Times New Roman"/>
          <w:spacing w:val="4"/>
        </w:rPr>
        <w:t>2-</w:t>
      </w:r>
      <w:r>
        <w:rPr>
          <w:rFonts w:cs="Times New Roman"/>
          <w:spacing w:val="4"/>
        </w:rPr>
        <w:t>二氯丙烷</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w:t>
      </w:r>
      <w:r>
        <w:rPr>
          <w:rFonts w:cs="Times New Roman"/>
          <w:spacing w:val="4"/>
        </w:rPr>
        <w:t>1</w:t>
      </w:r>
      <w:r>
        <w:rPr>
          <w:rFonts w:cs="Times New Roman"/>
          <w:spacing w:val="4"/>
        </w:rPr>
        <w:t>，</w:t>
      </w:r>
      <w:r>
        <w:rPr>
          <w:rFonts w:cs="Times New Roman"/>
          <w:spacing w:val="4"/>
        </w:rPr>
        <w:t>2-</w:t>
      </w:r>
      <w:r>
        <w:rPr>
          <w:rFonts w:cs="Times New Roman"/>
          <w:spacing w:val="4"/>
        </w:rPr>
        <w:t>四氯乙烷</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w:t>
      </w:r>
      <w:r>
        <w:rPr>
          <w:rFonts w:cs="Times New Roman"/>
          <w:spacing w:val="4"/>
        </w:rPr>
        <w:t>2</w:t>
      </w:r>
      <w:r>
        <w:rPr>
          <w:rFonts w:cs="Times New Roman"/>
          <w:spacing w:val="4"/>
        </w:rPr>
        <w:t>，</w:t>
      </w:r>
      <w:r>
        <w:rPr>
          <w:rFonts w:cs="Times New Roman"/>
          <w:spacing w:val="4"/>
        </w:rPr>
        <w:t>2-</w:t>
      </w:r>
      <w:r>
        <w:rPr>
          <w:rFonts w:cs="Times New Roman"/>
          <w:spacing w:val="4"/>
        </w:rPr>
        <w:t>四氯乙烷</w:t>
      </w:r>
      <w:r>
        <w:rPr>
          <w:rFonts w:cs="Times New Roman" w:hint="eastAsia"/>
          <w:spacing w:val="4"/>
        </w:rPr>
        <w:t>、</w:t>
      </w:r>
      <w:r>
        <w:rPr>
          <w:rFonts w:cs="Times New Roman"/>
          <w:spacing w:val="4"/>
        </w:rPr>
        <w:t>四氯乙烯</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w:t>
      </w:r>
      <w:r>
        <w:rPr>
          <w:rFonts w:cs="Times New Roman"/>
          <w:spacing w:val="4"/>
        </w:rPr>
        <w:t>1-</w:t>
      </w:r>
      <w:r>
        <w:rPr>
          <w:rFonts w:cs="Times New Roman"/>
          <w:spacing w:val="4"/>
        </w:rPr>
        <w:t>三氯乙烷</w:t>
      </w:r>
      <w:r>
        <w:rPr>
          <w:rFonts w:cs="Times New Roman" w:hint="eastAsia"/>
          <w:spacing w:val="4"/>
        </w:rPr>
        <w:t>、</w:t>
      </w:r>
      <w:r>
        <w:rPr>
          <w:rFonts w:cs="Times New Roman"/>
          <w:spacing w:val="4"/>
        </w:rPr>
        <w:t>1</w:t>
      </w:r>
      <w:r>
        <w:rPr>
          <w:rFonts w:cs="Times New Roman"/>
          <w:spacing w:val="4"/>
        </w:rPr>
        <w:t>，</w:t>
      </w:r>
      <w:r>
        <w:rPr>
          <w:rFonts w:cs="Times New Roman"/>
          <w:spacing w:val="4"/>
        </w:rPr>
        <w:t>1</w:t>
      </w:r>
      <w:r>
        <w:rPr>
          <w:rFonts w:cs="Times New Roman"/>
          <w:spacing w:val="4"/>
        </w:rPr>
        <w:t>，</w:t>
      </w:r>
      <w:r>
        <w:rPr>
          <w:rFonts w:cs="Times New Roman"/>
          <w:spacing w:val="4"/>
        </w:rPr>
        <w:t>2-</w:t>
      </w:r>
      <w:r>
        <w:rPr>
          <w:rFonts w:cs="Times New Roman"/>
          <w:spacing w:val="4"/>
        </w:rPr>
        <w:t>三氯乙烷</w:t>
      </w:r>
      <w:r>
        <w:rPr>
          <w:rFonts w:cs="Times New Roman" w:hint="eastAsia"/>
          <w:spacing w:val="4"/>
        </w:rPr>
        <w:t>、</w:t>
      </w:r>
      <w:r>
        <w:rPr>
          <w:rFonts w:cs="Times New Roman"/>
          <w:spacing w:val="4"/>
        </w:rPr>
        <w:t>三氯乙烯</w:t>
      </w:r>
      <w:r>
        <w:rPr>
          <w:rFonts w:cs="Times New Roman" w:hint="eastAsia"/>
          <w:spacing w:val="4"/>
        </w:rPr>
        <w:t>、</w:t>
      </w:r>
      <w:r>
        <w:rPr>
          <w:rFonts w:cs="Times New Roman"/>
          <w:spacing w:val="4"/>
        </w:rPr>
        <w:t>1</w:t>
      </w:r>
      <w:r>
        <w:rPr>
          <w:rFonts w:cs="Times New Roman"/>
          <w:spacing w:val="4"/>
        </w:rPr>
        <w:t>，</w:t>
      </w:r>
      <w:r>
        <w:rPr>
          <w:rFonts w:cs="Times New Roman"/>
          <w:spacing w:val="4"/>
        </w:rPr>
        <w:t>2</w:t>
      </w:r>
      <w:r>
        <w:rPr>
          <w:rFonts w:cs="Times New Roman"/>
          <w:spacing w:val="4"/>
        </w:rPr>
        <w:t>，</w:t>
      </w:r>
      <w:r>
        <w:rPr>
          <w:rFonts w:cs="Times New Roman"/>
          <w:spacing w:val="4"/>
        </w:rPr>
        <w:t>3-</w:t>
      </w:r>
      <w:r>
        <w:rPr>
          <w:rFonts w:cs="Times New Roman"/>
          <w:spacing w:val="4"/>
        </w:rPr>
        <w:t>三氯丙烷</w:t>
      </w:r>
      <w:r>
        <w:rPr>
          <w:rFonts w:cs="Times New Roman" w:hint="eastAsia"/>
          <w:spacing w:val="4"/>
        </w:rPr>
        <w:t>、</w:t>
      </w:r>
      <w:r>
        <w:rPr>
          <w:rFonts w:cs="Times New Roman"/>
          <w:spacing w:val="4"/>
        </w:rPr>
        <w:t>氯乙烯</w:t>
      </w:r>
      <w:r>
        <w:rPr>
          <w:rFonts w:cs="Times New Roman" w:hint="eastAsia"/>
          <w:spacing w:val="4"/>
        </w:rPr>
        <w:t>、</w:t>
      </w:r>
      <w:r>
        <w:rPr>
          <w:rFonts w:cs="Times New Roman"/>
          <w:spacing w:val="4"/>
        </w:rPr>
        <w:t>苯</w:t>
      </w:r>
      <w:r>
        <w:rPr>
          <w:rFonts w:cs="Times New Roman" w:hint="eastAsia"/>
          <w:spacing w:val="4"/>
        </w:rPr>
        <w:t>、</w:t>
      </w:r>
      <w:r>
        <w:rPr>
          <w:rFonts w:cs="Times New Roman"/>
          <w:spacing w:val="4"/>
        </w:rPr>
        <w:t>氯苯</w:t>
      </w:r>
      <w:r>
        <w:rPr>
          <w:rFonts w:cs="Times New Roman" w:hint="eastAsia"/>
          <w:spacing w:val="4"/>
        </w:rPr>
        <w:t>、</w:t>
      </w:r>
      <w:r>
        <w:rPr>
          <w:rFonts w:cs="Times New Roman"/>
          <w:spacing w:val="4"/>
        </w:rPr>
        <w:t>1</w:t>
      </w:r>
      <w:r>
        <w:rPr>
          <w:rFonts w:cs="Times New Roman"/>
          <w:spacing w:val="4"/>
        </w:rPr>
        <w:t>，</w:t>
      </w:r>
      <w:r>
        <w:rPr>
          <w:rFonts w:cs="Times New Roman"/>
          <w:spacing w:val="4"/>
        </w:rPr>
        <w:t>2-</w:t>
      </w:r>
      <w:r>
        <w:rPr>
          <w:rFonts w:cs="Times New Roman"/>
          <w:spacing w:val="4"/>
        </w:rPr>
        <w:t>二氯苯</w:t>
      </w:r>
      <w:r>
        <w:rPr>
          <w:rFonts w:cs="Times New Roman" w:hint="eastAsia"/>
          <w:spacing w:val="4"/>
        </w:rPr>
        <w:t>、</w:t>
      </w:r>
      <w:r>
        <w:rPr>
          <w:rFonts w:cs="Times New Roman"/>
          <w:spacing w:val="4"/>
        </w:rPr>
        <w:t>1</w:t>
      </w:r>
      <w:r>
        <w:rPr>
          <w:rFonts w:cs="Times New Roman"/>
          <w:spacing w:val="4"/>
        </w:rPr>
        <w:t>，</w:t>
      </w:r>
      <w:r>
        <w:rPr>
          <w:rFonts w:cs="Times New Roman"/>
          <w:spacing w:val="4"/>
        </w:rPr>
        <w:t>4-</w:t>
      </w:r>
      <w:r>
        <w:rPr>
          <w:rFonts w:cs="Times New Roman"/>
          <w:spacing w:val="4"/>
        </w:rPr>
        <w:t>二氯苯</w:t>
      </w:r>
      <w:r>
        <w:rPr>
          <w:rFonts w:cs="Times New Roman" w:hint="eastAsia"/>
          <w:spacing w:val="4"/>
        </w:rPr>
        <w:t>、</w:t>
      </w:r>
      <w:r>
        <w:rPr>
          <w:rFonts w:cs="Times New Roman"/>
          <w:spacing w:val="4"/>
        </w:rPr>
        <w:t>乙苯</w:t>
      </w:r>
      <w:r>
        <w:rPr>
          <w:rFonts w:cs="Times New Roman" w:hint="eastAsia"/>
          <w:spacing w:val="4"/>
        </w:rPr>
        <w:t>、</w:t>
      </w:r>
      <w:r>
        <w:rPr>
          <w:rFonts w:cs="Times New Roman"/>
          <w:spacing w:val="4"/>
        </w:rPr>
        <w:t>苯乙烯</w:t>
      </w:r>
      <w:r>
        <w:rPr>
          <w:rFonts w:cs="Times New Roman" w:hint="eastAsia"/>
          <w:spacing w:val="4"/>
        </w:rPr>
        <w:t>、</w:t>
      </w:r>
      <w:r>
        <w:rPr>
          <w:rFonts w:cs="Times New Roman"/>
          <w:spacing w:val="4"/>
        </w:rPr>
        <w:t>甲苯</w:t>
      </w:r>
      <w:r>
        <w:rPr>
          <w:rFonts w:cs="Times New Roman" w:hint="eastAsia"/>
          <w:spacing w:val="4"/>
        </w:rPr>
        <w:t>、</w:t>
      </w:r>
      <w:r>
        <w:rPr>
          <w:rFonts w:cs="Times New Roman"/>
          <w:spacing w:val="4"/>
        </w:rPr>
        <w:t>间</w:t>
      </w:r>
      <w:r>
        <w:rPr>
          <w:rFonts w:cs="Times New Roman"/>
          <w:spacing w:val="4"/>
        </w:rPr>
        <w:t>/</w:t>
      </w:r>
      <w:r>
        <w:rPr>
          <w:rFonts w:cs="Times New Roman"/>
          <w:spacing w:val="4"/>
        </w:rPr>
        <w:t>对二甲苯</w:t>
      </w:r>
      <w:r>
        <w:rPr>
          <w:rFonts w:cs="Times New Roman" w:hint="eastAsia"/>
          <w:spacing w:val="4"/>
        </w:rPr>
        <w:t>、</w:t>
      </w:r>
      <w:r>
        <w:rPr>
          <w:rFonts w:cs="Times New Roman"/>
          <w:spacing w:val="4"/>
        </w:rPr>
        <w:t>邻二</w:t>
      </w:r>
      <w:r>
        <w:rPr>
          <w:rFonts w:cs="Times New Roman"/>
          <w:spacing w:val="4"/>
        </w:rPr>
        <w:lastRenderedPageBreak/>
        <w:t>甲苯</w:t>
      </w:r>
      <w:r>
        <w:rPr>
          <w:rFonts w:cs="Times New Roman" w:hint="eastAsia"/>
          <w:spacing w:val="4"/>
        </w:rPr>
        <w:t>、</w:t>
      </w:r>
      <w:r>
        <w:rPr>
          <w:rFonts w:cs="Times New Roman"/>
          <w:spacing w:val="4"/>
        </w:rPr>
        <w:t>硝基苯</w:t>
      </w:r>
      <w:r>
        <w:rPr>
          <w:rFonts w:cs="Times New Roman" w:hint="eastAsia"/>
          <w:spacing w:val="4"/>
        </w:rPr>
        <w:t>、</w:t>
      </w:r>
      <w:r>
        <w:rPr>
          <w:rFonts w:cs="Times New Roman"/>
          <w:spacing w:val="4"/>
        </w:rPr>
        <w:t>苯胺</w:t>
      </w:r>
      <w:r>
        <w:rPr>
          <w:rFonts w:cs="Times New Roman" w:hint="eastAsia"/>
          <w:spacing w:val="4"/>
        </w:rPr>
        <w:t>、</w:t>
      </w:r>
      <w:r>
        <w:rPr>
          <w:rFonts w:cs="Times New Roman"/>
          <w:spacing w:val="4"/>
        </w:rPr>
        <w:t>2-</w:t>
      </w:r>
      <w:r>
        <w:rPr>
          <w:rFonts w:cs="Times New Roman"/>
          <w:spacing w:val="4"/>
        </w:rPr>
        <w:t>氯苯酚</w:t>
      </w:r>
      <w:r>
        <w:rPr>
          <w:rFonts w:cs="Times New Roman" w:hint="eastAsia"/>
          <w:spacing w:val="4"/>
        </w:rPr>
        <w:t>、</w:t>
      </w:r>
      <w:r>
        <w:rPr>
          <w:rFonts w:cs="Times New Roman"/>
          <w:spacing w:val="4"/>
        </w:rPr>
        <w:t>苯并〔</w:t>
      </w:r>
      <w:r>
        <w:rPr>
          <w:rFonts w:cs="Times New Roman"/>
          <w:spacing w:val="4"/>
        </w:rPr>
        <w:t>a</w:t>
      </w:r>
      <w:r>
        <w:rPr>
          <w:rFonts w:cs="Times New Roman"/>
          <w:spacing w:val="4"/>
        </w:rPr>
        <w:t>〕蒽</w:t>
      </w:r>
      <w:r>
        <w:rPr>
          <w:rFonts w:cs="Times New Roman" w:hint="eastAsia"/>
          <w:spacing w:val="4"/>
        </w:rPr>
        <w:t>、</w:t>
      </w:r>
      <w:r>
        <w:rPr>
          <w:rFonts w:cs="Times New Roman"/>
          <w:spacing w:val="4"/>
        </w:rPr>
        <w:t>苯并〔</w:t>
      </w:r>
      <w:r>
        <w:rPr>
          <w:rFonts w:cs="Times New Roman"/>
          <w:spacing w:val="4"/>
        </w:rPr>
        <w:t>a</w:t>
      </w:r>
      <w:r>
        <w:rPr>
          <w:rFonts w:cs="Times New Roman"/>
          <w:spacing w:val="4"/>
        </w:rPr>
        <w:t>〕芘</w:t>
      </w:r>
      <w:r>
        <w:rPr>
          <w:rFonts w:cs="Times New Roman" w:hint="eastAsia"/>
          <w:spacing w:val="4"/>
        </w:rPr>
        <w:t>、</w:t>
      </w:r>
      <w:r>
        <w:rPr>
          <w:rFonts w:cs="Times New Roman"/>
          <w:spacing w:val="4"/>
        </w:rPr>
        <w:t>苯并〔</w:t>
      </w:r>
      <w:r>
        <w:rPr>
          <w:rFonts w:cs="Times New Roman"/>
          <w:spacing w:val="4"/>
        </w:rPr>
        <w:t>b</w:t>
      </w:r>
      <w:r>
        <w:rPr>
          <w:rFonts w:cs="Times New Roman"/>
          <w:spacing w:val="4"/>
        </w:rPr>
        <w:t>〕荧蒽</w:t>
      </w:r>
      <w:r>
        <w:rPr>
          <w:rFonts w:cs="Times New Roman" w:hint="eastAsia"/>
          <w:spacing w:val="4"/>
        </w:rPr>
        <w:t>、</w:t>
      </w:r>
      <w:r>
        <w:rPr>
          <w:rFonts w:cs="Times New Roman"/>
          <w:spacing w:val="4"/>
        </w:rPr>
        <w:t>苯并〔</w:t>
      </w:r>
      <w:r>
        <w:rPr>
          <w:rFonts w:cs="Times New Roman"/>
          <w:spacing w:val="4"/>
        </w:rPr>
        <w:t>k</w:t>
      </w:r>
      <w:r>
        <w:rPr>
          <w:rFonts w:cs="Times New Roman"/>
          <w:spacing w:val="4"/>
        </w:rPr>
        <w:t>〕荧蒽</w:t>
      </w:r>
      <w:r>
        <w:rPr>
          <w:rFonts w:cs="Times New Roman" w:hint="eastAsia"/>
          <w:spacing w:val="4"/>
        </w:rPr>
        <w:t>、</w:t>
      </w:r>
      <w:r>
        <w:rPr>
          <w:rFonts w:cs="Times New Roman"/>
          <w:spacing w:val="4"/>
        </w:rPr>
        <w:t>䓛</w:t>
      </w:r>
      <w:r>
        <w:rPr>
          <w:rFonts w:cs="Times New Roman" w:hint="eastAsia"/>
          <w:spacing w:val="4"/>
        </w:rPr>
        <w:t>、</w:t>
      </w:r>
      <w:r>
        <w:rPr>
          <w:rFonts w:cs="Times New Roman"/>
          <w:spacing w:val="4"/>
        </w:rPr>
        <w:t>二苯并〔</w:t>
      </w:r>
      <w:r>
        <w:rPr>
          <w:rFonts w:cs="Times New Roman"/>
          <w:spacing w:val="4"/>
        </w:rPr>
        <w:t>a</w:t>
      </w:r>
      <w:r>
        <w:rPr>
          <w:rFonts w:cs="Times New Roman"/>
          <w:spacing w:val="4"/>
        </w:rPr>
        <w:t>，</w:t>
      </w:r>
      <w:r>
        <w:rPr>
          <w:rFonts w:cs="Times New Roman"/>
          <w:spacing w:val="4"/>
        </w:rPr>
        <w:t>h</w:t>
      </w:r>
      <w:r>
        <w:rPr>
          <w:rFonts w:cs="Times New Roman"/>
          <w:spacing w:val="4"/>
        </w:rPr>
        <w:t>〕蒽</w:t>
      </w:r>
      <w:r>
        <w:rPr>
          <w:rFonts w:cs="Times New Roman" w:hint="eastAsia"/>
          <w:spacing w:val="4"/>
        </w:rPr>
        <w:t>、</w:t>
      </w:r>
      <w:r>
        <w:rPr>
          <w:rFonts w:cs="Times New Roman"/>
          <w:spacing w:val="4"/>
        </w:rPr>
        <w:t>茚并〔</w:t>
      </w:r>
      <w:r>
        <w:rPr>
          <w:rFonts w:cs="Times New Roman"/>
          <w:spacing w:val="4"/>
        </w:rPr>
        <w:t>1</w:t>
      </w:r>
      <w:r>
        <w:rPr>
          <w:rFonts w:cs="Times New Roman"/>
          <w:spacing w:val="4"/>
        </w:rPr>
        <w:t>，</w:t>
      </w:r>
      <w:r>
        <w:rPr>
          <w:rFonts w:cs="Times New Roman"/>
          <w:spacing w:val="4"/>
        </w:rPr>
        <w:t>2</w:t>
      </w:r>
      <w:r>
        <w:rPr>
          <w:rFonts w:cs="Times New Roman"/>
          <w:spacing w:val="4"/>
        </w:rPr>
        <w:t>，</w:t>
      </w:r>
      <w:r>
        <w:rPr>
          <w:rFonts w:cs="Times New Roman"/>
          <w:spacing w:val="4"/>
        </w:rPr>
        <w:t>3-cd</w:t>
      </w:r>
      <w:r>
        <w:rPr>
          <w:rFonts w:cs="Times New Roman"/>
          <w:spacing w:val="4"/>
        </w:rPr>
        <w:t>〕芘</w:t>
      </w:r>
      <w:r>
        <w:rPr>
          <w:rFonts w:cs="Times New Roman" w:hint="eastAsia"/>
          <w:spacing w:val="4"/>
        </w:rPr>
        <w:t>、</w:t>
      </w:r>
      <w:r>
        <w:rPr>
          <w:rFonts w:cs="Times New Roman"/>
          <w:spacing w:val="4"/>
        </w:rPr>
        <w:t>萘</w:t>
      </w:r>
      <w:r>
        <w:rPr>
          <w:rFonts w:cs="Times New Roman" w:hint="eastAsia"/>
          <w:spacing w:val="4"/>
        </w:rPr>
        <w:t>、</w:t>
      </w:r>
      <w:r>
        <w:rPr>
          <w:rFonts w:cs="Times New Roman"/>
          <w:spacing w:val="4"/>
        </w:rPr>
        <w:t>pH</w:t>
      </w:r>
      <w:r>
        <w:rPr>
          <w:rFonts w:cs="Times New Roman" w:hint="eastAsia"/>
          <w:spacing w:val="4"/>
        </w:rPr>
        <w:t>、</w:t>
      </w:r>
      <w:r>
        <w:rPr>
          <w:rFonts w:cs="Times New Roman"/>
          <w:spacing w:val="4"/>
        </w:rPr>
        <w:t>石油烃</w:t>
      </w:r>
      <w:r>
        <w:rPr>
          <w:rFonts w:cs="Times New Roman" w:hint="eastAsia"/>
          <w:spacing w:val="4"/>
        </w:rPr>
        <w:t>、</w:t>
      </w:r>
      <w:r>
        <w:rPr>
          <w:rFonts w:cs="Times New Roman"/>
          <w:spacing w:val="4"/>
        </w:rPr>
        <w:t>土壤盐分含量</w:t>
      </w:r>
      <w:r>
        <w:rPr>
          <w:rFonts w:cs="Times New Roman" w:hint="eastAsia"/>
          <w:spacing w:val="4"/>
        </w:rPr>
        <w:t>共计</w:t>
      </w:r>
      <w:r>
        <w:rPr>
          <w:rFonts w:cs="Times New Roman" w:hint="eastAsia"/>
          <w:spacing w:val="4"/>
        </w:rPr>
        <w:t>48</w:t>
      </w:r>
      <w:r>
        <w:rPr>
          <w:rFonts w:cs="Times New Roman" w:hint="eastAsia"/>
          <w:spacing w:val="4"/>
        </w:rPr>
        <w:t>项。</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fldChar w:fldCharType="begin"/>
      </w:r>
      <w:r>
        <w:rPr>
          <w:rFonts w:cs="Times New Roman"/>
          <w:szCs w:val="20"/>
        </w:rPr>
        <w:instrText xml:space="preserve"> = 2 \* GB3 \* MERGEFORMAT </w:instrText>
      </w:r>
      <w:r>
        <w:rPr>
          <w:rFonts w:cs="Times New Roman"/>
          <w:szCs w:val="20"/>
        </w:rPr>
        <w:fldChar w:fldCharType="separate"/>
      </w:r>
      <w:r>
        <w:rPr>
          <w:rFonts w:cs="Times New Roman"/>
          <w:szCs w:val="20"/>
        </w:rPr>
        <w:t>②</w:t>
      </w:r>
      <w:r>
        <w:rPr>
          <w:rFonts w:cs="Times New Roman"/>
          <w:szCs w:val="20"/>
        </w:rPr>
        <w:fldChar w:fldCharType="end"/>
      </w:r>
      <w:r>
        <w:rPr>
          <w:rFonts w:cs="Times New Roman"/>
          <w:szCs w:val="20"/>
        </w:rPr>
        <w:t>分析方法</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t>采样</w:t>
      </w:r>
      <w:bookmarkStart w:id="1340" w:name="OLE_LINK566"/>
      <w:r>
        <w:rPr>
          <w:rFonts w:cs="Times New Roman"/>
          <w:szCs w:val="20"/>
        </w:rPr>
        <w:t>按照</w:t>
      </w:r>
      <w:bookmarkEnd w:id="1340"/>
      <w:r>
        <w:rPr>
          <w:rFonts w:cs="Times New Roman"/>
          <w:spacing w:val="4"/>
        </w:rPr>
        <w:t>《环境影响评价技术导则</w:t>
      </w:r>
      <w:r>
        <w:rPr>
          <w:rFonts w:cs="Times New Roman"/>
          <w:spacing w:val="4"/>
        </w:rPr>
        <w:t xml:space="preserve"> </w:t>
      </w:r>
      <w:r>
        <w:rPr>
          <w:rFonts w:cs="Times New Roman"/>
          <w:spacing w:val="4"/>
        </w:rPr>
        <w:t>土壤环境（试行）》</w:t>
      </w:r>
      <w:r>
        <w:rPr>
          <w:rFonts w:cs="Times New Roman" w:hint="eastAsia"/>
          <w:spacing w:val="4"/>
        </w:rPr>
        <w:t>执行，</w:t>
      </w:r>
      <w:r>
        <w:rPr>
          <w:rFonts w:cs="Times New Roman"/>
          <w:szCs w:val="20"/>
        </w:rPr>
        <w:t>监测分析方法</w:t>
      </w:r>
      <w:r>
        <w:rPr>
          <w:rFonts w:cs="Times New Roman"/>
          <w:szCs w:val="20"/>
        </w:rPr>
        <w:t>按照</w:t>
      </w:r>
      <w:r>
        <w:rPr>
          <w:rFonts w:cs="Times New Roman" w:hint="eastAsia"/>
          <w:szCs w:val="20"/>
        </w:rPr>
        <w:t>《</w:t>
      </w:r>
      <w:bookmarkStart w:id="1341" w:name="OLE_LINK564"/>
      <w:r>
        <w:rPr>
          <w:rFonts w:cs="Times New Roman" w:hint="eastAsia"/>
          <w:szCs w:val="20"/>
        </w:rPr>
        <w:t>土壤环境监测技术规范</w:t>
      </w:r>
      <w:bookmarkEnd w:id="1341"/>
      <w:r>
        <w:rPr>
          <w:rFonts w:cs="Times New Roman" w:hint="eastAsia"/>
          <w:szCs w:val="20"/>
        </w:rPr>
        <w:t>》（</w:t>
      </w:r>
      <w:r>
        <w:rPr>
          <w:rFonts w:cs="Times New Roman" w:hint="eastAsia"/>
          <w:szCs w:val="20"/>
        </w:rPr>
        <w:t>HJ/T166-2004</w:t>
      </w:r>
      <w:r>
        <w:rPr>
          <w:rFonts w:cs="Times New Roman" w:hint="eastAsia"/>
          <w:szCs w:val="20"/>
        </w:rPr>
        <w:t>）《</w:t>
      </w:r>
      <w:bookmarkStart w:id="1342" w:name="OLE_LINK565"/>
      <w:r>
        <w:rPr>
          <w:rFonts w:cs="Times New Roman" w:hint="eastAsia"/>
          <w:szCs w:val="20"/>
        </w:rPr>
        <w:t>建设用地土壤污染状况调查</w:t>
      </w:r>
      <w:r>
        <w:rPr>
          <w:rFonts w:cs="Times New Roman" w:hint="eastAsia"/>
          <w:szCs w:val="20"/>
        </w:rPr>
        <w:t xml:space="preserve"> </w:t>
      </w:r>
      <w:r>
        <w:rPr>
          <w:rFonts w:cs="Times New Roman" w:hint="eastAsia"/>
          <w:szCs w:val="20"/>
        </w:rPr>
        <w:t>技术导则</w:t>
      </w:r>
      <w:bookmarkEnd w:id="1342"/>
      <w:r>
        <w:rPr>
          <w:rFonts w:cs="Times New Roman" w:hint="eastAsia"/>
          <w:szCs w:val="20"/>
        </w:rPr>
        <w:t>》（</w:t>
      </w:r>
      <w:r>
        <w:rPr>
          <w:rFonts w:cs="Times New Roman" w:hint="eastAsia"/>
          <w:szCs w:val="20"/>
        </w:rPr>
        <w:t>HJ25.1-2019</w:t>
      </w:r>
      <w:r>
        <w:rPr>
          <w:rFonts w:cs="Times New Roman" w:hint="eastAsia"/>
          <w:szCs w:val="20"/>
        </w:rPr>
        <w:t>）有关标准和规范执行</w:t>
      </w:r>
      <w:r>
        <w:rPr>
          <w:rFonts w:cs="Times New Roman" w:hint="eastAsia"/>
          <w:szCs w:val="20"/>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4.</w:t>
      </w:r>
      <w:r>
        <w:rPr>
          <w:rFonts w:ascii="Times New Roman" w:hAnsi="Times New Roman" w:cs="Times New Roman" w:hint="eastAsia"/>
          <w:color w:val="auto"/>
          <w:lang w:eastAsia="zh-CN"/>
        </w:rPr>
        <w:t>5</w:t>
      </w:r>
      <w:r>
        <w:rPr>
          <w:rFonts w:ascii="Times New Roman" w:hAnsi="Times New Roman" w:cs="Times New Roman"/>
          <w:color w:val="auto"/>
          <w:lang w:eastAsia="zh-CN"/>
        </w:rPr>
        <w:t>.</w:t>
      </w:r>
      <w:r>
        <w:rPr>
          <w:rFonts w:ascii="Times New Roman" w:hAnsi="Times New Roman" w:cs="Times New Roman" w:hint="eastAsia"/>
          <w:color w:val="auto"/>
          <w:lang w:eastAsia="zh-CN"/>
        </w:rPr>
        <w:t>4</w:t>
      </w:r>
      <w:r>
        <w:rPr>
          <w:rFonts w:ascii="Times New Roman" w:hAnsi="Times New Roman" w:cs="Times New Roman"/>
          <w:color w:val="auto"/>
          <w:lang w:eastAsia="zh-CN"/>
        </w:rPr>
        <w:t>土壤环境现状评价</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1</w:t>
      </w:r>
      <w:r>
        <w:rPr>
          <w:rFonts w:cs="Times New Roman"/>
        </w:rPr>
        <w:t>）评价标准</w:t>
      </w:r>
    </w:p>
    <w:p w:rsidR="00C645C9" w:rsidRDefault="00F955D9">
      <w:pPr>
        <w:spacing w:line="360" w:lineRule="auto"/>
        <w:ind w:firstLineChars="200" w:firstLine="480"/>
        <w:rPr>
          <w:rFonts w:cs="Times New Roman"/>
          <w:snapToGrid w:val="0"/>
          <w:kern w:val="2"/>
        </w:rPr>
      </w:pPr>
      <w:r>
        <w:rPr>
          <w:rFonts w:cs="Times New Roman"/>
          <w:snapToGrid w:val="0"/>
          <w:kern w:val="2"/>
        </w:rPr>
        <w:t>占地范围内执行《土壤环境质量</w:t>
      </w:r>
      <w:r>
        <w:rPr>
          <w:rFonts w:cs="Times New Roman" w:hint="eastAsia"/>
          <w:snapToGrid w:val="0"/>
          <w:kern w:val="2"/>
        </w:rPr>
        <w:t xml:space="preserve"> </w:t>
      </w:r>
      <w:r>
        <w:rPr>
          <w:rFonts w:cs="Times New Roman"/>
          <w:snapToGrid w:val="0"/>
          <w:kern w:val="2"/>
        </w:rPr>
        <w:t>建设用地土壤污染风险管控标准（试行）》（</w:t>
      </w:r>
      <w:r>
        <w:rPr>
          <w:rFonts w:cs="Times New Roman"/>
          <w:snapToGrid w:val="0"/>
          <w:kern w:val="2"/>
        </w:rPr>
        <w:t>GB36600-2018</w:t>
      </w:r>
      <w:r>
        <w:rPr>
          <w:rFonts w:cs="Times New Roman"/>
          <w:snapToGrid w:val="0"/>
          <w:kern w:val="2"/>
        </w:rPr>
        <w:t>）第二类用地风险筛选值标准。</w:t>
      </w:r>
    </w:p>
    <w:p w:rsidR="00C645C9" w:rsidRDefault="00F955D9">
      <w:pPr>
        <w:spacing w:line="360" w:lineRule="auto"/>
        <w:ind w:firstLineChars="200" w:firstLine="480"/>
        <w:rPr>
          <w:rFonts w:cs="Times New Roman"/>
          <w:snapToGrid w:val="0"/>
          <w:kern w:val="2"/>
        </w:rPr>
      </w:pPr>
      <w:r>
        <w:rPr>
          <w:rFonts w:cs="Times New Roman"/>
          <w:snapToGrid w:val="0"/>
          <w:kern w:val="2"/>
        </w:rPr>
        <w:t>占地范围外执行《土壤环境质量</w:t>
      </w:r>
      <w:r>
        <w:rPr>
          <w:rFonts w:cs="Times New Roman"/>
          <w:snapToGrid w:val="0"/>
          <w:kern w:val="2"/>
        </w:rPr>
        <w:t xml:space="preserve"> </w:t>
      </w:r>
      <w:r>
        <w:rPr>
          <w:rFonts w:cs="Times New Roman"/>
          <w:snapToGrid w:val="0"/>
          <w:kern w:val="2"/>
        </w:rPr>
        <w:t>农用地土壤污染风险管控标准（试行）》（</w:t>
      </w:r>
      <w:r>
        <w:rPr>
          <w:rFonts w:cs="Times New Roman"/>
          <w:snapToGrid w:val="0"/>
          <w:kern w:val="2"/>
        </w:rPr>
        <w:t>GB15618-2018</w:t>
      </w:r>
      <w:r>
        <w:rPr>
          <w:rFonts w:cs="Times New Roman"/>
          <w:snapToGrid w:val="0"/>
          <w:kern w:val="2"/>
        </w:rPr>
        <w:t>）中</w:t>
      </w:r>
      <w:r>
        <w:rPr>
          <w:rFonts w:cs="Times New Roman" w:hint="eastAsia"/>
          <w:snapToGrid w:val="0"/>
          <w:kern w:val="2"/>
        </w:rPr>
        <w:t>“</w:t>
      </w:r>
      <w:r>
        <w:rPr>
          <w:rFonts w:cs="Times New Roman"/>
          <w:snapToGrid w:val="0"/>
          <w:kern w:val="2"/>
        </w:rPr>
        <w:t>表</w:t>
      </w:r>
      <w:r>
        <w:rPr>
          <w:rFonts w:cs="Times New Roman"/>
          <w:snapToGrid w:val="0"/>
          <w:kern w:val="2"/>
        </w:rPr>
        <w:t>1</w:t>
      </w:r>
      <w:r>
        <w:rPr>
          <w:rFonts w:cs="Times New Roman"/>
          <w:snapToGrid w:val="0"/>
          <w:kern w:val="2"/>
        </w:rPr>
        <w:t>农用地土壤污染风险筛选值（基</w:t>
      </w:r>
      <w:r>
        <w:rPr>
          <w:rFonts w:cs="Times New Roman" w:hint="eastAsia"/>
          <w:snapToGrid w:val="0"/>
          <w:kern w:val="2"/>
        </w:rPr>
        <w:t>本工程</w:t>
      </w:r>
      <w:r>
        <w:rPr>
          <w:rFonts w:cs="Times New Roman"/>
          <w:snapToGrid w:val="0"/>
          <w:kern w:val="2"/>
        </w:rPr>
        <w:t>）</w:t>
      </w:r>
      <w:r>
        <w:rPr>
          <w:rFonts w:cs="Times New Roman" w:hint="eastAsia"/>
          <w:snapToGrid w:val="0"/>
          <w:kern w:val="2"/>
        </w:rPr>
        <w:t>”</w:t>
      </w:r>
      <w:r>
        <w:rPr>
          <w:rFonts w:cs="Times New Roman"/>
          <w:snapToGrid w:val="0"/>
          <w:kern w:val="2"/>
        </w:rPr>
        <w:t>的</w:t>
      </w:r>
      <w:r>
        <w:rPr>
          <w:rFonts w:cs="Times New Roman"/>
        </w:rPr>
        <w:t>6.5&lt;pH</w:t>
      </w:r>
      <w:r>
        <w:rPr>
          <w:rFonts w:ascii="宋体" w:hAnsi="宋体" w:hint="eastAsia"/>
        </w:rPr>
        <w:t>≤</w:t>
      </w:r>
      <w:r>
        <w:rPr>
          <w:rFonts w:cs="Times New Roman" w:hint="eastAsia"/>
        </w:rPr>
        <w:t>7.5</w:t>
      </w:r>
      <w:r>
        <w:rPr>
          <w:rFonts w:cs="Times New Roman"/>
          <w:snapToGrid w:val="0"/>
          <w:kern w:val="2"/>
        </w:rPr>
        <w:t>所列标准；石油烃参考《</w:t>
      </w:r>
      <w:bookmarkStart w:id="1343" w:name="OLE_LINK572"/>
      <w:r>
        <w:rPr>
          <w:rFonts w:cs="Times New Roman"/>
          <w:snapToGrid w:val="0"/>
          <w:kern w:val="2"/>
        </w:rPr>
        <w:t>土壤环境质量</w:t>
      </w:r>
      <w:r>
        <w:rPr>
          <w:rFonts w:cs="Times New Roman"/>
          <w:snapToGrid w:val="0"/>
          <w:kern w:val="2"/>
        </w:rPr>
        <w:t xml:space="preserve"> </w:t>
      </w:r>
      <w:r>
        <w:rPr>
          <w:rFonts w:cs="Times New Roman"/>
          <w:snapToGrid w:val="0"/>
          <w:kern w:val="2"/>
        </w:rPr>
        <w:t>建设用地土壤污染风险管控标准</w:t>
      </w:r>
      <w:bookmarkEnd w:id="1343"/>
      <w:r>
        <w:rPr>
          <w:rFonts w:cs="Times New Roman"/>
          <w:snapToGrid w:val="0"/>
          <w:kern w:val="2"/>
        </w:rPr>
        <w:t>（试行）》（</w:t>
      </w:r>
      <w:r>
        <w:rPr>
          <w:rFonts w:cs="Times New Roman"/>
          <w:snapToGrid w:val="0"/>
          <w:kern w:val="2"/>
        </w:rPr>
        <w:t>GB36600-2018</w:t>
      </w:r>
      <w:r>
        <w:rPr>
          <w:rFonts w:cs="Times New Roman"/>
          <w:snapToGrid w:val="0"/>
          <w:kern w:val="2"/>
        </w:rPr>
        <w:t>）</w:t>
      </w:r>
      <w:r>
        <w:rPr>
          <w:rFonts w:cs="Times New Roman" w:hint="eastAsia"/>
          <w:snapToGrid w:val="0"/>
          <w:kern w:val="2"/>
        </w:rPr>
        <w:t>“表</w:t>
      </w:r>
      <w:r>
        <w:rPr>
          <w:rFonts w:cs="Times New Roman" w:hint="eastAsia"/>
          <w:snapToGrid w:val="0"/>
          <w:kern w:val="2"/>
        </w:rPr>
        <w:t>2</w:t>
      </w:r>
      <w:r>
        <w:rPr>
          <w:rFonts w:cs="Times New Roman" w:hint="eastAsia"/>
          <w:snapToGrid w:val="0"/>
          <w:kern w:val="2"/>
        </w:rPr>
        <w:t>建设用地土壤污染风险筛选值和管制值（其他项目）”</w:t>
      </w:r>
      <w:r>
        <w:rPr>
          <w:rFonts w:cs="Times New Roman"/>
          <w:snapToGrid w:val="0"/>
          <w:kern w:val="2"/>
        </w:rPr>
        <w:t>第二类用地风险筛选值。</w:t>
      </w:r>
    </w:p>
    <w:p w:rsidR="00C645C9" w:rsidRDefault="00F955D9">
      <w:pPr>
        <w:widowControl w:val="0"/>
        <w:adjustRightInd w:val="0"/>
        <w:snapToGrid w:val="0"/>
        <w:spacing w:line="360" w:lineRule="auto"/>
        <w:ind w:firstLineChars="200" w:firstLine="480"/>
        <w:rPr>
          <w:rFonts w:cs="Times New Roman"/>
        </w:rPr>
      </w:pPr>
      <w:bookmarkStart w:id="1344" w:name="OLE_LINK573"/>
      <w:r>
        <w:rPr>
          <w:rFonts w:cs="Times New Roman"/>
        </w:rPr>
        <w:t>（</w:t>
      </w:r>
      <w:r>
        <w:rPr>
          <w:rFonts w:cs="Times New Roman"/>
        </w:rPr>
        <w:t>2</w:t>
      </w:r>
      <w:r>
        <w:rPr>
          <w:rFonts w:cs="Times New Roman"/>
        </w:rPr>
        <w:t>）评价方法</w:t>
      </w:r>
    </w:p>
    <w:bookmarkEnd w:id="1344"/>
    <w:p w:rsidR="00C645C9" w:rsidRDefault="00F955D9">
      <w:pPr>
        <w:adjustRightInd w:val="0"/>
        <w:snapToGrid w:val="0"/>
        <w:spacing w:line="360" w:lineRule="auto"/>
        <w:ind w:firstLineChars="200" w:firstLine="480"/>
        <w:rPr>
          <w:rFonts w:cs="Times New Roman"/>
        </w:rPr>
      </w:pPr>
      <w:r>
        <w:rPr>
          <w:rFonts w:cs="Times New Roman"/>
        </w:rPr>
        <w:t>评价方法采用标准指数法。</w:t>
      </w:r>
    </w:p>
    <w:p w:rsidR="00C645C9" w:rsidRDefault="00F955D9">
      <w:pPr>
        <w:widowControl w:val="0"/>
        <w:adjustRightInd w:val="0"/>
        <w:snapToGrid w:val="0"/>
        <w:spacing w:line="360" w:lineRule="auto"/>
        <w:ind w:firstLineChars="200" w:firstLine="480"/>
      </w:pPr>
      <w:bookmarkStart w:id="1345" w:name="OLE_LINK589"/>
      <w:r>
        <w:t>（</w:t>
      </w:r>
      <w:r>
        <w:rPr>
          <w:rFonts w:hint="eastAsia"/>
        </w:rPr>
        <w:t>3</w:t>
      </w:r>
      <w:r>
        <w:t>）</w:t>
      </w:r>
      <w:r>
        <w:rPr>
          <w:rFonts w:cs="Times New Roman"/>
        </w:rPr>
        <w:t>监测及评价结果</w:t>
      </w:r>
    </w:p>
    <w:bookmarkEnd w:id="1345"/>
    <w:p w:rsidR="00C645C9" w:rsidRDefault="00F955D9">
      <w:pPr>
        <w:spacing w:line="360" w:lineRule="auto"/>
        <w:ind w:firstLineChars="200" w:firstLine="480"/>
        <w:rPr>
          <w:rFonts w:cs="Times New Roman"/>
          <w:snapToGrid w:val="0"/>
          <w:kern w:val="2"/>
        </w:rPr>
      </w:pPr>
      <w:r>
        <w:rPr>
          <w:rFonts w:cs="Times New Roman"/>
        </w:rPr>
        <w:t>本次环评</w:t>
      </w:r>
      <w:r>
        <w:rPr>
          <w:rFonts w:cs="Times New Roman" w:hint="eastAsia"/>
        </w:rPr>
        <w:t>土壤</w:t>
      </w:r>
      <w:r>
        <w:rPr>
          <w:rFonts w:cs="Times New Roman"/>
        </w:rPr>
        <w:t>监测及评价结果见表</w:t>
      </w:r>
      <w:r>
        <w:rPr>
          <w:rFonts w:cs="Times New Roman"/>
        </w:rPr>
        <w:t>4.</w:t>
      </w:r>
      <w:r>
        <w:rPr>
          <w:rFonts w:cs="Times New Roman" w:hint="eastAsia"/>
        </w:rPr>
        <w:t>5</w:t>
      </w:r>
      <w:r>
        <w:rPr>
          <w:rFonts w:cs="Times New Roman"/>
        </w:rPr>
        <w:t>-3~</w:t>
      </w:r>
      <w:r>
        <w:rPr>
          <w:rFonts w:cs="Times New Roman" w:hint="eastAsia"/>
        </w:rPr>
        <w:t>6</w:t>
      </w:r>
      <w:r>
        <w:rPr>
          <w:rFonts w:cs="Times New Roman"/>
        </w:rPr>
        <w:t>。由表</w:t>
      </w:r>
      <w:r>
        <w:rPr>
          <w:rFonts w:cs="Times New Roman"/>
        </w:rPr>
        <w:t>4.</w:t>
      </w:r>
      <w:r>
        <w:rPr>
          <w:rFonts w:cs="Times New Roman" w:hint="eastAsia"/>
        </w:rPr>
        <w:t>5</w:t>
      </w:r>
      <w:r>
        <w:rPr>
          <w:rFonts w:cs="Times New Roman"/>
        </w:rPr>
        <w:t>-3~</w:t>
      </w:r>
      <w:r>
        <w:rPr>
          <w:rFonts w:cs="Times New Roman" w:hint="eastAsia"/>
        </w:rPr>
        <w:t>6</w:t>
      </w:r>
      <w:r>
        <w:rPr>
          <w:rFonts w:cs="Times New Roman"/>
        </w:rPr>
        <w:t>可以看出，监测期间，</w:t>
      </w:r>
      <w:bookmarkStart w:id="1346" w:name="OLE_LINK1019"/>
      <w:r>
        <w:rPr>
          <w:rFonts w:cs="Times New Roman" w:hint="eastAsia"/>
          <w:snapToGrid w:val="0"/>
          <w:kern w:val="2"/>
        </w:rPr>
        <w:t>工程</w:t>
      </w:r>
      <w:r>
        <w:rPr>
          <w:rFonts w:cs="Times New Roman"/>
          <w:snapToGrid w:val="0"/>
          <w:kern w:val="2"/>
        </w:rPr>
        <w:t>区</w:t>
      </w:r>
      <w:bookmarkEnd w:id="1346"/>
      <w:r>
        <w:rPr>
          <w:rFonts w:cs="Times New Roman"/>
          <w:snapToGrid w:val="0"/>
          <w:kern w:val="2"/>
        </w:rPr>
        <w:t>占地范围内土壤的挥发性有机物和半挥发性有机物均未检出，重金属元素含量相对较低，占地范围内土壤各监测因子满足《土壤环境质量</w:t>
      </w:r>
      <w:r>
        <w:rPr>
          <w:rFonts w:cs="Times New Roman"/>
          <w:snapToGrid w:val="0"/>
          <w:kern w:val="2"/>
        </w:rPr>
        <w:t xml:space="preserve"> </w:t>
      </w:r>
      <w:r>
        <w:rPr>
          <w:rFonts w:cs="Times New Roman"/>
          <w:snapToGrid w:val="0"/>
          <w:kern w:val="2"/>
        </w:rPr>
        <w:t>建设用地土壤污染风险管控标准（试行）》（</w:t>
      </w:r>
      <w:r>
        <w:rPr>
          <w:rFonts w:cs="Times New Roman"/>
          <w:snapToGrid w:val="0"/>
          <w:kern w:val="2"/>
        </w:rPr>
        <w:t>GB36600-2018</w:t>
      </w:r>
      <w:r>
        <w:rPr>
          <w:rFonts w:cs="Times New Roman"/>
          <w:snapToGrid w:val="0"/>
          <w:kern w:val="2"/>
        </w:rPr>
        <w:t>）中表</w:t>
      </w:r>
      <w:r>
        <w:rPr>
          <w:rFonts w:cs="Times New Roman"/>
          <w:snapToGrid w:val="0"/>
          <w:kern w:val="2"/>
        </w:rPr>
        <w:t>1</w:t>
      </w:r>
      <w:r>
        <w:rPr>
          <w:rFonts w:cs="Times New Roman"/>
          <w:snapToGrid w:val="0"/>
          <w:kern w:val="2"/>
        </w:rPr>
        <w:t>第二类用地筛选值标准要求。</w:t>
      </w:r>
    </w:p>
    <w:p w:rsidR="00C645C9" w:rsidRDefault="00F955D9">
      <w:pPr>
        <w:spacing w:line="360" w:lineRule="auto"/>
        <w:ind w:firstLineChars="200" w:firstLine="480"/>
        <w:rPr>
          <w:rFonts w:cs="Times New Roman"/>
          <w:snapToGrid w:val="0"/>
          <w:szCs w:val="20"/>
        </w:rPr>
        <w:sectPr w:rsidR="00C645C9">
          <w:pgSz w:w="11906" w:h="16838"/>
          <w:pgMar w:top="1440" w:right="1800" w:bottom="1440" w:left="1800" w:header="851" w:footer="992" w:gutter="0"/>
          <w:cols w:space="425"/>
          <w:docGrid w:type="lines" w:linePitch="312"/>
        </w:sectPr>
      </w:pPr>
      <w:r>
        <w:rPr>
          <w:rFonts w:cs="Times New Roman"/>
          <w:snapToGrid w:val="0"/>
          <w:kern w:val="2"/>
        </w:rPr>
        <w:t>占地范围外的土壤中重金属元素含量相对较低，小于《土壤环境质量</w:t>
      </w:r>
      <w:r>
        <w:rPr>
          <w:rFonts w:cs="Times New Roman"/>
          <w:snapToGrid w:val="0"/>
          <w:kern w:val="2"/>
        </w:rPr>
        <w:t xml:space="preserve"> </w:t>
      </w:r>
      <w:r>
        <w:rPr>
          <w:rFonts w:cs="Times New Roman"/>
          <w:snapToGrid w:val="0"/>
          <w:kern w:val="2"/>
        </w:rPr>
        <w:t>农用地土壤污染风险管控标准（试行）》（</w:t>
      </w:r>
      <w:r>
        <w:rPr>
          <w:rFonts w:cs="Times New Roman"/>
          <w:snapToGrid w:val="0"/>
          <w:kern w:val="2"/>
        </w:rPr>
        <w:t>GB156 18-2018</w:t>
      </w:r>
      <w:r>
        <w:rPr>
          <w:rFonts w:cs="Times New Roman"/>
          <w:snapToGrid w:val="0"/>
          <w:kern w:val="2"/>
        </w:rPr>
        <w:t>）中</w:t>
      </w:r>
      <w:r>
        <w:rPr>
          <w:rFonts w:cs="Times New Roman"/>
          <w:snapToGrid w:val="0"/>
          <w:kern w:val="2"/>
        </w:rPr>
        <w:t>“</w:t>
      </w:r>
      <w:r>
        <w:rPr>
          <w:rFonts w:cs="Times New Roman"/>
          <w:snapToGrid w:val="0"/>
          <w:kern w:val="2"/>
        </w:rPr>
        <w:t>表</w:t>
      </w:r>
      <w:r>
        <w:rPr>
          <w:rFonts w:cs="Times New Roman"/>
          <w:snapToGrid w:val="0"/>
          <w:kern w:val="2"/>
        </w:rPr>
        <w:t>1</w:t>
      </w:r>
      <w:r>
        <w:rPr>
          <w:rFonts w:cs="Times New Roman"/>
          <w:snapToGrid w:val="0"/>
          <w:kern w:val="2"/>
        </w:rPr>
        <w:t>农用地土壤污染风险筛选值（基</w:t>
      </w:r>
      <w:r>
        <w:rPr>
          <w:rFonts w:cs="Times New Roman" w:hint="eastAsia"/>
          <w:snapToGrid w:val="0"/>
          <w:kern w:val="2"/>
        </w:rPr>
        <w:t>本工程</w:t>
      </w:r>
      <w:r>
        <w:rPr>
          <w:rFonts w:cs="Times New Roman"/>
          <w:snapToGrid w:val="0"/>
          <w:kern w:val="2"/>
        </w:rPr>
        <w:t>）</w:t>
      </w:r>
      <w:r>
        <w:rPr>
          <w:rFonts w:cs="Times New Roman"/>
          <w:snapToGrid w:val="0"/>
          <w:kern w:val="2"/>
        </w:rPr>
        <w:t>”</w:t>
      </w:r>
      <w:r>
        <w:rPr>
          <w:rFonts w:cs="Times New Roman"/>
          <w:snapToGrid w:val="0"/>
          <w:kern w:val="2"/>
        </w:rPr>
        <w:t>的</w:t>
      </w:r>
      <w:r>
        <w:rPr>
          <w:rFonts w:cs="Times New Roman"/>
        </w:rPr>
        <w:t>6.5&lt;pH</w:t>
      </w:r>
      <w:r>
        <w:rPr>
          <w:rFonts w:ascii="宋体" w:hAnsi="宋体" w:hint="eastAsia"/>
        </w:rPr>
        <w:t>≤</w:t>
      </w:r>
      <w:r>
        <w:rPr>
          <w:rFonts w:cs="Times New Roman" w:hint="eastAsia"/>
        </w:rPr>
        <w:t>7.5</w:t>
      </w:r>
      <w:r>
        <w:rPr>
          <w:rFonts w:cs="Times New Roman"/>
          <w:snapToGrid w:val="0"/>
          <w:kern w:val="2"/>
        </w:rPr>
        <w:t>所列标准；土壤中石油烃含量较低，满足《土壤环境质量</w:t>
      </w:r>
      <w:r>
        <w:rPr>
          <w:rFonts w:cs="Times New Roman"/>
          <w:snapToGrid w:val="0"/>
          <w:kern w:val="2"/>
        </w:rPr>
        <w:t xml:space="preserve"> </w:t>
      </w:r>
      <w:r>
        <w:rPr>
          <w:rFonts w:cs="Times New Roman"/>
          <w:snapToGrid w:val="0"/>
          <w:kern w:val="2"/>
        </w:rPr>
        <w:t>建设用地土壤污染风险管控标准（试行）》（</w:t>
      </w:r>
      <w:r>
        <w:rPr>
          <w:rFonts w:cs="Times New Roman"/>
          <w:snapToGrid w:val="0"/>
          <w:kern w:val="2"/>
        </w:rPr>
        <w:t>GB36600-2018</w:t>
      </w:r>
      <w:r>
        <w:rPr>
          <w:rFonts w:cs="Times New Roman"/>
          <w:snapToGrid w:val="0"/>
          <w:kern w:val="2"/>
        </w:rPr>
        <w:t>）第二类用地风险筛选值要求</w:t>
      </w:r>
      <w:r>
        <w:rPr>
          <w:rFonts w:cs="Times New Roman"/>
          <w:snapToGrid w:val="0"/>
          <w:szCs w:val="20"/>
        </w:rPr>
        <w:t>。</w:t>
      </w:r>
    </w:p>
    <w:p w:rsidR="00C645C9" w:rsidRDefault="00F955D9">
      <w:pPr>
        <w:jc w:val="center"/>
        <w:rPr>
          <w:rFonts w:eastAsia="黑体" w:cs="Times New Roman"/>
          <w:kern w:val="10"/>
          <w:sz w:val="21"/>
          <w:szCs w:val="21"/>
        </w:rPr>
      </w:pPr>
      <w:bookmarkStart w:id="1347" w:name="OLE_LINK1037"/>
      <w:r>
        <w:rPr>
          <w:rFonts w:eastAsia="黑体" w:cs="Times New Roman"/>
          <w:kern w:val="10"/>
          <w:sz w:val="21"/>
          <w:szCs w:val="21"/>
        </w:rPr>
        <w:lastRenderedPageBreak/>
        <w:t>表</w:t>
      </w:r>
      <w:r>
        <w:rPr>
          <w:rFonts w:eastAsia="黑体" w:cs="Times New Roman"/>
          <w:kern w:val="10"/>
          <w:sz w:val="21"/>
          <w:szCs w:val="21"/>
        </w:rPr>
        <w:t>4.5-</w:t>
      </w:r>
      <w:r>
        <w:rPr>
          <w:rFonts w:eastAsia="黑体" w:cs="Times New Roman" w:hint="eastAsia"/>
          <w:kern w:val="10"/>
          <w:sz w:val="21"/>
          <w:szCs w:val="21"/>
        </w:rPr>
        <w:t>3</w:t>
      </w:r>
      <w:r>
        <w:rPr>
          <w:rFonts w:eastAsia="黑体" w:cs="Times New Roman"/>
          <w:kern w:val="10"/>
          <w:sz w:val="21"/>
          <w:szCs w:val="21"/>
        </w:rPr>
        <w:t xml:space="preserve">   </w:t>
      </w:r>
      <w:r>
        <w:rPr>
          <w:rFonts w:eastAsia="黑体" w:cs="Times New Roman"/>
          <w:kern w:val="10"/>
          <w:sz w:val="21"/>
          <w:szCs w:val="21"/>
        </w:rPr>
        <w:t>建设用地土壤环境质量评价（占地范围内的</w:t>
      </w:r>
      <w:r>
        <w:rPr>
          <w:rFonts w:eastAsia="黑体" w:cs="Times New Roman" w:hint="eastAsia"/>
          <w:kern w:val="10"/>
          <w:sz w:val="21"/>
          <w:szCs w:val="21"/>
        </w:rPr>
        <w:t>表层</w:t>
      </w:r>
      <w:r>
        <w:rPr>
          <w:rFonts w:eastAsia="黑体" w:cs="Times New Roman"/>
          <w:kern w:val="10"/>
          <w:sz w:val="21"/>
          <w:szCs w:val="21"/>
        </w:rPr>
        <w:t>样）</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211"/>
        <w:gridCol w:w="823"/>
        <w:gridCol w:w="1232"/>
        <w:gridCol w:w="1604"/>
        <w:gridCol w:w="1604"/>
        <w:gridCol w:w="818"/>
      </w:tblGrid>
      <w:tr w:rsidR="00C645C9">
        <w:trPr>
          <w:trHeight w:val="20"/>
          <w:jc w:val="center"/>
        </w:trPr>
        <w:tc>
          <w:tcPr>
            <w:tcW w:w="2740" w:type="pct"/>
            <w:gridSpan w:val="4"/>
            <w:noWrap/>
            <w:vAlign w:val="center"/>
          </w:tcPr>
          <w:p w:rsidR="00C645C9" w:rsidRDefault="00F955D9">
            <w:pPr>
              <w:adjustRightInd w:val="0"/>
              <w:snapToGrid w:val="0"/>
              <w:jc w:val="center"/>
              <w:rPr>
                <w:rFonts w:eastAsia="Times New Roman" w:cs="Times New Roman"/>
                <w:sz w:val="21"/>
                <w:szCs w:val="21"/>
              </w:rPr>
            </w:pPr>
            <w:r>
              <w:rPr>
                <w:rFonts w:cs="Times New Roman"/>
                <w:sz w:val="21"/>
                <w:szCs w:val="21"/>
              </w:rPr>
              <w:t>监测点位</w:t>
            </w:r>
          </w:p>
        </w:tc>
        <w:tc>
          <w:tcPr>
            <w:tcW w:w="2259" w:type="pct"/>
            <w:gridSpan w:val="3"/>
            <w:noWrap/>
            <w:vAlign w:val="center"/>
          </w:tcPr>
          <w:p w:rsidR="00C645C9" w:rsidRDefault="00F955D9">
            <w:pPr>
              <w:adjustRightInd w:val="0"/>
              <w:snapToGrid w:val="0"/>
              <w:jc w:val="center"/>
              <w:rPr>
                <w:rFonts w:cs="Times New Roman"/>
                <w:sz w:val="21"/>
                <w:szCs w:val="21"/>
                <w:lang w:bidi="ar"/>
              </w:rPr>
            </w:pPr>
            <w:r>
              <w:rPr>
                <w:rFonts w:cs="Times New Roman" w:hint="eastAsia"/>
                <w:sz w:val="21"/>
                <w:szCs w:val="21"/>
              </w:rPr>
              <w:t>TN1</w:t>
            </w:r>
            <w:r>
              <w:rPr>
                <w:rFonts w:cs="Times New Roman"/>
                <w:sz w:val="21"/>
                <w:szCs w:val="21"/>
              </w:rPr>
              <w:t>新北</w:t>
            </w:r>
            <w:r>
              <w:rPr>
                <w:rFonts w:cs="Times New Roman"/>
                <w:sz w:val="21"/>
                <w:szCs w:val="21"/>
              </w:rPr>
              <w:t>1X</w:t>
            </w:r>
            <w:r>
              <w:rPr>
                <w:rFonts w:cs="Times New Roman"/>
                <w:sz w:val="21"/>
                <w:szCs w:val="21"/>
              </w:rPr>
              <w:t>井</w:t>
            </w:r>
          </w:p>
        </w:tc>
      </w:tr>
      <w:tr w:rsidR="00C645C9">
        <w:trPr>
          <w:trHeight w:val="20"/>
          <w:jc w:val="center"/>
        </w:trPr>
        <w:tc>
          <w:tcPr>
            <w:tcW w:w="2740" w:type="pct"/>
            <w:gridSpan w:val="4"/>
            <w:noWrap/>
            <w:vAlign w:val="center"/>
          </w:tcPr>
          <w:p w:rsidR="00C645C9" w:rsidRDefault="00F955D9">
            <w:pPr>
              <w:adjustRightInd w:val="0"/>
              <w:snapToGrid w:val="0"/>
              <w:jc w:val="center"/>
              <w:rPr>
                <w:rFonts w:eastAsia="Times New Roman" w:cs="Times New Roman"/>
                <w:sz w:val="21"/>
                <w:szCs w:val="21"/>
              </w:rPr>
            </w:pPr>
            <w:r>
              <w:rPr>
                <w:rFonts w:cs="Times New Roman"/>
                <w:sz w:val="21"/>
                <w:szCs w:val="21"/>
              </w:rPr>
              <w:t>采样深度</w:t>
            </w:r>
          </w:p>
        </w:tc>
        <w:tc>
          <w:tcPr>
            <w:tcW w:w="2259" w:type="pct"/>
            <w:gridSpan w:val="3"/>
            <w:noWrap/>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sz w:val="21"/>
                <w:szCs w:val="21"/>
              </w:rPr>
              <w:t>~</w:t>
            </w:r>
            <w:r>
              <w:rPr>
                <w:rFonts w:cs="Times New Roman"/>
                <w:sz w:val="21"/>
                <w:szCs w:val="21"/>
              </w:rPr>
              <w:t>0.</w:t>
            </w:r>
            <w:r>
              <w:rPr>
                <w:rFonts w:cs="Times New Roman" w:hint="eastAsia"/>
                <w:sz w:val="21"/>
                <w:szCs w:val="21"/>
              </w:rPr>
              <w:t>2</w:t>
            </w:r>
            <w:r>
              <w:rPr>
                <w:rFonts w:cs="Times New Roman"/>
                <w:sz w:val="21"/>
                <w:szCs w:val="21"/>
              </w:rPr>
              <w:t>m</w:t>
            </w:r>
          </w:p>
        </w:tc>
      </w:tr>
      <w:tr w:rsidR="00C645C9">
        <w:trPr>
          <w:trHeight w:val="20"/>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序号</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检测项目</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单位</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900" w:type="pct"/>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bookmarkStart w:id="1348" w:name="OLE_LINK1028" w:colFirst="3" w:colLast="3"/>
            <w:r>
              <w:rPr>
                <w:rFonts w:cs="Times New Roman"/>
                <w:sz w:val="21"/>
                <w:szCs w:val="21"/>
              </w:rPr>
              <w:t>1</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总砷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镉</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六价铬</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5.7</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铜</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18000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5</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铅</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800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6</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总汞</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38</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7</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镍</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900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bookmarkEnd w:id="1348"/>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8</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四氯化碳</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2800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9</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氯仿</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900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10</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氯甲烷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37</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11</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二氯乙烷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9</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12</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二氯乙烷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13</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二氯乙烯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66</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14</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顺式</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二氯乙烯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596</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反式</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二氯乙烯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54</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16</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二氯甲烷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616</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17</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二氯丙烷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18</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四氯乙烷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19</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w:t>
            </w:r>
            <w:r>
              <w:rPr>
                <w:rFonts w:cs="Times New Roman"/>
                <w:sz w:val="21"/>
                <w:szCs w:val="21"/>
              </w:rPr>
              <w:t>2-</w:t>
            </w:r>
            <w:r>
              <w:rPr>
                <w:rFonts w:cs="Times New Roman"/>
                <w:sz w:val="21"/>
                <w:szCs w:val="21"/>
              </w:rPr>
              <w:t>四氯乙烷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6800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20</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四氯乙烯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53</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21</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三氯乙烷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840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22</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三氯乙烷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2800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23</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三氯乙烯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w:t>
            </w:r>
            <w:r>
              <w:rPr>
                <w:rFonts w:cs="Times New Roman"/>
                <w:sz w:val="21"/>
                <w:szCs w:val="21"/>
              </w:rPr>
              <w:t>800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24</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w:t>
            </w:r>
            <w:r>
              <w:rPr>
                <w:rFonts w:cs="Times New Roman"/>
                <w:sz w:val="21"/>
                <w:szCs w:val="21"/>
              </w:rPr>
              <w:t>3-</w:t>
            </w:r>
            <w:r>
              <w:rPr>
                <w:rFonts w:cs="Times New Roman"/>
                <w:sz w:val="21"/>
                <w:szCs w:val="21"/>
              </w:rPr>
              <w:t>三氯丙烷</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25</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430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26</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4</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lastRenderedPageBreak/>
              <w:t>27</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氯苯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270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28</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二氯苯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560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29</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1</w:t>
            </w:r>
            <w:r>
              <w:rPr>
                <w:rFonts w:cs="Times New Roman"/>
                <w:sz w:val="21"/>
                <w:szCs w:val="21"/>
              </w:rPr>
              <w:t>，</w:t>
            </w:r>
            <w:r>
              <w:rPr>
                <w:rFonts w:cs="Times New Roman"/>
                <w:sz w:val="21"/>
                <w:szCs w:val="21"/>
              </w:rPr>
              <w:t>4-</w:t>
            </w:r>
            <w:r>
              <w:rPr>
                <w:rFonts w:cs="Times New Roman"/>
                <w:sz w:val="21"/>
                <w:szCs w:val="21"/>
              </w:rPr>
              <w:t>二氯苯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30</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乙苯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28</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31</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苯乙烯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1290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32</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甲苯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1200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33</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间</w:t>
            </w:r>
            <w:r>
              <w:rPr>
                <w:rFonts w:cs="Times New Roman"/>
                <w:sz w:val="21"/>
                <w:szCs w:val="21"/>
              </w:rPr>
              <w:t>/</w:t>
            </w:r>
            <w:r>
              <w:rPr>
                <w:rFonts w:cs="Times New Roman"/>
                <w:sz w:val="21"/>
                <w:szCs w:val="21"/>
              </w:rPr>
              <w:t>对二甲苯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570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34</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邻二甲苯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640</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35</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硝基苯</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μg/kg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76</w:t>
            </w:r>
            <w:r>
              <w:rPr>
                <w:rFonts w:cs="Times New Roman"/>
                <w:sz w:val="21"/>
                <w:szCs w:val="21"/>
              </w:rPr>
              <w:t>000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36</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苯胺</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260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37</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2-</w:t>
            </w:r>
            <w:r>
              <w:rPr>
                <w:rFonts w:cs="Times New Roman"/>
                <w:sz w:val="21"/>
                <w:szCs w:val="21"/>
              </w:rPr>
              <w:t>氯</w:t>
            </w:r>
            <w:r>
              <w:rPr>
                <w:rFonts w:cs="Times New Roman"/>
                <w:sz w:val="21"/>
                <w:szCs w:val="21"/>
              </w:rPr>
              <w:t>苯</w:t>
            </w:r>
            <w:r>
              <w:rPr>
                <w:rFonts w:cs="Times New Roman"/>
                <w:sz w:val="21"/>
                <w:szCs w:val="21"/>
              </w:rPr>
              <w:t>酚</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2256</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38</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苯并</w:t>
            </w:r>
            <w:r>
              <w:rPr>
                <w:rFonts w:cs="Times New Roman"/>
                <w:sz w:val="21"/>
                <w:szCs w:val="21"/>
              </w:rPr>
              <w:t>〔</w:t>
            </w:r>
            <w:r>
              <w:rPr>
                <w:rFonts w:cs="Times New Roman"/>
                <w:sz w:val="21"/>
                <w:szCs w:val="21"/>
              </w:rPr>
              <w:t>a</w:t>
            </w:r>
            <w:r>
              <w:rPr>
                <w:rFonts w:cs="Times New Roman"/>
                <w:sz w:val="21"/>
                <w:szCs w:val="21"/>
              </w:rPr>
              <w:t>〕</w:t>
            </w:r>
            <w:r>
              <w:rPr>
                <w:rFonts w:cs="Times New Roman"/>
                <w:sz w:val="21"/>
                <w:szCs w:val="21"/>
              </w:rPr>
              <w:t>蒽</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39</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苯并</w:t>
            </w:r>
            <w:r>
              <w:rPr>
                <w:rFonts w:cs="Times New Roman"/>
                <w:sz w:val="21"/>
                <w:szCs w:val="21"/>
              </w:rPr>
              <w:t>〔</w:t>
            </w:r>
            <w:r>
              <w:rPr>
                <w:rFonts w:cs="Times New Roman"/>
                <w:sz w:val="21"/>
                <w:szCs w:val="21"/>
              </w:rPr>
              <w:t>a</w:t>
            </w:r>
            <w:r>
              <w:rPr>
                <w:rFonts w:cs="Times New Roman"/>
                <w:sz w:val="21"/>
                <w:szCs w:val="21"/>
              </w:rPr>
              <w:t>〕</w:t>
            </w:r>
            <w:r>
              <w:rPr>
                <w:rFonts w:cs="Times New Roman"/>
                <w:sz w:val="21"/>
                <w:szCs w:val="21"/>
              </w:rPr>
              <w:t>芘</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40</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苯并</w:t>
            </w:r>
            <w:r>
              <w:rPr>
                <w:rFonts w:cs="Times New Roman"/>
                <w:sz w:val="21"/>
                <w:szCs w:val="21"/>
              </w:rPr>
              <w:t>〔</w:t>
            </w:r>
            <w:r>
              <w:rPr>
                <w:rFonts w:cs="Times New Roman"/>
                <w:sz w:val="21"/>
                <w:szCs w:val="21"/>
              </w:rPr>
              <w:t>b</w:t>
            </w:r>
            <w:r>
              <w:rPr>
                <w:rFonts w:cs="Times New Roman"/>
                <w:sz w:val="21"/>
                <w:szCs w:val="21"/>
              </w:rPr>
              <w:t>〕</w:t>
            </w:r>
            <w:r>
              <w:rPr>
                <w:rFonts w:cs="Times New Roman"/>
                <w:sz w:val="21"/>
                <w:szCs w:val="21"/>
              </w:rPr>
              <w:t>荧蒽</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41</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苯并</w:t>
            </w:r>
            <w:r>
              <w:rPr>
                <w:rFonts w:cs="Times New Roman"/>
                <w:sz w:val="21"/>
                <w:szCs w:val="21"/>
              </w:rPr>
              <w:t>〔</w:t>
            </w:r>
            <w:r>
              <w:rPr>
                <w:rFonts w:cs="Times New Roman"/>
                <w:sz w:val="21"/>
                <w:szCs w:val="21"/>
              </w:rPr>
              <w:t>k</w:t>
            </w:r>
            <w:r>
              <w:rPr>
                <w:rFonts w:cs="Times New Roman"/>
                <w:sz w:val="21"/>
                <w:szCs w:val="21"/>
              </w:rPr>
              <w:t>〕</w:t>
            </w:r>
            <w:r>
              <w:rPr>
                <w:rFonts w:cs="Times New Roman"/>
                <w:sz w:val="21"/>
                <w:szCs w:val="21"/>
              </w:rPr>
              <w:t>荧蒽</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151</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42</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䓛</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1293</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43</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二苯并</w:t>
            </w:r>
            <w:r>
              <w:rPr>
                <w:rFonts w:cs="Times New Roman"/>
                <w:sz w:val="21"/>
                <w:szCs w:val="21"/>
              </w:rPr>
              <w:t>〔</w:t>
            </w:r>
            <w:r>
              <w:rPr>
                <w:rFonts w:cs="Times New Roman"/>
                <w:sz w:val="21"/>
                <w:szCs w:val="21"/>
              </w:rPr>
              <w:t>a</w:t>
            </w:r>
            <w:r>
              <w:rPr>
                <w:rFonts w:cs="Times New Roman"/>
                <w:sz w:val="21"/>
                <w:szCs w:val="21"/>
              </w:rPr>
              <w:t>，</w:t>
            </w:r>
            <w:r>
              <w:rPr>
                <w:rFonts w:cs="Times New Roman"/>
                <w:sz w:val="21"/>
                <w:szCs w:val="21"/>
              </w:rPr>
              <w:t>h</w:t>
            </w:r>
            <w:r>
              <w:rPr>
                <w:rFonts w:cs="Times New Roman"/>
                <w:sz w:val="21"/>
                <w:szCs w:val="21"/>
              </w:rPr>
              <w:t>〕</w:t>
            </w:r>
            <w:r>
              <w:rPr>
                <w:rFonts w:cs="Times New Roman"/>
                <w:sz w:val="21"/>
                <w:szCs w:val="21"/>
              </w:rPr>
              <w:t>蒽</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44</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茚并</w:t>
            </w:r>
            <w:r>
              <w:rPr>
                <w:rFonts w:cs="Times New Roman"/>
                <w:sz w:val="21"/>
                <w:szCs w:val="21"/>
              </w:rPr>
              <w:t>〔</w:t>
            </w:r>
            <w:r>
              <w:rPr>
                <w:rFonts w:cs="Times New Roman"/>
                <w:sz w:val="21"/>
                <w:szCs w:val="21"/>
              </w:rPr>
              <w:t>1</w:t>
            </w:r>
            <w:r>
              <w:rPr>
                <w:rFonts w:cs="Times New Roman"/>
                <w:sz w:val="21"/>
                <w:szCs w:val="21"/>
              </w:rPr>
              <w:t>，</w:t>
            </w:r>
            <w:r>
              <w:rPr>
                <w:rFonts w:cs="Times New Roman"/>
                <w:sz w:val="21"/>
                <w:szCs w:val="21"/>
              </w:rPr>
              <w:t>2</w:t>
            </w:r>
            <w:r>
              <w:rPr>
                <w:rFonts w:cs="Times New Roman"/>
                <w:sz w:val="21"/>
                <w:szCs w:val="21"/>
              </w:rPr>
              <w:t>，</w:t>
            </w:r>
            <w:r>
              <w:rPr>
                <w:rFonts w:cs="Times New Roman"/>
                <w:sz w:val="21"/>
                <w:szCs w:val="21"/>
              </w:rPr>
              <w:t>3-cd</w:t>
            </w:r>
            <w:r>
              <w:rPr>
                <w:rFonts w:cs="Times New Roman"/>
                <w:sz w:val="21"/>
                <w:szCs w:val="21"/>
              </w:rPr>
              <w:t>〕</w:t>
            </w:r>
            <w:r>
              <w:rPr>
                <w:rFonts w:cs="Times New Roman"/>
                <w:sz w:val="21"/>
                <w:szCs w:val="21"/>
              </w:rPr>
              <w:t>芘</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15</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r w:rsidR="00C645C9">
        <w:trPr>
          <w:trHeight w:val="466"/>
          <w:jc w:val="center"/>
        </w:trPr>
        <w:tc>
          <w:tcPr>
            <w:tcW w:w="347" w:type="pct"/>
            <w:vAlign w:val="center"/>
          </w:tcPr>
          <w:p w:rsidR="00C645C9" w:rsidRDefault="00F955D9">
            <w:pPr>
              <w:adjustRightInd w:val="0"/>
              <w:snapToGrid w:val="0"/>
              <w:jc w:val="center"/>
              <w:rPr>
                <w:rFonts w:cs="Times New Roman"/>
                <w:sz w:val="21"/>
                <w:szCs w:val="21"/>
              </w:rPr>
            </w:pPr>
            <w:r>
              <w:rPr>
                <w:rFonts w:cs="Times New Roman"/>
                <w:sz w:val="21"/>
                <w:szCs w:val="21"/>
              </w:rPr>
              <w:t>45</w:t>
            </w:r>
          </w:p>
        </w:tc>
        <w:tc>
          <w:tcPr>
            <w:tcW w:w="1240" w:type="pct"/>
            <w:vAlign w:val="center"/>
          </w:tcPr>
          <w:p w:rsidR="00C645C9" w:rsidRDefault="00F955D9">
            <w:pPr>
              <w:adjustRightInd w:val="0"/>
              <w:snapToGrid w:val="0"/>
              <w:jc w:val="center"/>
              <w:rPr>
                <w:rFonts w:cs="Times New Roman"/>
                <w:sz w:val="21"/>
                <w:szCs w:val="21"/>
              </w:rPr>
            </w:pPr>
            <w:r>
              <w:rPr>
                <w:rFonts w:cs="Times New Roman"/>
                <w:sz w:val="21"/>
                <w:szCs w:val="21"/>
              </w:rPr>
              <w:t>萘</w:t>
            </w:r>
          </w:p>
        </w:tc>
        <w:tc>
          <w:tcPr>
            <w:tcW w:w="462" w:type="pct"/>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690" w:type="pct"/>
            <w:vAlign w:val="center"/>
          </w:tcPr>
          <w:p w:rsidR="00C645C9" w:rsidRDefault="00F955D9">
            <w:pPr>
              <w:adjustRightInd w:val="0"/>
              <w:snapToGrid w:val="0"/>
              <w:jc w:val="center"/>
              <w:rPr>
                <w:rFonts w:cs="Times New Roman"/>
                <w:sz w:val="21"/>
                <w:szCs w:val="21"/>
              </w:rPr>
            </w:pPr>
            <w:r>
              <w:rPr>
                <w:rFonts w:cs="Times New Roman"/>
                <w:sz w:val="21"/>
                <w:szCs w:val="21"/>
              </w:rPr>
              <w:t>70</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900"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6" w:type="pct"/>
            <w:vAlign w:val="center"/>
          </w:tcPr>
          <w:p w:rsidR="00C645C9" w:rsidRDefault="00F955D9">
            <w:pPr>
              <w:adjustRightInd w:val="0"/>
              <w:snapToGrid w:val="0"/>
              <w:jc w:val="center"/>
              <w:rPr>
                <w:rFonts w:cs="Times New Roman"/>
                <w:sz w:val="21"/>
                <w:szCs w:val="21"/>
              </w:rPr>
            </w:pPr>
            <w:r>
              <w:rPr>
                <w:rFonts w:cs="Times New Roman"/>
                <w:sz w:val="21"/>
                <w:szCs w:val="21"/>
              </w:rPr>
              <w:t>达标</w:t>
            </w:r>
          </w:p>
        </w:tc>
      </w:tr>
    </w:tbl>
    <w:p w:rsidR="00C645C9" w:rsidRDefault="00C645C9">
      <w:pPr>
        <w:adjustRightInd w:val="0"/>
        <w:snapToGrid w:val="0"/>
        <w:jc w:val="center"/>
        <w:rPr>
          <w:rFonts w:eastAsia="黑体" w:cs="Times New Roman"/>
          <w:kern w:val="10"/>
          <w:sz w:val="21"/>
          <w:szCs w:val="21"/>
          <w:lang w:val="zh-CN"/>
        </w:rPr>
      </w:pPr>
    </w:p>
    <w:p w:rsidR="00C645C9" w:rsidRDefault="00C645C9">
      <w:pPr>
        <w:adjustRightInd w:val="0"/>
        <w:snapToGrid w:val="0"/>
        <w:jc w:val="center"/>
        <w:rPr>
          <w:rFonts w:eastAsia="黑体" w:cs="Times New Roman"/>
          <w:kern w:val="10"/>
          <w:sz w:val="21"/>
          <w:szCs w:val="21"/>
          <w:lang w:val="zh-CN"/>
        </w:rPr>
        <w:sectPr w:rsidR="00C645C9">
          <w:pgSz w:w="11906" w:h="16838"/>
          <w:pgMar w:top="1440" w:right="1800" w:bottom="1440" w:left="1800" w:header="851" w:footer="992" w:gutter="0"/>
          <w:cols w:space="425"/>
          <w:docGrid w:type="lines" w:linePitch="312"/>
        </w:sectPr>
      </w:pPr>
    </w:p>
    <w:p w:rsidR="00C645C9" w:rsidRDefault="00F955D9">
      <w:pPr>
        <w:pStyle w:val="a5"/>
        <w:widowControl w:val="0"/>
        <w:snapToGrid w:val="0"/>
        <w:spacing w:line="240" w:lineRule="auto"/>
        <w:jc w:val="center"/>
        <w:rPr>
          <w:rFonts w:ascii="Times New Roman" w:eastAsia="黑体" w:hAnsi="Times New Roman" w:cs="Times New Roman"/>
          <w:kern w:val="10"/>
          <w:sz w:val="21"/>
          <w:szCs w:val="21"/>
        </w:rPr>
      </w:pPr>
      <w:bookmarkStart w:id="1349" w:name="OLE_LINK579"/>
      <w:r>
        <w:rPr>
          <w:rFonts w:ascii="Times New Roman" w:eastAsia="黑体" w:hAnsi="Times New Roman" w:cs="Times New Roman"/>
          <w:kern w:val="10"/>
          <w:sz w:val="21"/>
          <w:szCs w:val="21"/>
        </w:rPr>
        <w:lastRenderedPageBreak/>
        <w:t>表</w:t>
      </w:r>
      <w:r>
        <w:rPr>
          <w:rFonts w:ascii="Times New Roman" w:eastAsia="黑体" w:hAnsi="Times New Roman" w:cs="Times New Roman"/>
          <w:kern w:val="10"/>
          <w:sz w:val="21"/>
          <w:szCs w:val="21"/>
        </w:rPr>
        <w:t>4.5-</w:t>
      </w:r>
      <w:r>
        <w:rPr>
          <w:rFonts w:ascii="Times New Roman" w:eastAsia="黑体" w:hAnsi="Times New Roman" w:cs="Times New Roman" w:hint="eastAsia"/>
          <w:kern w:val="10"/>
          <w:sz w:val="21"/>
          <w:szCs w:val="21"/>
        </w:rPr>
        <w:t>4</w:t>
      </w:r>
      <w:r>
        <w:rPr>
          <w:rFonts w:ascii="Times New Roman" w:eastAsia="黑体" w:hAnsi="Times New Roman" w:cs="Times New Roman"/>
          <w:kern w:val="10"/>
          <w:sz w:val="21"/>
          <w:szCs w:val="21"/>
        </w:rPr>
        <w:t xml:space="preserve">    </w:t>
      </w:r>
      <w:r>
        <w:rPr>
          <w:rFonts w:ascii="Times New Roman" w:eastAsia="黑体" w:hAnsi="Times New Roman" w:cs="Times New Roman"/>
          <w:kern w:val="10"/>
          <w:sz w:val="21"/>
          <w:szCs w:val="21"/>
        </w:rPr>
        <w:t>建设用地土壤环境质量评价（占地范围内的表层样）</w:t>
      </w:r>
      <w:r>
        <w:rPr>
          <w:rFonts w:ascii="Times New Roman" w:eastAsia="黑体" w:hAnsi="Times New Roman" w:cs="Times New Roman"/>
          <w:kern w:val="10"/>
          <w:sz w:val="21"/>
          <w:szCs w:val="21"/>
        </w:rPr>
        <w:t xml:space="preserve">   </w:t>
      </w:r>
      <w:r>
        <w:rPr>
          <w:rFonts w:ascii="Times New Roman" w:eastAsia="黑体" w:hAnsi="Times New Roman" w:cs="Times New Roman"/>
          <w:kern w:val="10"/>
          <w:sz w:val="21"/>
          <w:szCs w:val="21"/>
          <w:lang w:val="zh-CN"/>
        </w:rPr>
        <w:t>单位：</w:t>
      </w:r>
      <w:r>
        <w:rPr>
          <w:rFonts w:ascii="Times New Roman" w:eastAsia="黑体" w:hAnsi="Times New Roman" w:cs="Times New Roman"/>
          <w:kern w:val="10"/>
          <w:sz w:val="21"/>
          <w:szCs w:val="21"/>
          <w:lang w:val="zh-CN"/>
        </w:rPr>
        <w:t>mg/kg</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099"/>
        <w:gridCol w:w="1289"/>
        <w:gridCol w:w="1289"/>
        <w:gridCol w:w="1289"/>
        <w:gridCol w:w="1289"/>
        <w:gridCol w:w="1289"/>
        <w:gridCol w:w="1288"/>
        <w:gridCol w:w="1288"/>
        <w:gridCol w:w="1288"/>
        <w:gridCol w:w="1288"/>
      </w:tblGrid>
      <w:tr w:rsidR="00C645C9">
        <w:trPr>
          <w:trHeight w:val="90"/>
        </w:trPr>
        <w:tc>
          <w:tcPr>
            <w:tcW w:w="523"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检测项目</w:t>
            </w:r>
          </w:p>
        </w:tc>
        <w:tc>
          <w:tcPr>
            <w:tcW w:w="38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1362" w:type="pct"/>
            <w:gridSpan w:val="3"/>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TN1</w:t>
            </w:r>
            <w:r>
              <w:rPr>
                <w:rFonts w:cs="Times New Roman"/>
                <w:sz w:val="21"/>
                <w:szCs w:val="21"/>
              </w:rPr>
              <w:t>新北</w:t>
            </w:r>
            <w:r>
              <w:rPr>
                <w:rFonts w:cs="Times New Roman"/>
                <w:sz w:val="21"/>
                <w:szCs w:val="21"/>
              </w:rPr>
              <w:t>1X</w:t>
            </w:r>
            <w:r>
              <w:rPr>
                <w:rFonts w:cs="Times New Roman"/>
                <w:sz w:val="21"/>
                <w:szCs w:val="21"/>
              </w:rPr>
              <w:t>井</w:t>
            </w:r>
          </w:p>
        </w:tc>
        <w:tc>
          <w:tcPr>
            <w:tcW w:w="1362"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TN2</w:t>
            </w:r>
            <w:r>
              <w:rPr>
                <w:rFonts w:cs="Times New Roman"/>
                <w:sz w:val="21"/>
                <w:szCs w:val="21"/>
              </w:rPr>
              <w:t>新北</w:t>
            </w:r>
            <w:r>
              <w:rPr>
                <w:rFonts w:cs="Times New Roman"/>
                <w:sz w:val="21"/>
                <w:szCs w:val="21"/>
              </w:rPr>
              <w:t>1X</w:t>
            </w:r>
            <w:r>
              <w:rPr>
                <w:rFonts w:cs="Times New Roman"/>
                <w:sz w:val="21"/>
                <w:szCs w:val="21"/>
              </w:rPr>
              <w:t>井东侧</w:t>
            </w:r>
          </w:p>
        </w:tc>
        <w:tc>
          <w:tcPr>
            <w:tcW w:w="1363"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TN3</w:t>
            </w:r>
            <w:r>
              <w:rPr>
                <w:rFonts w:cs="Times New Roman"/>
                <w:sz w:val="21"/>
                <w:szCs w:val="21"/>
              </w:rPr>
              <w:t>新北</w:t>
            </w:r>
            <w:r>
              <w:rPr>
                <w:rFonts w:cs="Times New Roman"/>
                <w:sz w:val="21"/>
                <w:szCs w:val="21"/>
              </w:rPr>
              <w:t>1X</w:t>
            </w:r>
            <w:r>
              <w:rPr>
                <w:rFonts w:cs="Times New Roman"/>
                <w:sz w:val="21"/>
                <w:szCs w:val="21"/>
              </w:rPr>
              <w:t>井北侧</w:t>
            </w:r>
          </w:p>
        </w:tc>
      </w:tr>
      <w:tr w:rsidR="00C645C9">
        <w:trPr>
          <w:trHeight w:val="90"/>
        </w:trPr>
        <w:tc>
          <w:tcPr>
            <w:tcW w:w="523"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1362" w:type="pct"/>
            <w:gridSpan w:val="3"/>
            <w:tcBorders>
              <w:top w:val="single" w:sz="4" w:space="0" w:color="auto"/>
              <w:left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bookmarkStart w:id="1350" w:name="OLE_LINK575"/>
            <w:r>
              <w:rPr>
                <w:rFonts w:cs="Times New Roman"/>
                <w:sz w:val="21"/>
                <w:szCs w:val="21"/>
              </w:rPr>
              <w:t>0</w:t>
            </w:r>
            <w:r>
              <w:rPr>
                <w:rFonts w:cs="Times New Roman" w:hint="eastAsia"/>
                <w:sz w:val="21"/>
                <w:szCs w:val="21"/>
              </w:rPr>
              <w:t>~</w:t>
            </w:r>
            <w:r>
              <w:rPr>
                <w:rFonts w:cs="Times New Roman"/>
                <w:sz w:val="21"/>
                <w:szCs w:val="21"/>
              </w:rPr>
              <w:t>20cm</w:t>
            </w:r>
            <w:bookmarkEnd w:id="1350"/>
          </w:p>
        </w:tc>
        <w:tc>
          <w:tcPr>
            <w:tcW w:w="1362"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c>
          <w:tcPr>
            <w:tcW w:w="1363"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r>
      <w:tr w:rsidR="00C645C9">
        <w:trPr>
          <w:trHeight w:val="171"/>
        </w:trPr>
        <w:tc>
          <w:tcPr>
            <w:tcW w:w="523"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bookmarkStart w:id="1351" w:name="OLE_LINK576" w:colFirst="5" w:colLast="7"/>
          </w:p>
        </w:tc>
        <w:tc>
          <w:tcPr>
            <w:tcW w:w="38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1288"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1288"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1290"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52" w:name="OLE_LINK578" w:colFirst="4" w:colLast="4"/>
            <w:bookmarkStart w:id="1353" w:name="OLE_LINK577" w:colFirst="8" w:colLast="8"/>
            <w:bookmarkStart w:id="1354" w:name="OLE_LINK1022" w:colFirst="2" w:colLast="2"/>
            <w:bookmarkEnd w:id="1351"/>
            <w:r>
              <w:rPr>
                <w:rFonts w:cs="Times New Roman"/>
                <w:sz w:val="21"/>
                <w:szCs w:val="21"/>
              </w:rPr>
              <w:t>pH</w:t>
            </w:r>
            <w:r>
              <w:rPr>
                <w:rFonts w:cs="Times New Roman"/>
                <w:sz w:val="21"/>
                <w:szCs w:val="21"/>
              </w:rPr>
              <w:t>（无量纲）</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288"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90"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1288"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90"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52"/>
      <w:bookmarkEnd w:id="1353"/>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288"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bl>
    <w:bookmarkEnd w:id="1349"/>
    <w:bookmarkEnd w:id="1354"/>
    <w:p w:rsidR="00C645C9" w:rsidRDefault="00F955D9">
      <w:pPr>
        <w:pStyle w:val="a5"/>
        <w:widowControl w:val="0"/>
        <w:snapToGrid w:val="0"/>
        <w:spacing w:line="240" w:lineRule="auto"/>
        <w:jc w:val="center"/>
        <w:rPr>
          <w:rFonts w:ascii="Times New Roman" w:eastAsia="黑体" w:hAnsi="Times New Roman" w:cs="Times New Roman"/>
          <w:kern w:val="10"/>
          <w:sz w:val="21"/>
          <w:szCs w:val="21"/>
        </w:rPr>
      </w:pPr>
      <w:r>
        <w:rPr>
          <w:rFonts w:ascii="Times New Roman" w:eastAsia="黑体" w:hAnsi="Times New Roman" w:cs="Times New Roman"/>
          <w:kern w:val="10"/>
          <w:sz w:val="21"/>
          <w:szCs w:val="21"/>
        </w:rPr>
        <w:t>表</w:t>
      </w:r>
      <w:r>
        <w:rPr>
          <w:rFonts w:ascii="Times New Roman" w:eastAsia="黑体" w:hAnsi="Times New Roman" w:cs="Times New Roman"/>
          <w:kern w:val="10"/>
          <w:sz w:val="21"/>
          <w:szCs w:val="21"/>
        </w:rPr>
        <w:t>4.5-</w:t>
      </w:r>
      <w:r>
        <w:rPr>
          <w:rFonts w:ascii="Times New Roman" w:eastAsia="黑体" w:hAnsi="Times New Roman" w:cs="Times New Roman" w:hint="eastAsia"/>
          <w:kern w:val="10"/>
          <w:sz w:val="21"/>
          <w:szCs w:val="21"/>
        </w:rPr>
        <w:t>5</w:t>
      </w:r>
      <w:r>
        <w:rPr>
          <w:rFonts w:ascii="Times New Roman" w:eastAsia="黑体" w:hAnsi="Times New Roman" w:cs="Times New Roman"/>
          <w:kern w:val="10"/>
          <w:sz w:val="21"/>
          <w:szCs w:val="21"/>
        </w:rPr>
        <w:t xml:space="preserve">    </w:t>
      </w:r>
      <w:r>
        <w:rPr>
          <w:rFonts w:ascii="Times New Roman" w:eastAsia="黑体" w:hAnsi="Times New Roman" w:cs="Times New Roman"/>
          <w:kern w:val="10"/>
          <w:sz w:val="21"/>
          <w:szCs w:val="21"/>
        </w:rPr>
        <w:t>建设用地土壤环境质量评价（占地范围内的</w:t>
      </w:r>
      <w:r>
        <w:rPr>
          <w:rFonts w:ascii="Times New Roman" w:eastAsia="黑体" w:hAnsi="Times New Roman" w:cs="Times New Roman" w:hint="eastAsia"/>
          <w:kern w:val="10"/>
          <w:sz w:val="21"/>
          <w:szCs w:val="21"/>
        </w:rPr>
        <w:t>柱状</w:t>
      </w:r>
      <w:r>
        <w:rPr>
          <w:rFonts w:ascii="Times New Roman" w:eastAsia="黑体" w:hAnsi="Times New Roman" w:cs="Times New Roman"/>
          <w:kern w:val="10"/>
          <w:sz w:val="21"/>
          <w:szCs w:val="21"/>
        </w:rPr>
        <w:t>样）</w:t>
      </w:r>
      <w:r>
        <w:rPr>
          <w:rFonts w:ascii="Times New Roman" w:eastAsia="黑体" w:hAnsi="Times New Roman" w:cs="Times New Roman"/>
          <w:kern w:val="10"/>
          <w:sz w:val="21"/>
          <w:szCs w:val="21"/>
        </w:rPr>
        <w:t xml:space="preserve">   </w:t>
      </w:r>
      <w:r>
        <w:rPr>
          <w:rFonts w:ascii="Times New Roman" w:eastAsia="黑体" w:hAnsi="Times New Roman" w:cs="Times New Roman"/>
          <w:kern w:val="10"/>
          <w:sz w:val="21"/>
          <w:szCs w:val="21"/>
          <w:lang w:val="zh-CN"/>
        </w:rPr>
        <w:t>单位：</w:t>
      </w:r>
      <w:r>
        <w:rPr>
          <w:rFonts w:ascii="Times New Roman" w:eastAsia="黑体" w:hAnsi="Times New Roman" w:cs="Times New Roman"/>
          <w:kern w:val="10"/>
          <w:sz w:val="21"/>
          <w:szCs w:val="21"/>
          <w:lang w:val="zh-CN"/>
        </w:rPr>
        <w:t>mg/kg</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099"/>
        <w:gridCol w:w="1288"/>
        <w:gridCol w:w="1288"/>
        <w:gridCol w:w="1288"/>
        <w:gridCol w:w="1288"/>
        <w:gridCol w:w="1288"/>
        <w:gridCol w:w="1288"/>
        <w:gridCol w:w="1288"/>
        <w:gridCol w:w="1288"/>
        <w:gridCol w:w="1293"/>
      </w:tblGrid>
      <w:tr w:rsidR="00C645C9">
        <w:trPr>
          <w:trHeight w:val="157"/>
        </w:trPr>
        <w:tc>
          <w:tcPr>
            <w:tcW w:w="523"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55" w:name="OLE_LINK580" w:colFirst="0" w:colLast="1"/>
            <w:r>
              <w:rPr>
                <w:rFonts w:cs="Times New Roman"/>
                <w:sz w:val="21"/>
                <w:szCs w:val="21"/>
              </w:rPr>
              <w:t>检测项目</w:t>
            </w:r>
          </w:p>
        </w:tc>
        <w:tc>
          <w:tcPr>
            <w:tcW w:w="38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4088" w:type="pct"/>
            <w:gridSpan w:val="9"/>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TN1</w:t>
            </w:r>
            <w:r>
              <w:rPr>
                <w:rFonts w:cs="Times New Roman"/>
                <w:sz w:val="21"/>
                <w:szCs w:val="21"/>
              </w:rPr>
              <w:t>新北</w:t>
            </w:r>
            <w:r>
              <w:rPr>
                <w:rFonts w:cs="Times New Roman"/>
                <w:sz w:val="21"/>
                <w:szCs w:val="21"/>
              </w:rPr>
              <w:t>1X</w:t>
            </w:r>
            <w:r>
              <w:rPr>
                <w:rFonts w:cs="Times New Roman"/>
                <w:sz w:val="21"/>
                <w:szCs w:val="21"/>
              </w:rPr>
              <w:t>井</w:t>
            </w:r>
          </w:p>
        </w:tc>
      </w:tr>
      <w:tr w:rsidR="00C645C9">
        <w:trPr>
          <w:trHeight w:val="90"/>
        </w:trPr>
        <w:tc>
          <w:tcPr>
            <w:tcW w:w="523"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bookmarkStart w:id="1356" w:name="OLE_LINK585" w:colFirst="2" w:colLast="4"/>
            <w:bookmarkStart w:id="1357" w:name="OLE_LINK583" w:colFirst="2" w:colLast="10"/>
            <w:bookmarkEnd w:id="1355"/>
          </w:p>
        </w:tc>
        <w:tc>
          <w:tcPr>
            <w:tcW w:w="38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1362" w:type="pct"/>
            <w:gridSpan w:val="3"/>
            <w:tcBorders>
              <w:top w:val="single" w:sz="4" w:space="0" w:color="auto"/>
              <w:left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bookmarkStart w:id="1358" w:name="OLE_LINK1297"/>
            <w:r>
              <w:rPr>
                <w:rFonts w:cs="Times New Roman" w:hint="eastAsia"/>
                <w:sz w:val="21"/>
                <w:szCs w:val="21"/>
              </w:rPr>
              <w:t>0</w:t>
            </w:r>
            <w:bookmarkStart w:id="1359" w:name="OLE_LINK1296"/>
            <w:r>
              <w:rPr>
                <w:rFonts w:cs="Times New Roman" w:hint="eastAsia"/>
                <w:sz w:val="21"/>
                <w:szCs w:val="21"/>
              </w:rPr>
              <w:t>~</w:t>
            </w:r>
            <w:bookmarkEnd w:id="1359"/>
            <w:r>
              <w:rPr>
                <w:rFonts w:cs="Times New Roman" w:hint="eastAsia"/>
                <w:sz w:val="21"/>
                <w:szCs w:val="21"/>
              </w:rPr>
              <w:t>0.</w:t>
            </w:r>
            <w:r>
              <w:rPr>
                <w:rFonts w:cs="Times New Roman" w:hint="eastAsia"/>
                <w:sz w:val="21"/>
                <w:szCs w:val="21"/>
              </w:rPr>
              <w:t>2</w:t>
            </w:r>
            <w:r>
              <w:rPr>
                <w:rFonts w:cs="Times New Roman" w:hint="eastAsia"/>
                <w:sz w:val="21"/>
                <w:szCs w:val="21"/>
              </w:rPr>
              <w:t>m</w:t>
            </w:r>
            <w:bookmarkEnd w:id="1358"/>
          </w:p>
        </w:tc>
        <w:tc>
          <w:tcPr>
            <w:tcW w:w="1362"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0.5~1.5m</w:t>
            </w:r>
          </w:p>
        </w:tc>
        <w:tc>
          <w:tcPr>
            <w:tcW w:w="1363"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pPr>
            <w:r>
              <w:rPr>
                <w:rFonts w:cs="Times New Roman" w:hint="eastAsia"/>
                <w:sz w:val="21"/>
                <w:szCs w:val="21"/>
              </w:rPr>
              <w:t>1.5~3.0m</w:t>
            </w:r>
          </w:p>
        </w:tc>
      </w:tr>
      <w:tr w:rsidR="00C645C9">
        <w:trPr>
          <w:trHeight w:val="90"/>
        </w:trPr>
        <w:tc>
          <w:tcPr>
            <w:tcW w:w="523"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bookmarkStart w:id="1360" w:name="OLE_LINK584" w:colFirst="2" w:colLast="10"/>
            <w:bookmarkEnd w:id="1356"/>
          </w:p>
        </w:tc>
        <w:tc>
          <w:tcPr>
            <w:tcW w:w="38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61" w:name="OLE_LINK1021" w:colFirst="3" w:colLast="3"/>
            <w:bookmarkStart w:id="1362" w:name="OLE_LINK1023" w:colFirst="2" w:colLast="2"/>
            <w:bookmarkStart w:id="1363" w:name="OLE_LINK581" w:colFirst="0" w:colLast="1"/>
            <w:r>
              <w:rPr>
                <w:rFonts w:cs="Times New Roman"/>
                <w:sz w:val="21"/>
                <w:szCs w:val="21"/>
              </w:rPr>
              <w:t>pH</w:t>
            </w:r>
            <w:r>
              <w:rPr>
                <w:rFonts w:cs="Times New Roman"/>
                <w:sz w:val="21"/>
                <w:szCs w:val="21"/>
              </w:rPr>
              <w:t>（无量纲）</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57"/>
      <w:bookmarkEnd w:id="1360"/>
      <w:bookmarkEnd w:id="1361"/>
      <w:bookmarkEnd w:id="1362"/>
      <w:bookmarkEnd w:id="1363"/>
      <w:tr w:rsidR="00C645C9">
        <w:trPr>
          <w:trHeight w:val="20"/>
        </w:trPr>
        <w:tc>
          <w:tcPr>
            <w:tcW w:w="523"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检测项目</w:t>
            </w:r>
          </w:p>
        </w:tc>
        <w:tc>
          <w:tcPr>
            <w:tcW w:w="38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4088" w:type="pct"/>
            <w:gridSpan w:val="9"/>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TN2</w:t>
            </w:r>
            <w:r>
              <w:rPr>
                <w:rFonts w:cs="Times New Roman"/>
                <w:sz w:val="21"/>
                <w:szCs w:val="21"/>
              </w:rPr>
              <w:t>新北</w:t>
            </w:r>
            <w:r>
              <w:rPr>
                <w:rFonts w:cs="Times New Roman"/>
                <w:sz w:val="21"/>
                <w:szCs w:val="21"/>
              </w:rPr>
              <w:t>1X</w:t>
            </w:r>
            <w:r>
              <w:rPr>
                <w:rFonts w:cs="Times New Roman"/>
                <w:sz w:val="21"/>
                <w:szCs w:val="21"/>
              </w:rPr>
              <w:t>井东侧</w:t>
            </w:r>
          </w:p>
        </w:tc>
      </w:tr>
      <w:tr w:rsidR="00C645C9">
        <w:trPr>
          <w:trHeight w:val="20"/>
        </w:trPr>
        <w:tc>
          <w:tcPr>
            <w:tcW w:w="523"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64" w:type="dxa"/>
            <w:gridSpan w:val="3"/>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0~0.</w:t>
            </w:r>
            <w:r>
              <w:rPr>
                <w:rFonts w:cs="Times New Roman" w:hint="eastAsia"/>
                <w:sz w:val="21"/>
                <w:szCs w:val="21"/>
              </w:rPr>
              <w:t>2</w:t>
            </w:r>
            <w:r>
              <w:rPr>
                <w:rFonts w:cs="Times New Roman" w:hint="eastAsia"/>
                <w:sz w:val="21"/>
                <w:szCs w:val="21"/>
              </w:rPr>
              <w:t>m</w:t>
            </w:r>
          </w:p>
        </w:tc>
        <w:tc>
          <w:tcPr>
            <w:tcW w:w="3864"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0.5~1.5m</w:t>
            </w:r>
          </w:p>
        </w:tc>
        <w:tc>
          <w:tcPr>
            <w:tcW w:w="3866"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1.5~3.0m</w:t>
            </w:r>
          </w:p>
        </w:tc>
      </w:tr>
      <w:tr w:rsidR="00C645C9">
        <w:trPr>
          <w:trHeight w:val="20"/>
        </w:trPr>
        <w:tc>
          <w:tcPr>
            <w:tcW w:w="523"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64" w:name="OLE_LINK1026" w:colFirst="2" w:colLast="3"/>
            <w:r>
              <w:rPr>
                <w:rFonts w:cs="Times New Roman"/>
                <w:sz w:val="21"/>
                <w:szCs w:val="21"/>
              </w:rPr>
              <w:t>pH</w:t>
            </w:r>
            <w:r>
              <w:rPr>
                <w:rFonts w:cs="Times New Roman"/>
                <w:sz w:val="21"/>
                <w:szCs w:val="21"/>
              </w:rPr>
              <w:t>（无量纲）</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65" w:name="OLE_LINK582" w:colFirst="0" w:colLast="1"/>
            <w:bookmarkEnd w:id="1364"/>
            <w:r>
              <w:rPr>
                <w:rFonts w:cs="Times New Roman"/>
                <w:sz w:val="21"/>
                <w:szCs w:val="21"/>
              </w:rPr>
              <w:t>检测项目</w:t>
            </w:r>
          </w:p>
        </w:tc>
        <w:tc>
          <w:tcPr>
            <w:tcW w:w="38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4088" w:type="pct"/>
            <w:gridSpan w:val="9"/>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TN3</w:t>
            </w:r>
            <w:r>
              <w:rPr>
                <w:rFonts w:cs="Times New Roman"/>
                <w:sz w:val="21"/>
                <w:szCs w:val="21"/>
              </w:rPr>
              <w:t>新北</w:t>
            </w:r>
            <w:r>
              <w:rPr>
                <w:rFonts w:cs="Times New Roman"/>
                <w:sz w:val="21"/>
                <w:szCs w:val="21"/>
              </w:rPr>
              <w:t>1X</w:t>
            </w:r>
            <w:r>
              <w:rPr>
                <w:rFonts w:cs="Times New Roman"/>
                <w:sz w:val="21"/>
                <w:szCs w:val="21"/>
              </w:rPr>
              <w:t>井北侧</w:t>
            </w:r>
          </w:p>
        </w:tc>
      </w:tr>
      <w:bookmarkEnd w:id="1365"/>
      <w:tr w:rsidR="00C645C9">
        <w:trPr>
          <w:trHeight w:val="20"/>
        </w:trPr>
        <w:tc>
          <w:tcPr>
            <w:tcW w:w="523"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64" w:type="dxa"/>
            <w:gridSpan w:val="3"/>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0~0.</w:t>
            </w:r>
            <w:r>
              <w:rPr>
                <w:rFonts w:cs="Times New Roman" w:hint="eastAsia"/>
                <w:sz w:val="21"/>
                <w:szCs w:val="21"/>
              </w:rPr>
              <w:t>2</w:t>
            </w:r>
            <w:r>
              <w:rPr>
                <w:rFonts w:cs="Times New Roman" w:hint="eastAsia"/>
                <w:sz w:val="21"/>
                <w:szCs w:val="21"/>
              </w:rPr>
              <w:t>m</w:t>
            </w:r>
          </w:p>
        </w:tc>
        <w:tc>
          <w:tcPr>
            <w:tcW w:w="3864"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0.5~1.5m</w:t>
            </w:r>
          </w:p>
        </w:tc>
        <w:tc>
          <w:tcPr>
            <w:tcW w:w="3866"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1.5~3.0m</w:t>
            </w:r>
          </w:p>
        </w:tc>
      </w:tr>
      <w:tr w:rsidR="00C645C9">
        <w:trPr>
          <w:trHeight w:val="20"/>
        </w:trPr>
        <w:tc>
          <w:tcPr>
            <w:tcW w:w="523"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38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66" w:name="OLE_LINK1027" w:colFirst="2" w:colLast="3"/>
            <w:r>
              <w:rPr>
                <w:rFonts w:cs="Times New Roman"/>
                <w:sz w:val="21"/>
                <w:szCs w:val="21"/>
              </w:rPr>
              <w:t>pH</w:t>
            </w:r>
            <w:r>
              <w:rPr>
                <w:rFonts w:cs="Times New Roman"/>
                <w:sz w:val="21"/>
                <w:szCs w:val="21"/>
              </w:rPr>
              <w:t>（无量纲）</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trPr>
        <w:tc>
          <w:tcPr>
            <w:tcW w:w="523"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38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454"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288"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54"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66"/>
    </w:tbl>
    <w:p w:rsidR="00C645C9" w:rsidRDefault="00C645C9">
      <w:pPr>
        <w:pStyle w:val="ad"/>
        <w:sectPr w:rsidR="00C645C9">
          <w:pgSz w:w="16838" w:h="11906" w:orient="landscape"/>
          <w:pgMar w:top="1800" w:right="1440" w:bottom="1800" w:left="1440" w:header="851" w:footer="992" w:gutter="0"/>
          <w:cols w:space="425"/>
          <w:docGrid w:type="lines" w:linePitch="312"/>
        </w:sectPr>
      </w:pPr>
    </w:p>
    <w:p w:rsidR="00C645C9" w:rsidRDefault="00F955D9">
      <w:pPr>
        <w:adjustRightInd w:val="0"/>
        <w:snapToGrid w:val="0"/>
        <w:jc w:val="center"/>
        <w:rPr>
          <w:rFonts w:eastAsia="黑体" w:cs="Times New Roman"/>
          <w:kern w:val="10"/>
          <w:sz w:val="21"/>
          <w:szCs w:val="21"/>
          <w:lang w:val="zh-CN"/>
        </w:rPr>
      </w:pPr>
      <w:bookmarkStart w:id="1367" w:name="OLE_LINK587"/>
      <w:r>
        <w:rPr>
          <w:rFonts w:eastAsia="黑体" w:cs="Times New Roman"/>
          <w:kern w:val="10"/>
          <w:sz w:val="21"/>
          <w:szCs w:val="21"/>
          <w:lang w:val="zh-CN"/>
        </w:rPr>
        <w:lastRenderedPageBreak/>
        <w:t>表</w:t>
      </w:r>
      <w:r>
        <w:rPr>
          <w:rFonts w:eastAsia="黑体" w:cs="Times New Roman"/>
          <w:kern w:val="10"/>
          <w:sz w:val="21"/>
          <w:szCs w:val="21"/>
        </w:rPr>
        <w:t>4.5-</w:t>
      </w:r>
      <w:r>
        <w:rPr>
          <w:rFonts w:eastAsia="黑体" w:cs="Times New Roman" w:hint="eastAsia"/>
          <w:kern w:val="10"/>
          <w:sz w:val="21"/>
          <w:szCs w:val="21"/>
        </w:rPr>
        <w:t>6</w:t>
      </w:r>
      <w:r>
        <w:rPr>
          <w:rFonts w:eastAsia="黑体" w:cs="Times New Roman"/>
          <w:kern w:val="10"/>
          <w:sz w:val="21"/>
          <w:szCs w:val="21"/>
        </w:rPr>
        <w:t xml:space="preserve">   </w:t>
      </w:r>
      <w:r>
        <w:rPr>
          <w:rFonts w:eastAsia="黑体" w:cs="Times New Roman"/>
          <w:kern w:val="10"/>
          <w:sz w:val="21"/>
          <w:szCs w:val="21"/>
        </w:rPr>
        <w:t>农用地土壤环境质量评价（占地范围外表层样）</w:t>
      </w:r>
      <w:r>
        <w:rPr>
          <w:rFonts w:eastAsia="黑体" w:cs="Times New Roman"/>
          <w:kern w:val="10"/>
          <w:sz w:val="21"/>
          <w:szCs w:val="21"/>
          <w:lang w:val="zh-CN"/>
        </w:rPr>
        <w:t>单位：</w:t>
      </w:r>
      <w:r>
        <w:rPr>
          <w:rFonts w:eastAsia="黑体" w:cs="Times New Roman"/>
          <w:kern w:val="10"/>
          <w:sz w:val="21"/>
          <w:szCs w:val="21"/>
          <w:lang w:val="zh-CN"/>
        </w:rPr>
        <w:t>mg/kg</w:t>
      </w:r>
      <w:r>
        <w:rPr>
          <w:rFonts w:eastAsia="黑体" w:cs="Times New Roman"/>
          <w:kern w:val="10"/>
          <w:sz w:val="21"/>
          <w:szCs w:val="21"/>
          <w:lang w:val="zh-CN"/>
        </w:rPr>
        <w:t>（</w:t>
      </w:r>
      <w:r>
        <w:rPr>
          <w:rFonts w:eastAsia="黑体" w:cs="Times New Roman"/>
          <w:kern w:val="10"/>
          <w:sz w:val="21"/>
          <w:szCs w:val="21"/>
        </w:rPr>
        <w:t>pH</w:t>
      </w:r>
      <w:r>
        <w:rPr>
          <w:rFonts w:eastAsia="黑体" w:cs="Times New Roman"/>
          <w:kern w:val="10"/>
          <w:sz w:val="21"/>
          <w:szCs w:val="21"/>
        </w:rPr>
        <w:t>无量纲</w:t>
      </w:r>
      <w:r>
        <w:rPr>
          <w:rFonts w:eastAsia="黑体" w:cs="Times New Roman"/>
          <w:kern w:val="10"/>
          <w:sz w:val="21"/>
          <w:szCs w:val="21"/>
          <w:lang w:val="zh-CN"/>
        </w:rPr>
        <w:t>）</w:t>
      </w:r>
    </w:p>
    <w:tbl>
      <w:tblPr>
        <w:tblW w:w="5268" w:type="pct"/>
        <w:jc w:val="center"/>
        <w:tblLayout w:type="fixed"/>
        <w:tblLook w:val="04A0" w:firstRow="1" w:lastRow="0" w:firstColumn="1" w:lastColumn="0" w:noHBand="0" w:noVBand="1"/>
      </w:tblPr>
      <w:tblGrid>
        <w:gridCol w:w="691"/>
        <w:gridCol w:w="1121"/>
        <w:gridCol w:w="1104"/>
        <w:gridCol w:w="1573"/>
        <w:gridCol w:w="1496"/>
        <w:gridCol w:w="1496"/>
        <w:gridCol w:w="1498"/>
      </w:tblGrid>
      <w:tr w:rsidR="00C645C9">
        <w:trPr>
          <w:trHeight w:val="417"/>
          <w:jc w:val="center"/>
        </w:trPr>
        <w:tc>
          <w:tcPr>
            <w:tcW w:w="4489" w:type="dxa"/>
            <w:gridSpan w:val="4"/>
            <w:tcBorders>
              <w:top w:val="single" w:sz="4" w:space="0" w:color="000000"/>
              <w:left w:val="single" w:sz="4" w:space="0" w:color="000000"/>
              <w:bottom w:val="single" w:sz="4" w:space="0" w:color="000000"/>
              <w:right w:val="single" w:sz="4" w:space="0" w:color="000000"/>
            </w:tcBorders>
            <w:noWrap/>
            <w:vAlign w:val="center"/>
          </w:tcPr>
          <w:bookmarkEnd w:id="1367"/>
          <w:p w:rsidR="00C645C9" w:rsidRDefault="00F955D9">
            <w:pPr>
              <w:adjustRightInd w:val="0"/>
              <w:snapToGrid w:val="0"/>
              <w:jc w:val="center"/>
              <w:rPr>
                <w:rFonts w:cs="Times New Roman"/>
                <w:sz w:val="21"/>
                <w:szCs w:val="21"/>
              </w:rPr>
            </w:pPr>
            <w:r>
              <w:rPr>
                <w:rFonts w:cs="Times New Roman"/>
                <w:sz w:val="21"/>
                <w:szCs w:val="21"/>
              </w:rPr>
              <w:t>监测点位</w:t>
            </w:r>
          </w:p>
        </w:tc>
        <w:tc>
          <w:tcPr>
            <w:tcW w:w="4490" w:type="dxa"/>
            <w:gridSpan w:val="3"/>
            <w:tcBorders>
              <w:top w:val="single" w:sz="4" w:space="0" w:color="000000"/>
              <w:left w:val="single" w:sz="4" w:space="0" w:color="000000"/>
              <w:bottom w:val="single" w:sz="4" w:space="0" w:color="000000"/>
              <w:right w:val="single" w:sz="4" w:space="0" w:color="000000"/>
            </w:tcBorders>
            <w:noWrap/>
            <w:vAlign w:val="center"/>
          </w:tcPr>
          <w:p w:rsidR="00C645C9" w:rsidRDefault="00F955D9">
            <w:pPr>
              <w:pStyle w:val="affff1"/>
              <w:snapToGrid w:val="0"/>
              <w:rPr>
                <w:rFonts w:cs="Times New Roman"/>
                <w:szCs w:val="21"/>
              </w:rPr>
            </w:pPr>
            <w:r>
              <w:rPr>
                <w:rFonts w:cs="Times New Roman" w:hint="eastAsia"/>
                <w:szCs w:val="21"/>
              </w:rPr>
              <w:t>TW1</w:t>
            </w:r>
            <w:bookmarkStart w:id="1368" w:name="OLE_LINK1071"/>
            <w:r>
              <w:rPr>
                <w:rFonts w:cs="Times New Roman"/>
                <w:szCs w:val="21"/>
              </w:rPr>
              <w:t>新北</w:t>
            </w:r>
            <w:r>
              <w:rPr>
                <w:rFonts w:cs="Times New Roman"/>
                <w:szCs w:val="21"/>
              </w:rPr>
              <w:t>1X</w:t>
            </w:r>
            <w:r>
              <w:rPr>
                <w:rFonts w:cs="Times New Roman"/>
                <w:szCs w:val="21"/>
              </w:rPr>
              <w:t>井</w:t>
            </w:r>
            <w:bookmarkStart w:id="1369" w:name="OLE_LINK1073"/>
            <w:r>
              <w:rPr>
                <w:rFonts w:cs="Times New Roman"/>
                <w:szCs w:val="21"/>
              </w:rPr>
              <w:t>井场东侧外</w:t>
            </w:r>
            <w:bookmarkEnd w:id="1369"/>
            <w:r>
              <w:rPr>
                <w:rFonts w:cs="Times New Roman"/>
                <w:szCs w:val="21"/>
              </w:rPr>
              <w:t>50m</w:t>
            </w:r>
            <w:bookmarkEnd w:id="1368"/>
          </w:p>
        </w:tc>
      </w:tr>
      <w:tr w:rsidR="00C645C9">
        <w:trPr>
          <w:trHeight w:val="294"/>
          <w:jc w:val="center"/>
        </w:trPr>
        <w:tc>
          <w:tcPr>
            <w:tcW w:w="4489" w:type="dxa"/>
            <w:gridSpan w:val="4"/>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sz w:val="21"/>
                <w:szCs w:val="21"/>
              </w:rPr>
              <w:t>采样深度</w:t>
            </w:r>
          </w:p>
        </w:tc>
        <w:tc>
          <w:tcPr>
            <w:tcW w:w="4490" w:type="dxa"/>
            <w:gridSpan w:val="3"/>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r>
      <w:tr w:rsidR="00C645C9">
        <w:trPr>
          <w:trHeight w:val="616"/>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序号</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检测项目</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单位</w:t>
            </w:r>
          </w:p>
        </w:tc>
        <w:tc>
          <w:tcPr>
            <w:tcW w:w="1573"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p>
          <w:p w:rsidR="00C645C9" w:rsidRDefault="00F955D9">
            <w:pPr>
              <w:adjustRightInd w:val="0"/>
              <w:snapToGrid w:val="0"/>
              <w:jc w:val="center"/>
              <w:rPr>
                <w:rFonts w:cs="Times New Roman"/>
                <w:sz w:val="21"/>
                <w:szCs w:val="21"/>
              </w:rPr>
            </w:pPr>
            <w:r>
              <w:rPr>
                <w:rFonts w:cs="Times New Roman"/>
                <w:sz w:val="21"/>
                <w:szCs w:val="21"/>
              </w:rPr>
              <w:t>（</w:t>
            </w:r>
            <w:bookmarkStart w:id="1370" w:name="OLE_LINK1116"/>
            <w:r>
              <w:rPr>
                <w:rFonts w:cs="Times New Roman" w:hint="eastAsia"/>
                <w:sz w:val="21"/>
                <w:szCs w:val="21"/>
              </w:rPr>
              <w:t>6.5</w:t>
            </w:r>
            <w:r>
              <w:rPr>
                <w:rFonts w:eastAsia="Times New Roman" w:cs="Times New Roman"/>
                <w:spacing w:val="-2"/>
                <w:sz w:val="21"/>
                <w:szCs w:val="21"/>
              </w:rPr>
              <w:t>&lt;</w:t>
            </w:r>
            <w:r>
              <w:rPr>
                <w:rFonts w:cs="Times New Roman"/>
                <w:sz w:val="21"/>
                <w:szCs w:val="21"/>
              </w:rPr>
              <w:t>pH</w:t>
            </w:r>
            <w:r>
              <w:rPr>
                <w:rFonts w:eastAsia="Times New Roman" w:cs="Times New Roman"/>
                <w:spacing w:val="-2"/>
                <w:sz w:val="21"/>
                <w:szCs w:val="21"/>
              </w:rPr>
              <w:t>≤</w:t>
            </w:r>
            <w:r>
              <w:rPr>
                <w:rFonts w:cs="Times New Roman"/>
                <w:sz w:val="21"/>
                <w:szCs w:val="21"/>
              </w:rPr>
              <w:t>7.5</w:t>
            </w:r>
            <w:bookmarkEnd w:id="1370"/>
            <w:r>
              <w:rPr>
                <w:rFonts w:cs="Times New Roman"/>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426"/>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1" w:name="OLE_LINK586" w:colFirst="5" w:colLast="5"/>
            <w:r>
              <w:rPr>
                <w:rFonts w:cs="Times New Roman"/>
                <w:sz w:val="21"/>
                <w:szCs w:val="21"/>
              </w:rPr>
              <w:t>1</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pH</w:t>
            </w:r>
            <w:r>
              <w:rPr>
                <w:rFonts w:cs="Times New Roman"/>
                <w:sz w:val="21"/>
                <w:szCs w:val="21"/>
              </w:rPr>
              <w:t>值</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无量纲</w:t>
            </w:r>
          </w:p>
        </w:tc>
        <w:tc>
          <w:tcPr>
            <w:tcW w:w="1573"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26"/>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2" w:name="OLE_LINK1031" w:colFirst="4" w:colLast="4"/>
            <w:r>
              <w:rPr>
                <w:rFonts w:cs="Times New Roman"/>
                <w:sz w:val="21"/>
                <w:szCs w:val="21"/>
              </w:rPr>
              <w:t>2</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砷</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30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71"/>
      <w:tr w:rsidR="00C645C9">
        <w:trPr>
          <w:trHeight w:val="407"/>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3</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镉</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0.3</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86"/>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3" w:name="OLE_LINK1077"/>
            <w:r>
              <w:rPr>
                <w:rFonts w:cs="Times New Roman"/>
                <w:sz w:val="21"/>
                <w:szCs w:val="21"/>
              </w:rPr>
              <w:t>铬</w:t>
            </w:r>
            <w:bookmarkEnd w:id="1373"/>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4" w:name="OLE_LINK1078"/>
            <w:r>
              <w:rPr>
                <w:rFonts w:cs="Times New Roman"/>
                <w:sz w:val="21"/>
                <w:szCs w:val="21"/>
              </w:rPr>
              <w:t>mg/kg</w:t>
            </w:r>
            <w:bookmarkEnd w:id="1374"/>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200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397"/>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5</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铜</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sz w:val="21"/>
                <w:szCs w:val="21"/>
              </w:rPr>
              <w:t>100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368"/>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6</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5" w:name="OLE_LINK1072"/>
            <w:r>
              <w:rPr>
                <w:rFonts w:cs="Times New Roman"/>
                <w:sz w:val="21"/>
                <w:szCs w:val="21"/>
              </w:rPr>
              <w:t>铅</w:t>
            </w:r>
            <w:bookmarkEnd w:id="1375"/>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120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17"/>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7</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汞</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2.4</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07"/>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8</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镍</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100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46"/>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9</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锌</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250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75"/>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bookmarkStart w:id="1376" w:name="OLE_LINK1070" w:colFirst="5" w:colLast="5"/>
            <w:r>
              <w:rPr>
                <w:rFonts w:cs="Times New Roman"/>
                <w:sz w:val="21"/>
                <w:szCs w:val="21"/>
              </w:rPr>
              <w:t>10</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mg/kg</w:t>
            </w:r>
          </w:p>
        </w:tc>
        <w:tc>
          <w:tcPr>
            <w:tcW w:w="1573"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72"/>
      <w:tr w:rsidR="00C645C9">
        <w:trPr>
          <w:trHeight w:val="413"/>
          <w:jc w:val="center"/>
        </w:trPr>
        <w:tc>
          <w:tcPr>
            <w:tcW w:w="69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11</w:t>
            </w:r>
          </w:p>
        </w:tc>
        <w:tc>
          <w:tcPr>
            <w:tcW w:w="1121"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盐分含量</w:t>
            </w:r>
          </w:p>
        </w:tc>
        <w:tc>
          <w:tcPr>
            <w:tcW w:w="1104"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g/kg</w:t>
            </w:r>
          </w:p>
        </w:tc>
        <w:tc>
          <w:tcPr>
            <w:tcW w:w="1573"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6"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bl>
    <w:bookmarkEnd w:id="1376"/>
    <w:p w:rsidR="00C645C9" w:rsidRDefault="00F955D9">
      <w:pPr>
        <w:adjustRightInd w:val="0"/>
        <w:snapToGrid w:val="0"/>
        <w:jc w:val="center"/>
        <w:rPr>
          <w:rFonts w:eastAsia="黑体" w:cs="Times New Roman"/>
          <w:kern w:val="10"/>
          <w:sz w:val="21"/>
          <w:szCs w:val="21"/>
          <w:lang w:val="zh-CN"/>
        </w:rPr>
      </w:pPr>
      <w:r>
        <w:rPr>
          <w:rFonts w:eastAsia="黑体" w:cs="Times New Roman"/>
          <w:kern w:val="10"/>
          <w:sz w:val="21"/>
          <w:szCs w:val="21"/>
          <w:lang w:val="zh-CN"/>
        </w:rPr>
        <w:t>表</w:t>
      </w:r>
      <w:r>
        <w:rPr>
          <w:rFonts w:eastAsia="黑体" w:cs="Times New Roman"/>
          <w:kern w:val="10"/>
          <w:sz w:val="21"/>
          <w:szCs w:val="21"/>
        </w:rPr>
        <w:t>4.5-</w:t>
      </w:r>
      <w:r>
        <w:rPr>
          <w:rFonts w:eastAsia="黑体" w:cs="Times New Roman" w:hint="eastAsia"/>
          <w:kern w:val="10"/>
          <w:sz w:val="21"/>
          <w:szCs w:val="21"/>
        </w:rPr>
        <w:t>7</w:t>
      </w:r>
      <w:r>
        <w:rPr>
          <w:rFonts w:eastAsia="黑体" w:cs="Times New Roman"/>
          <w:kern w:val="10"/>
          <w:sz w:val="21"/>
          <w:szCs w:val="21"/>
        </w:rPr>
        <w:t xml:space="preserve">   </w:t>
      </w:r>
      <w:r>
        <w:rPr>
          <w:rFonts w:eastAsia="黑体" w:cs="Times New Roman"/>
          <w:kern w:val="10"/>
          <w:sz w:val="21"/>
          <w:szCs w:val="21"/>
        </w:rPr>
        <w:t>农用地土壤环境质量评价（占地范围外表层样）</w:t>
      </w:r>
      <w:r>
        <w:rPr>
          <w:rFonts w:eastAsia="黑体" w:cs="Times New Roman"/>
          <w:kern w:val="10"/>
          <w:sz w:val="21"/>
          <w:szCs w:val="21"/>
          <w:lang w:val="zh-CN"/>
        </w:rPr>
        <w:t>单位：</w:t>
      </w:r>
      <w:r>
        <w:rPr>
          <w:rFonts w:eastAsia="黑体" w:cs="Times New Roman"/>
          <w:kern w:val="10"/>
          <w:sz w:val="21"/>
          <w:szCs w:val="21"/>
          <w:lang w:val="zh-CN"/>
        </w:rPr>
        <w:t>mg/kg</w:t>
      </w:r>
      <w:r>
        <w:rPr>
          <w:rFonts w:eastAsia="黑体" w:cs="Times New Roman"/>
          <w:kern w:val="10"/>
          <w:sz w:val="21"/>
          <w:szCs w:val="21"/>
          <w:lang w:val="zh-CN"/>
        </w:rPr>
        <w:t>（</w:t>
      </w:r>
      <w:r>
        <w:rPr>
          <w:rFonts w:eastAsia="黑体" w:cs="Times New Roman"/>
          <w:kern w:val="10"/>
          <w:sz w:val="21"/>
          <w:szCs w:val="21"/>
        </w:rPr>
        <w:t>pH</w:t>
      </w:r>
      <w:r>
        <w:rPr>
          <w:rFonts w:eastAsia="黑体" w:cs="Times New Roman"/>
          <w:kern w:val="10"/>
          <w:sz w:val="21"/>
          <w:szCs w:val="21"/>
        </w:rPr>
        <w:t>无量纲</w:t>
      </w:r>
      <w:r>
        <w:rPr>
          <w:rFonts w:eastAsia="黑体" w:cs="Times New Roman"/>
          <w:kern w:val="10"/>
          <w:sz w:val="21"/>
          <w:szCs w:val="21"/>
          <w:lang w:val="zh-CN"/>
        </w:rPr>
        <w:t>）</w:t>
      </w: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016"/>
        <w:gridCol w:w="1061"/>
        <w:gridCol w:w="1061"/>
        <w:gridCol w:w="1064"/>
        <w:gridCol w:w="1061"/>
        <w:gridCol w:w="1061"/>
        <w:gridCol w:w="1064"/>
      </w:tblGrid>
      <w:tr w:rsidR="00C645C9">
        <w:trPr>
          <w:trHeight w:val="916"/>
          <w:jc w:val="center"/>
        </w:trPr>
        <w:tc>
          <w:tcPr>
            <w:tcW w:w="652"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检测</w:t>
            </w:r>
          </w:p>
          <w:p w:rsidR="00C645C9" w:rsidRDefault="00F955D9">
            <w:pPr>
              <w:adjustRightInd w:val="0"/>
              <w:snapToGrid w:val="0"/>
              <w:jc w:val="center"/>
              <w:rPr>
                <w:rFonts w:cs="Times New Roman"/>
                <w:sz w:val="21"/>
                <w:szCs w:val="21"/>
              </w:rPr>
            </w:pPr>
            <w:r>
              <w:rPr>
                <w:rFonts w:cs="Times New Roman"/>
                <w:sz w:val="21"/>
                <w:szCs w:val="21"/>
              </w:rPr>
              <w:t>项目</w:t>
            </w:r>
          </w:p>
        </w:tc>
        <w:tc>
          <w:tcPr>
            <w:tcW w:w="41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1309" w:type="pct"/>
            <w:gridSpan w:val="3"/>
            <w:tcBorders>
              <w:top w:val="single" w:sz="4" w:space="0" w:color="auto"/>
              <w:left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TW1</w:t>
            </w:r>
            <w:r>
              <w:rPr>
                <w:rFonts w:cs="Times New Roman" w:hint="eastAsia"/>
                <w:sz w:val="21"/>
                <w:szCs w:val="21"/>
              </w:rPr>
              <w:t xml:space="preserve"> </w:t>
            </w:r>
            <w:r>
              <w:rPr>
                <w:rFonts w:cs="Times New Roman"/>
                <w:sz w:val="21"/>
                <w:szCs w:val="21"/>
              </w:rPr>
              <w:t>新北</w:t>
            </w:r>
            <w:r>
              <w:rPr>
                <w:rFonts w:cs="Times New Roman"/>
                <w:sz w:val="21"/>
                <w:szCs w:val="21"/>
              </w:rPr>
              <w:t>1X</w:t>
            </w:r>
            <w:r>
              <w:rPr>
                <w:rFonts w:cs="Times New Roman"/>
                <w:sz w:val="21"/>
                <w:szCs w:val="21"/>
              </w:rPr>
              <w:t>井井场东侧外</w:t>
            </w:r>
            <w:r>
              <w:rPr>
                <w:rFonts w:cs="Times New Roman"/>
                <w:sz w:val="21"/>
                <w:szCs w:val="21"/>
              </w:rPr>
              <w:t>50m</w:t>
            </w:r>
          </w:p>
        </w:tc>
        <w:tc>
          <w:tcPr>
            <w:tcW w:w="1309" w:type="pct"/>
            <w:gridSpan w:val="3"/>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TW2</w:t>
            </w:r>
            <w:r>
              <w:rPr>
                <w:rFonts w:cs="Times New Roman" w:hint="eastAsia"/>
                <w:sz w:val="21"/>
                <w:szCs w:val="21"/>
              </w:rPr>
              <w:t xml:space="preserve"> </w:t>
            </w:r>
            <w:r>
              <w:rPr>
                <w:rFonts w:cs="Times New Roman"/>
                <w:sz w:val="21"/>
                <w:szCs w:val="21"/>
              </w:rPr>
              <w:t>新北</w:t>
            </w:r>
            <w:r>
              <w:rPr>
                <w:rFonts w:cs="Times New Roman"/>
                <w:sz w:val="21"/>
                <w:szCs w:val="21"/>
              </w:rPr>
              <w:t>1X</w:t>
            </w:r>
            <w:r>
              <w:rPr>
                <w:rFonts w:cs="Times New Roman"/>
                <w:sz w:val="21"/>
                <w:szCs w:val="21"/>
              </w:rPr>
              <w:t>井井场南侧外</w:t>
            </w:r>
            <w:r>
              <w:rPr>
                <w:rFonts w:cs="Times New Roman"/>
                <w:sz w:val="21"/>
                <w:szCs w:val="21"/>
              </w:rPr>
              <w:t>50m</w:t>
            </w:r>
          </w:p>
        </w:tc>
      </w:tr>
      <w:tr w:rsidR="00C645C9">
        <w:trPr>
          <w:trHeight w:val="171"/>
          <w:jc w:val="center"/>
        </w:trPr>
        <w:tc>
          <w:tcPr>
            <w:tcW w:w="652"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1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1309" w:type="pct"/>
            <w:gridSpan w:val="3"/>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bookmarkStart w:id="1377" w:name="OLE_LINK1298"/>
            <w:r>
              <w:rPr>
                <w:rFonts w:cs="Times New Roman"/>
                <w:sz w:val="21"/>
                <w:szCs w:val="21"/>
              </w:rPr>
              <w:t>0</w:t>
            </w:r>
            <w:r>
              <w:rPr>
                <w:rFonts w:cs="Times New Roman" w:hint="eastAsia"/>
                <w:sz w:val="21"/>
                <w:szCs w:val="21"/>
              </w:rPr>
              <w:t>~</w:t>
            </w:r>
            <w:r>
              <w:rPr>
                <w:rFonts w:cs="Times New Roman"/>
                <w:sz w:val="21"/>
                <w:szCs w:val="21"/>
              </w:rPr>
              <w:t>20cm</w:t>
            </w:r>
            <w:bookmarkEnd w:id="1377"/>
          </w:p>
        </w:tc>
        <w:tc>
          <w:tcPr>
            <w:tcW w:w="1309"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r>
      <w:tr w:rsidR="00C645C9">
        <w:trPr>
          <w:trHeight w:val="171"/>
          <w:jc w:val="center"/>
        </w:trPr>
        <w:tc>
          <w:tcPr>
            <w:tcW w:w="652"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1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78" w:name="OLE_LINK588" w:colFirst="3" w:colLast="3"/>
            <w:r>
              <w:rPr>
                <w:rFonts w:cs="Times New Roman"/>
                <w:sz w:val="21"/>
                <w:szCs w:val="21"/>
              </w:rPr>
              <w:t>pH</w:t>
            </w:r>
            <w:r>
              <w:rPr>
                <w:rFonts w:cs="Times New Roman"/>
                <w:sz w:val="21"/>
                <w:szCs w:val="21"/>
              </w:rPr>
              <w:t>（无量纲）</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4500</w:t>
            </w:r>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78"/>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456"/>
          <w:jc w:val="center"/>
        </w:trPr>
        <w:tc>
          <w:tcPr>
            <w:tcW w:w="652"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检测</w:t>
            </w:r>
          </w:p>
          <w:p w:rsidR="00C645C9" w:rsidRDefault="00F955D9">
            <w:pPr>
              <w:adjustRightInd w:val="0"/>
              <w:snapToGrid w:val="0"/>
              <w:jc w:val="center"/>
              <w:rPr>
                <w:rFonts w:cs="Times New Roman"/>
                <w:sz w:val="21"/>
                <w:szCs w:val="21"/>
              </w:rPr>
            </w:pPr>
            <w:r>
              <w:rPr>
                <w:rFonts w:cs="Times New Roman"/>
                <w:sz w:val="21"/>
                <w:szCs w:val="21"/>
              </w:rPr>
              <w:t>项目</w:t>
            </w:r>
          </w:p>
        </w:tc>
        <w:tc>
          <w:tcPr>
            <w:tcW w:w="417" w:type="pct"/>
            <w:vMerge w:val="restart"/>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筛选值</w:t>
            </w:r>
            <w:r>
              <w:rPr>
                <w:rFonts w:cs="Times New Roman"/>
                <w:sz w:val="21"/>
                <w:szCs w:val="21"/>
              </w:rPr>
              <w:t>（</w:t>
            </w:r>
            <w:r>
              <w:rPr>
                <w:rFonts w:cs="Times New Roman"/>
                <w:sz w:val="21"/>
                <w:szCs w:val="21"/>
              </w:rPr>
              <w:t>第二类用地</w:t>
            </w:r>
            <w:r>
              <w:rPr>
                <w:rFonts w:cs="Times New Roman"/>
                <w:sz w:val="21"/>
                <w:szCs w:val="21"/>
              </w:rPr>
              <w:t>）</w:t>
            </w:r>
          </w:p>
        </w:tc>
        <w:tc>
          <w:tcPr>
            <w:tcW w:w="1309" w:type="pct"/>
            <w:gridSpan w:val="3"/>
            <w:tcBorders>
              <w:top w:val="single" w:sz="4" w:space="0" w:color="auto"/>
              <w:left w:val="single" w:sz="4" w:space="0" w:color="auto"/>
              <w:right w:val="single" w:sz="4" w:space="0" w:color="auto"/>
            </w:tcBorders>
            <w:noWrap/>
            <w:vAlign w:val="center"/>
          </w:tcPr>
          <w:p w:rsidR="00C645C9" w:rsidRDefault="00F955D9">
            <w:pPr>
              <w:pStyle w:val="affff1"/>
              <w:snapToGrid w:val="0"/>
              <w:rPr>
                <w:rFonts w:cs="Times New Roman"/>
                <w:szCs w:val="21"/>
              </w:rPr>
            </w:pPr>
            <w:r>
              <w:rPr>
                <w:rFonts w:cs="Times New Roman"/>
                <w:szCs w:val="21"/>
              </w:rPr>
              <w:t>TW3</w:t>
            </w:r>
            <w:r>
              <w:rPr>
                <w:rFonts w:cs="Times New Roman" w:hint="eastAsia"/>
                <w:szCs w:val="21"/>
              </w:rPr>
              <w:t xml:space="preserve"> </w:t>
            </w:r>
            <w:r>
              <w:rPr>
                <w:rFonts w:cs="Times New Roman"/>
                <w:szCs w:val="21"/>
              </w:rPr>
              <w:t>新北</w:t>
            </w:r>
            <w:r>
              <w:rPr>
                <w:rFonts w:cs="Times New Roman"/>
                <w:szCs w:val="21"/>
              </w:rPr>
              <w:t>1X</w:t>
            </w:r>
            <w:r>
              <w:rPr>
                <w:rFonts w:cs="Times New Roman"/>
                <w:szCs w:val="21"/>
              </w:rPr>
              <w:t>井井场西侧外</w:t>
            </w:r>
            <w:r>
              <w:rPr>
                <w:rFonts w:cs="Times New Roman"/>
                <w:szCs w:val="21"/>
              </w:rPr>
              <w:t>50m</w:t>
            </w:r>
          </w:p>
        </w:tc>
        <w:tc>
          <w:tcPr>
            <w:tcW w:w="1309" w:type="pct"/>
            <w:gridSpan w:val="3"/>
            <w:tcBorders>
              <w:top w:val="single" w:sz="4" w:space="0" w:color="auto"/>
              <w:left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TW4</w:t>
            </w:r>
            <w:r>
              <w:rPr>
                <w:rFonts w:cs="Times New Roman"/>
                <w:sz w:val="21"/>
                <w:szCs w:val="21"/>
              </w:rPr>
              <w:t>新北</w:t>
            </w:r>
            <w:r>
              <w:rPr>
                <w:rFonts w:cs="Times New Roman"/>
                <w:sz w:val="21"/>
                <w:szCs w:val="21"/>
              </w:rPr>
              <w:t>1X</w:t>
            </w:r>
            <w:r>
              <w:rPr>
                <w:rFonts w:cs="Times New Roman"/>
                <w:sz w:val="21"/>
                <w:szCs w:val="21"/>
              </w:rPr>
              <w:t>井井场北侧外</w:t>
            </w:r>
            <w:r>
              <w:rPr>
                <w:rFonts w:cs="Times New Roman"/>
                <w:sz w:val="21"/>
                <w:szCs w:val="21"/>
              </w:rPr>
              <w:t>50m</w:t>
            </w:r>
          </w:p>
        </w:tc>
      </w:tr>
      <w:tr w:rsidR="00C645C9">
        <w:trPr>
          <w:trHeight w:val="171"/>
          <w:jc w:val="center"/>
        </w:trPr>
        <w:tc>
          <w:tcPr>
            <w:tcW w:w="652"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17" w:type="pct"/>
            <w:vMerge/>
            <w:tcBorders>
              <w:left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1309" w:type="pct"/>
            <w:gridSpan w:val="3"/>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0</w:t>
            </w:r>
            <w:r>
              <w:rPr>
                <w:rFonts w:cs="Times New Roman" w:hint="eastAsia"/>
                <w:sz w:val="21"/>
                <w:szCs w:val="21"/>
              </w:rPr>
              <w:t>~</w:t>
            </w:r>
            <w:r>
              <w:rPr>
                <w:rFonts w:cs="Times New Roman"/>
                <w:sz w:val="21"/>
                <w:szCs w:val="21"/>
              </w:rPr>
              <w:t>20cm</w:t>
            </w:r>
          </w:p>
        </w:tc>
      </w:tr>
      <w:tr w:rsidR="00C645C9">
        <w:trPr>
          <w:trHeight w:val="171"/>
          <w:jc w:val="center"/>
        </w:trPr>
        <w:tc>
          <w:tcPr>
            <w:tcW w:w="652"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17" w:type="pct"/>
            <w:vMerge/>
            <w:tcBorders>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z w:val="21"/>
                <w:szCs w:val="21"/>
              </w:rPr>
            </w:pP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监测数据</w:t>
            </w: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Pi</w:t>
            </w:r>
          </w:p>
        </w:tc>
        <w:tc>
          <w:tcPr>
            <w:tcW w:w="436" w:type="pct"/>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sz w:val="21"/>
                <w:szCs w:val="21"/>
              </w:rPr>
              <w:t>达标情况</w:t>
            </w:r>
          </w:p>
        </w:tc>
      </w:tr>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79" w:name="OLE_LINK590" w:colFirst="3" w:colLast="3"/>
            <w:r>
              <w:rPr>
                <w:rFonts w:cs="Times New Roman"/>
                <w:sz w:val="21"/>
                <w:szCs w:val="21"/>
              </w:rPr>
              <w:t>pH</w:t>
            </w:r>
            <w:r>
              <w:rPr>
                <w:rFonts w:cs="Times New Roman"/>
                <w:sz w:val="21"/>
                <w:szCs w:val="21"/>
              </w:rPr>
              <w:t>（无量纲）</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石油烃</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bookmarkStart w:id="1380" w:name="OLE_LINK1032"/>
            <w:r>
              <w:rPr>
                <w:rFonts w:cs="Times New Roman"/>
                <w:sz w:val="21"/>
                <w:szCs w:val="21"/>
              </w:rPr>
              <w:t>4500</w:t>
            </w:r>
            <w:bookmarkEnd w:id="1380"/>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79"/>
      <w:tr w:rsidR="00C645C9">
        <w:trPr>
          <w:trHeight w:val="20"/>
          <w:jc w:val="center"/>
        </w:trPr>
        <w:tc>
          <w:tcPr>
            <w:tcW w:w="652"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含盐量</w:t>
            </w:r>
            <w:r>
              <w:rPr>
                <w:rFonts w:cs="Times New Roman"/>
                <w:sz w:val="21"/>
                <w:szCs w:val="21"/>
              </w:rPr>
              <w:t>（</w:t>
            </w:r>
            <w:r>
              <w:rPr>
                <w:rFonts w:cs="Times New Roman"/>
                <w:sz w:val="21"/>
                <w:szCs w:val="21"/>
              </w:rPr>
              <w:t>g/kg</w:t>
            </w:r>
            <w:r>
              <w:rPr>
                <w:rFonts w:cs="Times New Roman"/>
                <w:sz w:val="21"/>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1061" w:type="dxa"/>
            <w:tcBorders>
              <w:top w:val="single" w:sz="4" w:space="0" w:color="auto"/>
              <w:left w:val="single" w:sz="4" w:space="0" w:color="auto"/>
              <w:bottom w:val="single" w:sz="4" w:space="0" w:color="auto"/>
              <w:right w:val="single" w:sz="4" w:space="0" w:color="auto"/>
            </w:tcBorders>
            <w:noWrap/>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061" w:type="dxa"/>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436" w:type="pc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bookmarkEnd w:id="1347"/>
    </w:tbl>
    <w:p w:rsidR="00C645C9" w:rsidRDefault="00C645C9">
      <w:pPr>
        <w:pStyle w:val="11"/>
        <w:rPr>
          <w:lang w:val="zh-CN"/>
        </w:rPr>
        <w:sectPr w:rsidR="00C645C9">
          <w:pgSz w:w="11906" w:h="16838"/>
          <w:pgMar w:top="1440" w:right="1800" w:bottom="1440" w:left="1800" w:header="851" w:footer="992" w:gutter="0"/>
          <w:cols w:space="425"/>
          <w:docGrid w:type="lines" w:linePitch="312"/>
        </w:sectPr>
      </w:pPr>
    </w:p>
    <w:p w:rsidR="00C645C9" w:rsidRDefault="00F955D9">
      <w:pPr>
        <w:widowControl w:val="0"/>
        <w:adjustRightInd w:val="0"/>
        <w:snapToGrid w:val="0"/>
        <w:spacing w:line="360" w:lineRule="auto"/>
        <w:ind w:firstLineChars="200" w:firstLine="480"/>
        <w:rPr>
          <w:lang w:val="zh-CN"/>
        </w:rPr>
      </w:pPr>
      <w:r>
        <w:lastRenderedPageBreak/>
        <w:t>（</w:t>
      </w:r>
      <w:r>
        <w:rPr>
          <w:rFonts w:hint="eastAsia"/>
        </w:rPr>
        <w:t>4</w:t>
      </w:r>
      <w:r>
        <w:t>）</w:t>
      </w:r>
      <w:r>
        <w:rPr>
          <w:rFonts w:cs="Times New Roman"/>
        </w:rPr>
        <w:t>土壤酸化和盐化现状</w:t>
      </w:r>
    </w:p>
    <w:p w:rsidR="00C645C9" w:rsidRDefault="00F955D9">
      <w:pPr>
        <w:widowControl w:val="0"/>
        <w:adjustRightInd w:val="0"/>
        <w:snapToGrid w:val="0"/>
        <w:spacing w:line="360" w:lineRule="auto"/>
        <w:ind w:firstLineChars="200" w:firstLine="480"/>
        <w:rPr>
          <w:rFonts w:cs="Times New Roman"/>
        </w:rPr>
      </w:pPr>
      <w:r>
        <w:rPr>
          <w:rFonts w:cs="Times New Roman"/>
          <w:kern w:val="2"/>
          <w:szCs w:val="21"/>
        </w:rPr>
        <w:t>对照《环境影响评价技术导则</w:t>
      </w:r>
      <w:r>
        <w:rPr>
          <w:rFonts w:cs="Times New Roman" w:hint="eastAsia"/>
          <w:kern w:val="2"/>
          <w:szCs w:val="21"/>
        </w:rPr>
        <w:t xml:space="preserve"> </w:t>
      </w:r>
      <w:r>
        <w:rPr>
          <w:rFonts w:cs="Times New Roman"/>
          <w:kern w:val="2"/>
          <w:szCs w:val="21"/>
        </w:rPr>
        <w:t>土壤环境（试行）》（</w:t>
      </w:r>
      <w:r>
        <w:rPr>
          <w:rFonts w:cs="Times New Roman"/>
          <w:kern w:val="2"/>
          <w:szCs w:val="21"/>
        </w:rPr>
        <w:t>HJ964-2018</w:t>
      </w:r>
      <w:r>
        <w:rPr>
          <w:rFonts w:cs="Times New Roman"/>
          <w:kern w:val="2"/>
          <w:szCs w:val="21"/>
        </w:rPr>
        <w:t>）附录</w:t>
      </w:r>
      <w:r>
        <w:rPr>
          <w:rFonts w:cs="Times New Roman"/>
          <w:kern w:val="2"/>
          <w:szCs w:val="21"/>
        </w:rPr>
        <w:t>D</w:t>
      </w:r>
      <w:r>
        <w:rPr>
          <w:rFonts w:cs="Times New Roman"/>
          <w:kern w:val="2"/>
          <w:szCs w:val="21"/>
        </w:rPr>
        <w:t>，土壤盐化分级标准见表</w:t>
      </w:r>
      <w:r>
        <w:rPr>
          <w:rFonts w:cs="Times New Roman"/>
          <w:kern w:val="2"/>
          <w:szCs w:val="21"/>
        </w:rPr>
        <w:t>4.5-</w:t>
      </w:r>
      <w:r>
        <w:rPr>
          <w:rFonts w:cs="Times New Roman" w:hint="eastAsia"/>
          <w:kern w:val="2"/>
          <w:szCs w:val="21"/>
        </w:rPr>
        <w:t>8</w:t>
      </w:r>
      <w:r>
        <w:rPr>
          <w:rFonts w:cs="Times New Roman"/>
          <w:kern w:val="2"/>
          <w:szCs w:val="21"/>
        </w:rPr>
        <w:t>，土壤酸化、碱化分级标准见表</w:t>
      </w:r>
      <w:r>
        <w:rPr>
          <w:rFonts w:cs="Times New Roman"/>
          <w:kern w:val="2"/>
          <w:szCs w:val="21"/>
        </w:rPr>
        <w:t>4.5-</w:t>
      </w:r>
      <w:r>
        <w:rPr>
          <w:rFonts w:cs="Times New Roman" w:hint="eastAsia"/>
          <w:kern w:val="2"/>
          <w:szCs w:val="21"/>
        </w:rPr>
        <w:t>9</w:t>
      </w:r>
      <w:r>
        <w:rPr>
          <w:rFonts w:cs="Times New Roman"/>
          <w:kern w:val="2"/>
          <w:szCs w:val="21"/>
        </w:rPr>
        <w:t>。</w:t>
      </w:r>
      <w:r>
        <w:rPr>
          <w:rFonts w:cs="Times New Roman" w:hint="eastAsia"/>
          <w:kern w:val="2"/>
          <w:szCs w:val="21"/>
        </w:rPr>
        <w:t>本工程</w:t>
      </w:r>
      <w:r>
        <w:rPr>
          <w:rFonts w:cs="Times New Roman"/>
          <w:kern w:val="2"/>
          <w:szCs w:val="21"/>
        </w:rPr>
        <w:t>属于干旱、半荒漠和荒漠地区，</w:t>
      </w:r>
      <w:r>
        <w:rPr>
          <w:rFonts w:cs="Times New Roman" w:hint="eastAsia"/>
          <w:kern w:val="2"/>
          <w:szCs w:val="21"/>
        </w:rPr>
        <w:t>本工程</w:t>
      </w:r>
      <w:r>
        <w:rPr>
          <w:rFonts w:cs="Times New Roman"/>
          <w:kern w:val="2"/>
          <w:szCs w:val="21"/>
        </w:rPr>
        <w:t>所在区域土壤盐化、酸化碱化现状见表</w:t>
      </w:r>
      <w:r>
        <w:rPr>
          <w:rFonts w:cs="Times New Roman"/>
          <w:kern w:val="2"/>
          <w:szCs w:val="21"/>
        </w:rPr>
        <w:t>4.5-1</w:t>
      </w:r>
      <w:r>
        <w:rPr>
          <w:rFonts w:cs="Times New Roman" w:hint="eastAsia"/>
          <w:kern w:val="2"/>
          <w:szCs w:val="21"/>
        </w:rPr>
        <w:t>0</w:t>
      </w:r>
      <w:r>
        <w:rPr>
          <w:rFonts w:cs="Times New Roman"/>
          <w:kern w:val="2"/>
          <w:szCs w:val="21"/>
        </w:rPr>
        <w:t>。</w:t>
      </w:r>
    </w:p>
    <w:p w:rsidR="00C645C9" w:rsidRDefault="00F955D9">
      <w:pPr>
        <w:widowControl w:val="0"/>
        <w:jc w:val="center"/>
        <w:rPr>
          <w:rFonts w:eastAsia="黑体" w:cs="Times New Roman"/>
          <w:bCs/>
          <w:kern w:val="2"/>
          <w:sz w:val="21"/>
          <w:szCs w:val="21"/>
        </w:rPr>
      </w:pPr>
      <w:r>
        <w:rPr>
          <w:rFonts w:eastAsia="黑体" w:cs="Times New Roman"/>
          <w:bCs/>
          <w:kern w:val="2"/>
          <w:sz w:val="21"/>
          <w:szCs w:val="21"/>
        </w:rPr>
        <w:t>表</w:t>
      </w:r>
      <w:r>
        <w:rPr>
          <w:rFonts w:eastAsia="黑体" w:cs="Times New Roman"/>
          <w:bCs/>
          <w:kern w:val="2"/>
          <w:sz w:val="21"/>
          <w:szCs w:val="21"/>
        </w:rPr>
        <w:t>4.5-</w:t>
      </w:r>
      <w:r>
        <w:rPr>
          <w:rFonts w:eastAsia="黑体" w:cs="Times New Roman" w:hint="eastAsia"/>
          <w:bCs/>
          <w:kern w:val="2"/>
          <w:sz w:val="21"/>
          <w:szCs w:val="21"/>
        </w:rPr>
        <w:t>8</w:t>
      </w:r>
      <w:r>
        <w:rPr>
          <w:rFonts w:eastAsia="黑体" w:cs="Times New Roman"/>
          <w:bCs/>
          <w:kern w:val="2"/>
          <w:sz w:val="21"/>
          <w:szCs w:val="21"/>
        </w:rPr>
        <w:t xml:space="preserve">   </w:t>
      </w:r>
      <w:r>
        <w:rPr>
          <w:rFonts w:eastAsia="黑体" w:cs="Times New Roman"/>
          <w:bCs/>
          <w:kern w:val="2"/>
          <w:sz w:val="21"/>
          <w:szCs w:val="21"/>
        </w:rPr>
        <w:t>土壤盐化分级标准</w:t>
      </w:r>
    </w:p>
    <w:tbl>
      <w:tblPr>
        <w:tblStyle w:val="TableNormal"/>
        <w:tblW w:w="8301"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67"/>
        <w:gridCol w:w="2767"/>
        <w:gridCol w:w="2767"/>
      </w:tblGrid>
      <w:tr w:rsidR="00C645C9">
        <w:trPr>
          <w:trHeight w:hRule="exact" w:val="340"/>
        </w:trPr>
        <w:tc>
          <w:tcPr>
            <w:tcW w:w="2767" w:type="dxa"/>
            <w:vMerge w:val="restart"/>
            <w:tcBorders>
              <w:bottom w:val="nil"/>
            </w:tcBorders>
          </w:tcPr>
          <w:p w:rsidR="00C645C9" w:rsidRDefault="00F955D9">
            <w:pPr>
              <w:widowControl w:val="0"/>
              <w:spacing w:before="177" w:line="220" w:lineRule="auto"/>
              <w:jc w:val="center"/>
              <w:rPr>
                <w:rFonts w:cs="Times New Roman"/>
                <w:kern w:val="2"/>
                <w:sz w:val="21"/>
                <w:szCs w:val="21"/>
                <w:lang w:eastAsia="en-US"/>
              </w:rPr>
            </w:pPr>
            <w:r>
              <w:rPr>
                <w:rFonts w:cs="Times New Roman"/>
                <w:spacing w:val="-3"/>
                <w:kern w:val="2"/>
                <w:sz w:val="21"/>
                <w:szCs w:val="21"/>
                <w:lang w:eastAsia="en-US"/>
              </w:rPr>
              <w:t>分级</w:t>
            </w:r>
          </w:p>
        </w:tc>
        <w:tc>
          <w:tcPr>
            <w:tcW w:w="5534" w:type="dxa"/>
            <w:gridSpan w:val="2"/>
          </w:tcPr>
          <w:p w:rsidR="00C645C9" w:rsidRDefault="00F955D9">
            <w:pPr>
              <w:widowControl w:val="0"/>
              <w:spacing w:before="35" w:line="207" w:lineRule="auto"/>
              <w:ind w:firstLineChars="200" w:firstLine="416"/>
              <w:jc w:val="center"/>
              <w:rPr>
                <w:rFonts w:cs="Times New Roman"/>
                <w:kern w:val="2"/>
                <w:sz w:val="21"/>
                <w:szCs w:val="21"/>
              </w:rPr>
            </w:pPr>
            <w:r>
              <w:rPr>
                <w:rFonts w:cs="Times New Roman"/>
                <w:spacing w:val="-1"/>
                <w:kern w:val="2"/>
                <w:sz w:val="21"/>
                <w:szCs w:val="21"/>
                <w:lang w:eastAsia="en-US"/>
              </w:rPr>
              <w:t>土壤含盐量</w:t>
            </w:r>
            <w:r>
              <w:rPr>
                <w:rFonts w:cs="Times New Roman"/>
                <w:spacing w:val="-1"/>
                <w:kern w:val="2"/>
                <w:sz w:val="21"/>
                <w:szCs w:val="21"/>
              </w:rPr>
              <w:t>（</w:t>
            </w:r>
            <w:r>
              <w:rPr>
                <w:rFonts w:eastAsia="Times New Roman" w:cs="Times New Roman"/>
                <w:spacing w:val="-1"/>
                <w:kern w:val="2"/>
                <w:sz w:val="21"/>
                <w:szCs w:val="21"/>
                <w:lang w:eastAsia="en-US"/>
              </w:rPr>
              <w:t>SSC</w:t>
            </w:r>
            <w:r>
              <w:rPr>
                <w:rFonts w:cs="Times New Roman"/>
                <w:spacing w:val="-1"/>
                <w:kern w:val="2"/>
                <w:sz w:val="21"/>
                <w:szCs w:val="21"/>
              </w:rPr>
              <w:t>）</w:t>
            </w:r>
            <w:r>
              <w:rPr>
                <w:rFonts w:eastAsia="Times New Roman" w:cs="Times New Roman"/>
                <w:spacing w:val="-1"/>
                <w:kern w:val="2"/>
                <w:sz w:val="21"/>
                <w:szCs w:val="21"/>
                <w:lang w:eastAsia="en-US"/>
              </w:rPr>
              <w:t>/</w:t>
            </w:r>
            <w:r>
              <w:rPr>
                <w:rFonts w:cs="Times New Roman"/>
                <w:spacing w:val="-1"/>
                <w:kern w:val="2"/>
                <w:sz w:val="21"/>
                <w:szCs w:val="21"/>
              </w:rPr>
              <w:t>（</w:t>
            </w:r>
            <w:r>
              <w:rPr>
                <w:rFonts w:eastAsia="Times New Roman" w:cs="Times New Roman"/>
                <w:spacing w:val="-1"/>
                <w:kern w:val="2"/>
                <w:sz w:val="21"/>
                <w:szCs w:val="21"/>
                <w:lang w:eastAsia="en-US"/>
              </w:rPr>
              <w:t>g/kg</w:t>
            </w:r>
            <w:r>
              <w:rPr>
                <w:rFonts w:cs="Times New Roman"/>
                <w:spacing w:val="-1"/>
                <w:kern w:val="2"/>
                <w:sz w:val="21"/>
                <w:szCs w:val="21"/>
              </w:rPr>
              <w:t>）</w:t>
            </w:r>
          </w:p>
        </w:tc>
      </w:tr>
      <w:tr w:rsidR="00C645C9">
        <w:trPr>
          <w:trHeight w:hRule="exact" w:val="340"/>
        </w:trPr>
        <w:tc>
          <w:tcPr>
            <w:tcW w:w="2767" w:type="dxa"/>
            <w:vMerge/>
            <w:tcBorders>
              <w:top w:val="nil"/>
            </w:tcBorders>
          </w:tcPr>
          <w:p w:rsidR="00C645C9" w:rsidRDefault="00C645C9">
            <w:pPr>
              <w:jc w:val="center"/>
              <w:rPr>
                <w:rFonts w:cs="Times New Roman"/>
                <w:sz w:val="21"/>
                <w:szCs w:val="21"/>
              </w:rPr>
            </w:pPr>
          </w:p>
        </w:tc>
        <w:tc>
          <w:tcPr>
            <w:tcW w:w="2767" w:type="dxa"/>
          </w:tcPr>
          <w:p w:rsidR="00C645C9" w:rsidRDefault="00F955D9">
            <w:pPr>
              <w:widowControl w:val="0"/>
              <w:spacing w:before="32" w:line="206" w:lineRule="auto"/>
              <w:jc w:val="center"/>
              <w:rPr>
                <w:rFonts w:cs="Times New Roman"/>
                <w:kern w:val="2"/>
                <w:sz w:val="21"/>
                <w:szCs w:val="21"/>
              </w:rPr>
            </w:pPr>
            <w:r>
              <w:rPr>
                <w:rFonts w:cs="Times New Roman"/>
                <w:spacing w:val="-1"/>
                <w:kern w:val="2"/>
                <w:sz w:val="21"/>
                <w:szCs w:val="21"/>
              </w:rPr>
              <w:t>滨海、半湿润和半干旱地区</w:t>
            </w:r>
          </w:p>
        </w:tc>
        <w:tc>
          <w:tcPr>
            <w:tcW w:w="2767" w:type="dxa"/>
          </w:tcPr>
          <w:p w:rsidR="00C645C9" w:rsidRDefault="00F955D9">
            <w:pPr>
              <w:widowControl w:val="0"/>
              <w:spacing w:before="32" w:line="206" w:lineRule="auto"/>
              <w:jc w:val="center"/>
              <w:rPr>
                <w:rFonts w:cs="Times New Roman"/>
                <w:kern w:val="2"/>
                <w:sz w:val="21"/>
                <w:szCs w:val="21"/>
              </w:rPr>
            </w:pPr>
            <w:r>
              <w:rPr>
                <w:rFonts w:cs="Times New Roman"/>
                <w:spacing w:val="-1"/>
                <w:kern w:val="2"/>
                <w:sz w:val="21"/>
                <w:szCs w:val="21"/>
              </w:rPr>
              <w:t>干旱、半荒漠和荒漠地区</w:t>
            </w:r>
          </w:p>
        </w:tc>
      </w:tr>
      <w:tr w:rsidR="00C645C9">
        <w:trPr>
          <w:trHeight w:hRule="exact" w:val="340"/>
        </w:trPr>
        <w:tc>
          <w:tcPr>
            <w:tcW w:w="2767" w:type="dxa"/>
          </w:tcPr>
          <w:p w:rsidR="00C645C9" w:rsidRDefault="00F955D9">
            <w:pPr>
              <w:widowControl w:val="0"/>
              <w:spacing w:before="32" w:line="205" w:lineRule="auto"/>
              <w:jc w:val="center"/>
              <w:rPr>
                <w:rFonts w:cs="Times New Roman"/>
                <w:kern w:val="2"/>
                <w:sz w:val="21"/>
                <w:szCs w:val="21"/>
                <w:lang w:eastAsia="en-US"/>
              </w:rPr>
            </w:pPr>
            <w:r>
              <w:rPr>
                <w:rFonts w:cs="Times New Roman"/>
                <w:spacing w:val="-3"/>
                <w:kern w:val="2"/>
                <w:sz w:val="21"/>
                <w:szCs w:val="21"/>
                <w:lang w:eastAsia="en-US"/>
              </w:rPr>
              <w:t>未盐化</w:t>
            </w:r>
          </w:p>
        </w:tc>
        <w:tc>
          <w:tcPr>
            <w:tcW w:w="2767" w:type="dxa"/>
          </w:tcPr>
          <w:p w:rsidR="00C645C9" w:rsidRDefault="00F955D9">
            <w:pPr>
              <w:spacing w:before="67" w:line="188" w:lineRule="auto"/>
              <w:jc w:val="center"/>
              <w:rPr>
                <w:rFonts w:eastAsia="Times New Roman" w:cs="Times New Roman"/>
                <w:sz w:val="21"/>
                <w:szCs w:val="21"/>
              </w:rPr>
            </w:pPr>
            <w:r>
              <w:rPr>
                <w:rFonts w:eastAsia="Times New Roman" w:cs="Times New Roman"/>
                <w:spacing w:val="-3"/>
                <w:sz w:val="21"/>
                <w:szCs w:val="21"/>
              </w:rPr>
              <w:t>SSC&lt;1</w:t>
            </w:r>
          </w:p>
        </w:tc>
        <w:tc>
          <w:tcPr>
            <w:tcW w:w="2767" w:type="dxa"/>
          </w:tcPr>
          <w:p w:rsidR="00C645C9" w:rsidRDefault="00F955D9">
            <w:pPr>
              <w:spacing w:before="67" w:line="188" w:lineRule="auto"/>
              <w:jc w:val="center"/>
              <w:rPr>
                <w:rFonts w:eastAsia="Times New Roman" w:cs="Times New Roman"/>
                <w:sz w:val="21"/>
                <w:szCs w:val="21"/>
              </w:rPr>
            </w:pPr>
            <w:r>
              <w:rPr>
                <w:rFonts w:eastAsia="Times New Roman" w:cs="Times New Roman"/>
                <w:spacing w:val="-3"/>
                <w:sz w:val="21"/>
                <w:szCs w:val="21"/>
              </w:rPr>
              <w:t>SSC&lt;2</w:t>
            </w:r>
          </w:p>
        </w:tc>
      </w:tr>
      <w:tr w:rsidR="00C645C9">
        <w:trPr>
          <w:trHeight w:hRule="exact" w:val="340"/>
        </w:trPr>
        <w:tc>
          <w:tcPr>
            <w:tcW w:w="2767" w:type="dxa"/>
          </w:tcPr>
          <w:p w:rsidR="00C645C9" w:rsidRDefault="00F955D9">
            <w:pPr>
              <w:widowControl w:val="0"/>
              <w:spacing w:before="33" w:line="204" w:lineRule="auto"/>
              <w:jc w:val="center"/>
              <w:rPr>
                <w:rFonts w:cs="Times New Roman"/>
                <w:kern w:val="2"/>
                <w:sz w:val="21"/>
                <w:szCs w:val="21"/>
                <w:lang w:eastAsia="en-US"/>
              </w:rPr>
            </w:pPr>
            <w:r>
              <w:rPr>
                <w:rFonts w:cs="Times New Roman"/>
                <w:spacing w:val="-2"/>
                <w:kern w:val="2"/>
                <w:sz w:val="21"/>
                <w:szCs w:val="21"/>
                <w:lang w:eastAsia="en-US"/>
              </w:rPr>
              <w:t>轻度盐化</w:t>
            </w:r>
          </w:p>
        </w:tc>
        <w:tc>
          <w:tcPr>
            <w:tcW w:w="2767" w:type="dxa"/>
          </w:tcPr>
          <w:p w:rsidR="00C645C9" w:rsidRDefault="00F955D9">
            <w:pPr>
              <w:spacing w:before="68" w:line="188" w:lineRule="auto"/>
              <w:jc w:val="center"/>
              <w:rPr>
                <w:rFonts w:eastAsia="Times New Roman" w:cs="Times New Roman"/>
                <w:sz w:val="21"/>
                <w:szCs w:val="21"/>
              </w:rPr>
            </w:pPr>
            <w:r>
              <w:rPr>
                <w:rFonts w:eastAsia="Times New Roman" w:cs="Times New Roman"/>
                <w:spacing w:val="-4"/>
                <w:sz w:val="21"/>
                <w:szCs w:val="21"/>
              </w:rPr>
              <w:t>1≤SSC&lt;2</w:t>
            </w:r>
          </w:p>
        </w:tc>
        <w:tc>
          <w:tcPr>
            <w:tcW w:w="2767" w:type="dxa"/>
          </w:tcPr>
          <w:p w:rsidR="00C645C9" w:rsidRDefault="00F955D9">
            <w:pPr>
              <w:spacing w:before="68" w:line="188" w:lineRule="auto"/>
              <w:jc w:val="center"/>
              <w:rPr>
                <w:rFonts w:eastAsia="Times New Roman" w:cs="Times New Roman"/>
                <w:sz w:val="21"/>
                <w:szCs w:val="21"/>
              </w:rPr>
            </w:pPr>
            <w:r>
              <w:rPr>
                <w:rFonts w:eastAsia="Times New Roman" w:cs="Times New Roman"/>
                <w:spacing w:val="-1"/>
                <w:sz w:val="21"/>
                <w:szCs w:val="21"/>
              </w:rPr>
              <w:t>2≤SSC&lt;3</w:t>
            </w:r>
          </w:p>
        </w:tc>
      </w:tr>
      <w:tr w:rsidR="00C645C9">
        <w:trPr>
          <w:trHeight w:hRule="exact" w:val="340"/>
        </w:trPr>
        <w:tc>
          <w:tcPr>
            <w:tcW w:w="2767" w:type="dxa"/>
          </w:tcPr>
          <w:p w:rsidR="00C645C9" w:rsidRDefault="00F955D9">
            <w:pPr>
              <w:widowControl w:val="0"/>
              <w:spacing w:before="35" w:line="203" w:lineRule="auto"/>
              <w:jc w:val="center"/>
              <w:rPr>
                <w:rFonts w:cs="Times New Roman"/>
                <w:kern w:val="2"/>
                <w:sz w:val="21"/>
                <w:szCs w:val="21"/>
                <w:lang w:eastAsia="en-US"/>
              </w:rPr>
            </w:pPr>
            <w:bookmarkStart w:id="1381" w:name="OLE_LINK1041"/>
            <w:r>
              <w:rPr>
                <w:rFonts w:cs="Times New Roman"/>
                <w:spacing w:val="-6"/>
                <w:kern w:val="2"/>
                <w:sz w:val="21"/>
                <w:szCs w:val="21"/>
                <w:lang w:eastAsia="en-US"/>
              </w:rPr>
              <w:t>中度盐化</w:t>
            </w:r>
            <w:bookmarkEnd w:id="1381"/>
          </w:p>
        </w:tc>
        <w:tc>
          <w:tcPr>
            <w:tcW w:w="2767" w:type="dxa"/>
          </w:tcPr>
          <w:p w:rsidR="00C645C9" w:rsidRDefault="00F955D9">
            <w:pPr>
              <w:spacing w:before="69" w:line="188" w:lineRule="auto"/>
              <w:jc w:val="center"/>
              <w:rPr>
                <w:rFonts w:eastAsia="Times New Roman" w:cs="Times New Roman"/>
                <w:sz w:val="21"/>
                <w:szCs w:val="21"/>
              </w:rPr>
            </w:pPr>
            <w:r>
              <w:rPr>
                <w:rFonts w:eastAsia="Times New Roman" w:cs="Times New Roman"/>
                <w:spacing w:val="-1"/>
                <w:sz w:val="21"/>
                <w:szCs w:val="21"/>
              </w:rPr>
              <w:t>2≤SSC&lt;4</w:t>
            </w:r>
          </w:p>
        </w:tc>
        <w:tc>
          <w:tcPr>
            <w:tcW w:w="2767" w:type="dxa"/>
          </w:tcPr>
          <w:p w:rsidR="00C645C9" w:rsidRDefault="00F955D9">
            <w:pPr>
              <w:spacing w:before="69" w:line="188" w:lineRule="auto"/>
              <w:jc w:val="center"/>
              <w:rPr>
                <w:rFonts w:eastAsia="Times New Roman" w:cs="Times New Roman"/>
                <w:sz w:val="21"/>
                <w:szCs w:val="21"/>
              </w:rPr>
            </w:pPr>
            <w:r>
              <w:rPr>
                <w:rFonts w:eastAsia="Times New Roman" w:cs="Times New Roman"/>
                <w:spacing w:val="-2"/>
                <w:sz w:val="21"/>
                <w:szCs w:val="21"/>
              </w:rPr>
              <w:t>3≤SSC&lt;5</w:t>
            </w:r>
          </w:p>
        </w:tc>
      </w:tr>
      <w:tr w:rsidR="00C645C9">
        <w:trPr>
          <w:trHeight w:hRule="exact" w:val="340"/>
        </w:trPr>
        <w:tc>
          <w:tcPr>
            <w:tcW w:w="2767" w:type="dxa"/>
          </w:tcPr>
          <w:p w:rsidR="00C645C9" w:rsidRDefault="00F955D9">
            <w:pPr>
              <w:widowControl w:val="0"/>
              <w:spacing w:before="37" w:line="203" w:lineRule="auto"/>
              <w:jc w:val="center"/>
              <w:rPr>
                <w:rFonts w:cs="Times New Roman"/>
                <w:kern w:val="2"/>
                <w:sz w:val="21"/>
                <w:szCs w:val="21"/>
                <w:lang w:eastAsia="en-US"/>
              </w:rPr>
            </w:pPr>
            <w:bookmarkStart w:id="1382" w:name="OLE_LINK1039"/>
            <w:r>
              <w:rPr>
                <w:rFonts w:cs="Times New Roman"/>
                <w:spacing w:val="-2"/>
                <w:kern w:val="2"/>
                <w:sz w:val="21"/>
                <w:szCs w:val="21"/>
                <w:lang w:eastAsia="en-US"/>
              </w:rPr>
              <w:t>重度盐化</w:t>
            </w:r>
            <w:bookmarkEnd w:id="1382"/>
          </w:p>
        </w:tc>
        <w:tc>
          <w:tcPr>
            <w:tcW w:w="2767" w:type="dxa"/>
          </w:tcPr>
          <w:p w:rsidR="00C645C9" w:rsidRDefault="00F955D9">
            <w:pPr>
              <w:spacing w:before="72" w:line="188" w:lineRule="auto"/>
              <w:jc w:val="center"/>
              <w:rPr>
                <w:rFonts w:eastAsia="Times New Roman" w:cs="Times New Roman"/>
                <w:sz w:val="21"/>
                <w:szCs w:val="21"/>
              </w:rPr>
            </w:pPr>
            <w:r>
              <w:rPr>
                <w:rFonts w:eastAsia="Times New Roman" w:cs="Times New Roman"/>
                <w:spacing w:val="-1"/>
                <w:sz w:val="21"/>
                <w:szCs w:val="21"/>
              </w:rPr>
              <w:t>4≤SC&lt;6</w:t>
            </w:r>
          </w:p>
        </w:tc>
        <w:tc>
          <w:tcPr>
            <w:tcW w:w="2767" w:type="dxa"/>
          </w:tcPr>
          <w:p w:rsidR="00C645C9" w:rsidRDefault="00F955D9">
            <w:pPr>
              <w:spacing w:before="72" w:line="188" w:lineRule="auto"/>
              <w:jc w:val="center"/>
              <w:rPr>
                <w:rFonts w:eastAsia="Times New Roman" w:cs="Times New Roman"/>
                <w:sz w:val="21"/>
                <w:szCs w:val="21"/>
              </w:rPr>
            </w:pPr>
            <w:r>
              <w:rPr>
                <w:rFonts w:eastAsia="Times New Roman" w:cs="Times New Roman"/>
                <w:spacing w:val="-2"/>
                <w:sz w:val="21"/>
                <w:szCs w:val="21"/>
              </w:rPr>
              <w:t>5</w:t>
            </w:r>
            <w:bookmarkStart w:id="1383" w:name="OLE_LINK1076"/>
            <w:r>
              <w:rPr>
                <w:rFonts w:eastAsia="Times New Roman" w:cs="Times New Roman"/>
                <w:spacing w:val="-2"/>
                <w:sz w:val="21"/>
                <w:szCs w:val="21"/>
              </w:rPr>
              <w:t>≤</w:t>
            </w:r>
            <w:bookmarkEnd w:id="1383"/>
            <w:r>
              <w:rPr>
                <w:rFonts w:eastAsia="Times New Roman" w:cs="Times New Roman"/>
                <w:spacing w:val="-2"/>
                <w:sz w:val="21"/>
                <w:szCs w:val="21"/>
              </w:rPr>
              <w:t>SSC</w:t>
            </w:r>
            <w:bookmarkStart w:id="1384" w:name="OLE_LINK1075"/>
            <w:r>
              <w:rPr>
                <w:rFonts w:eastAsia="Times New Roman" w:cs="Times New Roman"/>
                <w:spacing w:val="-2"/>
                <w:sz w:val="21"/>
                <w:szCs w:val="21"/>
              </w:rPr>
              <w:t>&lt;</w:t>
            </w:r>
            <w:bookmarkEnd w:id="1384"/>
            <w:r>
              <w:rPr>
                <w:rFonts w:eastAsia="Times New Roman" w:cs="Times New Roman"/>
                <w:spacing w:val="-2"/>
                <w:sz w:val="21"/>
                <w:szCs w:val="21"/>
              </w:rPr>
              <w:t>10</w:t>
            </w:r>
          </w:p>
        </w:tc>
      </w:tr>
      <w:tr w:rsidR="00C645C9">
        <w:trPr>
          <w:trHeight w:hRule="exact" w:val="340"/>
        </w:trPr>
        <w:tc>
          <w:tcPr>
            <w:tcW w:w="2767" w:type="dxa"/>
          </w:tcPr>
          <w:p w:rsidR="00C645C9" w:rsidRDefault="00F955D9">
            <w:pPr>
              <w:widowControl w:val="0"/>
              <w:spacing w:before="35" w:line="207" w:lineRule="auto"/>
              <w:jc w:val="center"/>
              <w:rPr>
                <w:rFonts w:cs="Times New Roman"/>
                <w:kern w:val="2"/>
                <w:sz w:val="21"/>
                <w:szCs w:val="21"/>
                <w:lang w:eastAsia="en-US"/>
              </w:rPr>
            </w:pPr>
            <w:r>
              <w:rPr>
                <w:rFonts w:cs="Times New Roman"/>
                <w:spacing w:val="-2"/>
                <w:kern w:val="2"/>
                <w:sz w:val="21"/>
                <w:szCs w:val="21"/>
                <w:lang w:eastAsia="en-US"/>
              </w:rPr>
              <w:t>极重度盐化</w:t>
            </w:r>
          </w:p>
        </w:tc>
        <w:tc>
          <w:tcPr>
            <w:tcW w:w="2767" w:type="dxa"/>
          </w:tcPr>
          <w:p w:rsidR="00C645C9" w:rsidRDefault="00F955D9">
            <w:pPr>
              <w:spacing w:before="71" w:line="188" w:lineRule="auto"/>
              <w:jc w:val="center"/>
              <w:rPr>
                <w:rFonts w:eastAsia="Times New Roman" w:cs="Times New Roman"/>
                <w:sz w:val="21"/>
                <w:szCs w:val="21"/>
              </w:rPr>
            </w:pPr>
            <w:r>
              <w:rPr>
                <w:rFonts w:eastAsia="Times New Roman" w:cs="Times New Roman"/>
                <w:spacing w:val="-3"/>
                <w:sz w:val="21"/>
                <w:szCs w:val="21"/>
              </w:rPr>
              <w:t>SSC≥6</w:t>
            </w:r>
          </w:p>
        </w:tc>
        <w:tc>
          <w:tcPr>
            <w:tcW w:w="2767" w:type="dxa"/>
          </w:tcPr>
          <w:p w:rsidR="00C645C9" w:rsidRDefault="00F955D9">
            <w:pPr>
              <w:spacing w:before="71" w:line="188" w:lineRule="auto"/>
              <w:jc w:val="center"/>
              <w:rPr>
                <w:rFonts w:eastAsia="Times New Roman" w:cs="Times New Roman"/>
                <w:sz w:val="21"/>
                <w:szCs w:val="21"/>
              </w:rPr>
            </w:pPr>
            <w:r>
              <w:rPr>
                <w:rFonts w:eastAsia="Times New Roman" w:cs="Times New Roman"/>
                <w:spacing w:val="-3"/>
                <w:sz w:val="21"/>
                <w:szCs w:val="21"/>
              </w:rPr>
              <w:t>SSC≥10</w:t>
            </w:r>
          </w:p>
        </w:tc>
      </w:tr>
    </w:tbl>
    <w:p w:rsidR="00C645C9" w:rsidRDefault="00F955D9">
      <w:pPr>
        <w:widowControl w:val="0"/>
        <w:jc w:val="center"/>
        <w:rPr>
          <w:rFonts w:eastAsia="黑体" w:cs="Times New Roman"/>
          <w:bCs/>
          <w:kern w:val="2"/>
          <w:sz w:val="21"/>
          <w:szCs w:val="21"/>
        </w:rPr>
      </w:pPr>
      <w:r>
        <w:rPr>
          <w:rFonts w:eastAsia="黑体" w:cs="Times New Roman"/>
          <w:bCs/>
          <w:kern w:val="2"/>
          <w:sz w:val="21"/>
          <w:szCs w:val="21"/>
        </w:rPr>
        <w:t>表</w:t>
      </w:r>
      <w:r>
        <w:rPr>
          <w:rFonts w:eastAsia="黑体" w:cs="Times New Roman"/>
          <w:bCs/>
          <w:kern w:val="2"/>
          <w:sz w:val="21"/>
          <w:szCs w:val="21"/>
        </w:rPr>
        <w:t>4.5-</w:t>
      </w:r>
      <w:r>
        <w:rPr>
          <w:rFonts w:eastAsia="黑体" w:cs="Times New Roman" w:hint="eastAsia"/>
          <w:bCs/>
          <w:kern w:val="2"/>
          <w:sz w:val="21"/>
          <w:szCs w:val="21"/>
        </w:rPr>
        <w:t>9</w:t>
      </w:r>
      <w:r>
        <w:rPr>
          <w:rFonts w:eastAsia="黑体" w:cs="Times New Roman"/>
          <w:bCs/>
          <w:kern w:val="2"/>
          <w:sz w:val="21"/>
          <w:szCs w:val="21"/>
        </w:rPr>
        <w:t xml:space="preserve">   </w:t>
      </w:r>
      <w:r>
        <w:rPr>
          <w:rFonts w:eastAsia="黑体" w:cs="Times New Roman"/>
          <w:bCs/>
          <w:kern w:val="2"/>
          <w:sz w:val="21"/>
          <w:szCs w:val="21"/>
        </w:rPr>
        <w:t>土壤酸化、碱化分级标准</w:t>
      </w:r>
    </w:p>
    <w:tbl>
      <w:tblPr>
        <w:tblStyle w:val="TableNormal"/>
        <w:tblW w:w="8301" w:type="dxa"/>
        <w:tblInd w:w="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50"/>
        <w:gridCol w:w="4151"/>
      </w:tblGrid>
      <w:tr w:rsidR="00C645C9">
        <w:trPr>
          <w:trHeight w:val="282"/>
        </w:trPr>
        <w:tc>
          <w:tcPr>
            <w:tcW w:w="4150" w:type="dxa"/>
          </w:tcPr>
          <w:p w:rsidR="00C645C9" w:rsidRDefault="00F955D9">
            <w:pPr>
              <w:widowControl w:val="0"/>
              <w:spacing w:before="36" w:line="207" w:lineRule="auto"/>
              <w:jc w:val="center"/>
              <w:rPr>
                <w:rFonts w:cs="Times New Roman"/>
                <w:kern w:val="2"/>
                <w:sz w:val="21"/>
                <w:szCs w:val="21"/>
                <w:lang w:eastAsia="en-US"/>
              </w:rPr>
            </w:pPr>
            <w:r>
              <w:rPr>
                <w:rFonts w:cs="Times New Roman"/>
                <w:spacing w:val="-2"/>
                <w:kern w:val="2"/>
                <w:sz w:val="21"/>
                <w:szCs w:val="21"/>
                <w:lang w:eastAsia="en-US"/>
              </w:rPr>
              <w:t>土壤</w:t>
            </w:r>
            <w:r>
              <w:rPr>
                <w:rFonts w:eastAsia="Times New Roman" w:cs="Times New Roman"/>
                <w:spacing w:val="-2"/>
                <w:kern w:val="2"/>
                <w:sz w:val="21"/>
                <w:szCs w:val="21"/>
                <w:lang w:eastAsia="en-US"/>
              </w:rPr>
              <w:t>pH</w:t>
            </w:r>
            <w:r>
              <w:rPr>
                <w:rFonts w:cs="Times New Roman"/>
                <w:spacing w:val="-2"/>
                <w:kern w:val="2"/>
                <w:sz w:val="21"/>
                <w:szCs w:val="21"/>
                <w:lang w:eastAsia="en-US"/>
              </w:rPr>
              <w:t>值</w:t>
            </w:r>
          </w:p>
        </w:tc>
        <w:tc>
          <w:tcPr>
            <w:tcW w:w="4151" w:type="dxa"/>
          </w:tcPr>
          <w:p w:rsidR="00C645C9" w:rsidRDefault="00F955D9">
            <w:pPr>
              <w:widowControl w:val="0"/>
              <w:spacing w:before="36" w:line="207" w:lineRule="auto"/>
              <w:jc w:val="center"/>
              <w:rPr>
                <w:rFonts w:cs="Times New Roman"/>
                <w:kern w:val="2"/>
                <w:sz w:val="21"/>
                <w:szCs w:val="21"/>
                <w:lang w:eastAsia="en-US"/>
              </w:rPr>
            </w:pPr>
            <w:r>
              <w:rPr>
                <w:rFonts w:cs="Times New Roman"/>
                <w:spacing w:val="-1"/>
                <w:kern w:val="2"/>
                <w:sz w:val="21"/>
                <w:szCs w:val="21"/>
                <w:lang w:eastAsia="en-US"/>
              </w:rPr>
              <w:t>土壤酸化、碱化强度</w:t>
            </w:r>
          </w:p>
        </w:tc>
      </w:tr>
      <w:tr w:rsidR="00C645C9">
        <w:trPr>
          <w:trHeight w:val="133"/>
        </w:trPr>
        <w:tc>
          <w:tcPr>
            <w:tcW w:w="4150" w:type="dxa"/>
          </w:tcPr>
          <w:p w:rsidR="00C645C9" w:rsidRDefault="00F955D9">
            <w:pPr>
              <w:spacing w:before="66" w:line="188" w:lineRule="auto"/>
              <w:jc w:val="center"/>
              <w:rPr>
                <w:rFonts w:eastAsia="Times New Roman" w:cs="Times New Roman"/>
                <w:sz w:val="21"/>
                <w:szCs w:val="21"/>
              </w:rPr>
            </w:pPr>
            <w:r>
              <w:rPr>
                <w:rFonts w:eastAsia="Times New Roman" w:cs="Times New Roman"/>
                <w:sz w:val="21"/>
                <w:szCs w:val="21"/>
              </w:rPr>
              <w:t>pH&lt;3.5</w:t>
            </w:r>
          </w:p>
        </w:tc>
        <w:tc>
          <w:tcPr>
            <w:tcW w:w="4151" w:type="dxa"/>
          </w:tcPr>
          <w:p w:rsidR="00C645C9" w:rsidRDefault="00F955D9">
            <w:pPr>
              <w:widowControl w:val="0"/>
              <w:spacing w:before="31" w:line="206" w:lineRule="auto"/>
              <w:jc w:val="center"/>
              <w:rPr>
                <w:rFonts w:cs="Times New Roman"/>
                <w:kern w:val="2"/>
                <w:sz w:val="21"/>
                <w:szCs w:val="21"/>
                <w:lang w:eastAsia="en-US"/>
              </w:rPr>
            </w:pPr>
            <w:r>
              <w:rPr>
                <w:rFonts w:cs="Times New Roman"/>
                <w:spacing w:val="-2"/>
                <w:kern w:val="2"/>
                <w:sz w:val="21"/>
                <w:szCs w:val="21"/>
                <w:lang w:eastAsia="en-US"/>
              </w:rPr>
              <w:t>极重度酸化</w:t>
            </w:r>
          </w:p>
        </w:tc>
      </w:tr>
      <w:tr w:rsidR="00C645C9">
        <w:trPr>
          <w:trHeight w:val="276"/>
        </w:trPr>
        <w:tc>
          <w:tcPr>
            <w:tcW w:w="4150" w:type="dxa"/>
          </w:tcPr>
          <w:p w:rsidR="00C645C9" w:rsidRDefault="00F955D9">
            <w:pPr>
              <w:spacing w:before="67" w:line="188" w:lineRule="auto"/>
              <w:jc w:val="center"/>
              <w:rPr>
                <w:rFonts w:eastAsia="Times New Roman" w:cs="Times New Roman"/>
                <w:sz w:val="21"/>
                <w:szCs w:val="21"/>
              </w:rPr>
            </w:pPr>
            <w:r>
              <w:rPr>
                <w:rFonts w:eastAsia="Times New Roman" w:cs="Times New Roman"/>
                <w:spacing w:val="-1"/>
                <w:sz w:val="21"/>
                <w:szCs w:val="21"/>
              </w:rPr>
              <w:t>3.5≤pH&lt;4.0</w:t>
            </w:r>
          </w:p>
        </w:tc>
        <w:tc>
          <w:tcPr>
            <w:tcW w:w="4151" w:type="dxa"/>
          </w:tcPr>
          <w:p w:rsidR="00C645C9" w:rsidRDefault="00F955D9">
            <w:pPr>
              <w:widowControl w:val="0"/>
              <w:spacing w:before="32" w:line="205" w:lineRule="auto"/>
              <w:jc w:val="center"/>
              <w:rPr>
                <w:rFonts w:cs="Times New Roman"/>
                <w:kern w:val="2"/>
                <w:sz w:val="21"/>
                <w:szCs w:val="21"/>
                <w:lang w:eastAsia="en-US"/>
              </w:rPr>
            </w:pPr>
            <w:r>
              <w:rPr>
                <w:rFonts w:cs="Times New Roman"/>
                <w:spacing w:val="-2"/>
                <w:kern w:val="2"/>
                <w:sz w:val="21"/>
                <w:szCs w:val="21"/>
                <w:lang w:eastAsia="en-US"/>
              </w:rPr>
              <w:t>重度酸化</w:t>
            </w:r>
          </w:p>
        </w:tc>
      </w:tr>
      <w:tr w:rsidR="00C645C9">
        <w:trPr>
          <w:trHeight w:val="278"/>
        </w:trPr>
        <w:tc>
          <w:tcPr>
            <w:tcW w:w="4150" w:type="dxa"/>
          </w:tcPr>
          <w:p w:rsidR="00C645C9" w:rsidRDefault="00F955D9">
            <w:pPr>
              <w:spacing w:before="70" w:line="188" w:lineRule="auto"/>
              <w:jc w:val="center"/>
              <w:rPr>
                <w:rFonts w:eastAsia="Times New Roman" w:cs="Times New Roman"/>
                <w:sz w:val="21"/>
                <w:szCs w:val="21"/>
              </w:rPr>
            </w:pPr>
            <w:r>
              <w:rPr>
                <w:rFonts w:eastAsia="Times New Roman" w:cs="Times New Roman"/>
                <w:spacing w:val="-1"/>
                <w:sz w:val="21"/>
                <w:szCs w:val="21"/>
              </w:rPr>
              <w:t>4.0≤pH&lt;4.5</w:t>
            </w:r>
          </w:p>
        </w:tc>
        <w:tc>
          <w:tcPr>
            <w:tcW w:w="4151" w:type="dxa"/>
          </w:tcPr>
          <w:p w:rsidR="00C645C9" w:rsidRDefault="00F955D9">
            <w:pPr>
              <w:widowControl w:val="0"/>
              <w:spacing w:before="34" w:line="205" w:lineRule="auto"/>
              <w:jc w:val="center"/>
              <w:rPr>
                <w:rFonts w:cs="Times New Roman"/>
                <w:kern w:val="2"/>
                <w:sz w:val="21"/>
                <w:szCs w:val="21"/>
                <w:lang w:eastAsia="en-US"/>
              </w:rPr>
            </w:pPr>
            <w:r>
              <w:rPr>
                <w:rFonts w:cs="Times New Roman"/>
                <w:spacing w:val="-6"/>
                <w:kern w:val="2"/>
                <w:sz w:val="21"/>
                <w:szCs w:val="21"/>
                <w:lang w:eastAsia="en-US"/>
              </w:rPr>
              <w:t>中度酸化</w:t>
            </w:r>
          </w:p>
        </w:tc>
      </w:tr>
      <w:tr w:rsidR="00C645C9">
        <w:trPr>
          <w:trHeight w:val="277"/>
        </w:trPr>
        <w:tc>
          <w:tcPr>
            <w:tcW w:w="4150" w:type="dxa"/>
          </w:tcPr>
          <w:p w:rsidR="00C645C9" w:rsidRDefault="00F955D9">
            <w:pPr>
              <w:spacing w:before="69" w:line="188" w:lineRule="auto"/>
              <w:jc w:val="center"/>
              <w:rPr>
                <w:rFonts w:eastAsia="Times New Roman" w:cs="Times New Roman"/>
                <w:sz w:val="21"/>
                <w:szCs w:val="21"/>
              </w:rPr>
            </w:pPr>
            <w:r>
              <w:rPr>
                <w:rFonts w:eastAsia="Times New Roman" w:cs="Times New Roman"/>
                <w:spacing w:val="-1"/>
                <w:sz w:val="21"/>
                <w:szCs w:val="21"/>
              </w:rPr>
              <w:t>4.5≤pH&lt;5.5</w:t>
            </w:r>
          </w:p>
        </w:tc>
        <w:tc>
          <w:tcPr>
            <w:tcW w:w="4151" w:type="dxa"/>
          </w:tcPr>
          <w:p w:rsidR="00C645C9" w:rsidRDefault="00F955D9">
            <w:pPr>
              <w:widowControl w:val="0"/>
              <w:spacing w:before="33" w:line="205" w:lineRule="auto"/>
              <w:jc w:val="center"/>
              <w:rPr>
                <w:rFonts w:cs="Times New Roman"/>
                <w:kern w:val="2"/>
                <w:sz w:val="21"/>
                <w:szCs w:val="21"/>
                <w:lang w:eastAsia="en-US"/>
              </w:rPr>
            </w:pPr>
            <w:r>
              <w:rPr>
                <w:rFonts w:cs="Times New Roman"/>
                <w:spacing w:val="-2"/>
                <w:kern w:val="2"/>
                <w:sz w:val="21"/>
                <w:szCs w:val="21"/>
                <w:lang w:eastAsia="en-US"/>
              </w:rPr>
              <w:t>轻度酸化</w:t>
            </w:r>
          </w:p>
        </w:tc>
      </w:tr>
      <w:tr w:rsidR="00C645C9">
        <w:trPr>
          <w:trHeight w:val="276"/>
        </w:trPr>
        <w:tc>
          <w:tcPr>
            <w:tcW w:w="4150" w:type="dxa"/>
          </w:tcPr>
          <w:p w:rsidR="00C645C9" w:rsidRDefault="00F955D9">
            <w:pPr>
              <w:spacing w:before="68" w:line="188" w:lineRule="auto"/>
              <w:jc w:val="center"/>
              <w:rPr>
                <w:rFonts w:eastAsia="Times New Roman" w:cs="Times New Roman"/>
                <w:sz w:val="21"/>
                <w:szCs w:val="21"/>
              </w:rPr>
            </w:pPr>
            <w:r>
              <w:rPr>
                <w:rFonts w:eastAsia="Times New Roman" w:cs="Times New Roman"/>
                <w:spacing w:val="-1"/>
                <w:sz w:val="21"/>
                <w:szCs w:val="21"/>
              </w:rPr>
              <w:t>5.5≤pH&lt;8.5</w:t>
            </w:r>
          </w:p>
        </w:tc>
        <w:tc>
          <w:tcPr>
            <w:tcW w:w="4151" w:type="dxa"/>
          </w:tcPr>
          <w:p w:rsidR="00C645C9" w:rsidRDefault="00F955D9">
            <w:pPr>
              <w:widowControl w:val="0"/>
              <w:spacing w:before="33" w:line="204" w:lineRule="auto"/>
              <w:jc w:val="center"/>
              <w:rPr>
                <w:rFonts w:cs="Times New Roman"/>
                <w:kern w:val="2"/>
                <w:sz w:val="21"/>
                <w:szCs w:val="21"/>
                <w:lang w:eastAsia="en-US"/>
              </w:rPr>
            </w:pPr>
            <w:r>
              <w:rPr>
                <w:rFonts w:cs="Times New Roman"/>
                <w:spacing w:val="-2"/>
                <w:kern w:val="2"/>
                <w:sz w:val="21"/>
                <w:szCs w:val="21"/>
                <w:lang w:eastAsia="en-US"/>
              </w:rPr>
              <w:t>无酸化或碱化</w:t>
            </w:r>
          </w:p>
        </w:tc>
      </w:tr>
      <w:tr w:rsidR="00C645C9">
        <w:trPr>
          <w:trHeight w:val="277"/>
        </w:trPr>
        <w:tc>
          <w:tcPr>
            <w:tcW w:w="4150" w:type="dxa"/>
          </w:tcPr>
          <w:p w:rsidR="00C645C9" w:rsidRDefault="00F955D9">
            <w:pPr>
              <w:spacing w:before="70" w:line="188" w:lineRule="auto"/>
              <w:jc w:val="center"/>
              <w:rPr>
                <w:rFonts w:eastAsia="Times New Roman" w:cs="Times New Roman"/>
                <w:sz w:val="21"/>
                <w:szCs w:val="21"/>
              </w:rPr>
            </w:pPr>
            <w:r>
              <w:rPr>
                <w:rFonts w:eastAsia="Times New Roman" w:cs="Times New Roman"/>
                <w:spacing w:val="-2"/>
                <w:sz w:val="21"/>
                <w:szCs w:val="21"/>
              </w:rPr>
              <w:t>8.5≤pH&lt;9.0</w:t>
            </w:r>
          </w:p>
        </w:tc>
        <w:tc>
          <w:tcPr>
            <w:tcW w:w="4151" w:type="dxa"/>
          </w:tcPr>
          <w:p w:rsidR="00C645C9" w:rsidRDefault="00F955D9">
            <w:pPr>
              <w:widowControl w:val="0"/>
              <w:spacing w:before="34" w:line="204" w:lineRule="auto"/>
              <w:jc w:val="center"/>
              <w:rPr>
                <w:rFonts w:cs="Times New Roman"/>
                <w:kern w:val="2"/>
                <w:sz w:val="21"/>
                <w:szCs w:val="21"/>
                <w:lang w:eastAsia="en-US"/>
              </w:rPr>
            </w:pPr>
            <w:r>
              <w:rPr>
                <w:rFonts w:cs="Times New Roman"/>
                <w:spacing w:val="-2"/>
                <w:kern w:val="2"/>
                <w:sz w:val="21"/>
                <w:szCs w:val="21"/>
                <w:lang w:eastAsia="en-US"/>
              </w:rPr>
              <w:t>轻度碱化</w:t>
            </w:r>
          </w:p>
        </w:tc>
      </w:tr>
      <w:tr w:rsidR="00C645C9">
        <w:trPr>
          <w:trHeight w:val="278"/>
        </w:trPr>
        <w:tc>
          <w:tcPr>
            <w:tcW w:w="4150" w:type="dxa"/>
          </w:tcPr>
          <w:p w:rsidR="00C645C9" w:rsidRDefault="00F955D9">
            <w:pPr>
              <w:spacing w:before="71" w:line="188" w:lineRule="auto"/>
              <w:jc w:val="center"/>
              <w:rPr>
                <w:rFonts w:eastAsia="Times New Roman" w:cs="Times New Roman"/>
                <w:sz w:val="21"/>
                <w:szCs w:val="21"/>
              </w:rPr>
            </w:pPr>
            <w:r>
              <w:rPr>
                <w:rFonts w:eastAsia="Times New Roman" w:cs="Times New Roman"/>
                <w:spacing w:val="-1"/>
                <w:sz w:val="21"/>
                <w:szCs w:val="21"/>
              </w:rPr>
              <w:t>9.0≤pH&lt;9.5</w:t>
            </w:r>
          </w:p>
        </w:tc>
        <w:tc>
          <w:tcPr>
            <w:tcW w:w="4151" w:type="dxa"/>
          </w:tcPr>
          <w:p w:rsidR="00C645C9" w:rsidRDefault="00F955D9">
            <w:pPr>
              <w:widowControl w:val="0"/>
              <w:spacing w:before="35" w:line="204" w:lineRule="auto"/>
              <w:jc w:val="center"/>
              <w:rPr>
                <w:rFonts w:cs="Times New Roman"/>
                <w:kern w:val="2"/>
                <w:sz w:val="21"/>
                <w:szCs w:val="21"/>
                <w:lang w:eastAsia="en-US"/>
              </w:rPr>
            </w:pPr>
            <w:r>
              <w:rPr>
                <w:rFonts w:cs="Times New Roman"/>
                <w:spacing w:val="-6"/>
                <w:kern w:val="2"/>
                <w:sz w:val="21"/>
                <w:szCs w:val="21"/>
                <w:lang w:eastAsia="en-US"/>
              </w:rPr>
              <w:t>中度碱化</w:t>
            </w:r>
          </w:p>
        </w:tc>
      </w:tr>
      <w:tr w:rsidR="00C645C9">
        <w:trPr>
          <w:trHeight w:val="277"/>
        </w:trPr>
        <w:tc>
          <w:tcPr>
            <w:tcW w:w="4150" w:type="dxa"/>
          </w:tcPr>
          <w:p w:rsidR="00C645C9" w:rsidRDefault="00F955D9">
            <w:pPr>
              <w:spacing w:before="70" w:line="188" w:lineRule="auto"/>
              <w:jc w:val="center"/>
              <w:rPr>
                <w:rFonts w:eastAsia="Times New Roman" w:cs="Times New Roman"/>
                <w:sz w:val="21"/>
                <w:szCs w:val="21"/>
              </w:rPr>
            </w:pPr>
            <w:r>
              <w:rPr>
                <w:rFonts w:eastAsia="Times New Roman" w:cs="Times New Roman"/>
                <w:spacing w:val="-1"/>
                <w:sz w:val="21"/>
                <w:szCs w:val="21"/>
              </w:rPr>
              <w:t>9.5≤pH&lt;10.0</w:t>
            </w:r>
          </w:p>
        </w:tc>
        <w:tc>
          <w:tcPr>
            <w:tcW w:w="4151" w:type="dxa"/>
          </w:tcPr>
          <w:p w:rsidR="00C645C9" w:rsidRDefault="00F955D9">
            <w:pPr>
              <w:widowControl w:val="0"/>
              <w:spacing w:before="34" w:line="204" w:lineRule="auto"/>
              <w:jc w:val="center"/>
              <w:rPr>
                <w:rFonts w:cs="Times New Roman"/>
                <w:kern w:val="2"/>
                <w:sz w:val="21"/>
                <w:szCs w:val="21"/>
                <w:lang w:eastAsia="en-US"/>
              </w:rPr>
            </w:pPr>
            <w:r>
              <w:rPr>
                <w:rFonts w:cs="Times New Roman"/>
                <w:spacing w:val="-2"/>
                <w:kern w:val="2"/>
                <w:sz w:val="21"/>
                <w:szCs w:val="21"/>
                <w:lang w:eastAsia="en-US"/>
              </w:rPr>
              <w:t>重度碱化</w:t>
            </w:r>
          </w:p>
        </w:tc>
      </w:tr>
      <w:tr w:rsidR="00C645C9">
        <w:trPr>
          <w:trHeight w:val="282"/>
        </w:trPr>
        <w:tc>
          <w:tcPr>
            <w:tcW w:w="4150" w:type="dxa"/>
          </w:tcPr>
          <w:p w:rsidR="00C645C9" w:rsidRDefault="00F955D9">
            <w:pPr>
              <w:spacing w:before="70" w:line="188" w:lineRule="auto"/>
              <w:jc w:val="center"/>
              <w:rPr>
                <w:rFonts w:eastAsia="Times New Roman" w:cs="Times New Roman"/>
                <w:sz w:val="21"/>
                <w:szCs w:val="21"/>
              </w:rPr>
            </w:pPr>
            <w:r>
              <w:rPr>
                <w:rFonts w:eastAsia="Times New Roman" w:cs="Times New Roman"/>
                <w:sz w:val="21"/>
                <w:szCs w:val="21"/>
              </w:rPr>
              <w:t>pH≥10.0</w:t>
            </w:r>
          </w:p>
        </w:tc>
        <w:tc>
          <w:tcPr>
            <w:tcW w:w="4151" w:type="dxa"/>
          </w:tcPr>
          <w:p w:rsidR="00C645C9" w:rsidRDefault="00F955D9">
            <w:pPr>
              <w:widowControl w:val="0"/>
              <w:spacing w:before="35" w:line="208" w:lineRule="auto"/>
              <w:jc w:val="center"/>
              <w:rPr>
                <w:rFonts w:cs="Times New Roman"/>
                <w:kern w:val="2"/>
                <w:sz w:val="21"/>
                <w:szCs w:val="21"/>
                <w:lang w:eastAsia="en-US"/>
              </w:rPr>
            </w:pPr>
            <w:r>
              <w:rPr>
                <w:rFonts w:cs="Times New Roman"/>
                <w:spacing w:val="-2"/>
                <w:kern w:val="2"/>
                <w:sz w:val="21"/>
                <w:szCs w:val="21"/>
                <w:lang w:eastAsia="en-US"/>
              </w:rPr>
              <w:t>极重度碱化</w:t>
            </w:r>
          </w:p>
        </w:tc>
      </w:tr>
    </w:tbl>
    <w:p w:rsidR="00C645C9" w:rsidRDefault="00F955D9">
      <w:pPr>
        <w:widowControl w:val="0"/>
        <w:jc w:val="center"/>
        <w:rPr>
          <w:rFonts w:eastAsia="黑体" w:cs="Times New Roman"/>
          <w:bCs/>
          <w:kern w:val="2"/>
          <w:sz w:val="21"/>
        </w:rPr>
      </w:pPr>
      <w:r>
        <w:rPr>
          <w:rFonts w:eastAsia="黑体" w:cs="Times New Roman"/>
          <w:bCs/>
          <w:kern w:val="2"/>
          <w:sz w:val="21"/>
        </w:rPr>
        <w:t>表</w:t>
      </w:r>
      <w:r>
        <w:rPr>
          <w:rFonts w:eastAsia="黑体" w:cs="Times New Roman"/>
          <w:bCs/>
          <w:kern w:val="2"/>
          <w:sz w:val="21"/>
        </w:rPr>
        <w:t>4.5-1</w:t>
      </w:r>
      <w:r>
        <w:rPr>
          <w:rFonts w:eastAsia="黑体" w:cs="Times New Roman" w:hint="eastAsia"/>
          <w:bCs/>
          <w:kern w:val="2"/>
          <w:sz w:val="21"/>
        </w:rPr>
        <w:t>0</w:t>
      </w:r>
      <w:r>
        <w:rPr>
          <w:rFonts w:eastAsia="黑体" w:cs="Times New Roman"/>
          <w:bCs/>
          <w:kern w:val="2"/>
          <w:sz w:val="21"/>
        </w:rPr>
        <w:t xml:space="preserve">   </w:t>
      </w:r>
      <w:r>
        <w:rPr>
          <w:rFonts w:eastAsia="黑体" w:cs="Times New Roman"/>
          <w:bCs/>
          <w:kern w:val="2"/>
          <w:sz w:val="21"/>
        </w:rPr>
        <w:t>土壤盐化、酸化现状</w:t>
      </w:r>
    </w:p>
    <w:tbl>
      <w:tblPr>
        <w:tblStyle w:val="TableNormal"/>
        <w:tblW w:w="834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8"/>
        <w:gridCol w:w="1493"/>
        <w:gridCol w:w="678"/>
        <w:gridCol w:w="2560"/>
        <w:gridCol w:w="1526"/>
        <w:gridCol w:w="1526"/>
      </w:tblGrid>
      <w:tr w:rsidR="00C645C9">
        <w:trPr>
          <w:trHeight w:val="283"/>
          <w:jc w:val="center"/>
        </w:trPr>
        <w:tc>
          <w:tcPr>
            <w:tcW w:w="2051" w:type="dxa"/>
            <w:gridSpan w:val="2"/>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检测项目</w:t>
            </w:r>
          </w:p>
        </w:tc>
        <w:tc>
          <w:tcPr>
            <w:tcW w:w="678"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pH</w:t>
            </w:r>
          </w:p>
        </w:tc>
        <w:tc>
          <w:tcPr>
            <w:tcW w:w="2560" w:type="dxa"/>
          </w:tcPr>
          <w:p w:rsidR="00C645C9" w:rsidRDefault="00F955D9">
            <w:pPr>
              <w:spacing w:before="70" w:line="188" w:lineRule="auto"/>
              <w:jc w:val="center"/>
              <w:rPr>
                <w:rFonts w:cs="Times New Roman"/>
                <w:spacing w:val="-1"/>
                <w:sz w:val="21"/>
                <w:szCs w:val="21"/>
              </w:rPr>
            </w:pPr>
            <w:r>
              <w:rPr>
                <w:rFonts w:eastAsia="Times New Roman" w:cs="Times New Roman"/>
                <w:spacing w:val="-1"/>
                <w:sz w:val="21"/>
                <w:szCs w:val="21"/>
              </w:rPr>
              <w:t>含盐量（SSC）/</w:t>
            </w:r>
            <w:r>
              <w:rPr>
                <w:rFonts w:cs="Times New Roman"/>
                <w:spacing w:val="-1"/>
                <w:sz w:val="21"/>
                <w:szCs w:val="21"/>
              </w:rPr>
              <w:t>（</w:t>
            </w:r>
            <w:r>
              <w:rPr>
                <w:rFonts w:eastAsia="Times New Roman" w:cs="Times New Roman"/>
                <w:spacing w:val="-1"/>
                <w:sz w:val="21"/>
                <w:szCs w:val="21"/>
              </w:rPr>
              <w:t>g/kg</w:t>
            </w:r>
            <w:r>
              <w:rPr>
                <w:rFonts w:cs="Times New Roman"/>
                <w:spacing w:val="-1"/>
                <w:sz w:val="21"/>
                <w:szCs w:val="21"/>
              </w:rPr>
              <w:t>）</w:t>
            </w:r>
          </w:p>
        </w:tc>
        <w:tc>
          <w:tcPr>
            <w:tcW w:w="1526"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盐化程度</w:t>
            </w:r>
          </w:p>
        </w:tc>
        <w:tc>
          <w:tcPr>
            <w:tcW w:w="1526"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碱化程度</w:t>
            </w:r>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bookmarkStart w:id="1385" w:name="OLE_LINK591"/>
            <w:r>
              <w:rPr>
                <w:rFonts w:cs="Times New Roman" w:hint="eastAsia"/>
                <w:kern w:val="2"/>
                <w:sz w:val="21"/>
                <w:szCs w:val="21"/>
                <w:lang w:bidi="ar"/>
              </w:rPr>
              <w:t>TN1</w:t>
            </w:r>
            <w:bookmarkEnd w:id="1385"/>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表层0-0.2m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bookmarkStart w:id="1386" w:name="OLE_LINK1040"/>
            <w:r>
              <w:rPr>
                <w:rFonts w:cs="Times New Roman"/>
                <w:spacing w:val="-2"/>
                <w:kern w:val="2"/>
                <w:sz w:val="21"/>
                <w:szCs w:val="21"/>
                <w:lang w:eastAsia="en-US"/>
              </w:rPr>
              <w:t>重度盐化</w:t>
            </w:r>
            <w:bookmarkEnd w:id="1386"/>
          </w:p>
        </w:tc>
        <w:tc>
          <w:tcPr>
            <w:tcW w:w="1526" w:type="dxa"/>
            <w:vAlign w:val="center"/>
          </w:tcPr>
          <w:p w:rsidR="00C645C9" w:rsidRDefault="00F955D9">
            <w:pPr>
              <w:spacing w:before="70" w:line="188" w:lineRule="auto"/>
              <w:jc w:val="center"/>
              <w:rPr>
                <w:rFonts w:eastAsia="Times New Roman" w:cs="Times New Roman"/>
                <w:spacing w:val="-1"/>
                <w:sz w:val="21"/>
                <w:szCs w:val="21"/>
              </w:rPr>
            </w:pPr>
            <w:bookmarkStart w:id="1387" w:name="OLE_LINK1038"/>
            <w:r>
              <w:rPr>
                <w:rFonts w:eastAsia="Times New Roman" w:cs="Times New Roman"/>
                <w:spacing w:val="-1"/>
                <w:sz w:val="21"/>
                <w:szCs w:val="21"/>
                <w:lang w:eastAsia="en-US"/>
              </w:rPr>
              <w:t>无酸化或碱化</w:t>
            </w:r>
            <w:bookmarkEnd w:id="1387"/>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r>
              <w:rPr>
                <w:rFonts w:cs="Times New Roman" w:hint="eastAsia"/>
                <w:kern w:val="2"/>
                <w:sz w:val="21"/>
                <w:szCs w:val="21"/>
                <w:lang w:bidi="ar"/>
              </w:rPr>
              <w:t>TN2</w:t>
            </w:r>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w:t>
            </w:r>
            <w:r>
              <w:rPr>
                <w:rFonts w:eastAsia="Times New Roman" w:cs="Times New Roman"/>
                <w:spacing w:val="-1"/>
                <w:sz w:val="21"/>
                <w:szCs w:val="21"/>
              </w:rPr>
              <w:t>2</w:t>
            </w:r>
            <w:r>
              <w:rPr>
                <w:rFonts w:eastAsia="Times New Roman" w:cs="Times New Roman"/>
                <w:spacing w:val="-1"/>
                <w:sz w:val="21"/>
                <w:szCs w:val="21"/>
              </w:rPr>
              <w:t>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lang w:eastAsia="en-US"/>
              </w:rPr>
              <w:t>极重度盐化</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lang w:eastAsia="en-US"/>
              </w:rPr>
              <w:t>无酸化或碱化</w:t>
            </w:r>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r>
              <w:rPr>
                <w:rFonts w:cs="Times New Roman" w:hint="eastAsia"/>
                <w:kern w:val="2"/>
                <w:sz w:val="21"/>
                <w:szCs w:val="21"/>
                <w:lang w:bidi="ar"/>
              </w:rPr>
              <w:t>TN3</w:t>
            </w:r>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w:t>
            </w:r>
            <w:r>
              <w:rPr>
                <w:rFonts w:eastAsia="Times New Roman" w:cs="Times New Roman"/>
                <w:spacing w:val="-1"/>
                <w:sz w:val="21"/>
                <w:szCs w:val="21"/>
              </w:rPr>
              <w:t>2</w:t>
            </w:r>
            <w:r>
              <w:rPr>
                <w:rFonts w:eastAsia="Times New Roman" w:cs="Times New Roman"/>
                <w:spacing w:val="-1"/>
                <w:sz w:val="21"/>
                <w:szCs w:val="21"/>
              </w:rPr>
              <w:t>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lang w:eastAsia="en-US"/>
              </w:rPr>
              <w:t>极重度盐化</w:t>
            </w:r>
          </w:p>
        </w:tc>
        <w:tc>
          <w:tcPr>
            <w:tcW w:w="1526" w:type="dxa"/>
            <w:vAlign w:val="center"/>
          </w:tcPr>
          <w:p w:rsidR="00C645C9" w:rsidRDefault="00F955D9">
            <w:pPr>
              <w:spacing w:before="70" w:line="188" w:lineRule="auto"/>
              <w:jc w:val="center"/>
              <w:rPr>
                <w:rFonts w:eastAsia="Times New Roman" w:cs="Times New Roman"/>
                <w:spacing w:val="-1"/>
                <w:sz w:val="21"/>
                <w:szCs w:val="21"/>
                <w:lang w:eastAsia="en-US"/>
              </w:rPr>
            </w:pPr>
            <w:r>
              <w:rPr>
                <w:rFonts w:eastAsia="Times New Roman" w:cs="Times New Roman"/>
                <w:spacing w:val="-1"/>
                <w:sz w:val="21"/>
                <w:szCs w:val="21"/>
                <w:lang w:eastAsia="en-US"/>
              </w:rPr>
              <w:t>无酸化或碱化</w:t>
            </w:r>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bookmarkStart w:id="1388" w:name="OLE_LINK592"/>
            <w:r>
              <w:rPr>
                <w:rFonts w:cs="Times New Roman" w:hint="eastAsia"/>
                <w:kern w:val="2"/>
                <w:sz w:val="21"/>
                <w:szCs w:val="21"/>
                <w:lang w:bidi="ar"/>
              </w:rPr>
              <w:t>TW1</w:t>
            </w:r>
            <w:bookmarkEnd w:id="1388"/>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表层0-0.2m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cs="Times New Roman"/>
                <w:spacing w:val="-2"/>
                <w:kern w:val="2"/>
                <w:sz w:val="21"/>
                <w:szCs w:val="21"/>
                <w:lang w:eastAsia="en-US"/>
              </w:rPr>
              <w:t>重度盐化</w:t>
            </w:r>
          </w:p>
        </w:tc>
        <w:tc>
          <w:tcPr>
            <w:tcW w:w="1526" w:type="dxa"/>
            <w:vAlign w:val="center"/>
          </w:tcPr>
          <w:p w:rsidR="00C645C9" w:rsidRDefault="00F955D9">
            <w:pPr>
              <w:spacing w:before="70" w:line="188" w:lineRule="auto"/>
              <w:jc w:val="center"/>
              <w:rPr>
                <w:rFonts w:eastAsia="Times New Roman" w:cs="Times New Roman"/>
                <w:spacing w:val="-1"/>
                <w:sz w:val="21"/>
                <w:szCs w:val="21"/>
                <w:lang w:eastAsia="en-US"/>
              </w:rPr>
            </w:pPr>
            <w:r>
              <w:rPr>
                <w:rFonts w:eastAsia="Times New Roman" w:cs="Times New Roman"/>
                <w:spacing w:val="-1"/>
                <w:sz w:val="21"/>
                <w:szCs w:val="21"/>
                <w:lang w:eastAsia="en-US"/>
              </w:rPr>
              <w:t>无酸化或碱化</w:t>
            </w:r>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r>
              <w:rPr>
                <w:rFonts w:cs="Times New Roman" w:hint="eastAsia"/>
                <w:kern w:val="2"/>
                <w:sz w:val="21"/>
                <w:szCs w:val="21"/>
                <w:lang w:bidi="ar"/>
              </w:rPr>
              <w:t>TW2</w:t>
            </w:r>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表层0-0.2m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cs="Times New Roman"/>
                <w:spacing w:val="-6"/>
                <w:kern w:val="2"/>
                <w:sz w:val="21"/>
                <w:szCs w:val="21"/>
                <w:lang w:eastAsia="en-US"/>
              </w:rPr>
              <w:t>中度盐化</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lang w:eastAsia="en-US"/>
              </w:rPr>
              <w:t>无酸化或碱化</w:t>
            </w:r>
          </w:p>
        </w:tc>
      </w:tr>
      <w:tr w:rsidR="00C645C9">
        <w:trPr>
          <w:trHeight w:val="283"/>
          <w:jc w:val="center"/>
        </w:trPr>
        <w:tc>
          <w:tcPr>
            <w:tcW w:w="558" w:type="dxa"/>
            <w:vAlign w:val="center"/>
          </w:tcPr>
          <w:p w:rsidR="00C645C9" w:rsidRDefault="00F955D9">
            <w:pPr>
              <w:widowControl w:val="0"/>
              <w:jc w:val="center"/>
              <w:rPr>
                <w:rFonts w:eastAsia="Times New Roman" w:cs="Times New Roman"/>
                <w:spacing w:val="-1"/>
                <w:sz w:val="21"/>
                <w:szCs w:val="21"/>
              </w:rPr>
            </w:pPr>
            <w:r>
              <w:rPr>
                <w:rFonts w:cs="Times New Roman" w:hint="eastAsia"/>
                <w:kern w:val="2"/>
                <w:sz w:val="21"/>
                <w:szCs w:val="21"/>
                <w:lang w:bidi="ar"/>
              </w:rPr>
              <w:t>TW3</w:t>
            </w:r>
          </w:p>
        </w:tc>
        <w:tc>
          <w:tcPr>
            <w:tcW w:w="1493" w:type="dxa"/>
          </w:tcPr>
          <w:p w:rsidR="00C645C9" w:rsidRDefault="00F955D9">
            <w:pPr>
              <w:spacing w:before="70" w:line="188" w:lineRule="auto"/>
              <w:jc w:val="center"/>
              <w:rPr>
                <w:rFonts w:eastAsia="Times New Roman" w:cs="Times New Roman"/>
                <w:spacing w:val="-1"/>
                <w:sz w:val="21"/>
                <w:szCs w:val="21"/>
              </w:rPr>
            </w:pPr>
            <w:bookmarkStart w:id="1389" w:name="OLE_LINK593"/>
            <w:r>
              <w:rPr>
                <w:rFonts w:eastAsia="Times New Roman" w:cs="Times New Roman"/>
                <w:spacing w:val="-1"/>
                <w:sz w:val="21"/>
                <w:szCs w:val="21"/>
              </w:rPr>
              <w:t>表层0-0.2m</w:t>
            </w:r>
            <w:bookmarkEnd w:id="1389"/>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cs="Times New Roman"/>
                <w:spacing w:val="-6"/>
                <w:kern w:val="2"/>
                <w:sz w:val="21"/>
                <w:szCs w:val="21"/>
                <w:lang w:eastAsia="en-US"/>
              </w:rPr>
              <w:t>中度盐化</w:t>
            </w:r>
          </w:p>
        </w:tc>
        <w:tc>
          <w:tcPr>
            <w:tcW w:w="1526" w:type="dxa"/>
            <w:vAlign w:val="center"/>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lang w:eastAsia="en-US"/>
              </w:rPr>
              <w:t>无酸化或碱化</w:t>
            </w:r>
          </w:p>
        </w:tc>
      </w:tr>
      <w:tr w:rsidR="00C645C9">
        <w:trPr>
          <w:trHeight w:val="283"/>
          <w:jc w:val="center"/>
        </w:trPr>
        <w:tc>
          <w:tcPr>
            <w:tcW w:w="558" w:type="dxa"/>
            <w:vAlign w:val="center"/>
          </w:tcPr>
          <w:p w:rsidR="00C645C9" w:rsidRDefault="00F955D9">
            <w:pPr>
              <w:widowControl w:val="0"/>
              <w:jc w:val="center"/>
              <w:rPr>
                <w:rFonts w:cs="Times New Roman"/>
                <w:kern w:val="2"/>
                <w:sz w:val="21"/>
                <w:szCs w:val="21"/>
                <w:lang w:bidi="ar"/>
              </w:rPr>
            </w:pPr>
            <w:r>
              <w:rPr>
                <w:rFonts w:cs="Times New Roman" w:hint="eastAsia"/>
                <w:kern w:val="2"/>
                <w:sz w:val="21"/>
                <w:szCs w:val="21"/>
                <w:lang w:bidi="ar"/>
              </w:rPr>
              <w:t>TW4</w:t>
            </w:r>
          </w:p>
        </w:tc>
        <w:tc>
          <w:tcPr>
            <w:tcW w:w="1493" w:type="dxa"/>
          </w:tcPr>
          <w:p w:rsidR="00C645C9" w:rsidRDefault="00F955D9">
            <w:pPr>
              <w:spacing w:before="70" w:line="188" w:lineRule="auto"/>
              <w:jc w:val="center"/>
              <w:rPr>
                <w:rFonts w:eastAsia="Times New Roman" w:cs="Times New Roman"/>
                <w:spacing w:val="-1"/>
                <w:sz w:val="21"/>
                <w:szCs w:val="21"/>
              </w:rPr>
            </w:pPr>
            <w:r>
              <w:rPr>
                <w:rFonts w:eastAsia="Times New Roman" w:cs="Times New Roman"/>
                <w:spacing w:val="-1"/>
                <w:sz w:val="21"/>
                <w:szCs w:val="21"/>
              </w:rPr>
              <w:t>表层0-0.2m</w:t>
            </w:r>
          </w:p>
        </w:tc>
        <w:tc>
          <w:tcPr>
            <w:tcW w:w="678"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2560" w:type="dxa"/>
            <w:vAlign w:val="center"/>
          </w:tcPr>
          <w:p w:rsidR="00C645C9" w:rsidRDefault="00F955D9">
            <w:pPr>
              <w:adjustRightInd w:val="0"/>
              <w:snapToGrid w:val="0"/>
              <w:jc w:val="center"/>
              <w:rPr>
                <w:rFonts w:eastAsia="Times New Roman" w:cs="Times New Roman"/>
                <w:spacing w:val="-1"/>
                <w:sz w:val="21"/>
                <w:szCs w:val="21"/>
              </w:rPr>
            </w:pPr>
            <w:r>
              <w:rPr>
                <w:rFonts w:cs="Times New Roman" w:hint="eastAsia"/>
                <w:sz w:val="21"/>
                <w:szCs w:val="21"/>
              </w:rPr>
              <w:t>**</w:t>
            </w:r>
          </w:p>
        </w:tc>
        <w:tc>
          <w:tcPr>
            <w:tcW w:w="1526" w:type="dxa"/>
            <w:vAlign w:val="center"/>
          </w:tcPr>
          <w:p w:rsidR="00C645C9" w:rsidRDefault="00F955D9">
            <w:pPr>
              <w:spacing w:before="70" w:line="188" w:lineRule="auto"/>
              <w:jc w:val="center"/>
              <w:rPr>
                <w:rFonts w:eastAsia="Times New Roman" w:cs="Times New Roman"/>
                <w:spacing w:val="-1"/>
                <w:sz w:val="21"/>
                <w:szCs w:val="21"/>
                <w:lang w:eastAsia="en-US"/>
              </w:rPr>
            </w:pPr>
            <w:r>
              <w:rPr>
                <w:rFonts w:cs="Times New Roman"/>
                <w:spacing w:val="-2"/>
                <w:kern w:val="2"/>
                <w:sz w:val="21"/>
                <w:szCs w:val="21"/>
                <w:lang w:eastAsia="en-US"/>
              </w:rPr>
              <w:t>重度盐化</w:t>
            </w:r>
          </w:p>
        </w:tc>
        <w:tc>
          <w:tcPr>
            <w:tcW w:w="1526" w:type="dxa"/>
            <w:vAlign w:val="center"/>
          </w:tcPr>
          <w:p w:rsidR="00C645C9" w:rsidRDefault="00F955D9">
            <w:pPr>
              <w:spacing w:before="70" w:line="188" w:lineRule="auto"/>
              <w:jc w:val="center"/>
              <w:rPr>
                <w:rFonts w:cs="Times New Roman"/>
                <w:spacing w:val="-2"/>
                <w:kern w:val="2"/>
                <w:sz w:val="21"/>
                <w:szCs w:val="21"/>
                <w:lang w:eastAsia="en-US"/>
              </w:rPr>
            </w:pPr>
            <w:r>
              <w:rPr>
                <w:rFonts w:eastAsia="Times New Roman" w:cs="Times New Roman"/>
                <w:spacing w:val="-1"/>
                <w:sz w:val="21"/>
                <w:szCs w:val="21"/>
                <w:lang w:eastAsia="en-US"/>
              </w:rPr>
              <w:t>无酸化或碱化</w:t>
            </w:r>
          </w:p>
        </w:tc>
      </w:tr>
    </w:tbl>
    <w:p w:rsidR="00C645C9" w:rsidRDefault="00C645C9">
      <w:pPr>
        <w:pStyle w:val="11"/>
        <w:rPr>
          <w:lang w:val="zh-CN"/>
        </w:rPr>
        <w:sectPr w:rsidR="00C645C9">
          <w:pgSz w:w="11906" w:h="16838"/>
          <w:pgMar w:top="1440" w:right="1800" w:bottom="1440" w:left="1800" w:header="851" w:footer="992" w:gutter="0"/>
          <w:cols w:space="425"/>
          <w:docGrid w:type="lines" w:linePitch="312"/>
        </w:sectPr>
      </w:pPr>
    </w:p>
    <w:p w:rsidR="00C645C9" w:rsidRDefault="00F955D9">
      <w:pPr>
        <w:pStyle w:val="2"/>
        <w:widowControl w:val="0"/>
        <w:adjustRightInd w:val="0"/>
        <w:snapToGrid w:val="0"/>
        <w:spacing w:after="0" w:line="360" w:lineRule="auto"/>
        <w:rPr>
          <w:rFonts w:ascii="Times New Roman" w:hAnsi="Times New Roman" w:cs="Times New Roman"/>
          <w:color w:val="auto"/>
          <w:sz w:val="28"/>
          <w:lang w:eastAsia="zh-CN"/>
        </w:rPr>
      </w:pPr>
      <w:bookmarkStart w:id="1390" w:name="_Toc10016"/>
      <w:r>
        <w:rPr>
          <w:rFonts w:ascii="Times New Roman" w:hAnsi="Times New Roman" w:cs="Times New Roman"/>
          <w:color w:val="auto"/>
          <w:lang w:eastAsia="zh-CN"/>
        </w:rPr>
        <w:lastRenderedPageBreak/>
        <w:t>4.</w:t>
      </w:r>
      <w:bookmarkStart w:id="1391" w:name="_Toc75438895"/>
      <w:bookmarkStart w:id="1392" w:name="_Toc31206"/>
      <w:bookmarkStart w:id="1393" w:name="_Toc75438894"/>
      <w:bookmarkStart w:id="1394" w:name="_Toc13474"/>
      <w:r>
        <w:rPr>
          <w:rFonts w:ascii="Times New Roman" w:hAnsi="Times New Roman" w:cs="Times New Roman" w:hint="eastAsia"/>
          <w:color w:val="auto"/>
          <w:lang w:eastAsia="zh-CN"/>
        </w:rPr>
        <w:t>6</w:t>
      </w:r>
      <w:bookmarkEnd w:id="1391"/>
      <w:bookmarkEnd w:id="1392"/>
      <w:r>
        <w:rPr>
          <w:rFonts w:ascii="Times New Roman" w:hAnsi="Times New Roman" w:cs="Times New Roman"/>
          <w:color w:val="auto"/>
          <w:sz w:val="28"/>
          <w:lang w:eastAsia="zh-CN"/>
        </w:rPr>
        <w:t>大气环境现状调查与评价</w:t>
      </w:r>
      <w:bookmarkEnd w:id="1390"/>
    </w:p>
    <w:p w:rsidR="00C645C9" w:rsidRDefault="00F955D9">
      <w:pPr>
        <w:pStyle w:val="3"/>
        <w:widowControl w:val="0"/>
        <w:adjustRightInd w:val="0"/>
        <w:snapToGrid w:val="0"/>
        <w:spacing w:before="0" w:after="0" w:line="360" w:lineRule="auto"/>
        <w:rPr>
          <w:rFonts w:ascii="Times New Roman" w:hAnsi="Times New Roman" w:cs="Times New Roman"/>
          <w:color w:val="auto"/>
          <w:szCs w:val="28"/>
          <w:lang w:eastAsia="zh-CN"/>
        </w:rPr>
      </w:pPr>
      <w:bookmarkStart w:id="1395" w:name="_Toc10290"/>
      <w:bookmarkStart w:id="1396" w:name="_Toc25540"/>
      <w:bookmarkStart w:id="1397" w:name="_Toc23959"/>
      <w:bookmarkStart w:id="1398" w:name="_Hlk48604214"/>
      <w:r>
        <w:rPr>
          <w:rFonts w:ascii="Times New Roman" w:hAnsi="Times New Roman" w:cs="Times New Roman"/>
          <w:color w:val="auto"/>
          <w:szCs w:val="28"/>
          <w:lang w:eastAsia="zh-CN"/>
        </w:rPr>
        <w:t>4.</w:t>
      </w:r>
      <w:r>
        <w:rPr>
          <w:rFonts w:ascii="Times New Roman" w:hAnsi="Times New Roman" w:cs="Times New Roman" w:hint="eastAsia"/>
          <w:color w:val="auto"/>
          <w:szCs w:val="28"/>
          <w:lang w:eastAsia="zh-CN"/>
        </w:rPr>
        <w:t>6</w:t>
      </w:r>
      <w:r>
        <w:rPr>
          <w:rFonts w:ascii="Times New Roman" w:hAnsi="Times New Roman" w:cs="Times New Roman"/>
          <w:color w:val="auto"/>
          <w:szCs w:val="28"/>
          <w:lang w:eastAsia="zh-CN"/>
        </w:rPr>
        <w:t>.1</w:t>
      </w:r>
      <w:bookmarkEnd w:id="1395"/>
      <w:bookmarkEnd w:id="1396"/>
      <w:bookmarkEnd w:id="1397"/>
      <w:r>
        <w:rPr>
          <w:rFonts w:ascii="Times New Roman" w:hAnsi="Times New Roman" w:cs="Times New Roman"/>
          <w:color w:val="auto"/>
          <w:szCs w:val="28"/>
          <w:lang w:eastAsia="zh-CN"/>
        </w:rPr>
        <w:t>基本污染物环境质量现状调查</w:t>
      </w:r>
    </w:p>
    <w:p w:rsidR="00C645C9" w:rsidRDefault="00F955D9">
      <w:pPr>
        <w:widowControl w:val="0"/>
        <w:adjustRightInd w:val="0"/>
        <w:spacing w:line="360" w:lineRule="auto"/>
        <w:ind w:firstLineChars="200" w:firstLine="480"/>
        <w:jc w:val="both"/>
        <w:rPr>
          <w:rFonts w:cs="Times New Roman"/>
        </w:rPr>
      </w:pPr>
      <w:r>
        <w:rPr>
          <w:rFonts w:cs="Times New Roman"/>
        </w:rPr>
        <w:t>本工程</w:t>
      </w:r>
      <w:r>
        <w:rPr>
          <w:rFonts w:cs="Times New Roman"/>
        </w:rPr>
        <w:t>地处阿克苏地区</w:t>
      </w:r>
      <w:bookmarkStart w:id="1399" w:name="OLE_LINK596"/>
      <w:r>
        <w:rPr>
          <w:rFonts w:cs="Times New Roman" w:hint="eastAsia"/>
        </w:rPr>
        <w:t>新和县</w:t>
      </w:r>
      <w:bookmarkEnd w:id="1399"/>
      <w:r>
        <w:rPr>
          <w:rFonts w:cs="Times New Roman"/>
        </w:rPr>
        <w:t>，根据</w:t>
      </w:r>
      <w:bookmarkStart w:id="1400" w:name="OLE_LINK602"/>
      <w:r>
        <w:rPr>
          <w:rFonts w:cs="Times New Roman"/>
        </w:rPr>
        <w:t>《</w:t>
      </w:r>
      <w:bookmarkStart w:id="1401" w:name="OLE_LINK594"/>
      <w:r>
        <w:rPr>
          <w:rFonts w:cs="Times New Roman"/>
        </w:rPr>
        <w:t>环境影响评价技术导则</w:t>
      </w:r>
      <w:r>
        <w:rPr>
          <w:rFonts w:cs="Times New Roman" w:hint="eastAsia"/>
        </w:rPr>
        <w:t xml:space="preserve"> </w:t>
      </w:r>
      <w:r>
        <w:rPr>
          <w:rFonts w:cs="Times New Roman"/>
        </w:rPr>
        <w:t>大气环境</w:t>
      </w:r>
      <w:bookmarkEnd w:id="1401"/>
      <w:r>
        <w:rPr>
          <w:rFonts w:cs="Times New Roman"/>
        </w:rPr>
        <w:t>》</w:t>
      </w:r>
      <w:r>
        <w:rPr>
          <w:rFonts w:cs="Times New Roman"/>
        </w:rPr>
        <w:t>（</w:t>
      </w:r>
      <w:bookmarkStart w:id="1402" w:name="OLE_LINK595"/>
      <w:r>
        <w:rPr>
          <w:rFonts w:cs="Times New Roman"/>
        </w:rPr>
        <w:t>HJ</w:t>
      </w:r>
      <w:bookmarkEnd w:id="1402"/>
      <w:r>
        <w:rPr>
          <w:rFonts w:cs="Times New Roman"/>
        </w:rPr>
        <w:t>2.2-2018</w:t>
      </w:r>
      <w:r>
        <w:rPr>
          <w:rFonts w:cs="Times New Roman"/>
        </w:rPr>
        <w:t>）</w:t>
      </w:r>
      <w:bookmarkEnd w:id="1400"/>
      <w:r>
        <w:rPr>
          <w:rFonts w:cs="Times New Roman"/>
        </w:rPr>
        <w:t>对环境质量现状数据的要求，</w:t>
      </w:r>
      <w:r>
        <w:rPr>
          <w:rFonts w:cs="Times New Roman"/>
          <w:bCs/>
        </w:rPr>
        <w:t>空气质量现状主要指标包括：细颗粒物（</w:t>
      </w:r>
      <w:r>
        <w:rPr>
          <w:rFonts w:cs="Times New Roman"/>
          <w:bCs/>
        </w:rPr>
        <w:t>PM</w:t>
      </w:r>
      <w:r>
        <w:rPr>
          <w:rFonts w:cs="Times New Roman"/>
          <w:bCs/>
          <w:vertAlign w:val="subscript"/>
        </w:rPr>
        <w:t>2.5</w:t>
      </w:r>
      <w:r>
        <w:rPr>
          <w:rFonts w:cs="Times New Roman"/>
          <w:bCs/>
        </w:rPr>
        <w:t>）、</w:t>
      </w:r>
      <w:r>
        <w:rPr>
          <w:rFonts w:cs="Times New Roman"/>
          <w:bCs/>
        </w:rPr>
        <w:t>二氧化硫（</w:t>
      </w:r>
      <w:r>
        <w:rPr>
          <w:rFonts w:cs="Times New Roman"/>
          <w:bCs/>
        </w:rPr>
        <w:t>SO</w:t>
      </w:r>
      <w:r>
        <w:rPr>
          <w:rFonts w:cs="Times New Roman"/>
          <w:bCs/>
          <w:vertAlign w:val="subscript"/>
        </w:rPr>
        <w:t>2</w:t>
      </w:r>
      <w:r>
        <w:rPr>
          <w:rFonts w:cs="Times New Roman"/>
          <w:bCs/>
        </w:rPr>
        <w:t>）、二氧化氮（</w:t>
      </w:r>
      <w:r>
        <w:rPr>
          <w:rFonts w:cs="Times New Roman"/>
          <w:bCs/>
        </w:rPr>
        <w:t>NO</w:t>
      </w:r>
      <w:r>
        <w:rPr>
          <w:rFonts w:cs="Times New Roman"/>
          <w:bCs/>
          <w:vertAlign w:val="subscript"/>
        </w:rPr>
        <w:t>2</w:t>
      </w:r>
      <w:r>
        <w:rPr>
          <w:rFonts w:cs="Times New Roman"/>
          <w:bCs/>
        </w:rPr>
        <w:t>）、可吸入颗粒物（</w:t>
      </w:r>
      <w:r>
        <w:rPr>
          <w:rFonts w:cs="Times New Roman"/>
          <w:bCs/>
        </w:rPr>
        <w:t>PM</w:t>
      </w:r>
      <w:r>
        <w:rPr>
          <w:rFonts w:cs="Times New Roman"/>
          <w:bCs/>
          <w:vertAlign w:val="subscript"/>
        </w:rPr>
        <w:t>10</w:t>
      </w:r>
      <w:r>
        <w:rPr>
          <w:rFonts w:cs="Times New Roman"/>
          <w:bCs/>
        </w:rPr>
        <w:t>）、一氧化碳（</w:t>
      </w:r>
      <w:r>
        <w:rPr>
          <w:rFonts w:cs="Times New Roman"/>
          <w:bCs/>
        </w:rPr>
        <w:t>CO</w:t>
      </w:r>
      <w:r>
        <w:rPr>
          <w:rFonts w:cs="Times New Roman"/>
          <w:bCs/>
        </w:rPr>
        <w:t>）、臭氧（</w:t>
      </w:r>
      <w:r>
        <w:rPr>
          <w:rFonts w:cs="Times New Roman"/>
          <w:bCs/>
        </w:rPr>
        <w:t>O</w:t>
      </w:r>
      <w:r>
        <w:rPr>
          <w:rFonts w:cs="Times New Roman"/>
          <w:bCs/>
          <w:vertAlign w:val="subscript"/>
        </w:rPr>
        <w:t>3</w:t>
      </w:r>
      <w:r>
        <w:rPr>
          <w:rFonts w:cs="Times New Roman"/>
          <w:bCs/>
        </w:rPr>
        <w:t>）</w:t>
      </w:r>
      <w:r>
        <w:rPr>
          <w:rFonts w:cs="Times New Roman"/>
        </w:rPr>
        <w:t>。</w:t>
      </w:r>
    </w:p>
    <w:p w:rsidR="00C645C9" w:rsidRDefault="00F955D9">
      <w:pPr>
        <w:spacing w:line="360" w:lineRule="auto"/>
        <w:ind w:firstLineChars="200" w:firstLine="480"/>
        <w:rPr>
          <w:rFonts w:cs="Times New Roman"/>
        </w:rPr>
      </w:pPr>
      <w:r>
        <w:rPr>
          <w:rFonts w:cs="Times New Roman"/>
        </w:rPr>
        <w:t>本次评价采用阿克苏地区行政公署发布的《</w:t>
      </w:r>
      <w:r>
        <w:rPr>
          <w:rFonts w:cs="Times New Roman"/>
        </w:rPr>
        <w:t>202</w:t>
      </w:r>
      <w:r>
        <w:rPr>
          <w:rFonts w:cs="Times New Roman"/>
        </w:rPr>
        <w:t>3</w:t>
      </w:r>
      <w:r>
        <w:rPr>
          <w:rFonts w:cs="Times New Roman"/>
        </w:rPr>
        <w:t>年</w:t>
      </w:r>
      <w:bookmarkStart w:id="1403" w:name="OLE_LINK597"/>
      <w:r>
        <w:rPr>
          <w:rFonts w:cs="Times New Roman"/>
        </w:rPr>
        <w:t>阿克苏地区</w:t>
      </w:r>
      <w:bookmarkStart w:id="1404" w:name="OLE_LINK598"/>
      <w:bookmarkEnd w:id="1403"/>
      <w:r>
        <w:rPr>
          <w:rFonts w:cs="Times New Roman"/>
        </w:rPr>
        <w:t>各县</w:t>
      </w:r>
      <w:r>
        <w:rPr>
          <w:rFonts w:cs="Times New Roman"/>
        </w:rPr>
        <w:t>（</w:t>
      </w:r>
      <w:r>
        <w:rPr>
          <w:rFonts w:cs="Times New Roman"/>
        </w:rPr>
        <w:t>市</w:t>
      </w:r>
      <w:r>
        <w:rPr>
          <w:rFonts w:cs="Times New Roman"/>
        </w:rPr>
        <w:t>）</w:t>
      </w:r>
      <w:r>
        <w:rPr>
          <w:rFonts w:cs="Times New Roman"/>
        </w:rPr>
        <w:t>环境空气质量状况公示</w:t>
      </w:r>
      <w:bookmarkEnd w:id="1404"/>
      <w:r>
        <w:rPr>
          <w:rFonts w:cs="Times New Roman"/>
        </w:rPr>
        <w:t>报告》</w:t>
      </w:r>
      <w:r>
        <w:rPr>
          <w:rFonts w:cs="Times New Roman"/>
        </w:rPr>
        <w:t>中</w:t>
      </w:r>
      <w:r>
        <w:rPr>
          <w:rFonts w:cs="Times New Roman" w:hint="eastAsia"/>
        </w:rPr>
        <w:t>新和县</w:t>
      </w:r>
      <w:r>
        <w:rPr>
          <w:rFonts w:cs="Times New Roman"/>
        </w:rPr>
        <w:t>的监测数据，</w:t>
      </w:r>
      <w:r>
        <w:rPr>
          <w:rFonts w:cs="Times New Roman"/>
        </w:rPr>
        <w:t>作为环境空气现状评价基本污染物</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CO</w:t>
      </w:r>
      <w:r>
        <w:rPr>
          <w:rFonts w:cs="Times New Roman"/>
        </w:rPr>
        <w:t>、</w:t>
      </w:r>
      <w:r>
        <w:rPr>
          <w:rFonts w:cs="Times New Roman"/>
        </w:rPr>
        <w:t>O</w:t>
      </w:r>
      <w:r>
        <w:rPr>
          <w:rFonts w:cs="Times New Roman"/>
          <w:vertAlign w:val="subscript"/>
        </w:rPr>
        <w:t>3</w:t>
      </w:r>
      <w:r>
        <w:rPr>
          <w:rFonts w:cs="Times New Roman"/>
        </w:rPr>
        <w:t>、</w:t>
      </w:r>
      <w:r>
        <w:rPr>
          <w:rFonts w:cs="Times New Roman"/>
        </w:rPr>
        <w:t>PM</w:t>
      </w:r>
      <w:r>
        <w:rPr>
          <w:rFonts w:cs="Times New Roman"/>
          <w:vertAlign w:val="subscript"/>
        </w:rPr>
        <w:t>10</w:t>
      </w:r>
      <w:r>
        <w:rPr>
          <w:rFonts w:cs="Times New Roman"/>
        </w:rPr>
        <w:t>和</w:t>
      </w:r>
      <w:r>
        <w:rPr>
          <w:rFonts w:cs="Times New Roman"/>
        </w:rPr>
        <w:t>PM</w:t>
      </w:r>
      <w:r>
        <w:rPr>
          <w:rFonts w:cs="Times New Roman"/>
          <w:vertAlign w:val="subscript"/>
        </w:rPr>
        <w:t>2.5</w:t>
      </w:r>
      <w:r>
        <w:rPr>
          <w:rFonts w:cs="Times New Roman"/>
        </w:rPr>
        <w:t>的数据来源。空气质量达标区判定结果见表</w:t>
      </w:r>
      <w:r>
        <w:rPr>
          <w:rFonts w:cs="Times New Roman"/>
        </w:rPr>
        <w:t>4.6-1</w:t>
      </w:r>
      <w:r>
        <w:rPr>
          <w:rFonts w:cs="Times New Roman"/>
        </w:rPr>
        <w:t>。</w:t>
      </w:r>
    </w:p>
    <w:p w:rsidR="00C645C9" w:rsidRDefault="00F955D9">
      <w:pPr>
        <w:adjustRightInd w:val="0"/>
        <w:snapToGrid w:val="0"/>
        <w:jc w:val="center"/>
        <w:rPr>
          <w:rFonts w:eastAsia="黑体" w:cs="Times New Roman"/>
          <w:sz w:val="21"/>
          <w:szCs w:val="21"/>
          <w:lang w:val="zh-CN"/>
        </w:rPr>
      </w:pPr>
      <w:bookmarkStart w:id="1405" w:name="OLE_LINK599"/>
      <w:r>
        <w:rPr>
          <w:rFonts w:eastAsia="黑体" w:cs="Times New Roman"/>
          <w:sz w:val="21"/>
          <w:szCs w:val="21"/>
          <w:lang w:val="zh-CN"/>
        </w:rPr>
        <w:t>表</w:t>
      </w:r>
      <w:r>
        <w:rPr>
          <w:rFonts w:eastAsia="黑体" w:cs="Times New Roman"/>
          <w:sz w:val="21"/>
          <w:szCs w:val="21"/>
          <w:lang w:val="zh-CN"/>
        </w:rPr>
        <w:t>4.</w:t>
      </w:r>
      <w:r>
        <w:rPr>
          <w:rFonts w:eastAsia="黑体" w:cs="Times New Roman" w:hint="eastAsia"/>
          <w:sz w:val="21"/>
          <w:szCs w:val="21"/>
        </w:rPr>
        <w:t>6</w:t>
      </w:r>
      <w:r>
        <w:rPr>
          <w:rFonts w:eastAsia="黑体" w:cs="Times New Roman"/>
          <w:sz w:val="21"/>
          <w:szCs w:val="21"/>
          <w:lang w:val="zh-CN"/>
        </w:rPr>
        <w:t>-1</w:t>
      </w:r>
      <w:r>
        <w:rPr>
          <w:rFonts w:eastAsia="黑体" w:cs="Times New Roman"/>
          <w:sz w:val="21"/>
          <w:szCs w:val="21"/>
        </w:rPr>
        <w:t xml:space="preserve">   </w:t>
      </w:r>
      <w:r>
        <w:rPr>
          <w:rFonts w:eastAsia="黑体" w:cs="Times New Roman"/>
          <w:sz w:val="21"/>
          <w:szCs w:val="21"/>
        </w:rPr>
        <w:t>新和县基本污染物环境空气质量现状评价一览表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496"/>
        <w:gridCol w:w="1214"/>
        <w:gridCol w:w="1214"/>
        <w:gridCol w:w="1173"/>
        <w:gridCol w:w="1212"/>
      </w:tblGrid>
      <w:tr w:rsidR="00C645C9">
        <w:trPr>
          <w:trHeight w:val="283"/>
        </w:trPr>
        <w:tc>
          <w:tcPr>
            <w:tcW w:w="711" w:type="pct"/>
            <w:vMerge w:val="restar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评价因子</w:t>
            </w:r>
          </w:p>
        </w:tc>
        <w:tc>
          <w:tcPr>
            <w:tcW w:w="1463" w:type="pct"/>
            <w:vMerge w:val="restar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年评价指标</w:t>
            </w: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现状浓度</w:t>
            </w: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标准限值</w:t>
            </w:r>
          </w:p>
        </w:tc>
        <w:tc>
          <w:tcPr>
            <w:tcW w:w="688" w:type="pct"/>
            <w:vMerge w:val="restar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占标率</w:t>
            </w:r>
            <w:r>
              <w:rPr>
                <w:rFonts w:cs="Times New Roman"/>
                <w:sz w:val="21"/>
                <w:szCs w:val="21"/>
                <w:lang w:bidi="ar"/>
              </w:rPr>
              <w:t>%</w:t>
            </w:r>
          </w:p>
        </w:tc>
        <w:tc>
          <w:tcPr>
            <w:tcW w:w="711" w:type="pct"/>
            <w:vMerge w:val="restar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达标情况</w:t>
            </w:r>
          </w:p>
        </w:tc>
      </w:tr>
      <w:tr w:rsidR="00C645C9">
        <w:trPr>
          <w:trHeight w:val="283"/>
        </w:trPr>
        <w:tc>
          <w:tcPr>
            <w:tcW w:w="711" w:type="pct"/>
            <w:vMerge/>
            <w:vAlign w:val="center"/>
          </w:tcPr>
          <w:p w:rsidR="00C645C9" w:rsidRDefault="00C645C9">
            <w:pPr>
              <w:widowControl w:val="0"/>
              <w:adjustRightInd w:val="0"/>
              <w:snapToGrid w:val="0"/>
              <w:jc w:val="center"/>
              <w:rPr>
                <w:rFonts w:cs="Times New Roman"/>
                <w:sz w:val="21"/>
                <w:szCs w:val="21"/>
                <w:lang w:bidi="ar"/>
              </w:rPr>
            </w:pPr>
          </w:p>
        </w:tc>
        <w:tc>
          <w:tcPr>
            <w:tcW w:w="1463" w:type="pct"/>
            <w:vMerge/>
            <w:vAlign w:val="center"/>
          </w:tcPr>
          <w:p w:rsidR="00C645C9" w:rsidRDefault="00C645C9">
            <w:pPr>
              <w:widowControl w:val="0"/>
              <w:adjustRightInd w:val="0"/>
              <w:snapToGrid w:val="0"/>
              <w:jc w:val="center"/>
              <w:rPr>
                <w:rFonts w:cs="Times New Roman"/>
                <w:sz w:val="21"/>
                <w:szCs w:val="21"/>
                <w:lang w:bidi="ar"/>
              </w:rPr>
            </w:pP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μg/</w:t>
            </w:r>
            <w:r>
              <w:rPr>
                <w:rFonts w:cs="Times New Roman"/>
                <w:sz w:val="21"/>
                <w:szCs w:val="21"/>
                <w:lang w:bidi="ar"/>
              </w:rPr>
              <w:t>m</w:t>
            </w:r>
            <w:r>
              <w:rPr>
                <w:rFonts w:cs="Times New Roman"/>
                <w:sz w:val="21"/>
                <w:szCs w:val="21"/>
                <w:vertAlign w:val="superscript"/>
                <w:lang w:bidi="ar"/>
              </w:rPr>
              <w:t>3</w:t>
            </w: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μg/</w:t>
            </w:r>
            <w:r>
              <w:rPr>
                <w:rFonts w:cs="Times New Roman"/>
                <w:sz w:val="21"/>
                <w:szCs w:val="21"/>
                <w:lang w:bidi="ar"/>
              </w:rPr>
              <w:t>m</w:t>
            </w:r>
            <w:r>
              <w:rPr>
                <w:rFonts w:cs="Times New Roman"/>
                <w:sz w:val="21"/>
                <w:szCs w:val="21"/>
                <w:vertAlign w:val="superscript"/>
                <w:lang w:bidi="ar"/>
              </w:rPr>
              <w:t>3</w:t>
            </w:r>
          </w:p>
        </w:tc>
        <w:tc>
          <w:tcPr>
            <w:tcW w:w="688" w:type="pct"/>
            <w:vMerge/>
            <w:vAlign w:val="center"/>
          </w:tcPr>
          <w:p w:rsidR="00C645C9" w:rsidRDefault="00C645C9">
            <w:pPr>
              <w:widowControl w:val="0"/>
              <w:adjustRightInd w:val="0"/>
              <w:snapToGrid w:val="0"/>
              <w:jc w:val="center"/>
              <w:rPr>
                <w:rFonts w:cs="Times New Roman"/>
                <w:sz w:val="21"/>
                <w:szCs w:val="21"/>
                <w:lang w:bidi="ar"/>
              </w:rPr>
            </w:pPr>
          </w:p>
        </w:tc>
        <w:tc>
          <w:tcPr>
            <w:tcW w:w="711" w:type="pct"/>
            <w:vMerge/>
            <w:vAlign w:val="center"/>
          </w:tcPr>
          <w:p w:rsidR="00C645C9" w:rsidRDefault="00C645C9">
            <w:pPr>
              <w:widowControl w:val="0"/>
              <w:adjustRightInd w:val="0"/>
              <w:snapToGrid w:val="0"/>
              <w:jc w:val="center"/>
              <w:rPr>
                <w:rFonts w:cs="Times New Roman"/>
                <w:sz w:val="21"/>
                <w:szCs w:val="21"/>
                <w:lang w:bidi="ar"/>
              </w:rPr>
            </w:pPr>
          </w:p>
        </w:tc>
      </w:tr>
      <w:tr w:rsidR="00C645C9">
        <w:trPr>
          <w:trHeight w:val="283"/>
        </w:trPr>
        <w:tc>
          <w:tcPr>
            <w:tcW w:w="711" w:type="pct"/>
            <w:vAlign w:val="center"/>
          </w:tcPr>
          <w:p w:rsidR="00C645C9" w:rsidRDefault="00F955D9">
            <w:pPr>
              <w:widowControl w:val="0"/>
              <w:adjustRightInd w:val="0"/>
              <w:snapToGrid w:val="0"/>
              <w:jc w:val="center"/>
              <w:rPr>
                <w:rFonts w:cs="Times New Roman"/>
                <w:sz w:val="21"/>
                <w:szCs w:val="21"/>
                <w:lang w:bidi="ar"/>
              </w:rPr>
            </w:pPr>
            <w:bookmarkStart w:id="1406" w:name="OLE_LINK600" w:colFirst="2" w:colLast="2"/>
            <w:r>
              <w:rPr>
                <w:rFonts w:cs="Times New Roman"/>
                <w:sz w:val="21"/>
                <w:szCs w:val="21"/>
                <w:lang w:bidi="ar"/>
              </w:rPr>
              <w:t>SO</w:t>
            </w:r>
            <w:r>
              <w:rPr>
                <w:rFonts w:cs="Times New Roman"/>
                <w:sz w:val="21"/>
                <w:szCs w:val="21"/>
                <w:vertAlign w:val="subscript"/>
                <w:lang w:bidi="ar"/>
              </w:rPr>
              <w:t>2</w:t>
            </w:r>
          </w:p>
        </w:tc>
        <w:tc>
          <w:tcPr>
            <w:tcW w:w="1463" w:type="pct"/>
            <w:vAlign w:val="center"/>
          </w:tcPr>
          <w:p w:rsidR="00C645C9" w:rsidRDefault="00F955D9">
            <w:pPr>
              <w:widowControl w:val="0"/>
              <w:adjustRightInd w:val="0"/>
              <w:snapToGrid w:val="0"/>
              <w:jc w:val="center"/>
              <w:rPr>
                <w:rFonts w:cs="Times New Roman"/>
                <w:sz w:val="21"/>
                <w:szCs w:val="21"/>
                <w:lang w:bidi="ar"/>
              </w:rPr>
            </w:pPr>
            <w:r>
              <w:rPr>
                <w:rFonts w:cs="Times New Roman"/>
                <w:sz w:val="21"/>
                <w:szCs w:val="21"/>
                <w:lang w:bidi="ar"/>
              </w:rPr>
              <w:t>年平均</w:t>
            </w: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712" w:type="pct"/>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1" w:type="pct"/>
            <w:vAlign w:val="center"/>
          </w:tcPr>
          <w:p w:rsidR="00C645C9" w:rsidRDefault="00F955D9">
            <w:pPr>
              <w:widowControl w:val="0"/>
              <w:adjustRightInd w:val="0"/>
              <w:snapToGrid w:val="0"/>
              <w:jc w:val="center"/>
              <w:rPr>
                <w:rFonts w:cs="Times New Roman"/>
                <w:sz w:val="21"/>
                <w:szCs w:val="21"/>
                <w:lang w:bidi="ar"/>
              </w:rPr>
            </w:pPr>
            <w:r>
              <w:rPr>
                <w:rFonts w:cs="Times New Roman" w:hint="eastAsia"/>
                <w:sz w:val="21"/>
                <w:szCs w:val="21"/>
              </w:rPr>
              <w:t>**</w:t>
            </w:r>
          </w:p>
        </w:tc>
      </w:tr>
      <w:tr w:rsidR="00C645C9">
        <w:trPr>
          <w:trHeight w:val="283"/>
        </w:trPr>
        <w:tc>
          <w:tcPr>
            <w:tcW w:w="711" w:type="pct"/>
            <w:vAlign w:val="center"/>
          </w:tcPr>
          <w:p w:rsidR="00C645C9" w:rsidRDefault="00F955D9">
            <w:pPr>
              <w:adjustRightInd w:val="0"/>
              <w:snapToGrid w:val="0"/>
              <w:jc w:val="center"/>
              <w:rPr>
                <w:rFonts w:cs="Times New Roman"/>
                <w:sz w:val="21"/>
                <w:szCs w:val="21"/>
              </w:rPr>
            </w:pPr>
            <w:r>
              <w:rPr>
                <w:rFonts w:cs="Times New Roman"/>
                <w:sz w:val="21"/>
                <w:szCs w:val="21"/>
              </w:rPr>
              <w:t>NO</w:t>
            </w:r>
            <w:r>
              <w:rPr>
                <w:rFonts w:cs="Times New Roman"/>
                <w:sz w:val="21"/>
                <w:szCs w:val="21"/>
                <w:vertAlign w:val="subscript"/>
              </w:rPr>
              <w:t>2</w:t>
            </w:r>
          </w:p>
        </w:tc>
        <w:tc>
          <w:tcPr>
            <w:tcW w:w="1463" w:type="pct"/>
            <w:vAlign w:val="center"/>
          </w:tcPr>
          <w:p w:rsidR="00C645C9" w:rsidRDefault="00F955D9">
            <w:pPr>
              <w:adjustRightInd w:val="0"/>
              <w:snapToGrid w:val="0"/>
              <w:jc w:val="center"/>
              <w:rPr>
                <w:rFonts w:cs="Times New Roman"/>
                <w:sz w:val="21"/>
                <w:szCs w:val="21"/>
              </w:rPr>
            </w:pPr>
            <w:r>
              <w:rPr>
                <w:rFonts w:cs="Times New Roman"/>
                <w:sz w:val="21"/>
                <w:szCs w:val="21"/>
              </w:rPr>
              <w:t>年平均</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1"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83"/>
        </w:trPr>
        <w:tc>
          <w:tcPr>
            <w:tcW w:w="711" w:type="pct"/>
            <w:vAlign w:val="center"/>
          </w:tcPr>
          <w:p w:rsidR="00C645C9" w:rsidRDefault="00F955D9">
            <w:pPr>
              <w:adjustRightInd w:val="0"/>
              <w:snapToGrid w:val="0"/>
              <w:jc w:val="center"/>
              <w:rPr>
                <w:rFonts w:cs="Times New Roman"/>
                <w:sz w:val="21"/>
                <w:szCs w:val="21"/>
              </w:rPr>
            </w:pPr>
            <w:r>
              <w:rPr>
                <w:rFonts w:cs="Times New Roman"/>
                <w:sz w:val="21"/>
                <w:szCs w:val="21"/>
              </w:rPr>
              <w:t>CO</w:t>
            </w:r>
          </w:p>
        </w:tc>
        <w:tc>
          <w:tcPr>
            <w:tcW w:w="1463" w:type="pct"/>
            <w:vAlign w:val="center"/>
          </w:tcPr>
          <w:p w:rsidR="00C645C9" w:rsidRDefault="00F955D9">
            <w:pPr>
              <w:adjustRightInd w:val="0"/>
              <w:snapToGrid w:val="0"/>
              <w:jc w:val="center"/>
              <w:rPr>
                <w:rFonts w:cs="Times New Roman"/>
                <w:sz w:val="21"/>
                <w:szCs w:val="21"/>
              </w:rPr>
            </w:pPr>
            <w:r>
              <w:rPr>
                <w:rFonts w:cs="Times New Roman"/>
                <w:sz w:val="21"/>
                <w:szCs w:val="21"/>
              </w:rPr>
              <w:t>第</w:t>
            </w:r>
            <w:r>
              <w:rPr>
                <w:rFonts w:cs="Times New Roman"/>
                <w:sz w:val="21"/>
                <w:szCs w:val="21"/>
              </w:rPr>
              <w:t>95</w:t>
            </w:r>
            <w:r>
              <w:rPr>
                <w:rFonts w:cs="Times New Roman"/>
                <w:sz w:val="21"/>
                <w:szCs w:val="21"/>
              </w:rPr>
              <w:t>百分位数日平均</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1"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83"/>
        </w:trPr>
        <w:tc>
          <w:tcPr>
            <w:tcW w:w="711" w:type="pct"/>
            <w:vAlign w:val="center"/>
          </w:tcPr>
          <w:p w:rsidR="00C645C9" w:rsidRDefault="00F955D9">
            <w:pPr>
              <w:adjustRightInd w:val="0"/>
              <w:snapToGrid w:val="0"/>
              <w:jc w:val="center"/>
              <w:rPr>
                <w:rFonts w:cs="Times New Roman"/>
                <w:sz w:val="21"/>
                <w:szCs w:val="21"/>
              </w:rPr>
            </w:pPr>
            <w:r>
              <w:rPr>
                <w:rFonts w:cs="Times New Roman"/>
                <w:sz w:val="21"/>
                <w:szCs w:val="21"/>
              </w:rPr>
              <w:t>O</w:t>
            </w:r>
            <w:r>
              <w:rPr>
                <w:rFonts w:cs="Times New Roman"/>
                <w:sz w:val="21"/>
                <w:szCs w:val="21"/>
                <w:vertAlign w:val="subscript"/>
              </w:rPr>
              <w:t>3</w:t>
            </w:r>
          </w:p>
        </w:tc>
        <w:tc>
          <w:tcPr>
            <w:tcW w:w="1463" w:type="pct"/>
            <w:vAlign w:val="center"/>
          </w:tcPr>
          <w:p w:rsidR="00C645C9" w:rsidRDefault="00F955D9">
            <w:pPr>
              <w:adjustRightInd w:val="0"/>
              <w:snapToGrid w:val="0"/>
              <w:jc w:val="center"/>
              <w:rPr>
                <w:rFonts w:cs="Times New Roman"/>
                <w:sz w:val="21"/>
                <w:szCs w:val="21"/>
              </w:rPr>
            </w:pPr>
            <w:r>
              <w:rPr>
                <w:rFonts w:cs="Times New Roman"/>
                <w:sz w:val="21"/>
                <w:szCs w:val="21"/>
              </w:rPr>
              <w:t>第</w:t>
            </w:r>
            <w:r>
              <w:rPr>
                <w:rFonts w:cs="Times New Roman"/>
                <w:sz w:val="21"/>
                <w:szCs w:val="21"/>
              </w:rPr>
              <w:t>90</w:t>
            </w:r>
            <w:r>
              <w:rPr>
                <w:rFonts w:cs="Times New Roman"/>
                <w:sz w:val="21"/>
                <w:szCs w:val="21"/>
              </w:rPr>
              <w:t>百分位数日平均</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711"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83"/>
        </w:trPr>
        <w:tc>
          <w:tcPr>
            <w:tcW w:w="711" w:type="pct"/>
            <w:vAlign w:val="center"/>
          </w:tcPr>
          <w:p w:rsidR="00C645C9" w:rsidRDefault="00F955D9">
            <w:pPr>
              <w:adjustRightInd w:val="0"/>
              <w:snapToGrid w:val="0"/>
              <w:jc w:val="center"/>
              <w:rPr>
                <w:rFonts w:cs="Times New Roman"/>
                <w:sz w:val="21"/>
                <w:szCs w:val="21"/>
              </w:rPr>
            </w:pPr>
            <w:r>
              <w:rPr>
                <w:rFonts w:cs="Times New Roman"/>
                <w:sz w:val="21"/>
                <w:szCs w:val="21"/>
              </w:rPr>
              <w:t>P</w:t>
            </w:r>
            <w:r>
              <w:rPr>
                <w:rFonts w:cs="Times New Roman"/>
                <w:sz w:val="21"/>
                <w:szCs w:val="21"/>
              </w:rPr>
              <w:t>M</w:t>
            </w:r>
            <w:r>
              <w:rPr>
                <w:rFonts w:cs="Times New Roman"/>
                <w:sz w:val="21"/>
                <w:szCs w:val="21"/>
                <w:vertAlign w:val="subscript"/>
              </w:rPr>
              <w:t>2</w:t>
            </w:r>
            <w:r>
              <w:rPr>
                <w:rFonts w:cs="Times New Roman"/>
                <w:sz w:val="21"/>
                <w:szCs w:val="21"/>
                <w:vertAlign w:val="subscript"/>
              </w:rPr>
              <w:t>.5</w:t>
            </w:r>
          </w:p>
        </w:tc>
        <w:tc>
          <w:tcPr>
            <w:tcW w:w="1463" w:type="pct"/>
            <w:vAlign w:val="center"/>
          </w:tcPr>
          <w:p w:rsidR="00C645C9" w:rsidRDefault="00F955D9">
            <w:pPr>
              <w:adjustRightInd w:val="0"/>
              <w:snapToGrid w:val="0"/>
              <w:jc w:val="center"/>
              <w:rPr>
                <w:rFonts w:cs="Times New Roman"/>
                <w:sz w:val="21"/>
                <w:szCs w:val="21"/>
              </w:rPr>
            </w:pPr>
            <w:r>
              <w:rPr>
                <w:rFonts w:cs="Times New Roman"/>
                <w:sz w:val="21"/>
                <w:szCs w:val="21"/>
              </w:rPr>
              <w:t>年平均</w:t>
            </w:r>
          </w:p>
        </w:tc>
        <w:tc>
          <w:tcPr>
            <w:tcW w:w="712"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711"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r>
      <w:tr w:rsidR="00C645C9">
        <w:trPr>
          <w:trHeight w:val="283"/>
        </w:trPr>
        <w:tc>
          <w:tcPr>
            <w:tcW w:w="711" w:type="pct"/>
            <w:vAlign w:val="center"/>
          </w:tcPr>
          <w:p w:rsidR="00C645C9" w:rsidRDefault="00F955D9">
            <w:pPr>
              <w:adjustRightInd w:val="0"/>
              <w:snapToGrid w:val="0"/>
              <w:jc w:val="center"/>
              <w:rPr>
                <w:rFonts w:cs="Times New Roman"/>
                <w:sz w:val="21"/>
                <w:szCs w:val="21"/>
              </w:rPr>
            </w:pPr>
            <w:r>
              <w:rPr>
                <w:rFonts w:cs="Times New Roman"/>
                <w:sz w:val="21"/>
                <w:szCs w:val="21"/>
              </w:rPr>
              <w:t>PM</w:t>
            </w:r>
            <w:r>
              <w:rPr>
                <w:rFonts w:cs="Times New Roman"/>
                <w:sz w:val="21"/>
                <w:szCs w:val="21"/>
                <w:vertAlign w:val="subscript"/>
              </w:rPr>
              <w:t>10</w:t>
            </w:r>
          </w:p>
        </w:tc>
        <w:tc>
          <w:tcPr>
            <w:tcW w:w="1463" w:type="pct"/>
            <w:vAlign w:val="center"/>
          </w:tcPr>
          <w:p w:rsidR="00C645C9" w:rsidRDefault="00F955D9">
            <w:pPr>
              <w:adjustRightInd w:val="0"/>
              <w:snapToGrid w:val="0"/>
              <w:jc w:val="center"/>
              <w:rPr>
                <w:rFonts w:cs="Times New Roman"/>
                <w:sz w:val="21"/>
                <w:szCs w:val="21"/>
              </w:rPr>
            </w:pPr>
            <w:r>
              <w:rPr>
                <w:rFonts w:cs="Times New Roman"/>
                <w:sz w:val="21"/>
                <w:szCs w:val="21"/>
              </w:rPr>
              <w:t>年平均</w:t>
            </w:r>
          </w:p>
        </w:tc>
        <w:tc>
          <w:tcPr>
            <w:tcW w:w="712"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71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73" w:type="dxa"/>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c>
          <w:tcPr>
            <w:tcW w:w="711" w:type="pct"/>
            <w:vAlign w:val="center"/>
          </w:tcPr>
          <w:p w:rsidR="00C645C9" w:rsidRDefault="00F955D9">
            <w:pPr>
              <w:adjustRightInd w:val="0"/>
              <w:snapToGrid w:val="0"/>
              <w:jc w:val="center"/>
              <w:rPr>
                <w:rFonts w:cs="Times New Roman"/>
                <w:b/>
                <w:bCs/>
                <w:sz w:val="21"/>
                <w:szCs w:val="21"/>
              </w:rPr>
            </w:pPr>
            <w:r>
              <w:rPr>
                <w:rFonts w:cs="Times New Roman" w:hint="eastAsia"/>
                <w:sz w:val="21"/>
                <w:szCs w:val="21"/>
              </w:rPr>
              <w:t>**</w:t>
            </w:r>
          </w:p>
        </w:tc>
      </w:tr>
    </w:tbl>
    <w:bookmarkEnd w:id="1405"/>
    <w:bookmarkEnd w:id="1406"/>
    <w:p w:rsidR="00C645C9" w:rsidRDefault="00F955D9">
      <w:pPr>
        <w:widowControl w:val="0"/>
        <w:adjustRightInd w:val="0"/>
        <w:snapToGrid w:val="0"/>
        <w:spacing w:line="360" w:lineRule="auto"/>
        <w:ind w:firstLineChars="200" w:firstLine="480"/>
        <w:jc w:val="both"/>
      </w:pPr>
      <w:r>
        <w:rPr>
          <w:rFonts w:cs="Times New Roman"/>
          <w:bCs/>
        </w:rPr>
        <w:t>由上表可知：</w:t>
      </w:r>
      <w:r>
        <w:rPr>
          <w:rFonts w:cs="Times New Roman"/>
          <w:bCs/>
        </w:rPr>
        <w:t>202</w:t>
      </w:r>
      <w:r>
        <w:rPr>
          <w:rFonts w:cs="Times New Roman"/>
          <w:bCs/>
        </w:rPr>
        <w:t>3</w:t>
      </w:r>
      <w:r>
        <w:rPr>
          <w:rFonts w:cs="Times New Roman"/>
          <w:bCs/>
        </w:rPr>
        <w:t>年</w:t>
      </w:r>
      <w:r>
        <w:rPr>
          <w:rFonts w:cs="Times New Roman" w:hint="eastAsia"/>
          <w:bCs/>
        </w:rPr>
        <w:t>本工程</w:t>
      </w:r>
      <w:r>
        <w:rPr>
          <w:rFonts w:cs="Times New Roman"/>
          <w:bCs/>
        </w:rPr>
        <w:t>所在地</w:t>
      </w:r>
      <w:r>
        <w:rPr>
          <w:rFonts w:cs="Times New Roman" w:hint="eastAsia"/>
          <w:bCs/>
        </w:rPr>
        <w:t>新和县</w:t>
      </w:r>
      <w:r>
        <w:rPr>
          <w:rFonts w:cs="Times New Roman"/>
          <w:bCs/>
        </w:rPr>
        <w:t>S</w:t>
      </w:r>
      <w:r>
        <w:rPr>
          <w:rFonts w:cs="Times New Roman"/>
          <w:bCs/>
        </w:rPr>
        <w:t>O</w:t>
      </w:r>
      <w:r>
        <w:rPr>
          <w:rFonts w:cs="Times New Roman"/>
          <w:bCs/>
          <w:vertAlign w:val="subscript"/>
        </w:rPr>
        <w:t>2</w:t>
      </w:r>
      <w:r>
        <w:rPr>
          <w:rFonts w:cs="Times New Roman"/>
          <w:bCs/>
        </w:rPr>
        <w:t>、</w:t>
      </w:r>
      <w:r>
        <w:rPr>
          <w:rFonts w:cs="Times New Roman"/>
          <w:bCs/>
        </w:rPr>
        <w:t>NO</w:t>
      </w:r>
      <w:r>
        <w:rPr>
          <w:rFonts w:cs="Times New Roman"/>
          <w:bCs/>
          <w:vertAlign w:val="subscript"/>
        </w:rPr>
        <w:t>2</w:t>
      </w:r>
      <w:r>
        <w:rPr>
          <w:rFonts w:cs="Times New Roman"/>
          <w:bCs/>
        </w:rPr>
        <w:t>年平均浓度及</w:t>
      </w:r>
      <w:r>
        <w:rPr>
          <w:rFonts w:cs="Times New Roman"/>
          <w:bCs/>
        </w:rPr>
        <w:t>CO</w:t>
      </w:r>
      <w:r>
        <w:rPr>
          <w:rFonts w:cs="Times New Roman"/>
          <w:bCs/>
        </w:rPr>
        <w:t>、</w:t>
      </w:r>
      <w:r>
        <w:rPr>
          <w:rFonts w:cs="Times New Roman"/>
          <w:bCs/>
        </w:rPr>
        <w:t>O</w:t>
      </w:r>
      <w:r>
        <w:rPr>
          <w:rFonts w:cs="Times New Roman"/>
          <w:bCs/>
          <w:vertAlign w:val="subscript"/>
        </w:rPr>
        <w:t>3</w:t>
      </w:r>
      <w:r>
        <w:rPr>
          <w:rFonts w:cs="Times New Roman"/>
          <w:bCs/>
        </w:rPr>
        <w:t>日平均浓度均满足《环境空气质量标准》</w:t>
      </w:r>
      <w:r>
        <w:rPr>
          <w:rFonts w:cs="Times New Roman"/>
          <w:bCs/>
        </w:rPr>
        <w:t>（</w:t>
      </w:r>
      <w:r>
        <w:rPr>
          <w:rFonts w:cs="Times New Roman"/>
          <w:bCs/>
        </w:rPr>
        <w:t>GB3095-2012</w:t>
      </w:r>
      <w:r>
        <w:rPr>
          <w:rFonts w:cs="Times New Roman"/>
          <w:bCs/>
        </w:rPr>
        <w:t>）</w:t>
      </w:r>
      <w:r>
        <w:rPr>
          <w:rFonts w:cs="Times New Roman"/>
          <w:bCs/>
        </w:rPr>
        <w:t>的二级标准要求；</w:t>
      </w:r>
      <w:r>
        <w:rPr>
          <w:rFonts w:cs="Times New Roman"/>
          <w:bCs/>
        </w:rPr>
        <w:t>P</w:t>
      </w:r>
      <w:r>
        <w:rPr>
          <w:rFonts w:cs="Times New Roman"/>
          <w:bCs/>
        </w:rPr>
        <w:t>M</w:t>
      </w:r>
      <w:r>
        <w:rPr>
          <w:rFonts w:cs="Times New Roman"/>
          <w:bCs/>
          <w:vertAlign w:val="subscript"/>
        </w:rPr>
        <w:t>2.5</w:t>
      </w:r>
      <w:r>
        <w:rPr>
          <w:rFonts w:cs="Times New Roman"/>
          <w:bCs/>
        </w:rPr>
        <w:t>、</w:t>
      </w:r>
      <w:r>
        <w:rPr>
          <w:rFonts w:cs="Times New Roman"/>
          <w:bCs/>
        </w:rPr>
        <w:t>PM</w:t>
      </w:r>
      <w:r>
        <w:rPr>
          <w:rFonts w:cs="Times New Roman"/>
          <w:bCs/>
          <w:vertAlign w:val="subscript"/>
        </w:rPr>
        <w:t>10</w:t>
      </w:r>
      <w:r>
        <w:rPr>
          <w:rFonts w:cs="Times New Roman"/>
          <w:bCs/>
        </w:rPr>
        <w:t>年浓度超过《环境空气质量标准》</w:t>
      </w:r>
      <w:r>
        <w:rPr>
          <w:rFonts w:cs="Times New Roman"/>
          <w:bCs/>
        </w:rPr>
        <w:t>（</w:t>
      </w:r>
      <w:r>
        <w:rPr>
          <w:rFonts w:cs="Times New Roman"/>
          <w:bCs/>
        </w:rPr>
        <w:t>GB3095-2012</w:t>
      </w:r>
      <w:r>
        <w:rPr>
          <w:rFonts w:cs="Times New Roman"/>
          <w:bCs/>
        </w:rPr>
        <w:t>）</w:t>
      </w:r>
      <w:r>
        <w:rPr>
          <w:rFonts w:cs="Times New Roman"/>
          <w:bCs/>
        </w:rPr>
        <w:t>中二级标准限值要求，超标主要是由于当地气候条件干燥、自然扬尘较多</w:t>
      </w:r>
      <w:r>
        <w:rPr>
          <w:rFonts w:cs="Times New Roman"/>
          <w:bCs/>
        </w:rPr>
        <w:t>。根据《环境影响评价技术导则</w:t>
      </w:r>
      <w:r>
        <w:rPr>
          <w:rFonts w:cs="Times New Roman"/>
          <w:bCs/>
        </w:rPr>
        <w:t xml:space="preserve"> </w:t>
      </w:r>
      <w:r>
        <w:rPr>
          <w:rFonts w:cs="Times New Roman"/>
          <w:bCs/>
        </w:rPr>
        <w:t>大气环境》</w:t>
      </w:r>
      <w:r>
        <w:rPr>
          <w:rFonts w:cs="Times New Roman"/>
          <w:bCs/>
        </w:rPr>
        <w:t>（</w:t>
      </w:r>
      <w:r>
        <w:rPr>
          <w:rFonts w:cs="Times New Roman"/>
          <w:bCs/>
        </w:rPr>
        <w:t>HJ2.2-2018</w:t>
      </w:r>
      <w:r>
        <w:rPr>
          <w:rFonts w:cs="Times New Roman"/>
          <w:bCs/>
        </w:rPr>
        <w:t>）</w:t>
      </w:r>
      <w:r>
        <w:rPr>
          <w:rFonts w:cs="Times New Roman"/>
          <w:bCs/>
        </w:rPr>
        <w:t>区域达标判断标准，</w:t>
      </w:r>
      <w:r>
        <w:rPr>
          <w:rFonts w:cs="Times New Roman"/>
          <w:lang w:bidi="ar"/>
        </w:rPr>
        <w:t>本工程</w:t>
      </w:r>
      <w:r>
        <w:rPr>
          <w:rFonts w:cs="Times New Roman"/>
          <w:lang w:bidi="ar"/>
        </w:rPr>
        <w:t>所在区域</w:t>
      </w:r>
      <w:r>
        <w:rPr>
          <w:rFonts w:cs="Times New Roman"/>
        </w:rPr>
        <w:t>环境空气质量</w:t>
      </w:r>
      <w:r>
        <w:rPr>
          <w:rFonts w:cs="Times New Roman"/>
          <w:lang w:bidi="ar"/>
        </w:rPr>
        <w:t>属于不达标区。</w:t>
      </w:r>
    </w:p>
    <w:p w:rsidR="00C645C9" w:rsidRDefault="00F955D9">
      <w:pPr>
        <w:pStyle w:val="3"/>
        <w:widowControl w:val="0"/>
        <w:adjustRightInd w:val="0"/>
        <w:snapToGrid w:val="0"/>
        <w:spacing w:before="0" w:after="0" w:line="360" w:lineRule="auto"/>
        <w:rPr>
          <w:rFonts w:ascii="Times New Roman" w:hAnsi="Times New Roman" w:cs="Times New Roman"/>
          <w:color w:val="auto"/>
          <w:szCs w:val="28"/>
          <w:lang w:eastAsia="zh-CN"/>
        </w:rPr>
      </w:pPr>
      <w:bookmarkStart w:id="1407" w:name="_Toc28455"/>
      <w:bookmarkStart w:id="1408" w:name="_Toc32493"/>
      <w:bookmarkStart w:id="1409" w:name="_Toc14451"/>
      <w:bookmarkEnd w:id="1398"/>
      <w:r>
        <w:rPr>
          <w:rFonts w:ascii="Times New Roman" w:hAnsi="Times New Roman" w:cs="Times New Roman"/>
          <w:color w:val="auto"/>
          <w:szCs w:val="28"/>
          <w:lang w:eastAsia="zh-CN"/>
        </w:rPr>
        <w:t>4.</w:t>
      </w:r>
      <w:r>
        <w:rPr>
          <w:rFonts w:ascii="Times New Roman" w:hAnsi="Times New Roman" w:cs="Times New Roman" w:hint="eastAsia"/>
          <w:color w:val="auto"/>
          <w:szCs w:val="28"/>
          <w:lang w:eastAsia="zh-CN"/>
        </w:rPr>
        <w:t>6</w:t>
      </w:r>
      <w:r>
        <w:rPr>
          <w:rFonts w:ascii="Times New Roman" w:hAnsi="Times New Roman" w:cs="Times New Roman"/>
          <w:color w:val="auto"/>
          <w:szCs w:val="28"/>
          <w:lang w:eastAsia="zh-CN"/>
        </w:rPr>
        <w:t>.2</w:t>
      </w:r>
      <w:bookmarkEnd w:id="1407"/>
      <w:bookmarkEnd w:id="1408"/>
      <w:bookmarkEnd w:id="1409"/>
      <w:r>
        <w:rPr>
          <w:rFonts w:ascii="Times New Roman" w:hAnsi="Times New Roman" w:cs="Times New Roman"/>
          <w:color w:val="auto"/>
          <w:szCs w:val="28"/>
          <w:lang w:eastAsia="zh-CN"/>
        </w:rPr>
        <w:t>特征污染物环境质量现状评价</w:t>
      </w:r>
    </w:p>
    <w:bookmarkEnd w:id="1393"/>
    <w:bookmarkEnd w:id="1394"/>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调查方法</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大气</w:t>
      </w:r>
      <w:r>
        <w:rPr>
          <w:rFonts w:ascii="Times New Roman" w:hAnsi="Times New Roman" w:cs="Times New Roman"/>
        </w:rPr>
        <w:t>环境现状调查采用现场监测法</w:t>
      </w:r>
      <w:r>
        <w:rPr>
          <w:rFonts w:ascii="Times New Roman" w:hAnsi="Times New Roman" w:cs="Times New Roman"/>
        </w:rPr>
        <w:t>。</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监测点位</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hint="eastAsia"/>
        </w:rPr>
        <w:t>本次评价</w:t>
      </w:r>
      <w:r>
        <w:rPr>
          <w:rFonts w:ascii="Times New Roman" w:hAnsi="Times New Roman" w:cs="Times New Roman"/>
        </w:rPr>
        <w:t>对区域环境空气质量现状进行补充监测，在</w:t>
      </w:r>
      <w:bookmarkStart w:id="1410" w:name="OLE_LINK601"/>
      <w:r>
        <w:rPr>
          <w:rFonts w:ascii="Times New Roman" w:hAnsi="Times New Roman" w:cs="Times New Roman" w:hint="eastAsia"/>
        </w:rPr>
        <w:t>工程所在</w:t>
      </w:r>
      <w:bookmarkEnd w:id="1410"/>
      <w:r>
        <w:rPr>
          <w:rFonts w:ascii="Times New Roman" w:hAnsi="Times New Roman" w:cs="Times New Roman" w:hint="eastAsia"/>
        </w:rPr>
        <w:t>区域</w:t>
      </w:r>
      <w:r>
        <w:rPr>
          <w:rFonts w:ascii="Times New Roman" w:hAnsi="Times New Roman" w:cs="Times New Roman" w:hint="eastAsia"/>
        </w:rPr>
        <w:t>布设</w:t>
      </w:r>
      <w:r>
        <w:rPr>
          <w:rFonts w:ascii="Times New Roman" w:hAnsi="Times New Roman" w:cs="Times New Roman" w:hint="eastAsia"/>
        </w:rPr>
        <w:t>2</w:t>
      </w:r>
      <w:r>
        <w:rPr>
          <w:rFonts w:ascii="Times New Roman" w:hAnsi="Times New Roman" w:cs="Times New Roman"/>
        </w:rPr>
        <w:t>个监测点位</w:t>
      </w:r>
      <w:r>
        <w:rPr>
          <w:rFonts w:ascii="Times New Roman" w:hAnsi="Times New Roman" w:cs="Times New Roman" w:hint="eastAsia"/>
        </w:rPr>
        <w:t>，</w:t>
      </w:r>
      <w:r>
        <w:rPr>
          <w:rFonts w:ascii="Times New Roman" w:hAnsi="Times New Roman" w:cs="Times New Roman" w:hint="eastAsia"/>
        </w:rPr>
        <w:t>监测点基本满</w:t>
      </w:r>
      <w:r>
        <w:rPr>
          <w:rFonts w:ascii="Times New Roman" w:hAnsi="Times New Roman" w:cs="Times New Roman"/>
        </w:rPr>
        <w:t>足</w:t>
      </w:r>
      <w:bookmarkStart w:id="1411" w:name="OLE_LINK607"/>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w:t>
      </w:r>
      <w:bookmarkEnd w:id="1411"/>
      <w:r>
        <w:rPr>
          <w:rFonts w:ascii="Times New Roman" w:hAnsi="Times New Roman" w:cs="Times New Roman" w:hint="eastAsia"/>
        </w:rPr>
        <w:t>的</w:t>
      </w:r>
      <w:r>
        <w:rPr>
          <w:rFonts w:ascii="Times New Roman" w:hAnsi="Times New Roman" w:cs="Times New Roman"/>
        </w:rPr>
        <w:t>数量和分布要求</w:t>
      </w:r>
      <w:r>
        <w:rPr>
          <w:rFonts w:ascii="Times New Roman" w:hAnsi="Times New Roman" w:cs="Times New Roman"/>
        </w:rPr>
        <w:t>。各监测点</w:t>
      </w:r>
      <w:bookmarkStart w:id="1412" w:name="OLE_LINK530"/>
      <w:r>
        <w:rPr>
          <w:rFonts w:ascii="Times New Roman" w:hAnsi="Times New Roman" w:cs="Times New Roman"/>
        </w:rPr>
        <w:t>设置情况及基本信息</w:t>
      </w:r>
      <w:bookmarkEnd w:id="1412"/>
      <w:r>
        <w:rPr>
          <w:rFonts w:ascii="Times New Roman" w:hAnsi="Times New Roman" w:cs="Times New Roman"/>
        </w:rPr>
        <w:t>见表</w:t>
      </w:r>
      <w:r>
        <w:rPr>
          <w:rFonts w:ascii="Times New Roman" w:hAnsi="Times New Roman" w:cs="Times New Roman"/>
        </w:rPr>
        <w:t>4.</w:t>
      </w:r>
      <w:r>
        <w:rPr>
          <w:rFonts w:ascii="Times New Roman" w:hAnsi="Times New Roman" w:cs="Times New Roman" w:hint="eastAsia"/>
        </w:rPr>
        <w:t>6-2</w:t>
      </w:r>
      <w:r>
        <w:rPr>
          <w:rFonts w:ascii="Times New Roman" w:hAnsi="Times New Roman" w:cs="Times New Roman" w:hint="eastAsia"/>
        </w:rPr>
        <w:t>，</w:t>
      </w:r>
      <w:r>
        <w:rPr>
          <w:rFonts w:ascii="Times New Roman" w:hAnsi="Times New Roman" w:cs="Times New Roman" w:hint="eastAsia"/>
        </w:rPr>
        <w:t>具体</w:t>
      </w:r>
      <w:r>
        <w:rPr>
          <w:rFonts w:ascii="Times New Roman" w:hAnsi="Times New Roman" w:cs="Times New Roman"/>
        </w:rPr>
        <w:t>监测点位见</w:t>
      </w:r>
      <w:r>
        <w:rPr>
          <w:rFonts w:ascii="Times New Roman" w:hAnsi="Times New Roman" w:cs="Times New Roman"/>
        </w:rPr>
        <w:lastRenderedPageBreak/>
        <w:t>图</w:t>
      </w:r>
      <w:r>
        <w:rPr>
          <w:rFonts w:ascii="Times New Roman" w:hAnsi="Times New Roman" w:cs="Times New Roman"/>
        </w:rPr>
        <w:t>4.</w:t>
      </w:r>
      <w:r>
        <w:rPr>
          <w:rFonts w:ascii="Times New Roman" w:hAnsi="Times New Roman" w:cs="Times New Roman"/>
        </w:rPr>
        <w:t>3</w:t>
      </w:r>
      <w:r>
        <w:rPr>
          <w:rFonts w:ascii="Times New Roman" w:hAnsi="Times New Roman" w:cs="Times New Roman"/>
        </w:rPr>
        <w:t>-1</w:t>
      </w:r>
      <w:r>
        <w:rPr>
          <w:rFonts w:ascii="Times New Roman" w:hAnsi="Times New Roman" w:cs="Times New Roman"/>
        </w:rPr>
        <w:t>。</w:t>
      </w:r>
    </w:p>
    <w:p w:rsidR="00C645C9" w:rsidRDefault="00F955D9">
      <w:pPr>
        <w:widowControl w:val="0"/>
        <w:adjustRightInd w:val="0"/>
        <w:snapToGrid w:val="0"/>
        <w:jc w:val="center"/>
        <w:rPr>
          <w:rFonts w:eastAsia="黑体" w:cs="Times New Roman"/>
          <w:kern w:val="2"/>
          <w:sz w:val="21"/>
          <w:szCs w:val="21"/>
          <w:vertAlign w:val="superscript"/>
          <w:lang w:bidi="ar"/>
        </w:rPr>
      </w:pPr>
      <w:bookmarkStart w:id="1413" w:name="OLE_LINK615"/>
      <w:bookmarkStart w:id="1414" w:name="OLE_LINK616"/>
      <w:r>
        <w:rPr>
          <w:rFonts w:eastAsia="黑体" w:cs="Times New Roman"/>
          <w:kern w:val="2"/>
          <w:sz w:val="21"/>
          <w:szCs w:val="21"/>
          <w:lang w:bidi="ar"/>
        </w:rPr>
        <w:t>表</w:t>
      </w:r>
      <w:bookmarkStart w:id="1415" w:name="OLE_LINK614"/>
      <w:r>
        <w:rPr>
          <w:rFonts w:eastAsia="黑体" w:cs="Times New Roman"/>
          <w:kern w:val="2"/>
          <w:sz w:val="21"/>
          <w:szCs w:val="21"/>
          <w:lang w:bidi="ar"/>
        </w:rPr>
        <w:t>4.</w:t>
      </w:r>
      <w:r>
        <w:rPr>
          <w:rFonts w:eastAsia="黑体" w:cs="Times New Roman" w:hint="eastAsia"/>
          <w:kern w:val="2"/>
          <w:sz w:val="21"/>
          <w:szCs w:val="21"/>
          <w:lang w:bidi="ar"/>
        </w:rPr>
        <w:t>6</w:t>
      </w:r>
      <w:r>
        <w:rPr>
          <w:rFonts w:eastAsia="黑体" w:cs="Times New Roman"/>
          <w:kern w:val="2"/>
          <w:sz w:val="21"/>
          <w:szCs w:val="21"/>
          <w:lang w:bidi="ar"/>
        </w:rPr>
        <w:t>-2</w:t>
      </w:r>
      <w:bookmarkEnd w:id="1415"/>
      <w:r>
        <w:rPr>
          <w:rFonts w:eastAsia="黑体" w:cs="Times New Roman"/>
          <w:kern w:val="2"/>
          <w:sz w:val="21"/>
          <w:szCs w:val="21"/>
          <w:lang w:bidi="ar"/>
        </w:rPr>
        <w:t xml:space="preserve">   </w:t>
      </w:r>
      <w:r>
        <w:rPr>
          <w:rFonts w:eastAsia="黑体" w:cs="Times New Roman"/>
          <w:kern w:val="2"/>
          <w:sz w:val="21"/>
          <w:szCs w:val="21"/>
          <w:lang w:bidi="ar"/>
        </w:rPr>
        <w:t>监测点位设置情况及基本信息</w:t>
      </w:r>
      <w:r>
        <w:rPr>
          <w:rFonts w:eastAsia="黑体" w:cs="Times New Roman" w:hint="eastAsia"/>
          <w:kern w:val="2"/>
          <w:sz w:val="21"/>
          <w:szCs w:val="21"/>
          <w:lang w:bidi="ar"/>
        </w:rPr>
        <w:t>表</w:t>
      </w:r>
      <w:bookmarkEnd w:id="1413"/>
      <w:r>
        <w:rPr>
          <w:rFonts w:eastAsia="黑体" w:cs="Times New Roman"/>
          <w:kern w:val="2"/>
          <w:sz w:val="21"/>
          <w:szCs w:val="21"/>
          <w:lang w:bidi="ar"/>
        </w:rPr>
        <w:t xml:space="preserve">   </w:t>
      </w:r>
    </w:p>
    <w:bookmarkEnd w:id="1414"/>
    <w:tbl>
      <w:tblPr>
        <w:tblW w:w="8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1479"/>
        <w:gridCol w:w="1542"/>
        <w:gridCol w:w="1479"/>
        <w:gridCol w:w="1125"/>
        <w:gridCol w:w="1190"/>
        <w:gridCol w:w="1008"/>
      </w:tblGrid>
      <w:tr w:rsidR="00C645C9">
        <w:trPr>
          <w:trHeight w:val="270"/>
          <w:jc w:val="center"/>
        </w:trPr>
        <w:tc>
          <w:tcPr>
            <w:tcW w:w="685" w:type="dxa"/>
            <w:shd w:val="clear" w:color="auto" w:fill="auto"/>
            <w:noWrap/>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br w:type="page"/>
            </w:r>
            <w:r>
              <w:rPr>
                <w:rFonts w:cs="Times New Roman"/>
                <w:sz w:val="21"/>
                <w:szCs w:val="21"/>
              </w:rPr>
              <w:t>序号</w:t>
            </w:r>
          </w:p>
        </w:tc>
        <w:tc>
          <w:tcPr>
            <w:tcW w:w="1479"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监测点位名称</w:t>
            </w:r>
          </w:p>
        </w:tc>
        <w:tc>
          <w:tcPr>
            <w:tcW w:w="1542"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地理坐标</w:t>
            </w:r>
          </w:p>
        </w:tc>
        <w:tc>
          <w:tcPr>
            <w:tcW w:w="1479"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与本工程</w:t>
            </w:r>
          </w:p>
          <w:p w:rsidR="00C645C9" w:rsidRDefault="00F955D9">
            <w:pPr>
              <w:autoSpaceDE w:val="0"/>
              <w:autoSpaceDN w:val="0"/>
              <w:adjustRightInd w:val="0"/>
              <w:snapToGrid w:val="0"/>
              <w:jc w:val="center"/>
              <w:rPr>
                <w:rFonts w:cs="Times New Roman"/>
                <w:sz w:val="21"/>
                <w:szCs w:val="21"/>
              </w:rPr>
            </w:pPr>
            <w:r>
              <w:rPr>
                <w:rFonts w:cs="Times New Roman"/>
                <w:sz w:val="21"/>
                <w:szCs w:val="21"/>
              </w:rPr>
              <w:t>位置关系</w:t>
            </w:r>
          </w:p>
        </w:tc>
        <w:tc>
          <w:tcPr>
            <w:tcW w:w="1125"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监测因子</w:t>
            </w:r>
          </w:p>
        </w:tc>
        <w:tc>
          <w:tcPr>
            <w:tcW w:w="1190"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监测时间</w:t>
            </w:r>
          </w:p>
        </w:tc>
        <w:tc>
          <w:tcPr>
            <w:tcW w:w="1008"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监测</w:t>
            </w:r>
          </w:p>
          <w:p w:rsidR="00C645C9" w:rsidRDefault="00F955D9">
            <w:pPr>
              <w:autoSpaceDE w:val="0"/>
              <w:autoSpaceDN w:val="0"/>
              <w:adjustRightInd w:val="0"/>
              <w:snapToGrid w:val="0"/>
              <w:jc w:val="center"/>
              <w:rPr>
                <w:rFonts w:cs="Times New Roman"/>
                <w:sz w:val="21"/>
                <w:szCs w:val="21"/>
              </w:rPr>
            </w:pPr>
            <w:r>
              <w:rPr>
                <w:rFonts w:cs="Times New Roman"/>
                <w:sz w:val="21"/>
                <w:szCs w:val="21"/>
              </w:rPr>
              <w:t>单位</w:t>
            </w:r>
          </w:p>
        </w:tc>
      </w:tr>
      <w:tr w:rsidR="00C645C9">
        <w:trPr>
          <w:trHeight w:val="171"/>
          <w:jc w:val="center"/>
        </w:trPr>
        <w:tc>
          <w:tcPr>
            <w:tcW w:w="685" w:type="dxa"/>
            <w:shd w:val="clear" w:color="auto" w:fill="auto"/>
            <w:noWrap/>
            <w:vAlign w:val="center"/>
          </w:tcPr>
          <w:p w:rsidR="00C645C9" w:rsidRDefault="00F955D9">
            <w:pPr>
              <w:autoSpaceDE w:val="0"/>
              <w:autoSpaceDN w:val="0"/>
              <w:adjustRightInd w:val="0"/>
              <w:snapToGrid w:val="0"/>
              <w:jc w:val="center"/>
              <w:rPr>
                <w:rFonts w:cs="Times New Roman"/>
                <w:sz w:val="21"/>
                <w:szCs w:val="21"/>
              </w:rPr>
            </w:pPr>
            <w:bookmarkStart w:id="1416" w:name="OLE_LINK617" w:colFirst="1" w:colLast="1"/>
            <w:r>
              <w:rPr>
                <w:rFonts w:cs="Times New Roman"/>
                <w:sz w:val="21"/>
                <w:szCs w:val="21"/>
              </w:rPr>
              <w:t>1</w:t>
            </w:r>
          </w:p>
        </w:tc>
        <w:tc>
          <w:tcPr>
            <w:tcW w:w="1479" w:type="dxa"/>
            <w:shd w:val="clear" w:color="auto" w:fill="auto"/>
            <w:vAlign w:val="center"/>
          </w:tcPr>
          <w:p w:rsidR="00C645C9" w:rsidRDefault="00F955D9">
            <w:pPr>
              <w:autoSpaceDE w:val="0"/>
              <w:autoSpaceDN w:val="0"/>
              <w:adjustRightInd w:val="0"/>
              <w:snapToGrid w:val="0"/>
              <w:jc w:val="center"/>
              <w:rPr>
                <w:rFonts w:cs="Times New Roman"/>
                <w:sz w:val="21"/>
                <w:szCs w:val="21"/>
              </w:rPr>
            </w:pPr>
            <w:bookmarkStart w:id="1417" w:name="OLE_LINK603"/>
            <w:r>
              <w:rPr>
                <w:rFonts w:cs="Times New Roman" w:hint="eastAsia"/>
                <w:sz w:val="21"/>
                <w:szCs w:val="21"/>
              </w:rPr>
              <w:t>新北</w:t>
            </w:r>
            <w:r>
              <w:rPr>
                <w:rFonts w:cs="Times New Roman" w:hint="eastAsia"/>
                <w:sz w:val="21"/>
                <w:szCs w:val="21"/>
              </w:rPr>
              <w:t>1X</w:t>
            </w:r>
            <w:r>
              <w:rPr>
                <w:rFonts w:cs="Times New Roman" w:hint="eastAsia"/>
                <w:sz w:val="21"/>
                <w:szCs w:val="21"/>
              </w:rPr>
              <w:t>井</w:t>
            </w:r>
            <w:bookmarkEnd w:id="1417"/>
          </w:p>
        </w:tc>
        <w:tc>
          <w:tcPr>
            <w:tcW w:w="1542" w:type="dxa"/>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79" w:type="dxa"/>
            <w:shd w:val="clear" w:color="auto" w:fill="auto"/>
            <w:vAlign w:val="center"/>
          </w:tcPr>
          <w:p w:rsidR="00C645C9" w:rsidRDefault="00F955D9">
            <w:pPr>
              <w:autoSpaceDE w:val="0"/>
              <w:autoSpaceDN w:val="0"/>
              <w:adjustRightInd w:val="0"/>
              <w:snapToGrid w:val="0"/>
              <w:jc w:val="center"/>
              <w:rPr>
                <w:rFonts w:cs="Times New Roman"/>
                <w:sz w:val="21"/>
                <w:szCs w:val="21"/>
              </w:rPr>
            </w:pPr>
            <w:bookmarkStart w:id="1418" w:name="OLE_LINK604"/>
            <w:r>
              <w:rPr>
                <w:rFonts w:cs="Times New Roman" w:hint="eastAsia"/>
                <w:sz w:val="21"/>
                <w:szCs w:val="21"/>
              </w:rPr>
              <w:t>工程</w:t>
            </w:r>
            <w:r>
              <w:rPr>
                <w:rFonts w:cs="Times New Roman"/>
                <w:sz w:val="21"/>
                <w:szCs w:val="21"/>
              </w:rPr>
              <w:t>区</w:t>
            </w:r>
            <w:bookmarkEnd w:id="1418"/>
            <w:r>
              <w:rPr>
                <w:rFonts w:cs="Times New Roman" w:hint="eastAsia"/>
                <w:sz w:val="21"/>
                <w:szCs w:val="21"/>
              </w:rPr>
              <w:t>上风向</w:t>
            </w:r>
          </w:p>
        </w:tc>
        <w:tc>
          <w:tcPr>
            <w:tcW w:w="1125" w:type="dxa"/>
            <w:vMerge w:val="restart"/>
            <w:shd w:val="clear" w:color="auto" w:fill="auto"/>
            <w:vAlign w:val="center"/>
          </w:tcPr>
          <w:p w:rsidR="00C645C9" w:rsidRDefault="00F955D9">
            <w:pPr>
              <w:autoSpaceDE w:val="0"/>
              <w:autoSpaceDN w:val="0"/>
              <w:adjustRightInd w:val="0"/>
              <w:snapToGrid w:val="0"/>
              <w:jc w:val="center"/>
              <w:rPr>
                <w:rFonts w:cs="Times New Roman"/>
                <w:sz w:val="21"/>
                <w:szCs w:val="21"/>
              </w:rPr>
            </w:pPr>
            <w:bookmarkStart w:id="1419" w:name="OLE_LINK606"/>
            <w:r>
              <w:rPr>
                <w:rFonts w:cs="Times New Roman"/>
                <w:sz w:val="21"/>
                <w:szCs w:val="21"/>
              </w:rPr>
              <w:t>非甲烷总烃、</w:t>
            </w:r>
            <w:r>
              <w:rPr>
                <w:rFonts w:cs="Times New Roman"/>
                <w:sz w:val="21"/>
                <w:szCs w:val="21"/>
              </w:rPr>
              <w:t>H</w:t>
            </w:r>
            <w:r>
              <w:rPr>
                <w:rFonts w:cs="Times New Roman"/>
                <w:sz w:val="21"/>
                <w:szCs w:val="21"/>
                <w:vertAlign w:val="subscript"/>
              </w:rPr>
              <w:t>2</w:t>
            </w:r>
            <w:r>
              <w:rPr>
                <w:rFonts w:cs="Times New Roman"/>
                <w:sz w:val="21"/>
                <w:szCs w:val="21"/>
              </w:rPr>
              <w:t>S</w:t>
            </w:r>
            <w:bookmarkEnd w:id="1419"/>
          </w:p>
        </w:tc>
        <w:tc>
          <w:tcPr>
            <w:tcW w:w="1190" w:type="dxa"/>
            <w:vMerge w:val="restart"/>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202</w:t>
            </w:r>
            <w:r>
              <w:rPr>
                <w:rFonts w:cs="Times New Roman" w:hint="eastAsia"/>
                <w:sz w:val="21"/>
                <w:szCs w:val="21"/>
              </w:rPr>
              <w:t>5</w:t>
            </w:r>
            <w:r>
              <w:rPr>
                <w:rFonts w:cs="Times New Roman"/>
                <w:sz w:val="21"/>
                <w:szCs w:val="21"/>
              </w:rPr>
              <w:t>年</w:t>
            </w:r>
            <w:r>
              <w:rPr>
                <w:rFonts w:cs="Times New Roman" w:hint="eastAsia"/>
                <w:sz w:val="21"/>
                <w:szCs w:val="21"/>
              </w:rPr>
              <w:t>4</w:t>
            </w:r>
            <w:r>
              <w:rPr>
                <w:rFonts w:cs="Times New Roman"/>
                <w:sz w:val="21"/>
                <w:szCs w:val="21"/>
              </w:rPr>
              <w:t>月</w:t>
            </w:r>
          </w:p>
        </w:tc>
        <w:tc>
          <w:tcPr>
            <w:tcW w:w="1008" w:type="dxa"/>
            <w:vMerge w:val="restart"/>
            <w:shd w:val="clear" w:color="auto" w:fill="auto"/>
            <w:vAlign w:val="center"/>
          </w:tcPr>
          <w:p w:rsidR="00C645C9" w:rsidRDefault="00F955D9">
            <w:pPr>
              <w:autoSpaceDE w:val="0"/>
              <w:autoSpaceDN w:val="0"/>
              <w:adjustRightInd w:val="0"/>
              <w:snapToGrid w:val="0"/>
              <w:jc w:val="center"/>
              <w:rPr>
                <w:rFonts w:cs="Times New Roman"/>
                <w:sz w:val="21"/>
                <w:szCs w:val="21"/>
              </w:rPr>
            </w:pPr>
            <w:bookmarkStart w:id="1420" w:name="OLE_LINK1066"/>
            <w:r>
              <w:rPr>
                <w:rFonts w:cs="Times New Roman" w:hint="eastAsia"/>
                <w:sz w:val="21"/>
                <w:szCs w:val="21"/>
              </w:rPr>
              <w:t>新疆昇腾环保科技有限公司</w:t>
            </w:r>
            <w:bookmarkEnd w:id="1420"/>
          </w:p>
        </w:tc>
      </w:tr>
      <w:tr w:rsidR="00C645C9">
        <w:trPr>
          <w:trHeight w:val="270"/>
          <w:jc w:val="center"/>
        </w:trPr>
        <w:tc>
          <w:tcPr>
            <w:tcW w:w="685" w:type="dxa"/>
            <w:shd w:val="clear" w:color="auto" w:fill="auto"/>
            <w:noWrap/>
            <w:vAlign w:val="center"/>
          </w:tcPr>
          <w:p w:rsidR="00C645C9" w:rsidRDefault="00F955D9">
            <w:pPr>
              <w:autoSpaceDE w:val="0"/>
              <w:autoSpaceDN w:val="0"/>
              <w:adjustRightInd w:val="0"/>
              <w:snapToGrid w:val="0"/>
              <w:jc w:val="center"/>
              <w:rPr>
                <w:rFonts w:cs="Times New Roman"/>
                <w:sz w:val="21"/>
                <w:szCs w:val="21"/>
              </w:rPr>
            </w:pPr>
            <w:r>
              <w:rPr>
                <w:rFonts w:cs="Times New Roman"/>
                <w:sz w:val="21"/>
                <w:szCs w:val="21"/>
              </w:rPr>
              <w:t>2</w:t>
            </w:r>
          </w:p>
        </w:tc>
        <w:tc>
          <w:tcPr>
            <w:tcW w:w="1479" w:type="dxa"/>
            <w:shd w:val="clear" w:color="auto" w:fill="auto"/>
            <w:noWrap/>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新北</w:t>
            </w:r>
            <w:r>
              <w:rPr>
                <w:rFonts w:cs="Times New Roman" w:hint="eastAsia"/>
                <w:sz w:val="21"/>
                <w:szCs w:val="21"/>
              </w:rPr>
              <w:t>1X</w:t>
            </w:r>
            <w:r>
              <w:rPr>
                <w:rFonts w:cs="Times New Roman" w:hint="eastAsia"/>
                <w:sz w:val="21"/>
                <w:szCs w:val="21"/>
              </w:rPr>
              <w:t>井</w:t>
            </w:r>
            <w:r>
              <w:rPr>
                <w:rFonts w:cs="Times New Roman"/>
                <w:sz w:val="21"/>
                <w:szCs w:val="21"/>
              </w:rPr>
              <w:t>项目区下风向</w:t>
            </w:r>
          </w:p>
        </w:tc>
        <w:tc>
          <w:tcPr>
            <w:tcW w:w="1542" w:type="dxa"/>
            <w:shd w:val="clear" w:color="auto" w:fill="auto"/>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479" w:type="dxa"/>
            <w:shd w:val="clear" w:color="auto" w:fill="auto"/>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工程</w:t>
            </w:r>
            <w:r>
              <w:rPr>
                <w:rFonts w:cs="Times New Roman"/>
                <w:sz w:val="21"/>
                <w:szCs w:val="21"/>
              </w:rPr>
              <w:t>区</w:t>
            </w:r>
            <w:r>
              <w:rPr>
                <w:rFonts w:cs="Times New Roman" w:hint="eastAsia"/>
                <w:sz w:val="21"/>
                <w:szCs w:val="21"/>
              </w:rPr>
              <w:t>下</w:t>
            </w:r>
            <w:r>
              <w:rPr>
                <w:rFonts w:cs="Times New Roman"/>
                <w:sz w:val="21"/>
                <w:szCs w:val="21"/>
              </w:rPr>
              <w:t>风向</w:t>
            </w:r>
          </w:p>
        </w:tc>
        <w:tc>
          <w:tcPr>
            <w:tcW w:w="1125" w:type="dxa"/>
            <w:vMerge/>
            <w:shd w:val="clear" w:color="auto" w:fill="auto"/>
            <w:vAlign w:val="center"/>
          </w:tcPr>
          <w:p w:rsidR="00C645C9" w:rsidRDefault="00C645C9">
            <w:pPr>
              <w:autoSpaceDE w:val="0"/>
              <w:autoSpaceDN w:val="0"/>
              <w:adjustRightInd w:val="0"/>
              <w:snapToGrid w:val="0"/>
              <w:jc w:val="center"/>
              <w:rPr>
                <w:rFonts w:cs="Times New Roman"/>
                <w:sz w:val="21"/>
                <w:szCs w:val="21"/>
              </w:rPr>
            </w:pPr>
          </w:p>
        </w:tc>
        <w:tc>
          <w:tcPr>
            <w:tcW w:w="1190" w:type="dxa"/>
            <w:vMerge/>
            <w:shd w:val="clear" w:color="auto" w:fill="auto"/>
            <w:vAlign w:val="center"/>
          </w:tcPr>
          <w:p w:rsidR="00C645C9" w:rsidRDefault="00C645C9">
            <w:pPr>
              <w:autoSpaceDE w:val="0"/>
              <w:autoSpaceDN w:val="0"/>
              <w:adjustRightInd w:val="0"/>
              <w:snapToGrid w:val="0"/>
              <w:jc w:val="center"/>
              <w:rPr>
                <w:rFonts w:cs="Times New Roman"/>
                <w:sz w:val="21"/>
                <w:szCs w:val="21"/>
              </w:rPr>
            </w:pPr>
          </w:p>
        </w:tc>
        <w:tc>
          <w:tcPr>
            <w:tcW w:w="1008" w:type="dxa"/>
            <w:vMerge/>
            <w:shd w:val="clear" w:color="auto" w:fill="auto"/>
            <w:noWrap/>
            <w:vAlign w:val="center"/>
          </w:tcPr>
          <w:p w:rsidR="00C645C9" w:rsidRDefault="00C645C9">
            <w:pPr>
              <w:autoSpaceDE w:val="0"/>
              <w:autoSpaceDN w:val="0"/>
              <w:adjustRightInd w:val="0"/>
              <w:snapToGrid w:val="0"/>
              <w:jc w:val="center"/>
              <w:rPr>
                <w:rFonts w:cs="Times New Roman"/>
                <w:sz w:val="21"/>
                <w:szCs w:val="21"/>
              </w:rPr>
            </w:pPr>
          </w:p>
        </w:tc>
      </w:tr>
    </w:tbl>
    <w:bookmarkEnd w:id="1416"/>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）监测频率</w:t>
      </w:r>
    </w:p>
    <w:p w:rsidR="00C645C9" w:rsidRDefault="00F955D9">
      <w:pPr>
        <w:widowControl w:val="0"/>
        <w:adjustRightInd w:val="0"/>
        <w:snapToGrid w:val="0"/>
        <w:spacing w:line="360" w:lineRule="auto"/>
        <w:ind w:firstLineChars="196" w:firstLine="470"/>
        <w:rPr>
          <w:rFonts w:cs="Times New Roman"/>
        </w:rPr>
      </w:pPr>
      <w:r>
        <w:rPr>
          <w:rFonts w:cs="Times New Roman"/>
        </w:rPr>
        <w:t>连续</w:t>
      </w:r>
      <w:r>
        <w:rPr>
          <w:rFonts w:cs="Times New Roman"/>
        </w:rPr>
        <w:t>7</w:t>
      </w:r>
      <w:r>
        <w:rPr>
          <w:rFonts w:cs="Times New Roman"/>
        </w:rPr>
        <w:t>天，每天采样</w:t>
      </w:r>
      <w:r>
        <w:rPr>
          <w:rFonts w:cs="Times New Roman"/>
        </w:rPr>
        <w:t>4</w:t>
      </w:r>
      <w:r>
        <w:rPr>
          <w:rFonts w:cs="Times New Roman"/>
        </w:rPr>
        <w:t>次。</w:t>
      </w:r>
    </w:p>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）监测单位</w:t>
      </w:r>
    </w:p>
    <w:p w:rsidR="00C645C9" w:rsidRDefault="00F955D9">
      <w:pPr>
        <w:widowControl w:val="0"/>
        <w:adjustRightInd w:val="0"/>
        <w:snapToGrid w:val="0"/>
        <w:spacing w:line="360" w:lineRule="auto"/>
        <w:ind w:firstLineChars="196" w:firstLine="486"/>
        <w:rPr>
          <w:rFonts w:cs="Times New Roman"/>
        </w:rPr>
      </w:pPr>
      <w:r>
        <w:rPr>
          <w:rFonts w:cs="Times New Roman"/>
          <w:spacing w:val="4"/>
        </w:rPr>
        <w:t>本次评价</w:t>
      </w:r>
      <w:bookmarkStart w:id="1421" w:name="OLE_LINK613"/>
      <w:r>
        <w:rPr>
          <w:rFonts w:cs="Times New Roman" w:hint="eastAsia"/>
          <w:spacing w:val="4"/>
        </w:rPr>
        <w:t>大气</w:t>
      </w:r>
      <w:bookmarkEnd w:id="1421"/>
      <w:r>
        <w:rPr>
          <w:rFonts w:cs="Times New Roman" w:hint="eastAsia"/>
          <w:spacing w:val="4"/>
        </w:rPr>
        <w:t>监测</w:t>
      </w:r>
      <w:r>
        <w:rPr>
          <w:rFonts w:cs="Times New Roman"/>
          <w:spacing w:val="4"/>
        </w:rPr>
        <w:t>委托</w:t>
      </w:r>
      <w:bookmarkStart w:id="1422" w:name="OLE_LINK1065"/>
      <w:r>
        <w:rPr>
          <w:rFonts w:cs="Times New Roman" w:hint="eastAsia"/>
          <w:spacing w:val="4"/>
        </w:rPr>
        <w:t>新疆昇腾环保科技有限公司</w:t>
      </w:r>
      <w:bookmarkEnd w:id="1422"/>
      <w:r>
        <w:rPr>
          <w:rFonts w:cs="Times New Roman"/>
          <w:spacing w:val="4"/>
        </w:rPr>
        <w:t>对</w:t>
      </w:r>
      <w:r>
        <w:rPr>
          <w:rFonts w:cs="Times New Roman" w:hint="eastAsia"/>
          <w:spacing w:val="4"/>
        </w:rPr>
        <w:t>大气</w:t>
      </w:r>
      <w:r>
        <w:rPr>
          <w:rFonts w:cs="Times New Roman"/>
          <w:spacing w:val="4"/>
        </w:rPr>
        <w:t>环境质量现状进行了监测，监测时间为</w:t>
      </w:r>
      <w:r>
        <w:rPr>
          <w:rFonts w:cs="Times New Roman"/>
          <w:spacing w:val="4"/>
        </w:rPr>
        <w:t>202</w:t>
      </w:r>
      <w:r>
        <w:rPr>
          <w:rFonts w:cs="Times New Roman" w:hint="eastAsia"/>
          <w:spacing w:val="4"/>
        </w:rPr>
        <w:t>5</w:t>
      </w:r>
      <w:r>
        <w:rPr>
          <w:rFonts w:cs="Times New Roman"/>
          <w:spacing w:val="4"/>
        </w:rPr>
        <w:t>年</w:t>
      </w:r>
      <w:r>
        <w:rPr>
          <w:rFonts w:cs="Times New Roman" w:hint="eastAsia"/>
          <w:spacing w:val="4"/>
        </w:rPr>
        <w:t>4</w:t>
      </w:r>
      <w:r>
        <w:rPr>
          <w:rFonts w:cs="Times New Roman"/>
          <w:spacing w:val="4"/>
        </w:rPr>
        <w:t>月</w:t>
      </w:r>
      <w:r>
        <w:rPr>
          <w:rFonts w:cs="Times New Roman"/>
        </w:rPr>
        <w:t>。</w:t>
      </w:r>
    </w:p>
    <w:p w:rsidR="00C645C9" w:rsidRDefault="00F955D9">
      <w:pPr>
        <w:pStyle w:val="a5"/>
        <w:widowControl w:val="0"/>
        <w:snapToGrid w:val="0"/>
        <w:ind w:firstLineChars="200" w:firstLine="480"/>
        <w:jc w:val="both"/>
        <w:rPr>
          <w:rFonts w:ascii="Times New Roman" w:hAnsi="Times New Roman" w:cs="Times New Roman"/>
        </w:rPr>
      </w:pPr>
      <w:bookmarkStart w:id="1423" w:name="OLE_LINK612"/>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）监测项目及分析方法</w:t>
      </w:r>
    </w:p>
    <w:bookmarkEnd w:id="1423"/>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fldChar w:fldCharType="begin"/>
      </w:r>
      <w:r>
        <w:rPr>
          <w:rFonts w:cs="Times New Roman"/>
          <w:szCs w:val="20"/>
        </w:rPr>
        <w:instrText xml:space="preserve"> = 1 \* GB3 \* MERGEFORMAT </w:instrText>
      </w:r>
      <w:r>
        <w:rPr>
          <w:rFonts w:cs="Times New Roman"/>
          <w:szCs w:val="20"/>
        </w:rPr>
        <w:fldChar w:fldCharType="separate"/>
      </w:r>
      <w:r>
        <w:rPr>
          <w:rFonts w:cs="Times New Roman"/>
        </w:rPr>
        <w:t>①</w:t>
      </w:r>
      <w:r>
        <w:rPr>
          <w:rFonts w:cs="Times New Roman"/>
          <w:szCs w:val="20"/>
        </w:rPr>
        <w:fldChar w:fldCharType="end"/>
      </w:r>
      <w:r>
        <w:rPr>
          <w:rFonts w:cs="Times New Roman"/>
          <w:szCs w:val="20"/>
        </w:rPr>
        <w:t>监测项目</w:t>
      </w:r>
    </w:p>
    <w:p w:rsidR="00C645C9" w:rsidRDefault="00F955D9" w:rsidP="005718BB">
      <w:pPr>
        <w:pStyle w:val="a6"/>
        <w:adjustRightInd w:val="0"/>
        <w:snapToGrid w:val="0"/>
        <w:ind w:firstLine="480"/>
      </w:pPr>
      <w:r>
        <w:t>根据</w:t>
      </w:r>
      <w:bookmarkStart w:id="1424" w:name="OLE_LINK611"/>
      <w:r>
        <w:rPr>
          <w:szCs w:val="24"/>
        </w:rPr>
        <w:t>《</w:t>
      </w:r>
      <w:bookmarkStart w:id="1425" w:name="OLE_LINK608"/>
      <w:r>
        <w:rPr>
          <w:szCs w:val="24"/>
        </w:rPr>
        <w:t>环境影响评价技术导则</w:t>
      </w:r>
      <w:r>
        <w:rPr>
          <w:szCs w:val="24"/>
        </w:rPr>
        <w:t xml:space="preserve"> </w:t>
      </w:r>
      <w:r>
        <w:rPr>
          <w:szCs w:val="24"/>
        </w:rPr>
        <w:t>大气环境</w:t>
      </w:r>
      <w:bookmarkEnd w:id="1425"/>
      <w:r>
        <w:rPr>
          <w:szCs w:val="24"/>
        </w:rPr>
        <w:t>》</w:t>
      </w:r>
      <w:bookmarkStart w:id="1426" w:name="OLE_LINK610"/>
      <w:r>
        <w:rPr>
          <w:szCs w:val="24"/>
        </w:rPr>
        <w:t>（</w:t>
      </w:r>
      <w:r>
        <w:rPr>
          <w:szCs w:val="24"/>
        </w:rPr>
        <w:t>HJ2.2-2018</w:t>
      </w:r>
      <w:r>
        <w:rPr>
          <w:szCs w:val="24"/>
        </w:rPr>
        <w:t>）</w:t>
      </w:r>
      <w:bookmarkEnd w:id="1424"/>
      <w:bookmarkEnd w:id="1426"/>
      <w:r>
        <w:rPr>
          <w:rFonts w:hint="eastAsia"/>
          <w:szCs w:val="24"/>
        </w:rPr>
        <w:t>，</w:t>
      </w:r>
      <w:r>
        <w:t>本次评价的监测项目包括：</w:t>
      </w:r>
      <w:r>
        <w:t>非甲烷总烃、</w:t>
      </w:r>
      <w:r>
        <w:t>H</w:t>
      </w:r>
      <w:r>
        <w:rPr>
          <w:vertAlign w:val="subscript"/>
        </w:rPr>
        <w:t>2</w:t>
      </w:r>
      <w:r>
        <w:t>S</w:t>
      </w:r>
      <w:r>
        <w:rPr>
          <w:rFonts w:hint="eastAsia"/>
        </w:rPr>
        <w:t>。</w:t>
      </w:r>
    </w:p>
    <w:p w:rsidR="00C645C9" w:rsidRDefault="00F955D9" w:rsidP="005718BB">
      <w:pPr>
        <w:pStyle w:val="a6"/>
        <w:adjustRightInd w:val="0"/>
        <w:snapToGrid w:val="0"/>
        <w:ind w:firstLine="480"/>
      </w:pPr>
      <w:r>
        <w:fldChar w:fldCharType="begin"/>
      </w:r>
      <w:r>
        <w:instrText xml:space="preserve"> = 2 \* GB3 \* MERGEFORMAT </w:instrText>
      </w:r>
      <w:r>
        <w:fldChar w:fldCharType="separate"/>
      </w:r>
      <w:r>
        <w:t>②</w:t>
      </w:r>
      <w:r>
        <w:fldChar w:fldCharType="end"/>
      </w:r>
      <w:r>
        <w:t>分析方法</w:t>
      </w:r>
    </w:p>
    <w:p w:rsidR="00C645C9" w:rsidRDefault="00F955D9" w:rsidP="005718BB">
      <w:pPr>
        <w:pStyle w:val="a6"/>
        <w:adjustRightInd w:val="0"/>
        <w:snapToGrid w:val="0"/>
        <w:ind w:firstLine="480"/>
        <w:rPr>
          <w:szCs w:val="24"/>
        </w:rPr>
      </w:pPr>
      <w:r>
        <w:t>采样按照</w:t>
      </w:r>
      <w:r>
        <w:rPr>
          <w:rFonts w:hint="eastAsia"/>
        </w:rPr>
        <w:t>《环境空气质量监测点位布设技术规范（试行）》</w:t>
      </w:r>
      <w:r>
        <w:rPr>
          <w:szCs w:val="24"/>
        </w:rPr>
        <w:t>（</w:t>
      </w:r>
      <w:r>
        <w:rPr>
          <w:szCs w:val="24"/>
        </w:rPr>
        <w:t>HJ</w:t>
      </w:r>
      <w:r>
        <w:rPr>
          <w:rFonts w:hint="eastAsia"/>
          <w:szCs w:val="24"/>
        </w:rPr>
        <w:t>664</w:t>
      </w:r>
      <w:r>
        <w:rPr>
          <w:szCs w:val="24"/>
        </w:rPr>
        <w:t>-201</w:t>
      </w:r>
      <w:r>
        <w:rPr>
          <w:rFonts w:hint="eastAsia"/>
          <w:szCs w:val="24"/>
        </w:rPr>
        <w:t>3</w:t>
      </w:r>
      <w:r>
        <w:rPr>
          <w:szCs w:val="24"/>
        </w:rPr>
        <w:t>）</w:t>
      </w:r>
      <w:r>
        <w:t>执行，监测分析方法按照</w:t>
      </w:r>
      <w:r>
        <w:rPr>
          <w:szCs w:val="24"/>
        </w:rPr>
        <w:t>《环境影响评价技术导则</w:t>
      </w:r>
      <w:r>
        <w:rPr>
          <w:szCs w:val="24"/>
        </w:rPr>
        <w:t xml:space="preserve"> </w:t>
      </w:r>
      <w:r>
        <w:rPr>
          <w:szCs w:val="24"/>
        </w:rPr>
        <w:t>大气环境》（</w:t>
      </w:r>
      <w:r>
        <w:rPr>
          <w:szCs w:val="24"/>
        </w:rPr>
        <w:t>HJ2.2-2018</w:t>
      </w:r>
      <w:r>
        <w:rPr>
          <w:szCs w:val="24"/>
        </w:rPr>
        <w:t>）有关标准和规范执行</w:t>
      </w:r>
      <w:r>
        <w:rPr>
          <w:rFonts w:hint="eastAsia"/>
          <w:szCs w:val="24"/>
        </w:rPr>
        <w:t>。</w:t>
      </w:r>
    </w:p>
    <w:p w:rsidR="00C645C9" w:rsidRDefault="00F955D9">
      <w:pPr>
        <w:pStyle w:val="a6"/>
        <w:adjustRightInd w:val="0"/>
        <w:snapToGrid w:val="0"/>
        <w:spacing w:line="240" w:lineRule="auto"/>
        <w:ind w:firstLineChars="0" w:firstLine="0"/>
        <w:jc w:val="center"/>
        <w:rPr>
          <w:rFonts w:eastAsia="黑体"/>
          <w:kern w:val="2"/>
          <w:sz w:val="21"/>
          <w:szCs w:val="21"/>
          <w:lang w:bidi="ar"/>
        </w:rPr>
      </w:pPr>
      <w:r>
        <w:rPr>
          <w:rFonts w:eastAsia="黑体"/>
          <w:kern w:val="2"/>
          <w:sz w:val="21"/>
          <w:szCs w:val="21"/>
          <w:lang w:bidi="ar"/>
        </w:rPr>
        <w:t>表</w:t>
      </w:r>
      <w:r>
        <w:rPr>
          <w:rFonts w:eastAsia="黑体"/>
          <w:kern w:val="2"/>
          <w:sz w:val="21"/>
          <w:szCs w:val="21"/>
          <w:lang w:bidi="ar"/>
        </w:rPr>
        <w:t>4.</w:t>
      </w:r>
      <w:r>
        <w:rPr>
          <w:rFonts w:eastAsia="黑体" w:hint="eastAsia"/>
          <w:kern w:val="2"/>
          <w:sz w:val="21"/>
          <w:szCs w:val="21"/>
          <w:lang w:bidi="ar"/>
        </w:rPr>
        <w:t>6</w:t>
      </w:r>
      <w:r>
        <w:rPr>
          <w:rFonts w:eastAsia="黑体"/>
          <w:kern w:val="2"/>
          <w:sz w:val="21"/>
          <w:szCs w:val="21"/>
          <w:lang w:bidi="ar"/>
        </w:rPr>
        <w:t>-</w:t>
      </w:r>
      <w:r>
        <w:rPr>
          <w:rFonts w:eastAsia="黑体" w:hint="eastAsia"/>
          <w:kern w:val="2"/>
          <w:sz w:val="21"/>
          <w:szCs w:val="21"/>
          <w:lang w:bidi="ar"/>
        </w:rPr>
        <w:t>3</w:t>
      </w:r>
      <w:r>
        <w:rPr>
          <w:rFonts w:eastAsia="黑体"/>
          <w:kern w:val="2"/>
          <w:sz w:val="21"/>
          <w:szCs w:val="21"/>
          <w:lang w:bidi="ar"/>
        </w:rPr>
        <w:t xml:space="preserve">   </w:t>
      </w:r>
      <w:r>
        <w:rPr>
          <w:rFonts w:eastAsia="黑体" w:hint="eastAsia"/>
          <w:kern w:val="2"/>
          <w:sz w:val="21"/>
          <w:szCs w:val="21"/>
          <w:lang w:bidi="ar"/>
        </w:rPr>
        <w:t>大气环境</w:t>
      </w:r>
      <w:r>
        <w:rPr>
          <w:rFonts w:eastAsia="黑体"/>
          <w:kern w:val="2"/>
          <w:sz w:val="21"/>
          <w:szCs w:val="21"/>
          <w:lang w:bidi="ar"/>
        </w:rPr>
        <w:t>监测因子分析方法及检出限一览表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6" w:type="dxa"/>
          <w:left w:w="28" w:type="dxa"/>
          <w:bottom w:w="6" w:type="dxa"/>
          <w:right w:w="28" w:type="dxa"/>
        </w:tblCellMar>
        <w:tblLook w:val="04A0" w:firstRow="1" w:lastRow="0" w:firstColumn="1" w:lastColumn="0" w:noHBand="0" w:noVBand="1"/>
      </w:tblPr>
      <w:tblGrid>
        <w:gridCol w:w="594"/>
        <w:gridCol w:w="1025"/>
        <w:gridCol w:w="3203"/>
        <w:gridCol w:w="1629"/>
        <w:gridCol w:w="954"/>
        <w:gridCol w:w="954"/>
      </w:tblGrid>
      <w:tr w:rsidR="00C645C9">
        <w:trPr>
          <w:trHeight w:val="397"/>
          <w:jc w:val="center"/>
        </w:trPr>
        <w:tc>
          <w:tcPr>
            <w:tcW w:w="59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序号</w:t>
            </w:r>
          </w:p>
        </w:tc>
        <w:tc>
          <w:tcPr>
            <w:tcW w:w="1025"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监测因子</w:t>
            </w:r>
          </w:p>
        </w:tc>
        <w:tc>
          <w:tcPr>
            <w:tcW w:w="3203"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检测方法</w:t>
            </w:r>
          </w:p>
        </w:tc>
        <w:tc>
          <w:tcPr>
            <w:tcW w:w="1629"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方法来源</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单位</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检出限</w:t>
            </w:r>
          </w:p>
        </w:tc>
      </w:tr>
      <w:tr w:rsidR="00C645C9">
        <w:trPr>
          <w:trHeight w:val="403"/>
          <w:jc w:val="center"/>
        </w:trPr>
        <w:tc>
          <w:tcPr>
            <w:tcW w:w="59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1</w:t>
            </w:r>
          </w:p>
        </w:tc>
        <w:tc>
          <w:tcPr>
            <w:tcW w:w="1025"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H</w:t>
            </w:r>
            <w:r>
              <w:rPr>
                <w:rFonts w:cs="Times New Roman" w:hint="eastAsia"/>
                <w:sz w:val="21"/>
                <w:szCs w:val="21"/>
                <w:vertAlign w:val="subscript"/>
              </w:rPr>
              <w:t>2</w:t>
            </w:r>
            <w:r>
              <w:rPr>
                <w:rFonts w:cs="Times New Roman" w:hint="eastAsia"/>
                <w:sz w:val="21"/>
                <w:szCs w:val="21"/>
              </w:rPr>
              <w:t>S</w:t>
            </w:r>
          </w:p>
        </w:tc>
        <w:tc>
          <w:tcPr>
            <w:tcW w:w="3203"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空气质量</w:t>
            </w:r>
            <w:r>
              <w:rPr>
                <w:rFonts w:cs="Times New Roman" w:hint="eastAsia"/>
                <w:sz w:val="21"/>
                <w:szCs w:val="21"/>
              </w:rPr>
              <w:t xml:space="preserve"> </w:t>
            </w:r>
            <w:r>
              <w:rPr>
                <w:rFonts w:cs="Times New Roman" w:hint="eastAsia"/>
                <w:sz w:val="21"/>
                <w:szCs w:val="21"/>
              </w:rPr>
              <w:t>硫化氢、甲硫醇、甲硫醚和二甲二硫的测定</w:t>
            </w:r>
            <w:r>
              <w:rPr>
                <w:rFonts w:cs="Times New Roman" w:hint="eastAsia"/>
                <w:sz w:val="21"/>
                <w:szCs w:val="21"/>
              </w:rPr>
              <w:t xml:space="preserve"> </w:t>
            </w:r>
            <w:r>
              <w:rPr>
                <w:rFonts w:cs="Times New Roman" w:hint="eastAsia"/>
                <w:sz w:val="21"/>
                <w:szCs w:val="21"/>
              </w:rPr>
              <w:t>气相色谱法</w:t>
            </w:r>
          </w:p>
        </w:tc>
        <w:tc>
          <w:tcPr>
            <w:tcW w:w="1629"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GB/T 14678-1993</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mg/m</w:t>
            </w:r>
            <w:r>
              <w:rPr>
                <w:rFonts w:cs="Times New Roman" w:hint="eastAsia"/>
                <w:sz w:val="21"/>
                <w:szCs w:val="21"/>
                <w:vertAlign w:val="superscript"/>
              </w:rPr>
              <w:t>3</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 xml:space="preserve">0.001 </w:t>
            </w:r>
          </w:p>
        </w:tc>
      </w:tr>
      <w:tr w:rsidR="00C645C9">
        <w:trPr>
          <w:trHeight w:val="336"/>
          <w:jc w:val="center"/>
        </w:trPr>
        <w:tc>
          <w:tcPr>
            <w:tcW w:w="59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2</w:t>
            </w:r>
          </w:p>
        </w:tc>
        <w:tc>
          <w:tcPr>
            <w:tcW w:w="1025"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非甲烷</w:t>
            </w:r>
          </w:p>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总烃</w:t>
            </w:r>
          </w:p>
        </w:tc>
        <w:tc>
          <w:tcPr>
            <w:tcW w:w="3203"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环境空气</w:t>
            </w:r>
            <w:r>
              <w:rPr>
                <w:rFonts w:cs="Times New Roman" w:hint="eastAsia"/>
                <w:sz w:val="21"/>
                <w:szCs w:val="21"/>
              </w:rPr>
              <w:t xml:space="preserve"> </w:t>
            </w:r>
            <w:r>
              <w:rPr>
                <w:rFonts w:cs="Times New Roman" w:hint="eastAsia"/>
                <w:sz w:val="21"/>
                <w:szCs w:val="21"/>
              </w:rPr>
              <w:t>总烃、甲烷和非甲烷总烃的测定</w:t>
            </w:r>
            <w:r>
              <w:rPr>
                <w:rFonts w:cs="Times New Roman" w:hint="eastAsia"/>
                <w:sz w:val="21"/>
                <w:szCs w:val="21"/>
              </w:rPr>
              <w:t xml:space="preserve"> </w:t>
            </w:r>
            <w:r>
              <w:rPr>
                <w:rFonts w:cs="Times New Roman" w:hint="eastAsia"/>
                <w:sz w:val="21"/>
                <w:szCs w:val="21"/>
              </w:rPr>
              <w:t>直接进样</w:t>
            </w:r>
            <w:r>
              <w:rPr>
                <w:rFonts w:cs="Times New Roman" w:hint="eastAsia"/>
                <w:sz w:val="21"/>
                <w:szCs w:val="21"/>
              </w:rPr>
              <w:t>-</w:t>
            </w:r>
            <w:r>
              <w:rPr>
                <w:rFonts w:cs="Times New Roman" w:hint="eastAsia"/>
                <w:sz w:val="21"/>
                <w:szCs w:val="21"/>
              </w:rPr>
              <w:t>气相色谱法</w:t>
            </w:r>
          </w:p>
        </w:tc>
        <w:tc>
          <w:tcPr>
            <w:tcW w:w="1629"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HJ 604-2017</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mg/m</w:t>
            </w:r>
            <w:r>
              <w:rPr>
                <w:rFonts w:cs="Times New Roman" w:hint="eastAsia"/>
                <w:sz w:val="21"/>
                <w:szCs w:val="21"/>
                <w:vertAlign w:val="superscript"/>
              </w:rPr>
              <w:t>3</w:t>
            </w:r>
          </w:p>
        </w:tc>
        <w:tc>
          <w:tcPr>
            <w:tcW w:w="954"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 xml:space="preserve">0.07 </w:t>
            </w:r>
          </w:p>
        </w:tc>
      </w:tr>
    </w:tbl>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）评价标准</w:t>
      </w:r>
    </w:p>
    <w:p w:rsidR="00C645C9" w:rsidRDefault="00F955D9">
      <w:pPr>
        <w:widowControl w:val="0"/>
        <w:adjustRightInd w:val="0"/>
        <w:snapToGrid w:val="0"/>
        <w:spacing w:line="360" w:lineRule="auto"/>
        <w:ind w:firstLineChars="200" w:firstLine="480"/>
        <w:rPr>
          <w:rFonts w:cs="Times New Roman"/>
        </w:rPr>
      </w:pPr>
      <w:r>
        <w:rPr>
          <w:rFonts w:cs="Times New Roman"/>
        </w:rPr>
        <w:t>非甲烷总烃小时平均浓度满足《大气污染物综合排放标准详解》中的</w:t>
      </w:r>
      <w:r>
        <w:rPr>
          <w:rFonts w:cs="Times New Roman"/>
        </w:rPr>
        <w:t>2.0mg/m</w:t>
      </w:r>
      <w:r>
        <w:rPr>
          <w:rFonts w:cs="Times New Roman"/>
          <w:vertAlign w:val="superscript"/>
        </w:rPr>
        <w:t>3</w:t>
      </w:r>
      <w:r>
        <w:rPr>
          <w:rFonts w:cs="Times New Roman"/>
        </w:rPr>
        <w:t>的标准</w:t>
      </w:r>
      <w:r>
        <w:rPr>
          <w:rFonts w:cs="Times New Roman"/>
        </w:rPr>
        <w:t>，硫化氢</w:t>
      </w:r>
      <w:r>
        <w:rPr>
          <w:rFonts w:cs="Times New Roman"/>
        </w:rPr>
        <w:t>1</w:t>
      </w:r>
      <w:r>
        <w:rPr>
          <w:rFonts w:cs="Times New Roman"/>
        </w:rPr>
        <w:t>小时平均浓度执行</w:t>
      </w:r>
      <w:r>
        <w:rPr>
          <w:rFonts w:cs="Times New Roman"/>
        </w:rPr>
        <w:t>《</w:t>
      </w:r>
      <w:r>
        <w:rPr>
          <w:rFonts w:cs="Times New Roman"/>
        </w:rPr>
        <w:t>环境影响评价技术导则</w:t>
      </w:r>
      <w:r>
        <w:rPr>
          <w:rFonts w:cs="Times New Roman"/>
        </w:rPr>
        <w:t xml:space="preserve"> </w:t>
      </w:r>
      <w:r>
        <w:rPr>
          <w:rFonts w:cs="Times New Roman"/>
        </w:rPr>
        <w:t>大气环境</w:t>
      </w:r>
      <w:r>
        <w:rPr>
          <w:rFonts w:cs="Times New Roman"/>
        </w:rPr>
        <w:t>》（</w:t>
      </w:r>
      <w:r>
        <w:rPr>
          <w:rFonts w:cs="Times New Roman"/>
        </w:rPr>
        <w:t>HJ2.2-2018</w:t>
      </w:r>
      <w:r>
        <w:rPr>
          <w:rFonts w:cs="Times New Roman"/>
        </w:rPr>
        <w:t>）</w:t>
      </w:r>
      <w:r>
        <w:rPr>
          <w:rFonts w:cs="Times New Roman"/>
        </w:rPr>
        <w:t>附录</w:t>
      </w:r>
      <w:r>
        <w:rPr>
          <w:rFonts w:cs="Times New Roman"/>
        </w:rPr>
        <w:t>D</w:t>
      </w:r>
      <w:r>
        <w:rPr>
          <w:rFonts w:cs="Times New Roman"/>
        </w:rPr>
        <w:t>中其他污染物空气质量浓度参考限值</w:t>
      </w:r>
      <w:r>
        <w:rPr>
          <w:rFonts w:cs="Times New Roman"/>
        </w:rPr>
        <w:t>0.01mg/m</w:t>
      </w:r>
      <w:r>
        <w:rPr>
          <w:rFonts w:cs="Times New Roman"/>
          <w:vertAlign w:val="superscript"/>
        </w:rPr>
        <w:t>3</w:t>
      </w:r>
      <w:r>
        <w:rPr>
          <w:rFonts w:cs="Times New Roman"/>
        </w:rPr>
        <w:t>的浓度限值要求。</w:t>
      </w:r>
    </w:p>
    <w:p w:rsidR="00C645C9" w:rsidRDefault="00F955D9">
      <w:pPr>
        <w:pStyle w:val="aff"/>
        <w:widowControl w:val="0"/>
        <w:adjustRightInd w:val="0"/>
        <w:snapToGrid w:val="0"/>
        <w:ind w:firstLineChars="200" w:firstLine="480"/>
        <w:rPr>
          <w:rFonts w:cs="Times New Roman"/>
          <w:color w:val="auto"/>
        </w:rPr>
      </w:pPr>
      <w:r>
        <w:rPr>
          <w:rFonts w:cs="Times New Roman" w:hint="eastAsia"/>
          <w:color w:val="auto"/>
        </w:rPr>
        <w:t>（</w:t>
      </w:r>
      <w:r>
        <w:rPr>
          <w:rFonts w:cs="Times New Roman" w:hint="eastAsia"/>
          <w:color w:val="auto"/>
        </w:rPr>
        <w:t>7</w:t>
      </w:r>
      <w:r>
        <w:rPr>
          <w:rFonts w:cs="Times New Roman" w:hint="eastAsia"/>
          <w:color w:val="auto"/>
        </w:rPr>
        <w:t>）</w:t>
      </w:r>
      <w:r>
        <w:rPr>
          <w:rFonts w:cs="Times New Roman"/>
          <w:color w:val="auto"/>
        </w:rPr>
        <w:t>评价方法</w:t>
      </w:r>
    </w:p>
    <w:p w:rsidR="00C645C9" w:rsidRDefault="00F955D9">
      <w:pPr>
        <w:pStyle w:val="aff"/>
        <w:widowControl w:val="0"/>
        <w:adjustRightInd w:val="0"/>
        <w:snapToGrid w:val="0"/>
        <w:ind w:firstLineChars="200" w:firstLine="480"/>
        <w:rPr>
          <w:rFonts w:cs="Times New Roman"/>
          <w:color w:val="auto"/>
        </w:rPr>
      </w:pPr>
      <w:r>
        <w:rPr>
          <w:rFonts w:cs="Times New Roman"/>
          <w:color w:val="auto"/>
        </w:rPr>
        <w:t>采用质量浓度占标率法，计算公式为：</w:t>
      </w:r>
    </w:p>
    <w:p w:rsidR="00C645C9" w:rsidRDefault="00F955D9">
      <w:pPr>
        <w:pStyle w:val="aff"/>
        <w:widowControl w:val="0"/>
        <w:adjustRightInd w:val="0"/>
        <w:snapToGrid w:val="0"/>
        <w:ind w:left="53" w:right="53"/>
        <w:jc w:val="center"/>
        <w:rPr>
          <w:rFonts w:cs="Times New Roman"/>
          <w:color w:val="auto"/>
        </w:rPr>
      </w:pPr>
      <w:r>
        <w:rPr>
          <w:rFonts w:cs="Times New Roman"/>
          <w:noProof/>
          <w:snapToGrid/>
          <w:color w:val="auto"/>
        </w:rPr>
        <w:lastRenderedPageBreak/>
        <w:drawing>
          <wp:inline distT="0" distB="0" distL="114300" distR="114300">
            <wp:extent cx="1065530" cy="435610"/>
            <wp:effectExtent l="0" t="0" r="0" b="2540"/>
            <wp:docPr id="25" name="图片 6" descr="C:\Users\hl\AppData\Local\Temp\ksohtml72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hl\AppData\Local\Temp\ksohtml7224\wps1.png"/>
                    <pic:cNvPicPr>
                      <a:picLocks noChangeAspect="1"/>
                    </pic:cNvPicPr>
                  </pic:nvPicPr>
                  <pic:blipFill>
                    <a:blip r:embed="rId36"/>
                    <a:stretch>
                      <a:fillRect/>
                    </a:stretch>
                  </pic:blipFill>
                  <pic:spPr>
                    <a:xfrm>
                      <a:off x="0" y="0"/>
                      <a:ext cx="1065530" cy="435610"/>
                    </a:xfrm>
                    <a:prstGeom prst="rect">
                      <a:avLst/>
                    </a:prstGeom>
                    <a:noFill/>
                    <a:ln>
                      <a:noFill/>
                    </a:ln>
                  </pic:spPr>
                </pic:pic>
              </a:graphicData>
            </a:graphic>
          </wp:inline>
        </w:drawing>
      </w:r>
    </w:p>
    <w:p w:rsidR="00C645C9" w:rsidRDefault="00F955D9">
      <w:pPr>
        <w:pStyle w:val="aff"/>
        <w:widowControl w:val="0"/>
        <w:adjustRightInd w:val="0"/>
        <w:snapToGrid w:val="0"/>
        <w:ind w:left="53" w:firstLineChars="200" w:firstLine="480"/>
        <w:rPr>
          <w:rFonts w:cs="Times New Roman"/>
          <w:color w:val="auto"/>
        </w:rPr>
      </w:pPr>
      <w:r>
        <w:rPr>
          <w:rFonts w:cs="Times New Roman"/>
          <w:color w:val="auto"/>
        </w:rPr>
        <w:t>式中：</w:t>
      </w:r>
      <w:r>
        <w:rPr>
          <w:rFonts w:cs="Times New Roman"/>
          <w:i/>
          <w:iCs/>
          <w:color w:val="auto"/>
        </w:rPr>
        <w:t>P</w:t>
      </w:r>
      <w:r>
        <w:rPr>
          <w:rFonts w:cs="Times New Roman"/>
          <w:i/>
          <w:iCs/>
          <w:color w:val="auto"/>
          <w:vertAlign w:val="subscript"/>
        </w:rPr>
        <w:t>i</w:t>
      </w:r>
      <w:r>
        <w:rPr>
          <w:rFonts w:cs="Times New Roman"/>
          <w:color w:val="auto"/>
        </w:rPr>
        <w:t>——</w:t>
      </w:r>
      <w:r>
        <w:rPr>
          <w:rFonts w:cs="Times New Roman"/>
          <w:color w:val="auto"/>
        </w:rPr>
        <w:t>第</w:t>
      </w:r>
      <w:r>
        <w:rPr>
          <w:rFonts w:cs="Times New Roman"/>
          <w:color w:val="auto"/>
        </w:rPr>
        <w:t>i</w:t>
      </w:r>
      <w:r>
        <w:rPr>
          <w:rFonts w:cs="Times New Roman"/>
          <w:color w:val="auto"/>
        </w:rPr>
        <w:t>个污染物的最大占标百分比，</w:t>
      </w:r>
      <w:r>
        <w:rPr>
          <w:rFonts w:cs="Times New Roman"/>
          <w:color w:val="auto"/>
        </w:rPr>
        <w:t>%</w:t>
      </w:r>
      <w:r>
        <w:rPr>
          <w:rFonts w:cs="Times New Roman"/>
          <w:color w:val="auto"/>
        </w:rPr>
        <w:t>；</w:t>
      </w:r>
    </w:p>
    <w:p w:rsidR="00C645C9" w:rsidRDefault="00F955D9">
      <w:pPr>
        <w:pStyle w:val="aff"/>
        <w:widowControl w:val="0"/>
        <w:adjustRightInd w:val="0"/>
        <w:snapToGrid w:val="0"/>
        <w:ind w:firstLineChars="525" w:firstLine="1260"/>
        <w:rPr>
          <w:rFonts w:cs="Times New Roman"/>
          <w:color w:val="auto"/>
        </w:rPr>
      </w:pPr>
      <w:r>
        <w:rPr>
          <w:rFonts w:cs="Times New Roman"/>
          <w:i/>
          <w:iCs/>
          <w:color w:val="auto"/>
        </w:rPr>
        <w:t>C</w:t>
      </w:r>
      <w:r>
        <w:rPr>
          <w:rFonts w:cs="Times New Roman"/>
          <w:i/>
          <w:iCs/>
          <w:color w:val="auto"/>
          <w:vertAlign w:val="subscript"/>
        </w:rPr>
        <w:t>i</w:t>
      </w:r>
      <w:r>
        <w:rPr>
          <w:rFonts w:cs="Times New Roman"/>
          <w:color w:val="auto"/>
        </w:rPr>
        <w:t>——</w:t>
      </w:r>
      <w:r>
        <w:rPr>
          <w:rFonts w:cs="Times New Roman"/>
          <w:color w:val="auto"/>
        </w:rPr>
        <w:t>第</w:t>
      </w:r>
      <w:r>
        <w:rPr>
          <w:rFonts w:cs="Times New Roman"/>
          <w:color w:val="auto"/>
        </w:rPr>
        <w:t>i</w:t>
      </w:r>
      <w:r>
        <w:rPr>
          <w:rFonts w:cs="Times New Roman"/>
          <w:color w:val="auto"/>
        </w:rPr>
        <w:t>个污染物监测浓度，</w:t>
      </w:r>
      <w:r>
        <w:rPr>
          <w:rFonts w:cs="Times New Roman"/>
          <w:color w:val="auto"/>
        </w:rPr>
        <w:t>μg/m³</w:t>
      </w:r>
      <w:r>
        <w:rPr>
          <w:rFonts w:cs="Times New Roman"/>
          <w:color w:val="auto"/>
        </w:rPr>
        <w:t>；</w:t>
      </w:r>
    </w:p>
    <w:p w:rsidR="00C645C9" w:rsidRDefault="00F955D9">
      <w:pPr>
        <w:pStyle w:val="aff"/>
        <w:widowControl w:val="0"/>
        <w:adjustRightInd w:val="0"/>
        <w:snapToGrid w:val="0"/>
        <w:ind w:firstLineChars="525" w:firstLine="1260"/>
        <w:rPr>
          <w:rFonts w:cs="Times New Roman"/>
          <w:color w:val="auto"/>
        </w:rPr>
      </w:pPr>
      <w:r>
        <w:rPr>
          <w:rFonts w:cs="Times New Roman"/>
          <w:i/>
          <w:iCs/>
          <w:color w:val="auto"/>
        </w:rPr>
        <w:t>C</w:t>
      </w:r>
      <w:r>
        <w:rPr>
          <w:rFonts w:cs="Times New Roman"/>
          <w:i/>
          <w:iCs/>
          <w:color w:val="auto"/>
          <w:vertAlign w:val="subscript"/>
        </w:rPr>
        <w:t>oi</w:t>
      </w:r>
      <w:r>
        <w:rPr>
          <w:rFonts w:cs="Times New Roman"/>
          <w:color w:val="auto"/>
        </w:rPr>
        <w:t>——</w:t>
      </w:r>
      <w:r>
        <w:rPr>
          <w:rFonts w:cs="Times New Roman"/>
          <w:color w:val="auto"/>
        </w:rPr>
        <w:t>第</w:t>
      </w:r>
      <w:r>
        <w:rPr>
          <w:rFonts w:cs="Times New Roman"/>
          <w:color w:val="auto"/>
        </w:rPr>
        <w:t>i</w:t>
      </w:r>
      <w:r>
        <w:rPr>
          <w:rFonts w:cs="Times New Roman"/>
          <w:color w:val="auto"/>
        </w:rPr>
        <w:t>个污染物的环境空气质量浓度标准，</w:t>
      </w:r>
      <w:r>
        <w:rPr>
          <w:rFonts w:cs="Times New Roman"/>
          <w:color w:val="auto"/>
        </w:rPr>
        <w:t>μg/m³</w:t>
      </w:r>
      <w:r>
        <w:rPr>
          <w:rFonts w:cs="Times New Roman"/>
          <w:color w:val="auto"/>
        </w:rPr>
        <w:t>。</w:t>
      </w:r>
    </w:p>
    <w:p w:rsidR="00C645C9" w:rsidRDefault="00F955D9">
      <w:pPr>
        <w:pStyle w:val="aff"/>
        <w:widowControl w:val="0"/>
        <w:adjustRightInd w:val="0"/>
        <w:snapToGrid w:val="0"/>
        <w:ind w:right="53" w:firstLineChars="200" w:firstLine="480"/>
        <w:rPr>
          <w:rFonts w:cs="Times New Roman"/>
          <w:snapToGrid/>
          <w:color w:val="auto"/>
          <w:szCs w:val="20"/>
        </w:rPr>
      </w:pPr>
      <w:r>
        <w:rPr>
          <w:rFonts w:cs="Times New Roman" w:hint="eastAsia"/>
          <w:snapToGrid/>
          <w:color w:val="auto"/>
          <w:szCs w:val="20"/>
        </w:rPr>
        <w:t>（</w:t>
      </w:r>
      <w:r>
        <w:rPr>
          <w:rFonts w:cs="Times New Roman" w:hint="eastAsia"/>
          <w:snapToGrid/>
          <w:color w:val="auto"/>
          <w:szCs w:val="20"/>
        </w:rPr>
        <w:t>8</w:t>
      </w:r>
      <w:r>
        <w:rPr>
          <w:rFonts w:cs="Times New Roman" w:hint="eastAsia"/>
          <w:snapToGrid/>
          <w:color w:val="auto"/>
          <w:szCs w:val="20"/>
        </w:rPr>
        <w:t>）</w:t>
      </w:r>
      <w:r>
        <w:rPr>
          <w:rFonts w:cs="Times New Roman"/>
          <w:snapToGrid/>
          <w:color w:val="auto"/>
          <w:szCs w:val="20"/>
        </w:rPr>
        <w:t>评价结果</w:t>
      </w:r>
    </w:p>
    <w:p w:rsidR="00C645C9" w:rsidRDefault="00F955D9">
      <w:pPr>
        <w:ind w:firstLineChars="200" w:firstLine="480"/>
      </w:pPr>
      <w:r>
        <w:rPr>
          <w:rFonts w:cs="Times New Roman"/>
          <w:szCs w:val="20"/>
        </w:rPr>
        <w:t>监测及评价</w:t>
      </w:r>
      <w:r>
        <w:rPr>
          <w:rFonts w:cs="Times New Roman"/>
        </w:rPr>
        <w:t>结果见表</w:t>
      </w:r>
      <w:r>
        <w:rPr>
          <w:rFonts w:cs="Times New Roman"/>
        </w:rPr>
        <w:t>4.6-</w:t>
      </w:r>
      <w:r>
        <w:rPr>
          <w:rFonts w:cs="Times New Roman" w:hint="eastAsia"/>
        </w:rPr>
        <w:t>4</w:t>
      </w:r>
      <w:r>
        <w:rPr>
          <w:rFonts w:cs="Times New Roman" w:hint="eastAsia"/>
        </w:rPr>
        <w:t>。</w:t>
      </w:r>
    </w:p>
    <w:p w:rsidR="00C645C9" w:rsidRDefault="00F955D9">
      <w:pPr>
        <w:widowControl w:val="0"/>
        <w:adjustRightInd w:val="0"/>
        <w:snapToGrid w:val="0"/>
        <w:jc w:val="center"/>
        <w:rPr>
          <w:rFonts w:eastAsia="黑体" w:cs="Times New Roman"/>
          <w:kern w:val="2"/>
          <w:sz w:val="21"/>
          <w:szCs w:val="21"/>
          <w:vertAlign w:val="superscript"/>
          <w:lang w:bidi="ar"/>
        </w:rPr>
      </w:pPr>
      <w:r>
        <w:rPr>
          <w:rFonts w:eastAsia="黑体" w:cs="Times New Roman"/>
          <w:kern w:val="2"/>
          <w:sz w:val="21"/>
          <w:szCs w:val="21"/>
          <w:lang w:bidi="ar"/>
        </w:rPr>
        <w:t>表</w:t>
      </w:r>
      <w:bookmarkStart w:id="1427" w:name="OLE_LINK621"/>
      <w:r>
        <w:rPr>
          <w:rFonts w:eastAsia="黑体" w:cs="Times New Roman"/>
          <w:kern w:val="2"/>
          <w:sz w:val="21"/>
          <w:szCs w:val="21"/>
          <w:lang w:bidi="ar"/>
        </w:rPr>
        <w:t>4.</w:t>
      </w:r>
      <w:r>
        <w:rPr>
          <w:rFonts w:eastAsia="黑体" w:cs="Times New Roman" w:hint="eastAsia"/>
          <w:kern w:val="2"/>
          <w:sz w:val="21"/>
          <w:szCs w:val="21"/>
          <w:lang w:bidi="ar"/>
        </w:rPr>
        <w:t>6</w:t>
      </w:r>
      <w:r>
        <w:rPr>
          <w:rFonts w:eastAsia="黑体" w:cs="Times New Roman"/>
          <w:kern w:val="2"/>
          <w:sz w:val="21"/>
          <w:szCs w:val="21"/>
          <w:lang w:bidi="ar"/>
        </w:rPr>
        <w:t>-</w:t>
      </w:r>
      <w:r>
        <w:rPr>
          <w:rFonts w:eastAsia="黑体" w:cs="Times New Roman" w:hint="eastAsia"/>
          <w:kern w:val="2"/>
          <w:sz w:val="21"/>
          <w:szCs w:val="21"/>
          <w:lang w:bidi="ar"/>
        </w:rPr>
        <w:t>4</w:t>
      </w:r>
      <w:bookmarkEnd w:id="1427"/>
      <w:r>
        <w:rPr>
          <w:rFonts w:eastAsia="黑体" w:cs="Times New Roman"/>
          <w:kern w:val="2"/>
          <w:sz w:val="21"/>
          <w:szCs w:val="21"/>
          <w:lang w:bidi="ar"/>
        </w:rPr>
        <w:t xml:space="preserve">   </w:t>
      </w:r>
      <w:r>
        <w:rPr>
          <w:rFonts w:eastAsia="黑体" w:cs="Times New Roman"/>
          <w:kern w:val="2"/>
          <w:sz w:val="21"/>
          <w:szCs w:val="21"/>
          <w:lang w:bidi="ar"/>
        </w:rPr>
        <w:t>非甲烷总烃、</w:t>
      </w:r>
      <w:r>
        <w:rPr>
          <w:rFonts w:eastAsia="黑体" w:cs="Times New Roman"/>
          <w:kern w:val="2"/>
          <w:sz w:val="21"/>
          <w:szCs w:val="21"/>
          <w:lang w:bidi="ar"/>
        </w:rPr>
        <w:t>H</w:t>
      </w:r>
      <w:r>
        <w:rPr>
          <w:rFonts w:eastAsia="黑体" w:cs="Times New Roman"/>
          <w:kern w:val="2"/>
          <w:sz w:val="21"/>
          <w:szCs w:val="21"/>
          <w:vertAlign w:val="subscript"/>
          <w:lang w:bidi="ar"/>
        </w:rPr>
        <w:t>2</w:t>
      </w:r>
      <w:r>
        <w:rPr>
          <w:rFonts w:eastAsia="黑体" w:cs="Times New Roman"/>
          <w:kern w:val="2"/>
          <w:sz w:val="21"/>
          <w:szCs w:val="21"/>
          <w:lang w:bidi="ar"/>
        </w:rPr>
        <w:t>S</w:t>
      </w:r>
      <w:r>
        <w:rPr>
          <w:rFonts w:eastAsia="黑体" w:cs="Times New Roman"/>
          <w:kern w:val="2"/>
          <w:sz w:val="21"/>
          <w:szCs w:val="21"/>
          <w:lang w:bidi="ar"/>
        </w:rPr>
        <w:t>监测评价结果表：</w:t>
      </w:r>
      <w:r>
        <w:rPr>
          <w:rFonts w:cs="Times New Roman"/>
          <w:sz w:val="21"/>
          <w:szCs w:val="21"/>
        </w:rPr>
        <w:t>mg/m</w:t>
      </w:r>
      <w:r>
        <w:rPr>
          <w:rFonts w:cs="Times New Roman"/>
          <w:sz w:val="21"/>
          <w:szCs w:val="21"/>
          <w:vertAlign w:val="superscript"/>
        </w:rPr>
        <w:t>3</w:t>
      </w:r>
      <w:r>
        <w:rPr>
          <w:rFonts w:eastAsia="黑体" w:cs="Times New Roman"/>
          <w:kern w:val="2"/>
          <w:sz w:val="21"/>
          <w:szCs w:val="21"/>
          <w:lang w:bidi="ar"/>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8"/>
        <w:gridCol w:w="1329"/>
        <w:gridCol w:w="1373"/>
        <w:gridCol w:w="1207"/>
        <w:gridCol w:w="1341"/>
        <w:gridCol w:w="1092"/>
        <w:gridCol w:w="722"/>
      </w:tblGrid>
      <w:tr w:rsidR="00C645C9">
        <w:trPr>
          <w:trHeight w:val="240"/>
          <w:jc w:val="center"/>
        </w:trPr>
        <w:tc>
          <w:tcPr>
            <w:tcW w:w="776"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监测点位</w:t>
            </w:r>
          </w:p>
        </w:tc>
        <w:tc>
          <w:tcPr>
            <w:tcW w:w="794"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污染物</w:t>
            </w:r>
          </w:p>
        </w:tc>
        <w:tc>
          <w:tcPr>
            <w:tcW w:w="820"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平均时间</w:t>
            </w:r>
          </w:p>
        </w:tc>
        <w:tc>
          <w:tcPr>
            <w:tcW w:w="72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评价标准</w:t>
            </w:r>
          </w:p>
        </w:tc>
        <w:tc>
          <w:tcPr>
            <w:tcW w:w="80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监测浓度范围</w:t>
            </w:r>
          </w:p>
        </w:tc>
        <w:tc>
          <w:tcPr>
            <w:tcW w:w="65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最大浓度占标率</w:t>
            </w:r>
            <w:r>
              <w:rPr>
                <w:rFonts w:cs="Times New Roman" w:hint="eastAsia"/>
                <w:sz w:val="21"/>
                <w:szCs w:val="21"/>
              </w:rPr>
              <w:t>/%</w:t>
            </w:r>
          </w:p>
        </w:tc>
        <w:tc>
          <w:tcPr>
            <w:tcW w:w="43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达标</w:t>
            </w:r>
          </w:p>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情况</w:t>
            </w:r>
          </w:p>
        </w:tc>
      </w:tr>
      <w:tr w:rsidR="00C645C9">
        <w:trPr>
          <w:trHeight w:val="90"/>
          <w:jc w:val="center"/>
        </w:trPr>
        <w:tc>
          <w:tcPr>
            <w:tcW w:w="776" w:type="pct"/>
            <w:vMerge w:val="restart"/>
            <w:vAlign w:val="center"/>
          </w:tcPr>
          <w:p w:rsidR="00C645C9" w:rsidRDefault="00F955D9">
            <w:pPr>
              <w:autoSpaceDE w:val="0"/>
              <w:autoSpaceDN w:val="0"/>
              <w:adjustRightInd w:val="0"/>
              <w:snapToGrid w:val="0"/>
              <w:jc w:val="center"/>
              <w:rPr>
                <w:rFonts w:cs="Times New Roman"/>
                <w:sz w:val="21"/>
                <w:szCs w:val="21"/>
              </w:rPr>
            </w:pPr>
            <w:bookmarkStart w:id="1428" w:name="OLE_LINK619" w:colFirst="2" w:colLast="3"/>
            <w:bookmarkStart w:id="1429" w:name="OLE_LINK1554" w:colFirst="3" w:colLast="3"/>
            <w:bookmarkStart w:id="1430" w:name="OLE_LINK618" w:colFirst="1" w:colLast="1"/>
            <w:bookmarkStart w:id="1431" w:name="OLE_LINK1555" w:colFirst="3" w:colLast="3"/>
            <w:r>
              <w:rPr>
                <w:rFonts w:cs="Times New Roman" w:hint="eastAsia"/>
                <w:sz w:val="21"/>
                <w:szCs w:val="21"/>
              </w:rPr>
              <w:t>新北</w:t>
            </w:r>
            <w:r>
              <w:rPr>
                <w:rFonts w:cs="Times New Roman" w:hint="eastAsia"/>
                <w:sz w:val="21"/>
                <w:szCs w:val="21"/>
              </w:rPr>
              <w:t>1X</w:t>
            </w:r>
            <w:r>
              <w:rPr>
                <w:rFonts w:cs="Times New Roman" w:hint="eastAsia"/>
                <w:sz w:val="21"/>
                <w:szCs w:val="21"/>
              </w:rPr>
              <w:t>井</w:t>
            </w:r>
          </w:p>
        </w:tc>
        <w:tc>
          <w:tcPr>
            <w:tcW w:w="794"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非甲烷总烃</w:t>
            </w:r>
          </w:p>
        </w:tc>
        <w:tc>
          <w:tcPr>
            <w:tcW w:w="820"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1</w:t>
            </w:r>
            <w:r>
              <w:rPr>
                <w:rFonts w:cs="Times New Roman" w:hint="eastAsia"/>
                <w:sz w:val="21"/>
                <w:szCs w:val="21"/>
              </w:rPr>
              <w:t>小时平均</w:t>
            </w:r>
          </w:p>
        </w:tc>
        <w:tc>
          <w:tcPr>
            <w:tcW w:w="72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2</w:t>
            </w:r>
          </w:p>
        </w:tc>
        <w:tc>
          <w:tcPr>
            <w:tcW w:w="80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65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43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达标</w:t>
            </w:r>
          </w:p>
        </w:tc>
      </w:tr>
      <w:tr w:rsidR="00C645C9">
        <w:trPr>
          <w:trHeight w:val="240"/>
          <w:jc w:val="center"/>
        </w:trPr>
        <w:tc>
          <w:tcPr>
            <w:tcW w:w="776" w:type="pct"/>
            <w:vMerge/>
            <w:vAlign w:val="center"/>
          </w:tcPr>
          <w:p w:rsidR="00C645C9" w:rsidRDefault="00C645C9">
            <w:pPr>
              <w:autoSpaceDE w:val="0"/>
              <w:autoSpaceDN w:val="0"/>
              <w:adjustRightInd w:val="0"/>
              <w:snapToGrid w:val="0"/>
              <w:jc w:val="center"/>
              <w:rPr>
                <w:rFonts w:cs="Times New Roman"/>
                <w:sz w:val="21"/>
                <w:szCs w:val="21"/>
              </w:rPr>
            </w:pPr>
            <w:bookmarkStart w:id="1432" w:name="OLE_LINK1553" w:colFirst="3" w:colLast="3"/>
          </w:p>
        </w:tc>
        <w:tc>
          <w:tcPr>
            <w:tcW w:w="794"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硫化氢</w:t>
            </w:r>
          </w:p>
        </w:tc>
        <w:tc>
          <w:tcPr>
            <w:tcW w:w="820"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1</w:t>
            </w:r>
            <w:r>
              <w:rPr>
                <w:rFonts w:cs="Times New Roman" w:hint="eastAsia"/>
                <w:sz w:val="21"/>
                <w:szCs w:val="21"/>
              </w:rPr>
              <w:t>小时平均</w:t>
            </w:r>
          </w:p>
        </w:tc>
        <w:tc>
          <w:tcPr>
            <w:tcW w:w="72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0.01</w:t>
            </w:r>
          </w:p>
        </w:tc>
        <w:tc>
          <w:tcPr>
            <w:tcW w:w="80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65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432" w:type="pct"/>
            <w:vAlign w:val="center"/>
          </w:tcPr>
          <w:p w:rsidR="00C645C9" w:rsidRDefault="00F955D9">
            <w:pPr>
              <w:autoSpaceDE w:val="0"/>
              <w:autoSpaceDN w:val="0"/>
              <w:adjustRightInd w:val="0"/>
              <w:snapToGrid w:val="0"/>
              <w:jc w:val="center"/>
              <w:rPr>
                <w:rFonts w:cs="Times New Roman"/>
                <w:sz w:val="21"/>
                <w:szCs w:val="21"/>
              </w:rPr>
            </w:pPr>
            <w:bookmarkStart w:id="1433" w:name="OLE_LINK620"/>
            <w:r>
              <w:rPr>
                <w:rFonts w:cs="Times New Roman" w:hint="eastAsia"/>
                <w:sz w:val="21"/>
                <w:szCs w:val="21"/>
              </w:rPr>
              <w:t>达标</w:t>
            </w:r>
            <w:bookmarkEnd w:id="1433"/>
          </w:p>
        </w:tc>
      </w:tr>
      <w:bookmarkEnd w:id="1428"/>
      <w:bookmarkEnd w:id="1429"/>
      <w:bookmarkEnd w:id="1430"/>
      <w:tr w:rsidR="00C645C9">
        <w:trPr>
          <w:trHeight w:val="273"/>
          <w:jc w:val="center"/>
        </w:trPr>
        <w:tc>
          <w:tcPr>
            <w:tcW w:w="776" w:type="pct"/>
            <w:vMerge w:val="restar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新北</w:t>
            </w:r>
            <w:r>
              <w:rPr>
                <w:rFonts w:cs="Times New Roman" w:hint="eastAsia"/>
                <w:sz w:val="21"/>
                <w:szCs w:val="21"/>
              </w:rPr>
              <w:t>1X</w:t>
            </w:r>
            <w:r>
              <w:rPr>
                <w:rFonts w:cs="Times New Roman" w:hint="eastAsia"/>
                <w:sz w:val="21"/>
                <w:szCs w:val="21"/>
              </w:rPr>
              <w:t>井</w:t>
            </w:r>
            <w:r>
              <w:rPr>
                <w:rFonts w:cs="Times New Roman"/>
                <w:sz w:val="21"/>
                <w:szCs w:val="21"/>
              </w:rPr>
              <w:t>项目区下风向</w:t>
            </w:r>
          </w:p>
        </w:tc>
        <w:tc>
          <w:tcPr>
            <w:tcW w:w="1329"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非甲烷总烃</w:t>
            </w:r>
          </w:p>
        </w:tc>
        <w:tc>
          <w:tcPr>
            <w:tcW w:w="1373"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1</w:t>
            </w:r>
            <w:r>
              <w:rPr>
                <w:rFonts w:cs="Times New Roman" w:hint="eastAsia"/>
                <w:sz w:val="21"/>
                <w:szCs w:val="21"/>
              </w:rPr>
              <w:t>小时平均</w:t>
            </w:r>
          </w:p>
        </w:tc>
        <w:tc>
          <w:tcPr>
            <w:tcW w:w="1207"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2</w:t>
            </w:r>
          </w:p>
        </w:tc>
        <w:tc>
          <w:tcPr>
            <w:tcW w:w="80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65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43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达标</w:t>
            </w:r>
          </w:p>
        </w:tc>
      </w:tr>
      <w:tr w:rsidR="00C645C9">
        <w:trPr>
          <w:trHeight w:val="240"/>
          <w:jc w:val="center"/>
        </w:trPr>
        <w:tc>
          <w:tcPr>
            <w:tcW w:w="776" w:type="pct"/>
            <w:vMerge/>
            <w:vAlign w:val="center"/>
          </w:tcPr>
          <w:p w:rsidR="00C645C9" w:rsidRDefault="00C645C9">
            <w:pPr>
              <w:autoSpaceDE w:val="0"/>
              <w:autoSpaceDN w:val="0"/>
              <w:adjustRightInd w:val="0"/>
              <w:snapToGrid w:val="0"/>
              <w:jc w:val="center"/>
              <w:rPr>
                <w:rFonts w:cs="Times New Roman"/>
                <w:sz w:val="21"/>
                <w:szCs w:val="21"/>
              </w:rPr>
            </w:pPr>
          </w:p>
        </w:tc>
        <w:tc>
          <w:tcPr>
            <w:tcW w:w="1329"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硫化氢</w:t>
            </w:r>
          </w:p>
        </w:tc>
        <w:tc>
          <w:tcPr>
            <w:tcW w:w="1373"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1</w:t>
            </w:r>
            <w:r>
              <w:rPr>
                <w:rFonts w:cs="Times New Roman" w:hint="eastAsia"/>
                <w:sz w:val="21"/>
                <w:szCs w:val="21"/>
              </w:rPr>
              <w:t>小时平均</w:t>
            </w:r>
          </w:p>
        </w:tc>
        <w:tc>
          <w:tcPr>
            <w:tcW w:w="1207" w:type="dxa"/>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0.01</w:t>
            </w:r>
          </w:p>
        </w:tc>
        <w:tc>
          <w:tcPr>
            <w:tcW w:w="801"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65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w:t>
            </w:r>
          </w:p>
        </w:tc>
        <w:tc>
          <w:tcPr>
            <w:tcW w:w="432" w:type="pct"/>
            <w:vAlign w:val="center"/>
          </w:tcPr>
          <w:p w:rsidR="00C645C9" w:rsidRDefault="00F955D9">
            <w:pPr>
              <w:autoSpaceDE w:val="0"/>
              <w:autoSpaceDN w:val="0"/>
              <w:adjustRightInd w:val="0"/>
              <w:snapToGrid w:val="0"/>
              <w:jc w:val="center"/>
              <w:rPr>
                <w:rFonts w:cs="Times New Roman"/>
                <w:sz w:val="21"/>
                <w:szCs w:val="21"/>
              </w:rPr>
            </w:pPr>
            <w:r>
              <w:rPr>
                <w:rFonts w:cs="Times New Roman" w:hint="eastAsia"/>
                <w:sz w:val="21"/>
                <w:szCs w:val="21"/>
              </w:rPr>
              <w:t>达标</w:t>
            </w:r>
          </w:p>
        </w:tc>
      </w:tr>
    </w:tbl>
    <w:p w:rsidR="00C645C9" w:rsidRDefault="00F955D9">
      <w:pPr>
        <w:pStyle w:val="11"/>
        <w:adjustRightInd w:val="0"/>
        <w:snapToGrid w:val="0"/>
        <w:spacing w:line="360" w:lineRule="auto"/>
        <w:ind w:firstLineChars="200" w:firstLine="500"/>
        <w:rPr>
          <w:b w:val="0"/>
          <w:bCs/>
          <w:spacing w:val="5"/>
          <w:szCs w:val="24"/>
        </w:rPr>
      </w:pPr>
      <w:bookmarkStart w:id="1434" w:name="OLE_LINK635"/>
      <w:bookmarkEnd w:id="1431"/>
      <w:bookmarkEnd w:id="1432"/>
      <w:r>
        <w:rPr>
          <w:b w:val="0"/>
          <w:bCs/>
          <w:spacing w:val="5"/>
          <w:sz w:val="24"/>
          <w:szCs w:val="24"/>
        </w:rPr>
        <w:t>从表</w:t>
      </w:r>
      <w:r>
        <w:rPr>
          <w:b w:val="0"/>
          <w:bCs/>
          <w:spacing w:val="5"/>
          <w:sz w:val="24"/>
          <w:szCs w:val="24"/>
        </w:rPr>
        <w:t>4.6-4</w:t>
      </w:r>
      <w:r>
        <w:rPr>
          <w:b w:val="0"/>
          <w:bCs/>
          <w:spacing w:val="5"/>
          <w:sz w:val="24"/>
          <w:szCs w:val="24"/>
        </w:rPr>
        <w:t>可以看出，在监测期内，本工程</w:t>
      </w:r>
      <w:r>
        <w:rPr>
          <w:b w:val="0"/>
          <w:bCs/>
          <w:spacing w:val="5"/>
          <w:sz w:val="24"/>
          <w:szCs w:val="24"/>
        </w:rPr>
        <w:t>区域特征污染物</w:t>
      </w:r>
      <w:r>
        <w:rPr>
          <w:b w:val="0"/>
          <w:bCs/>
          <w:spacing w:val="5"/>
          <w:sz w:val="24"/>
          <w:szCs w:val="24"/>
        </w:rPr>
        <w:t>H</w:t>
      </w:r>
      <w:r>
        <w:rPr>
          <w:b w:val="0"/>
          <w:bCs/>
          <w:spacing w:val="5"/>
          <w:sz w:val="24"/>
          <w:szCs w:val="24"/>
          <w:vertAlign w:val="subscript"/>
        </w:rPr>
        <w:t>2</w:t>
      </w:r>
      <w:r>
        <w:rPr>
          <w:b w:val="0"/>
          <w:bCs/>
          <w:spacing w:val="5"/>
          <w:sz w:val="24"/>
          <w:szCs w:val="24"/>
        </w:rPr>
        <w:t>S</w:t>
      </w:r>
      <w:r>
        <w:rPr>
          <w:b w:val="0"/>
          <w:bCs/>
          <w:spacing w:val="5"/>
          <w:sz w:val="24"/>
          <w:szCs w:val="24"/>
        </w:rPr>
        <w:t>小时平均值满足《环境影响评价技术导则</w:t>
      </w:r>
      <w:r>
        <w:rPr>
          <w:b w:val="0"/>
          <w:bCs/>
          <w:spacing w:val="5"/>
          <w:sz w:val="24"/>
          <w:szCs w:val="24"/>
        </w:rPr>
        <w:t xml:space="preserve"> </w:t>
      </w:r>
      <w:r>
        <w:rPr>
          <w:b w:val="0"/>
          <w:bCs/>
          <w:spacing w:val="5"/>
          <w:sz w:val="24"/>
          <w:szCs w:val="24"/>
        </w:rPr>
        <w:t>大气环境》</w:t>
      </w:r>
      <w:r>
        <w:rPr>
          <w:b w:val="0"/>
          <w:bCs/>
          <w:spacing w:val="5"/>
          <w:sz w:val="24"/>
          <w:szCs w:val="24"/>
        </w:rPr>
        <w:t>（</w:t>
      </w:r>
      <w:r>
        <w:rPr>
          <w:b w:val="0"/>
          <w:bCs/>
          <w:spacing w:val="5"/>
          <w:sz w:val="24"/>
          <w:szCs w:val="24"/>
        </w:rPr>
        <w:t>HJ2.2-2018</w:t>
      </w:r>
      <w:r>
        <w:rPr>
          <w:b w:val="0"/>
          <w:bCs/>
          <w:spacing w:val="5"/>
          <w:sz w:val="24"/>
          <w:szCs w:val="24"/>
        </w:rPr>
        <w:t>）</w:t>
      </w:r>
      <w:r>
        <w:rPr>
          <w:b w:val="0"/>
          <w:bCs/>
          <w:spacing w:val="5"/>
          <w:sz w:val="24"/>
          <w:szCs w:val="24"/>
        </w:rPr>
        <w:t>附录</w:t>
      </w:r>
      <w:r>
        <w:rPr>
          <w:b w:val="0"/>
          <w:bCs/>
          <w:spacing w:val="5"/>
          <w:sz w:val="24"/>
          <w:szCs w:val="24"/>
        </w:rPr>
        <w:t>D</w:t>
      </w:r>
      <w:r>
        <w:rPr>
          <w:b w:val="0"/>
          <w:bCs/>
          <w:spacing w:val="5"/>
          <w:sz w:val="24"/>
          <w:szCs w:val="24"/>
        </w:rPr>
        <w:t>中其他污染物空气质量浓度参考限值</w:t>
      </w:r>
      <w:r>
        <w:rPr>
          <w:b w:val="0"/>
          <w:bCs/>
          <w:spacing w:val="5"/>
          <w:sz w:val="24"/>
          <w:szCs w:val="24"/>
        </w:rPr>
        <w:t>0.01mg/m³</w:t>
      </w:r>
      <w:r>
        <w:rPr>
          <w:b w:val="0"/>
          <w:bCs/>
          <w:spacing w:val="5"/>
          <w:sz w:val="24"/>
          <w:szCs w:val="24"/>
        </w:rPr>
        <w:t>的浓度限值要求；非甲烷总烃小时平均浓度满足《大气污染物综合排放标准详解》中的</w:t>
      </w:r>
      <w:r>
        <w:rPr>
          <w:b w:val="0"/>
          <w:bCs/>
          <w:spacing w:val="5"/>
          <w:sz w:val="24"/>
          <w:szCs w:val="24"/>
        </w:rPr>
        <w:t>2.0mg/m³</w:t>
      </w:r>
      <w:r>
        <w:rPr>
          <w:b w:val="0"/>
          <w:bCs/>
          <w:spacing w:val="5"/>
          <w:sz w:val="24"/>
          <w:szCs w:val="24"/>
        </w:rPr>
        <w:t>的标准；各监测点与油田开发活动相关的特征污染物</w:t>
      </w:r>
      <w:r>
        <w:rPr>
          <w:b w:val="0"/>
          <w:bCs/>
          <w:spacing w:val="5"/>
          <w:sz w:val="24"/>
          <w:szCs w:val="24"/>
        </w:rPr>
        <w:t>H</w:t>
      </w:r>
      <w:r>
        <w:rPr>
          <w:b w:val="0"/>
          <w:bCs/>
          <w:spacing w:val="5"/>
          <w:sz w:val="24"/>
          <w:szCs w:val="24"/>
          <w:vertAlign w:val="subscript"/>
        </w:rPr>
        <w:t>2</w:t>
      </w:r>
      <w:r>
        <w:rPr>
          <w:b w:val="0"/>
          <w:bCs/>
          <w:spacing w:val="5"/>
          <w:sz w:val="24"/>
          <w:szCs w:val="24"/>
        </w:rPr>
        <w:t>S</w:t>
      </w:r>
      <w:r>
        <w:rPr>
          <w:b w:val="0"/>
          <w:bCs/>
          <w:spacing w:val="5"/>
          <w:sz w:val="24"/>
          <w:szCs w:val="24"/>
        </w:rPr>
        <w:t>、非甲烷总烃均达标</w:t>
      </w:r>
      <w:r>
        <w:rPr>
          <w:b w:val="0"/>
          <w:bCs/>
          <w:spacing w:val="5"/>
          <w:szCs w:val="24"/>
        </w:rPr>
        <w:t>。</w:t>
      </w:r>
      <w:bookmarkEnd w:id="1434"/>
    </w:p>
    <w:p w:rsidR="00C645C9" w:rsidRDefault="00F955D9">
      <w:pPr>
        <w:pStyle w:val="2"/>
        <w:widowControl w:val="0"/>
        <w:adjustRightInd w:val="0"/>
        <w:snapToGrid w:val="0"/>
        <w:spacing w:after="0" w:line="360" w:lineRule="auto"/>
        <w:rPr>
          <w:rFonts w:ascii="Times New Roman" w:hAnsi="Times New Roman" w:cs="Times New Roman"/>
          <w:color w:val="auto"/>
          <w:lang w:eastAsia="zh-CN"/>
        </w:rPr>
      </w:pPr>
      <w:bookmarkStart w:id="1435" w:name="_Toc25967"/>
      <w:bookmarkStart w:id="1436" w:name="_Toc21525863"/>
      <w:bookmarkStart w:id="1437" w:name="_Toc75438896"/>
      <w:bookmarkStart w:id="1438" w:name="_Toc24060"/>
      <w:bookmarkStart w:id="1439" w:name="_Toc75438898"/>
      <w:r>
        <w:rPr>
          <w:rFonts w:ascii="Times New Roman" w:hAnsi="Times New Roman" w:cs="Times New Roman"/>
          <w:color w:val="auto"/>
          <w:lang w:eastAsia="zh-CN"/>
        </w:rPr>
        <w:t>4.</w:t>
      </w:r>
      <w:r>
        <w:rPr>
          <w:rFonts w:ascii="Times New Roman" w:hAnsi="Times New Roman" w:cs="Times New Roman" w:hint="eastAsia"/>
          <w:color w:val="auto"/>
          <w:lang w:eastAsia="zh-CN"/>
        </w:rPr>
        <w:t>7</w:t>
      </w:r>
      <w:bookmarkEnd w:id="1435"/>
      <w:bookmarkEnd w:id="1436"/>
      <w:bookmarkEnd w:id="1437"/>
      <w:r>
        <w:rPr>
          <w:rFonts w:ascii="Times New Roman" w:hAnsi="Times New Roman" w:cs="Times New Roman"/>
          <w:color w:val="auto"/>
          <w:lang w:eastAsia="zh-CN"/>
        </w:rPr>
        <w:t>声环境现状调查与评价</w:t>
      </w:r>
      <w:bookmarkEnd w:id="1438"/>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440" w:name="_Toc10120"/>
      <w:bookmarkStart w:id="1441" w:name="_Toc25131"/>
      <w:bookmarkStart w:id="1442" w:name="_Toc7953"/>
      <w:r>
        <w:rPr>
          <w:rFonts w:ascii="Times New Roman" w:hAnsi="Times New Roman" w:cs="Times New Roman"/>
          <w:color w:val="auto"/>
          <w:lang w:eastAsia="zh-CN"/>
        </w:rPr>
        <w:t>4.</w:t>
      </w:r>
      <w:r>
        <w:rPr>
          <w:rFonts w:ascii="Times New Roman" w:hAnsi="Times New Roman" w:cs="Times New Roman" w:hint="eastAsia"/>
          <w:color w:val="auto"/>
          <w:lang w:eastAsia="zh-CN"/>
        </w:rPr>
        <w:t>7</w:t>
      </w:r>
      <w:r>
        <w:rPr>
          <w:rFonts w:ascii="Times New Roman" w:hAnsi="Times New Roman" w:cs="Times New Roman"/>
          <w:color w:val="auto"/>
          <w:lang w:eastAsia="zh-CN"/>
        </w:rPr>
        <w:t>.1</w:t>
      </w:r>
      <w:bookmarkStart w:id="1443" w:name="OLE_LINK622"/>
      <w:bookmarkEnd w:id="1440"/>
      <w:bookmarkEnd w:id="1441"/>
      <w:bookmarkEnd w:id="1442"/>
      <w:r>
        <w:rPr>
          <w:rFonts w:ascii="Times New Roman" w:hAnsi="Times New Roman" w:cs="Times New Roman"/>
          <w:color w:val="auto"/>
          <w:lang w:eastAsia="zh-CN"/>
        </w:rPr>
        <w:t>声环境</w:t>
      </w:r>
      <w:bookmarkEnd w:id="1443"/>
      <w:r>
        <w:rPr>
          <w:rFonts w:ascii="Times New Roman" w:hAnsi="Times New Roman" w:cs="Times New Roman"/>
          <w:color w:val="auto"/>
          <w:lang w:eastAsia="zh-CN"/>
        </w:rPr>
        <w:t>现状监测</w:t>
      </w:r>
    </w:p>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1</w:t>
      </w:r>
      <w:r>
        <w:rPr>
          <w:rFonts w:cs="Times New Roman"/>
        </w:rPr>
        <w:t>）</w:t>
      </w:r>
      <w:r>
        <w:rPr>
          <w:rFonts w:cs="Times New Roman"/>
        </w:rPr>
        <w:t>调查方</w:t>
      </w:r>
      <w:r>
        <w:rPr>
          <w:rFonts w:cs="Times New Roman"/>
        </w:rPr>
        <w:t>法</w:t>
      </w:r>
    </w:p>
    <w:p w:rsidR="00C645C9" w:rsidRDefault="00F955D9">
      <w:pPr>
        <w:widowControl w:val="0"/>
        <w:adjustRightInd w:val="0"/>
        <w:snapToGrid w:val="0"/>
        <w:spacing w:line="360" w:lineRule="auto"/>
        <w:ind w:firstLine="480"/>
        <w:rPr>
          <w:rFonts w:cs="Times New Roman"/>
        </w:rPr>
      </w:pPr>
      <w:r>
        <w:rPr>
          <w:rFonts w:cs="Times New Roman"/>
        </w:rPr>
        <w:t>声环境现状调查采用实测法。</w:t>
      </w:r>
    </w:p>
    <w:p w:rsidR="00C645C9" w:rsidRDefault="00F955D9">
      <w:pPr>
        <w:widowControl w:val="0"/>
        <w:adjustRightInd w:val="0"/>
        <w:snapToGrid w:val="0"/>
        <w:spacing w:line="360" w:lineRule="auto"/>
        <w:ind w:firstLine="480"/>
        <w:rPr>
          <w:rFonts w:cs="Times New Roman"/>
        </w:rPr>
      </w:pPr>
      <w:r>
        <w:rPr>
          <w:rFonts w:cs="Times New Roman"/>
        </w:rPr>
        <w:t>（</w:t>
      </w:r>
      <w:r>
        <w:rPr>
          <w:rFonts w:cs="Times New Roman"/>
        </w:rPr>
        <w:t>2</w:t>
      </w:r>
      <w:r>
        <w:rPr>
          <w:rFonts w:cs="Times New Roman"/>
        </w:rPr>
        <w:t>）监测布点</w:t>
      </w:r>
    </w:p>
    <w:p w:rsidR="00C645C9" w:rsidRDefault="00F955D9">
      <w:pPr>
        <w:widowControl w:val="0"/>
        <w:adjustRightInd w:val="0"/>
        <w:snapToGrid w:val="0"/>
        <w:spacing w:line="360" w:lineRule="auto"/>
        <w:ind w:firstLine="480"/>
        <w:rPr>
          <w:rFonts w:cs="Times New Roman"/>
        </w:rPr>
      </w:pPr>
      <w:r>
        <w:rPr>
          <w:rFonts w:cs="Times New Roman" w:hint="eastAsia"/>
        </w:rPr>
        <w:t>本工程与</w:t>
      </w:r>
      <w:r>
        <w:rPr>
          <w:rFonts w:cs="Times New Roman" w:hint="eastAsia"/>
        </w:rPr>
        <w:t>北侧的奥依其兰村</w:t>
      </w:r>
      <w:r>
        <w:rPr>
          <w:rFonts w:cs="Times New Roman" w:hint="eastAsia"/>
        </w:rPr>
        <w:t>最近距离</w:t>
      </w:r>
      <w:r>
        <w:rPr>
          <w:rFonts w:cs="Times New Roman" w:hint="eastAsia"/>
        </w:rPr>
        <w:t>330m</w:t>
      </w:r>
      <w:r>
        <w:rPr>
          <w:rFonts w:cs="Times New Roman" w:hint="eastAsia"/>
        </w:rPr>
        <w:t>。</w:t>
      </w:r>
      <w:r>
        <w:rPr>
          <w:rFonts w:cs="Times New Roman" w:hint="eastAsia"/>
        </w:rPr>
        <w:t>本次评价在工程所在区域布设</w:t>
      </w:r>
      <w:r>
        <w:rPr>
          <w:rFonts w:cs="Times New Roman" w:hint="eastAsia"/>
        </w:rPr>
        <w:t>2</w:t>
      </w:r>
      <w:r>
        <w:rPr>
          <w:rFonts w:cs="Times New Roman"/>
        </w:rPr>
        <w:t>个监测点</w:t>
      </w:r>
      <w:r>
        <w:rPr>
          <w:rFonts w:cs="Times New Roman" w:hint="eastAsia"/>
        </w:rPr>
        <w:t>，</w:t>
      </w:r>
      <w:r>
        <w:rPr>
          <w:rFonts w:cs="Times New Roman" w:hint="eastAsia"/>
        </w:rPr>
        <w:t>监测点基本满足</w:t>
      </w:r>
      <w:bookmarkStart w:id="1444" w:name="OLE_LINK623"/>
      <w:r>
        <w:rPr>
          <w:rFonts w:cs="Times New Roman" w:hint="eastAsia"/>
        </w:rPr>
        <w:t>《环境影响评价技术导则</w:t>
      </w:r>
      <w:r>
        <w:rPr>
          <w:rFonts w:cs="Times New Roman" w:hint="eastAsia"/>
        </w:rPr>
        <w:t xml:space="preserve"> </w:t>
      </w:r>
      <w:r>
        <w:rPr>
          <w:rFonts w:cs="Times New Roman" w:hint="eastAsia"/>
        </w:rPr>
        <w:t>声环境》（</w:t>
      </w:r>
      <w:r>
        <w:rPr>
          <w:rFonts w:cs="Times New Roman" w:hint="eastAsia"/>
        </w:rPr>
        <w:t>HJ2.4-2021</w:t>
      </w:r>
      <w:r>
        <w:rPr>
          <w:rFonts w:cs="Times New Roman" w:hint="eastAsia"/>
        </w:rPr>
        <w:t>）</w:t>
      </w:r>
      <w:bookmarkStart w:id="1445" w:name="OLE_LINK625"/>
      <w:bookmarkEnd w:id="1444"/>
      <w:r>
        <w:rPr>
          <w:rFonts w:cs="Times New Roman" w:hint="eastAsia"/>
        </w:rPr>
        <w:t>的要求</w:t>
      </w:r>
      <w:bookmarkEnd w:id="1445"/>
      <w:r>
        <w:rPr>
          <w:rFonts w:cs="Times New Roman" w:hint="eastAsia"/>
        </w:rPr>
        <w:t>。</w:t>
      </w:r>
      <w:r>
        <w:rPr>
          <w:rFonts w:cs="Times New Roman" w:hint="eastAsia"/>
        </w:rPr>
        <w:t>各监测点设置情况及基本信息见表</w:t>
      </w:r>
      <w:r>
        <w:rPr>
          <w:rFonts w:cs="Times New Roman" w:hint="eastAsia"/>
        </w:rPr>
        <w:t>4.7-1</w:t>
      </w:r>
      <w:r>
        <w:rPr>
          <w:rFonts w:cs="Times New Roman" w:hint="eastAsia"/>
        </w:rPr>
        <w:t>，具体监测点位见图</w:t>
      </w:r>
      <w:r>
        <w:rPr>
          <w:rFonts w:cs="Times New Roman" w:hint="eastAsia"/>
        </w:rPr>
        <w:t>4.3-1</w:t>
      </w:r>
      <w:r>
        <w:rPr>
          <w:rFonts w:cs="Times New Roman" w:hint="eastAsia"/>
        </w:rPr>
        <w:t>。</w:t>
      </w:r>
    </w:p>
    <w:p w:rsidR="00C645C9" w:rsidRDefault="00F955D9">
      <w:pPr>
        <w:widowControl w:val="0"/>
        <w:adjustRightInd w:val="0"/>
        <w:snapToGrid w:val="0"/>
        <w:jc w:val="center"/>
        <w:rPr>
          <w:rFonts w:eastAsia="黑体" w:cs="Times New Roman"/>
          <w:sz w:val="21"/>
          <w:szCs w:val="21"/>
        </w:rPr>
      </w:pPr>
      <w:bookmarkStart w:id="1446" w:name="OLE_LINK630"/>
      <w:r>
        <w:rPr>
          <w:rFonts w:eastAsia="黑体" w:cs="Times New Roman"/>
          <w:sz w:val="21"/>
          <w:szCs w:val="21"/>
        </w:rPr>
        <w:t>表</w:t>
      </w:r>
      <w:bookmarkStart w:id="1447" w:name="OLE_LINK629"/>
      <w:r>
        <w:rPr>
          <w:rFonts w:eastAsia="黑体" w:cs="Times New Roman"/>
          <w:sz w:val="21"/>
          <w:szCs w:val="21"/>
        </w:rPr>
        <w:t>4.</w:t>
      </w:r>
      <w:r>
        <w:rPr>
          <w:rFonts w:eastAsia="黑体" w:cs="Times New Roman" w:hint="eastAsia"/>
          <w:sz w:val="21"/>
          <w:szCs w:val="21"/>
        </w:rPr>
        <w:t>7</w:t>
      </w:r>
      <w:r>
        <w:rPr>
          <w:rFonts w:eastAsia="黑体" w:cs="Times New Roman"/>
          <w:sz w:val="21"/>
          <w:szCs w:val="21"/>
        </w:rPr>
        <w:t>-1</w:t>
      </w:r>
      <w:bookmarkEnd w:id="1447"/>
      <w:r>
        <w:rPr>
          <w:rFonts w:eastAsia="黑体" w:cs="Times New Roman"/>
          <w:sz w:val="21"/>
          <w:szCs w:val="21"/>
        </w:rPr>
        <w:t xml:space="preserve">   </w:t>
      </w:r>
      <w:r>
        <w:rPr>
          <w:rFonts w:eastAsia="黑体" w:cs="Times New Roman" w:hint="eastAsia"/>
          <w:sz w:val="21"/>
          <w:szCs w:val="21"/>
        </w:rPr>
        <w:t>声环境</w:t>
      </w:r>
      <w:r>
        <w:rPr>
          <w:rFonts w:eastAsia="黑体" w:cs="Times New Roman"/>
          <w:sz w:val="21"/>
          <w:szCs w:val="21"/>
        </w:rPr>
        <w:t>监测点设置情况一览表</w:t>
      </w:r>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477"/>
        <w:gridCol w:w="923"/>
        <w:gridCol w:w="2123"/>
        <w:gridCol w:w="1119"/>
        <w:gridCol w:w="1327"/>
        <w:gridCol w:w="769"/>
      </w:tblGrid>
      <w:tr w:rsidR="00C645C9">
        <w:trPr>
          <w:trHeight w:val="270"/>
          <w:jc w:val="center"/>
        </w:trPr>
        <w:tc>
          <w:tcPr>
            <w:tcW w:w="713" w:type="dxa"/>
            <w:shd w:val="clear" w:color="auto" w:fill="auto"/>
            <w:noWrap/>
            <w:vAlign w:val="center"/>
          </w:tcPr>
          <w:bookmarkEnd w:id="1446"/>
          <w:p w:rsidR="00C645C9" w:rsidRDefault="00F955D9">
            <w:pPr>
              <w:jc w:val="center"/>
              <w:textAlignment w:val="center"/>
              <w:rPr>
                <w:rFonts w:cs="Times New Roman"/>
                <w:sz w:val="21"/>
                <w:szCs w:val="21"/>
                <w:lang w:bidi="ar"/>
              </w:rPr>
            </w:pPr>
            <w:r>
              <w:rPr>
                <w:rFonts w:cs="Times New Roman"/>
                <w:sz w:val="21"/>
                <w:szCs w:val="21"/>
                <w:lang w:bidi="ar"/>
              </w:rPr>
              <w:t>序号</w:t>
            </w:r>
          </w:p>
        </w:tc>
        <w:tc>
          <w:tcPr>
            <w:tcW w:w="1477" w:type="dxa"/>
            <w:shd w:val="clear" w:color="auto" w:fill="auto"/>
            <w:vAlign w:val="center"/>
          </w:tcPr>
          <w:p w:rsidR="00C645C9" w:rsidRDefault="00F955D9">
            <w:pPr>
              <w:widowControl w:val="0"/>
              <w:jc w:val="center"/>
              <w:rPr>
                <w:rFonts w:cs="Times New Roman"/>
                <w:sz w:val="21"/>
                <w:szCs w:val="21"/>
                <w:lang w:bidi="ar"/>
              </w:rPr>
            </w:pPr>
            <w:r>
              <w:rPr>
                <w:rFonts w:cs="Times New Roman"/>
                <w:sz w:val="21"/>
                <w:szCs w:val="21"/>
                <w:lang w:bidi="ar"/>
              </w:rPr>
              <w:t>监测点位名称</w:t>
            </w:r>
          </w:p>
        </w:tc>
        <w:tc>
          <w:tcPr>
            <w:tcW w:w="3046" w:type="dxa"/>
            <w:gridSpan w:val="2"/>
            <w:shd w:val="clear" w:color="auto" w:fill="auto"/>
            <w:vAlign w:val="center"/>
          </w:tcPr>
          <w:p w:rsidR="00C645C9" w:rsidRDefault="00F955D9">
            <w:pPr>
              <w:widowControl w:val="0"/>
              <w:jc w:val="center"/>
              <w:rPr>
                <w:rFonts w:cs="Times New Roman"/>
                <w:sz w:val="21"/>
                <w:szCs w:val="21"/>
                <w:lang w:bidi="ar"/>
              </w:rPr>
            </w:pPr>
            <w:r>
              <w:rPr>
                <w:rFonts w:cs="Times New Roman" w:hint="eastAsia"/>
                <w:sz w:val="21"/>
                <w:szCs w:val="21"/>
                <w:lang w:bidi="ar"/>
              </w:rPr>
              <w:t>地理坐标</w:t>
            </w:r>
          </w:p>
        </w:tc>
        <w:tc>
          <w:tcPr>
            <w:tcW w:w="1119" w:type="dxa"/>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监测因子</w:t>
            </w:r>
          </w:p>
        </w:tc>
        <w:tc>
          <w:tcPr>
            <w:tcW w:w="1327" w:type="dxa"/>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监测时间</w:t>
            </w:r>
          </w:p>
        </w:tc>
        <w:tc>
          <w:tcPr>
            <w:tcW w:w="769" w:type="dxa"/>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监测</w:t>
            </w:r>
          </w:p>
          <w:p w:rsidR="00C645C9" w:rsidRDefault="00F955D9">
            <w:pPr>
              <w:jc w:val="center"/>
              <w:textAlignment w:val="center"/>
              <w:rPr>
                <w:rFonts w:cs="Times New Roman"/>
                <w:sz w:val="21"/>
                <w:szCs w:val="21"/>
                <w:lang w:bidi="ar"/>
              </w:rPr>
            </w:pPr>
            <w:r>
              <w:rPr>
                <w:rFonts w:cs="Times New Roman"/>
                <w:sz w:val="21"/>
                <w:szCs w:val="21"/>
                <w:lang w:bidi="ar"/>
              </w:rPr>
              <w:t>单位</w:t>
            </w:r>
          </w:p>
        </w:tc>
      </w:tr>
      <w:tr w:rsidR="00C645C9">
        <w:trPr>
          <w:trHeight w:val="160"/>
          <w:jc w:val="center"/>
        </w:trPr>
        <w:tc>
          <w:tcPr>
            <w:tcW w:w="713" w:type="dxa"/>
            <w:vMerge w:val="restart"/>
            <w:shd w:val="clear" w:color="auto" w:fill="auto"/>
            <w:noWrap/>
            <w:vAlign w:val="center"/>
          </w:tcPr>
          <w:p w:rsidR="00C645C9" w:rsidRDefault="00F955D9">
            <w:pPr>
              <w:jc w:val="center"/>
              <w:textAlignment w:val="center"/>
              <w:rPr>
                <w:rFonts w:cs="Times New Roman"/>
                <w:sz w:val="21"/>
                <w:szCs w:val="21"/>
                <w:lang w:bidi="ar"/>
              </w:rPr>
            </w:pPr>
            <w:r>
              <w:rPr>
                <w:rFonts w:cs="Times New Roman"/>
                <w:sz w:val="21"/>
                <w:szCs w:val="21"/>
                <w:lang w:bidi="ar"/>
              </w:rPr>
              <w:t>1</w:t>
            </w:r>
          </w:p>
        </w:tc>
        <w:tc>
          <w:tcPr>
            <w:tcW w:w="1477" w:type="dxa"/>
            <w:vMerge w:val="restart"/>
            <w:shd w:val="clear" w:color="auto" w:fill="auto"/>
            <w:noWrap/>
            <w:vAlign w:val="center"/>
          </w:tcPr>
          <w:p w:rsidR="00C645C9" w:rsidRDefault="00F955D9">
            <w:pPr>
              <w:jc w:val="center"/>
              <w:textAlignment w:val="center"/>
              <w:rPr>
                <w:rFonts w:cs="Times New Roman"/>
                <w:sz w:val="21"/>
                <w:szCs w:val="21"/>
                <w:lang w:bidi="ar"/>
              </w:rPr>
            </w:pPr>
            <w:bookmarkStart w:id="1448" w:name="OLE_LINK631"/>
            <w:r>
              <w:rPr>
                <w:rFonts w:cs="Times New Roman"/>
                <w:sz w:val="21"/>
                <w:szCs w:val="21"/>
              </w:rPr>
              <w:t>新北</w:t>
            </w:r>
            <w:r>
              <w:rPr>
                <w:rFonts w:cs="Times New Roman"/>
                <w:sz w:val="21"/>
                <w:szCs w:val="21"/>
              </w:rPr>
              <w:t>1X</w:t>
            </w:r>
            <w:r>
              <w:rPr>
                <w:rFonts w:cs="Times New Roman"/>
                <w:sz w:val="21"/>
                <w:szCs w:val="21"/>
              </w:rPr>
              <w:t>井</w:t>
            </w:r>
            <w:r>
              <w:rPr>
                <w:rFonts w:cs="Times New Roman"/>
                <w:sz w:val="21"/>
                <w:szCs w:val="21"/>
              </w:rPr>
              <w:t>井</w:t>
            </w:r>
            <w:r>
              <w:rPr>
                <w:rFonts w:cs="Times New Roman"/>
                <w:sz w:val="21"/>
                <w:szCs w:val="21"/>
              </w:rPr>
              <w:t>场</w:t>
            </w:r>
            <w:bookmarkEnd w:id="1448"/>
            <w:r>
              <w:rPr>
                <w:rFonts w:cs="Times New Roman" w:hint="eastAsia"/>
                <w:sz w:val="21"/>
                <w:szCs w:val="21"/>
              </w:rPr>
              <w:t>噪声</w:t>
            </w:r>
          </w:p>
        </w:tc>
        <w:tc>
          <w:tcPr>
            <w:tcW w:w="923" w:type="dxa"/>
            <w:shd w:val="clear" w:color="auto" w:fill="auto"/>
            <w:vAlign w:val="center"/>
          </w:tcPr>
          <w:p w:rsidR="00C645C9" w:rsidRDefault="00F955D9">
            <w:pPr>
              <w:jc w:val="center"/>
              <w:textAlignment w:val="center"/>
              <w:rPr>
                <w:rFonts w:cs="Times New Roman"/>
                <w:sz w:val="21"/>
                <w:szCs w:val="21"/>
              </w:rPr>
            </w:pPr>
            <w:bookmarkStart w:id="1449" w:name="OLE_LINK624"/>
            <w:r>
              <w:rPr>
                <w:rFonts w:cs="Times New Roman"/>
                <w:sz w:val="21"/>
                <w:szCs w:val="21"/>
                <w:lang w:bidi="ar"/>
              </w:rPr>
              <w:t>北厂界</w:t>
            </w:r>
          </w:p>
        </w:tc>
        <w:tc>
          <w:tcPr>
            <w:tcW w:w="2123" w:type="dxa"/>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rPr>
              <w:t>**</w:t>
            </w:r>
          </w:p>
        </w:tc>
        <w:tc>
          <w:tcPr>
            <w:tcW w:w="1119" w:type="dxa"/>
            <w:vMerge w:val="restart"/>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等效连续</w:t>
            </w:r>
            <w:r>
              <w:rPr>
                <w:rFonts w:cs="Times New Roman"/>
                <w:sz w:val="21"/>
                <w:szCs w:val="21"/>
                <w:lang w:bidi="ar"/>
              </w:rPr>
              <w:t>A</w:t>
            </w:r>
            <w:r>
              <w:rPr>
                <w:rFonts w:cs="Times New Roman"/>
                <w:sz w:val="21"/>
                <w:szCs w:val="21"/>
                <w:lang w:bidi="ar"/>
              </w:rPr>
              <w:t>声级</w:t>
            </w:r>
            <w:r>
              <w:rPr>
                <w:rFonts w:cs="Times New Roman"/>
                <w:sz w:val="21"/>
                <w:szCs w:val="21"/>
                <w:lang w:bidi="ar"/>
              </w:rPr>
              <w:t>（</w:t>
            </w:r>
            <w:r>
              <w:rPr>
                <w:rFonts w:cs="Times New Roman"/>
                <w:sz w:val="21"/>
                <w:szCs w:val="21"/>
                <w:lang w:bidi="ar"/>
              </w:rPr>
              <w:t>Leq</w:t>
            </w:r>
            <w:r>
              <w:rPr>
                <w:rFonts w:cs="Times New Roman"/>
                <w:sz w:val="21"/>
                <w:szCs w:val="21"/>
                <w:lang w:bidi="ar"/>
              </w:rPr>
              <w:t>）</w:t>
            </w:r>
            <w:bookmarkEnd w:id="1449"/>
          </w:p>
        </w:tc>
        <w:tc>
          <w:tcPr>
            <w:tcW w:w="1327" w:type="dxa"/>
            <w:vMerge w:val="restart"/>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202</w:t>
            </w:r>
            <w:r>
              <w:rPr>
                <w:rFonts w:cs="Times New Roman" w:hint="eastAsia"/>
                <w:sz w:val="21"/>
                <w:szCs w:val="21"/>
                <w:lang w:bidi="ar"/>
              </w:rPr>
              <w:t>5</w:t>
            </w:r>
            <w:r>
              <w:rPr>
                <w:rFonts w:cs="Times New Roman"/>
                <w:sz w:val="21"/>
                <w:szCs w:val="21"/>
                <w:lang w:bidi="ar"/>
              </w:rPr>
              <w:t>年</w:t>
            </w:r>
            <w:r>
              <w:rPr>
                <w:rFonts w:cs="Times New Roman" w:hint="eastAsia"/>
                <w:sz w:val="21"/>
                <w:szCs w:val="21"/>
                <w:lang w:bidi="ar"/>
              </w:rPr>
              <w:t>4</w:t>
            </w:r>
            <w:r>
              <w:rPr>
                <w:rFonts w:cs="Times New Roman"/>
                <w:sz w:val="21"/>
                <w:szCs w:val="21"/>
                <w:lang w:bidi="ar"/>
              </w:rPr>
              <w:t>月</w:t>
            </w:r>
          </w:p>
        </w:tc>
        <w:tc>
          <w:tcPr>
            <w:tcW w:w="769" w:type="dxa"/>
            <w:vMerge w:val="restart"/>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新疆昇腾环保科技</w:t>
            </w:r>
            <w:r>
              <w:rPr>
                <w:rFonts w:cs="Times New Roman" w:hint="eastAsia"/>
                <w:sz w:val="21"/>
                <w:szCs w:val="21"/>
              </w:rPr>
              <w:lastRenderedPageBreak/>
              <w:t>有限公司</w:t>
            </w:r>
          </w:p>
        </w:tc>
      </w:tr>
      <w:tr w:rsidR="00C645C9">
        <w:trPr>
          <w:trHeight w:val="160"/>
          <w:jc w:val="center"/>
        </w:trPr>
        <w:tc>
          <w:tcPr>
            <w:tcW w:w="713" w:type="dxa"/>
            <w:vMerge/>
            <w:shd w:val="clear" w:color="auto" w:fill="auto"/>
            <w:noWrap/>
            <w:vAlign w:val="center"/>
          </w:tcPr>
          <w:p w:rsidR="00C645C9" w:rsidRDefault="00C645C9">
            <w:pPr>
              <w:jc w:val="center"/>
              <w:textAlignment w:val="center"/>
            </w:pPr>
          </w:p>
        </w:tc>
        <w:tc>
          <w:tcPr>
            <w:tcW w:w="1477" w:type="dxa"/>
            <w:vMerge/>
            <w:shd w:val="clear" w:color="auto" w:fill="auto"/>
            <w:noWrap/>
            <w:vAlign w:val="center"/>
          </w:tcPr>
          <w:p w:rsidR="00C645C9" w:rsidRDefault="00C645C9">
            <w:pPr>
              <w:jc w:val="center"/>
              <w:textAlignment w:val="center"/>
            </w:pPr>
          </w:p>
        </w:tc>
        <w:tc>
          <w:tcPr>
            <w:tcW w:w="923" w:type="dxa"/>
            <w:shd w:val="clear" w:color="auto" w:fill="auto"/>
            <w:vAlign w:val="center"/>
          </w:tcPr>
          <w:p w:rsidR="00C645C9" w:rsidRDefault="00F955D9">
            <w:pPr>
              <w:jc w:val="center"/>
              <w:textAlignment w:val="center"/>
              <w:rPr>
                <w:rFonts w:cs="Times New Roman"/>
                <w:sz w:val="21"/>
                <w:szCs w:val="21"/>
              </w:rPr>
            </w:pPr>
            <w:bookmarkStart w:id="1450" w:name="OLE_LINK1197"/>
            <w:r>
              <w:rPr>
                <w:rFonts w:cs="Times New Roman"/>
                <w:sz w:val="21"/>
                <w:szCs w:val="21"/>
                <w:lang w:bidi="ar"/>
              </w:rPr>
              <w:t>西厂界</w:t>
            </w:r>
            <w:bookmarkEnd w:id="1450"/>
          </w:p>
        </w:tc>
        <w:tc>
          <w:tcPr>
            <w:tcW w:w="2123" w:type="dxa"/>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rPr>
              <w:t>**</w:t>
            </w:r>
          </w:p>
        </w:tc>
        <w:tc>
          <w:tcPr>
            <w:tcW w:w="1119" w:type="dxa"/>
            <w:vMerge/>
            <w:shd w:val="clear" w:color="auto" w:fill="auto"/>
            <w:vAlign w:val="center"/>
          </w:tcPr>
          <w:p w:rsidR="00C645C9" w:rsidRDefault="00C645C9">
            <w:pPr>
              <w:jc w:val="center"/>
              <w:textAlignment w:val="center"/>
              <w:rPr>
                <w:rFonts w:cs="Times New Roman"/>
                <w:sz w:val="21"/>
                <w:szCs w:val="21"/>
              </w:rPr>
            </w:pPr>
          </w:p>
        </w:tc>
        <w:tc>
          <w:tcPr>
            <w:tcW w:w="1327" w:type="dxa"/>
            <w:vMerge/>
            <w:shd w:val="clear" w:color="auto" w:fill="auto"/>
            <w:vAlign w:val="center"/>
          </w:tcPr>
          <w:p w:rsidR="00C645C9" w:rsidRDefault="00C645C9">
            <w:pPr>
              <w:jc w:val="center"/>
              <w:textAlignment w:val="center"/>
              <w:rPr>
                <w:rFonts w:cs="Times New Roman"/>
                <w:sz w:val="21"/>
                <w:szCs w:val="21"/>
              </w:rPr>
            </w:pPr>
          </w:p>
        </w:tc>
        <w:tc>
          <w:tcPr>
            <w:tcW w:w="769" w:type="dxa"/>
            <w:vMerge/>
            <w:shd w:val="clear" w:color="auto" w:fill="auto"/>
            <w:vAlign w:val="center"/>
          </w:tcPr>
          <w:p w:rsidR="00C645C9" w:rsidRDefault="00C645C9">
            <w:pPr>
              <w:jc w:val="center"/>
              <w:textAlignment w:val="center"/>
              <w:rPr>
                <w:rFonts w:cs="Times New Roman"/>
                <w:sz w:val="21"/>
                <w:szCs w:val="21"/>
              </w:rPr>
            </w:pPr>
          </w:p>
        </w:tc>
      </w:tr>
      <w:tr w:rsidR="00C645C9">
        <w:trPr>
          <w:trHeight w:val="160"/>
          <w:jc w:val="center"/>
        </w:trPr>
        <w:tc>
          <w:tcPr>
            <w:tcW w:w="713" w:type="dxa"/>
            <w:vMerge/>
            <w:shd w:val="clear" w:color="auto" w:fill="auto"/>
            <w:noWrap/>
            <w:vAlign w:val="center"/>
          </w:tcPr>
          <w:p w:rsidR="00C645C9" w:rsidRDefault="00C645C9">
            <w:pPr>
              <w:jc w:val="center"/>
              <w:textAlignment w:val="center"/>
              <w:rPr>
                <w:rFonts w:cs="Times New Roman"/>
                <w:sz w:val="21"/>
                <w:szCs w:val="21"/>
              </w:rPr>
            </w:pPr>
          </w:p>
        </w:tc>
        <w:tc>
          <w:tcPr>
            <w:tcW w:w="1477" w:type="dxa"/>
            <w:vMerge/>
            <w:shd w:val="clear" w:color="auto" w:fill="auto"/>
            <w:noWrap/>
            <w:vAlign w:val="center"/>
          </w:tcPr>
          <w:p w:rsidR="00C645C9" w:rsidRDefault="00C645C9">
            <w:pPr>
              <w:jc w:val="center"/>
              <w:textAlignment w:val="center"/>
              <w:rPr>
                <w:rFonts w:cs="Times New Roman"/>
                <w:sz w:val="21"/>
                <w:szCs w:val="21"/>
              </w:rPr>
            </w:pPr>
          </w:p>
        </w:tc>
        <w:tc>
          <w:tcPr>
            <w:tcW w:w="923"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南厂界</w:t>
            </w:r>
          </w:p>
        </w:tc>
        <w:tc>
          <w:tcPr>
            <w:tcW w:w="2123" w:type="dxa"/>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rPr>
              <w:t>**</w:t>
            </w:r>
          </w:p>
        </w:tc>
        <w:tc>
          <w:tcPr>
            <w:tcW w:w="1119" w:type="dxa"/>
            <w:vMerge/>
            <w:shd w:val="clear" w:color="auto" w:fill="auto"/>
            <w:vAlign w:val="center"/>
          </w:tcPr>
          <w:p w:rsidR="00C645C9" w:rsidRDefault="00C645C9">
            <w:pPr>
              <w:jc w:val="center"/>
              <w:textAlignment w:val="center"/>
              <w:rPr>
                <w:rFonts w:cs="Times New Roman"/>
                <w:sz w:val="21"/>
                <w:szCs w:val="21"/>
              </w:rPr>
            </w:pPr>
          </w:p>
        </w:tc>
        <w:tc>
          <w:tcPr>
            <w:tcW w:w="1327" w:type="dxa"/>
            <w:vMerge/>
            <w:shd w:val="clear" w:color="auto" w:fill="auto"/>
            <w:vAlign w:val="center"/>
          </w:tcPr>
          <w:p w:rsidR="00C645C9" w:rsidRDefault="00C645C9">
            <w:pPr>
              <w:jc w:val="center"/>
              <w:textAlignment w:val="center"/>
              <w:rPr>
                <w:rFonts w:cs="Times New Roman"/>
                <w:sz w:val="21"/>
                <w:szCs w:val="21"/>
              </w:rPr>
            </w:pPr>
          </w:p>
        </w:tc>
        <w:tc>
          <w:tcPr>
            <w:tcW w:w="769" w:type="dxa"/>
            <w:vMerge/>
            <w:shd w:val="clear" w:color="auto" w:fill="auto"/>
            <w:vAlign w:val="center"/>
          </w:tcPr>
          <w:p w:rsidR="00C645C9" w:rsidRDefault="00C645C9">
            <w:pPr>
              <w:jc w:val="center"/>
              <w:textAlignment w:val="center"/>
              <w:rPr>
                <w:rFonts w:cs="Times New Roman"/>
                <w:sz w:val="21"/>
                <w:szCs w:val="21"/>
              </w:rPr>
            </w:pPr>
          </w:p>
        </w:tc>
      </w:tr>
      <w:tr w:rsidR="00C645C9">
        <w:trPr>
          <w:trHeight w:val="160"/>
          <w:jc w:val="center"/>
        </w:trPr>
        <w:tc>
          <w:tcPr>
            <w:tcW w:w="713" w:type="dxa"/>
            <w:vMerge/>
            <w:shd w:val="clear" w:color="auto" w:fill="auto"/>
            <w:noWrap/>
            <w:vAlign w:val="center"/>
          </w:tcPr>
          <w:p w:rsidR="00C645C9" w:rsidRDefault="00C645C9">
            <w:pPr>
              <w:jc w:val="center"/>
              <w:textAlignment w:val="center"/>
              <w:rPr>
                <w:rFonts w:cs="Times New Roman"/>
                <w:sz w:val="21"/>
                <w:szCs w:val="21"/>
              </w:rPr>
            </w:pPr>
          </w:p>
        </w:tc>
        <w:tc>
          <w:tcPr>
            <w:tcW w:w="1477" w:type="dxa"/>
            <w:vMerge/>
            <w:shd w:val="clear" w:color="auto" w:fill="auto"/>
            <w:noWrap/>
            <w:vAlign w:val="center"/>
          </w:tcPr>
          <w:p w:rsidR="00C645C9" w:rsidRDefault="00C645C9">
            <w:pPr>
              <w:jc w:val="center"/>
              <w:textAlignment w:val="center"/>
              <w:rPr>
                <w:rFonts w:cs="Times New Roman"/>
                <w:sz w:val="21"/>
                <w:szCs w:val="21"/>
              </w:rPr>
            </w:pPr>
          </w:p>
        </w:tc>
        <w:tc>
          <w:tcPr>
            <w:tcW w:w="923" w:type="dxa"/>
            <w:shd w:val="clear" w:color="auto" w:fill="auto"/>
            <w:vAlign w:val="center"/>
          </w:tcPr>
          <w:p w:rsidR="00C645C9" w:rsidRDefault="00F955D9">
            <w:pPr>
              <w:jc w:val="center"/>
              <w:textAlignment w:val="center"/>
              <w:rPr>
                <w:rFonts w:cs="Times New Roman"/>
                <w:sz w:val="21"/>
                <w:szCs w:val="21"/>
              </w:rPr>
            </w:pPr>
            <w:r>
              <w:rPr>
                <w:rFonts w:cs="Times New Roman"/>
                <w:sz w:val="21"/>
                <w:szCs w:val="21"/>
                <w:lang w:bidi="ar"/>
              </w:rPr>
              <w:t>东厂界</w:t>
            </w:r>
          </w:p>
        </w:tc>
        <w:tc>
          <w:tcPr>
            <w:tcW w:w="2123" w:type="dxa"/>
            <w:shd w:val="clear" w:color="auto" w:fill="auto"/>
            <w:vAlign w:val="center"/>
          </w:tcPr>
          <w:p w:rsidR="00C645C9" w:rsidRDefault="00F955D9">
            <w:pPr>
              <w:jc w:val="center"/>
              <w:textAlignment w:val="center"/>
              <w:rPr>
                <w:rFonts w:cs="Times New Roman"/>
                <w:sz w:val="21"/>
                <w:szCs w:val="21"/>
              </w:rPr>
            </w:pPr>
            <w:r>
              <w:rPr>
                <w:rFonts w:cs="Times New Roman" w:hint="eastAsia"/>
                <w:sz w:val="21"/>
                <w:szCs w:val="21"/>
              </w:rPr>
              <w:t>**</w:t>
            </w:r>
          </w:p>
        </w:tc>
        <w:tc>
          <w:tcPr>
            <w:tcW w:w="1119" w:type="dxa"/>
            <w:vMerge/>
            <w:shd w:val="clear" w:color="auto" w:fill="auto"/>
            <w:vAlign w:val="center"/>
          </w:tcPr>
          <w:p w:rsidR="00C645C9" w:rsidRDefault="00C645C9">
            <w:pPr>
              <w:jc w:val="center"/>
              <w:textAlignment w:val="center"/>
              <w:rPr>
                <w:rFonts w:cs="Times New Roman"/>
                <w:sz w:val="21"/>
                <w:szCs w:val="21"/>
              </w:rPr>
            </w:pPr>
          </w:p>
        </w:tc>
        <w:tc>
          <w:tcPr>
            <w:tcW w:w="1327" w:type="dxa"/>
            <w:vMerge/>
            <w:shd w:val="clear" w:color="auto" w:fill="auto"/>
            <w:vAlign w:val="center"/>
          </w:tcPr>
          <w:p w:rsidR="00C645C9" w:rsidRDefault="00C645C9">
            <w:pPr>
              <w:jc w:val="center"/>
              <w:textAlignment w:val="center"/>
              <w:rPr>
                <w:rFonts w:cs="Times New Roman"/>
                <w:sz w:val="21"/>
                <w:szCs w:val="21"/>
              </w:rPr>
            </w:pPr>
          </w:p>
        </w:tc>
        <w:tc>
          <w:tcPr>
            <w:tcW w:w="769" w:type="dxa"/>
            <w:vMerge/>
            <w:shd w:val="clear" w:color="auto" w:fill="auto"/>
            <w:vAlign w:val="center"/>
          </w:tcPr>
          <w:p w:rsidR="00C645C9" w:rsidRDefault="00C645C9">
            <w:pPr>
              <w:jc w:val="center"/>
              <w:textAlignment w:val="center"/>
              <w:rPr>
                <w:rFonts w:cs="Times New Roman"/>
                <w:sz w:val="21"/>
                <w:szCs w:val="21"/>
              </w:rPr>
            </w:pPr>
          </w:p>
        </w:tc>
      </w:tr>
      <w:tr w:rsidR="00C645C9">
        <w:trPr>
          <w:trHeight w:val="270"/>
          <w:jc w:val="center"/>
        </w:trPr>
        <w:tc>
          <w:tcPr>
            <w:tcW w:w="713" w:type="dxa"/>
            <w:shd w:val="clear" w:color="auto" w:fill="auto"/>
            <w:noWrap/>
            <w:vAlign w:val="center"/>
          </w:tcPr>
          <w:p w:rsidR="00C645C9" w:rsidRDefault="00F955D9">
            <w:pPr>
              <w:jc w:val="center"/>
              <w:textAlignment w:val="center"/>
              <w:rPr>
                <w:rFonts w:cs="Times New Roman"/>
                <w:sz w:val="21"/>
                <w:szCs w:val="21"/>
                <w:lang w:bidi="ar"/>
              </w:rPr>
            </w:pPr>
            <w:r>
              <w:rPr>
                <w:rFonts w:cs="Times New Roman"/>
                <w:sz w:val="21"/>
                <w:szCs w:val="21"/>
                <w:lang w:bidi="ar"/>
              </w:rPr>
              <w:lastRenderedPageBreak/>
              <w:t>2</w:t>
            </w:r>
          </w:p>
        </w:tc>
        <w:tc>
          <w:tcPr>
            <w:tcW w:w="1477" w:type="dxa"/>
            <w:shd w:val="clear" w:color="auto" w:fill="auto"/>
            <w:noWrap/>
            <w:vAlign w:val="center"/>
          </w:tcPr>
          <w:p w:rsidR="00C645C9" w:rsidRDefault="00F955D9">
            <w:pPr>
              <w:jc w:val="center"/>
              <w:textAlignment w:val="center"/>
              <w:rPr>
                <w:rFonts w:cs="Times New Roman"/>
                <w:sz w:val="21"/>
                <w:szCs w:val="21"/>
                <w:lang w:bidi="ar"/>
              </w:rPr>
            </w:pPr>
            <w:bookmarkStart w:id="1451" w:name="OLE_LINK1198"/>
            <w:r>
              <w:rPr>
                <w:rFonts w:cs="Times New Roman"/>
                <w:sz w:val="21"/>
                <w:szCs w:val="21"/>
              </w:rPr>
              <w:t>新北</w:t>
            </w:r>
            <w:r>
              <w:rPr>
                <w:rFonts w:cs="Times New Roman"/>
                <w:sz w:val="21"/>
                <w:szCs w:val="21"/>
              </w:rPr>
              <w:t>1X</w:t>
            </w:r>
            <w:r>
              <w:rPr>
                <w:rFonts w:cs="Times New Roman"/>
                <w:sz w:val="21"/>
                <w:szCs w:val="21"/>
              </w:rPr>
              <w:t>井</w:t>
            </w:r>
            <w:r>
              <w:rPr>
                <w:rFonts w:cs="Times New Roman"/>
                <w:sz w:val="21"/>
                <w:szCs w:val="21"/>
              </w:rPr>
              <w:t>背景噪</w:t>
            </w:r>
            <w:bookmarkEnd w:id="1451"/>
            <w:r>
              <w:rPr>
                <w:rFonts w:cs="Times New Roman"/>
                <w:sz w:val="21"/>
                <w:szCs w:val="21"/>
              </w:rPr>
              <w:t>声</w:t>
            </w:r>
          </w:p>
        </w:tc>
        <w:tc>
          <w:tcPr>
            <w:tcW w:w="3046" w:type="dxa"/>
            <w:gridSpan w:val="2"/>
            <w:shd w:val="clear" w:color="auto" w:fill="auto"/>
            <w:vAlign w:val="center"/>
          </w:tcPr>
          <w:p w:rsidR="00C645C9" w:rsidRDefault="00F955D9">
            <w:pPr>
              <w:pStyle w:val="aff9"/>
              <w:spacing w:line="240" w:lineRule="auto"/>
              <w:rPr>
                <w:color w:val="auto"/>
                <w:lang w:bidi="ar-SA"/>
              </w:rPr>
            </w:pPr>
            <w:r>
              <w:rPr>
                <w:rFonts w:hint="eastAsia"/>
                <w:color w:val="auto"/>
              </w:rPr>
              <w:t>**</w:t>
            </w:r>
          </w:p>
        </w:tc>
        <w:tc>
          <w:tcPr>
            <w:tcW w:w="1119" w:type="dxa"/>
            <w:vMerge/>
            <w:shd w:val="clear" w:color="auto" w:fill="auto"/>
            <w:vAlign w:val="center"/>
          </w:tcPr>
          <w:p w:rsidR="00C645C9" w:rsidRDefault="00C645C9">
            <w:pPr>
              <w:jc w:val="center"/>
              <w:textAlignment w:val="center"/>
              <w:rPr>
                <w:rFonts w:cs="Times New Roman"/>
                <w:sz w:val="21"/>
                <w:szCs w:val="21"/>
                <w:lang w:bidi="ar"/>
              </w:rPr>
            </w:pPr>
          </w:p>
        </w:tc>
        <w:tc>
          <w:tcPr>
            <w:tcW w:w="1327" w:type="dxa"/>
            <w:vMerge/>
            <w:shd w:val="clear" w:color="auto" w:fill="auto"/>
            <w:vAlign w:val="center"/>
          </w:tcPr>
          <w:p w:rsidR="00C645C9" w:rsidRDefault="00C645C9">
            <w:pPr>
              <w:jc w:val="center"/>
              <w:rPr>
                <w:rFonts w:cs="Times New Roman"/>
                <w:sz w:val="21"/>
                <w:szCs w:val="21"/>
              </w:rPr>
            </w:pPr>
          </w:p>
        </w:tc>
        <w:tc>
          <w:tcPr>
            <w:tcW w:w="769" w:type="dxa"/>
            <w:vMerge/>
            <w:shd w:val="clear" w:color="auto" w:fill="auto"/>
            <w:vAlign w:val="center"/>
          </w:tcPr>
          <w:p w:rsidR="00C645C9" w:rsidRDefault="00C645C9">
            <w:pPr>
              <w:jc w:val="center"/>
              <w:rPr>
                <w:rFonts w:cs="Times New Roman"/>
                <w:sz w:val="21"/>
                <w:szCs w:val="21"/>
              </w:rPr>
            </w:pPr>
          </w:p>
        </w:tc>
      </w:tr>
    </w:tbl>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3</w:t>
      </w:r>
      <w:r>
        <w:rPr>
          <w:rFonts w:ascii="Times New Roman" w:hAnsi="Times New Roman" w:cs="Times New Roman"/>
        </w:rPr>
        <w:t>）监测频率</w:t>
      </w:r>
    </w:p>
    <w:p w:rsidR="00C645C9" w:rsidRDefault="00F955D9">
      <w:pPr>
        <w:pStyle w:val="a5"/>
        <w:widowControl w:val="0"/>
        <w:snapToGrid w:val="0"/>
        <w:ind w:firstLineChars="200" w:firstLine="480"/>
        <w:jc w:val="both"/>
        <w:rPr>
          <w:rFonts w:cs="Times New Roman"/>
        </w:rPr>
      </w:pPr>
      <w:r>
        <w:rPr>
          <w:rFonts w:ascii="Times New Roman" w:hAnsi="Times New Roman" w:cs="Times New Roman"/>
        </w:rPr>
        <w:t>监测</w:t>
      </w:r>
      <w:r>
        <w:rPr>
          <w:rFonts w:ascii="Times New Roman" w:hAnsi="Times New Roman" w:cs="Times New Roman"/>
        </w:rPr>
        <w:t>1</w:t>
      </w:r>
      <w:r>
        <w:rPr>
          <w:rFonts w:ascii="Times New Roman" w:hAnsi="Times New Roman" w:cs="Times New Roman"/>
        </w:rPr>
        <w:t>天，昼间、夜间各</w:t>
      </w:r>
      <w:r>
        <w:rPr>
          <w:rFonts w:cs="Times New Roman" w:hint="eastAsia"/>
        </w:rPr>
        <w:t>1</w:t>
      </w:r>
      <w:r>
        <w:rPr>
          <w:rFonts w:ascii="Times New Roman" w:hAnsi="Times New Roman" w:cs="Times New Roman"/>
        </w:rPr>
        <w:t>次</w:t>
      </w:r>
      <w:r>
        <w:rPr>
          <w:rFonts w:cs="Times New Roman" w:hint="eastAsia"/>
        </w:rPr>
        <w:t>。</w:t>
      </w:r>
    </w:p>
    <w:p w:rsidR="00C645C9" w:rsidRDefault="00F955D9">
      <w:pPr>
        <w:pStyle w:val="a5"/>
        <w:widowControl w:val="0"/>
        <w:snapToGrid w:val="0"/>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）监测项目及分析方法</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fldChar w:fldCharType="begin"/>
      </w:r>
      <w:r>
        <w:rPr>
          <w:rFonts w:cs="Times New Roman"/>
          <w:szCs w:val="20"/>
        </w:rPr>
        <w:instrText xml:space="preserve"> = 1 \* GB3 \* MERGEFORMAT </w:instrText>
      </w:r>
      <w:r>
        <w:rPr>
          <w:rFonts w:cs="Times New Roman"/>
          <w:szCs w:val="20"/>
        </w:rPr>
        <w:fldChar w:fldCharType="separate"/>
      </w:r>
      <w:r>
        <w:rPr>
          <w:rFonts w:cs="Times New Roman"/>
        </w:rPr>
        <w:t>①</w:t>
      </w:r>
      <w:r>
        <w:rPr>
          <w:rFonts w:cs="Times New Roman"/>
          <w:szCs w:val="20"/>
        </w:rPr>
        <w:fldChar w:fldCharType="end"/>
      </w:r>
      <w:r>
        <w:rPr>
          <w:rFonts w:cs="Times New Roman"/>
          <w:szCs w:val="20"/>
        </w:rPr>
        <w:t>监测项目</w:t>
      </w:r>
    </w:p>
    <w:p w:rsidR="00C645C9" w:rsidRDefault="00F955D9">
      <w:pPr>
        <w:widowControl w:val="0"/>
        <w:adjustRightInd w:val="0"/>
        <w:snapToGrid w:val="0"/>
        <w:spacing w:line="360" w:lineRule="auto"/>
        <w:ind w:firstLine="480"/>
        <w:rPr>
          <w:rFonts w:cs="Times New Roman"/>
          <w:szCs w:val="20"/>
        </w:rPr>
      </w:pPr>
      <w:r>
        <w:rPr>
          <w:rFonts w:cs="Times New Roman"/>
          <w:szCs w:val="20"/>
        </w:rPr>
        <w:t>根据</w:t>
      </w:r>
      <w:bookmarkStart w:id="1452" w:name="OLE_LINK626"/>
      <w:r>
        <w:rPr>
          <w:rFonts w:cs="Times New Roman" w:hint="eastAsia"/>
        </w:rPr>
        <w:t>《环境影响评价技术导则</w:t>
      </w:r>
      <w:r>
        <w:rPr>
          <w:rFonts w:cs="Times New Roman" w:hint="eastAsia"/>
        </w:rPr>
        <w:t xml:space="preserve"> </w:t>
      </w:r>
      <w:r>
        <w:rPr>
          <w:rFonts w:cs="Times New Roman" w:hint="eastAsia"/>
        </w:rPr>
        <w:t>声环境》（</w:t>
      </w:r>
      <w:r>
        <w:rPr>
          <w:rFonts w:cs="Times New Roman" w:hint="eastAsia"/>
        </w:rPr>
        <w:t>HJ2.4-2021</w:t>
      </w:r>
      <w:r>
        <w:rPr>
          <w:rFonts w:cs="Times New Roman" w:hint="eastAsia"/>
        </w:rPr>
        <w:t>）</w:t>
      </w:r>
      <w:bookmarkEnd w:id="1452"/>
      <w:r>
        <w:rPr>
          <w:rFonts w:cs="Times New Roman" w:hint="eastAsia"/>
        </w:rPr>
        <w:t>的要求</w:t>
      </w:r>
      <w:r>
        <w:rPr>
          <w:rFonts w:cs="Times New Roman" w:hint="eastAsia"/>
        </w:rPr>
        <w:t>，</w:t>
      </w:r>
      <w:r>
        <w:rPr>
          <w:rFonts w:cs="Times New Roman"/>
          <w:szCs w:val="20"/>
        </w:rPr>
        <w:t>本次评价的监测项目</w:t>
      </w:r>
      <w:r>
        <w:rPr>
          <w:rFonts w:cs="Times New Roman" w:hint="eastAsia"/>
          <w:szCs w:val="20"/>
        </w:rPr>
        <w:t>为等效连续</w:t>
      </w:r>
      <w:r>
        <w:rPr>
          <w:rFonts w:cs="Times New Roman" w:hint="eastAsia"/>
          <w:szCs w:val="20"/>
        </w:rPr>
        <w:t>A</w:t>
      </w:r>
      <w:r>
        <w:rPr>
          <w:rFonts w:cs="Times New Roman" w:hint="eastAsia"/>
          <w:szCs w:val="20"/>
        </w:rPr>
        <w:t>声级（</w:t>
      </w:r>
      <w:r>
        <w:rPr>
          <w:rFonts w:cs="Times New Roman" w:hint="eastAsia"/>
          <w:szCs w:val="20"/>
        </w:rPr>
        <w:t>L</w:t>
      </w:r>
      <w:r>
        <w:rPr>
          <w:rFonts w:cs="Times New Roman" w:hint="eastAsia"/>
          <w:szCs w:val="20"/>
          <w:vertAlign w:val="subscript"/>
        </w:rPr>
        <w:t>eq</w:t>
      </w:r>
      <w:r>
        <w:rPr>
          <w:rFonts w:cs="Times New Roman" w:hint="eastAsia"/>
          <w:szCs w:val="20"/>
        </w:rPr>
        <w:t>）。</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fldChar w:fldCharType="begin"/>
      </w:r>
      <w:r>
        <w:rPr>
          <w:rFonts w:cs="Times New Roman"/>
          <w:szCs w:val="20"/>
        </w:rPr>
        <w:instrText xml:space="preserve"> = 2 \* GB3 \* MERGEFORMAT </w:instrText>
      </w:r>
      <w:r>
        <w:rPr>
          <w:rFonts w:cs="Times New Roman"/>
          <w:szCs w:val="20"/>
        </w:rPr>
        <w:fldChar w:fldCharType="separate"/>
      </w:r>
      <w:r>
        <w:rPr>
          <w:rFonts w:cs="Times New Roman"/>
          <w:szCs w:val="20"/>
        </w:rPr>
        <w:t>②</w:t>
      </w:r>
      <w:r>
        <w:rPr>
          <w:rFonts w:cs="Times New Roman"/>
          <w:szCs w:val="20"/>
        </w:rPr>
        <w:fldChar w:fldCharType="end"/>
      </w:r>
      <w:r>
        <w:rPr>
          <w:rFonts w:cs="Times New Roman"/>
          <w:szCs w:val="20"/>
        </w:rPr>
        <w:t>分析方法</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hint="eastAsia"/>
          <w:szCs w:val="20"/>
        </w:rPr>
        <w:t>监测分析方法按照《声环境质量标准》（</w:t>
      </w:r>
      <w:r>
        <w:rPr>
          <w:rFonts w:cs="Times New Roman" w:hint="eastAsia"/>
          <w:szCs w:val="20"/>
        </w:rPr>
        <w:t>GB3096-2008</w:t>
      </w:r>
      <w:r>
        <w:rPr>
          <w:rFonts w:cs="Times New Roman" w:hint="eastAsia"/>
          <w:szCs w:val="20"/>
        </w:rPr>
        <w:t>）</w:t>
      </w:r>
      <w:r>
        <w:rPr>
          <w:rFonts w:cs="Times New Roman"/>
        </w:rPr>
        <w:t>《工业企业厂界环境噪声排放标准》</w:t>
      </w:r>
      <w:r>
        <w:rPr>
          <w:rFonts w:cs="Times New Roman"/>
        </w:rPr>
        <w:t>（</w:t>
      </w:r>
      <w:r>
        <w:rPr>
          <w:rFonts w:cs="Times New Roman"/>
        </w:rPr>
        <w:t>GB 12348-2008</w:t>
      </w:r>
      <w:r>
        <w:rPr>
          <w:rFonts w:cs="Times New Roman"/>
        </w:rPr>
        <w:t>）</w:t>
      </w:r>
      <w:r>
        <w:rPr>
          <w:rFonts w:cs="Times New Roman" w:hint="eastAsia"/>
        </w:rPr>
        <w:t>《</w:t>
      </w:r>
      <w:bookmarkStart w:id="1453" w:name="OLE_LINK628"/>
      <w:r>
        <w:rPr>
          <w:rFonts w:cs="Times New Roman" w:hint="eastAsia"/>
        </w:rPr>
        <w:t>环境影响评价技术导则</w:t>
      </w:r>
      <w:r>
        <w:rPr>
          <w:rFonts w:cs="Times New Roman" w:hint="eastAsia"/>
        </w:rPr>
        <w:t xml:space="preserve"> </w:t>
      </w:r>
      <w:r>
        <w:rPr>
          <w:rFonts w:cs="Times New Roman" w:hint="eastAsia"/>
        </w:rPr>
        <w:t>声环境</w:t>
      </w:r>
      <w:bookmarkEnd w:id="1453"/>
      <w:r>
        <w:rPr>
          <w:rFonts w:cs="Times New Roman" w:hint="eastAsia"/>
        </w:rPr>
        <w:t>》（</w:t>
      </w:r>
      <w:r>
        <w:rPr>
          <w:rFonts w:cs="Times New Roman" w:hint="eastAsia"/>
        </w:rPr>
        <w:t>HJ2.4-2021</w:t>
      </w:r>
      <w:r>
        <w:rPr>
          <w:rFonts w:cs="Times New Roman" w:hint="eastAsia"/>
        </w:rPr>
        <w:t>）</w:t>
      </w:r>
      <w:r>
        <w:rPr>
          <w:rFonts w:cs="Times New Roman" w:hint="eastAsia"/>
          <w:szCs w:val="20"/>
        </w:rPr>
        <w:t>有关标准和规范执行。</w:t>
      </w:r>
    </w:p>
    <w:p w:rsidR="00C645C9" w:rsidRDefault="00F955D9">
      <w:pPr>
        <w:pStyle w:val="3"/>
        <w:widowControl w:val="0"/>
        <w:adjustRightInd w:val="0"/>
        <w:snapToGrid w:val="0"/>
        <w:spacing w:before="0" w:after="0" w:line="360" w:lineRule="auto"/>
        <w:rPr>
          <w:rFonts w:ascii="Times New Roman" w:hAnsi="Times New Roman" w:cs="Times New Roman"/>
          <w:color w:val="auto"/>
          <w:sz w:val="24"/>
          <w:lang w:eastAsia="zh-CN"/>
        </w:rPr>
      </w:pPr>
      <w:bookmarkStart w:id="1454" w:name="_Toc11096"/>
      <w:bookmarkStart w:id="1455" w:name="_Toc25319"/>
      <w:bookmarkStart w:id="1456" w:name="_Toc23822"/>
      <w:r>
        <w:rPr>
          <w:rFonts w:ascii="Times New Roman" w:hAnsi="Times New Roman" w:cs="Times New Roman"/>
          <w:color w:val="auto"/>
          <w:lang w:eastAsia="zh-CN"/>
        </w:rPr>
        <w:t>4.</w:t>
      </w:r>
      <w:r>
        <w:rPr>
          <w:rFonts w:ascii="Times New Roman" w:hAnsi="Times New Roman" w:cs="Times New Roman" w:hint="eastAsia"/>
          <w:color w:val="auto"/>
          <w:lang w:eastAsia="zh-CN"/>
        </w:rPr>
        <w:t>7</w:t>
      </w:r>
      <w:r>
        <w:rPr>
          <w:rFonts w:ascii="Times New Roman" w:hAnsi="Times New Roman" w:cs="Times New Roman"/>
          <w:color w:val="auto"/>
          <w:lang w:eastAsia="zh-CN"/>
        </w:rPr>
        <w:t>.2</w:t>
      </w:r>
      <w:bookmarkEnd w:id="1454"/>
      <w:bookmarkEnd w:id="1455"/>
      <w:bookmarkEnd w:id="1456"/>
      <w:r>
        <w:rPr>
          <w:rFonts w:ascii="Times New Roman" w:hAnsi="Times New Roman" w:cs="Times New Roman"/>
          <w:color w:val="auto"/>
          <w:lang w:eastAsia="zh-CN"/>
        </w:rPr>
        <w:t>声环境现状评价</w:t>
      </w:r>
    </w:p>
    <w:p w:rsidR="00C645C9" w:rsidRDefault="00F955D9">
      <w:pPr>
        <w:widowControl w:val="0"/>
        <w:adjustRightInd w:val="0"/>
        <w:snapToGrid w:val="0"/>
        <w:spacing w:line="360" w:lineRule="auto"/>
        <w:ind w:firstLineChars="200" w:firstLine="480"/>
        <w:jc w:val="both"/>
        <w:rPr>
          <w:rFonts w:cs="Times New Roman"/>
          <w:szCs w:val="20"/>
        </w:rPr>
      </w:pPr>
      <w:bookmarkStart w:id="1457" w:name="OLE_LINK627"/>
      <w:bookmarkEnd w:id="1439"/>
      <w:r>
        <w:rPr>
          <w:rFonts w:cs="Times New Roman"/>
          <w:szCs w:val="20"/>
        </w:rPr>
        <w:t>（</w:t>
      </w:r>
      <w:r>
        <w:rPr>
          <w:rFonts w:cs="Times New Roman"/>
          <w:szCs w:val="20"/>
        </w:rPr>
        <w:t>1</w:t>
      </w:r>
      <w:r>
        <w:rPr>
          <w:rFonts w:cs="Times New Roman"/>
          <w:szCs w:val="20"/>
        </w:rPr>
        <w:t>）评价标准</w:t>
      </w:r>
    </w:p>
    <w:bookmarkEnd w:id="1457"/>
    <w:p w:rsidR="00C645C9" w:rsidRDefault="00F955D9">
      <w:pPr>
        <w:widowControl w:val="0"/>
        <w:adjustRightInd w:val="0"/>
        <w:snapToGrid w:val="0"/>
        <w:spacing w:line="360" w:lineRule="auto"/>
        <w:ind w:firstLineChars="200" w:firstLine="480"/>
        <w:jc w:val="both"/>
        <w:rPr>
          <w:rFonts w:cs="Times New Roman"/>
          <w:sz w:val="11"/>
          <w:szCs w:val="11"/>
        </w:rPr>
      </w:pPr>
      <w:r>
        <w:rPr>
          <w:rFonts w:cs="Times New Roman" w:hint="eastAsia"/>
          <w:szCs w:val="20"/>
        </w:rPr>
        <w:t>工程所在区域</w:t>
      </w:r>
      <w:r>
        <w:rPr>
          <w:rFonts w:cs="Times New Roman"/>
          <w:szCs w:val="20"/>
        </w:rPr>
        <w:t>已建</w:t>
      </w:r>
      <w:r>
        <w:rPr>
          <w:rFonts w:cs="Times New Roman" w:hint="eastAsia"/>
          <w:szCs w:val="20"/>
        </w:rPr>
        <w:t>井场厂界噪声</w:t>
      </w:r>
      <w:r>
        <w:rPr>
          <w:rFonts w:cs="Times New Roman"/>
          <w:szCs w:val="20"/>
        </w:rPr>
        <w:t>执行《工业企业厂界环境噪声排放标准》（</w:t>
      </w:r>
      <w:r>
        <w:rPr>
          <w:rFonts w:cs="Times New Roman"/>
          <w:szCs w:val="20"/>
        </w:rPr>
        <w:t>GB 12348-2008</w:t>
      </w:r>
      <w:r>
        <w:rPr>
          <w:rFonts w:cs="Times New Roman"/>
          <w:szCs w:val="20"/>
        </w:rPr>
        <w:t>）中</w:t>
      </w:r>
      <w:r>
        <w:rPr>
          <w:rFonts w:cs="Times New Roman"/>
          <w:szCs w:val="20"/>
        </w:rPr>
        <w:t>2</w:t>
      </w:r>
      <w:r>
        <w:rPr>
          <w:rFonts w:cs="Times New Roman"/>
          <w:szCs w:val="20"/>
        </w:rPr>
        <w:t>类标准</w:t>
      </w:r>
      <w:r>
        <w:rPr>
          <w:rFonts w:cs="Times New Roman"/>
        </w:rPr>
        <w:t>，即昼间</w:t>
      </w:r>
      <w:r>
        <w:rPr>
          <w:rFonts w:cs="Times New Roman"/>
        </w:rPr>
        <w:t>60dB</w:t>
      </w:r>
      <w:r>
        <w:rPr>
          <w:rFonts w:cs="Times New Roman"/>
        </w:rPr>
        <w:t>（</w:t>
      </w:r>
      <w:r>
        <w:rPr>
          <w:rFonts w:cs="Times New Roman"/>
        </w:rPr>
        <w:t>A</w:t>
      </w:r>
      <w:r>
        <w:rPr>
          <w:rFonts w:cs="Times New Roman"/>
        </w:rPr>
        <w:t>）</w:t>
      </w:r>
      <w:r>
        <w:rPr>
          <w:rFonts w:cs="Times New Roman"/>
        </w:rPr>
        <w:t>，夜间</w:t>
      </w:r>
      <w:r>
        <w:rPr>
          <w:rFonts w:cs="Times New Roman"/>
        </w:rPr>
        <w:t>50dB</w:t>
      </w:r>
      <w:r>
        <w:rPr>
          <w:rFonts w:cs="Times New Roman"/>
        </w:rPr>
        <w:t>（</w:t>
      </w:r>
      <w:r>
        <w:rPr>
          <w:rFonts w:cs="Times New Roman"/>
        </w:rPr>
        <w:t>A</w:t>
      </w:r>
      <w:r>
        <w:rPr>
          <w:rFonts w:cs="Times New Roman"/>
        </w:rPr>
        <w:t>）</w:t>
      </w:r>
      <w:r>
        <w:rPr>
          <w:rFonts w:cs="Times New Roman"/>
        </w:rPr>
        <w:t>。</w:t>
      </w:r>
      <w:r>
        <w:rPr>
          <w:rFonts w:cs="Times New Roman"/>
        </w:rPr>
        <w:t>背景噪声</w:t>
      </w:r>
      <w:r>
        <w:rPr>
          <w:rFonts w:cs="Times New Roman"/>
        </w:rPr>
        <w:t>执行</w:t>
      </w:r>
      <w:r>
        <w:rPr>
          <w:rFonts w:cs="Times New Roman"/>
        </w:rPr>
        <w:t>《</w:t>
      </w:r>
      <w:r>
        <w:rPr>
          <w:rFonts w:cs="Times New Roman"/>
        </w:rPr>
        <w:t>声环境质量标准</w:t>
      </w:r>
      <w:r>
        <w:rPr>
          <w:rFonts w:cs="Times New Roman"/>
        </w:rPr>
        <w:t>》（</w:t>
      </w:r>
      <w:r>
        <w:rPr>
          <w:rFonts w:cs="Times New Roman"/>
        </w:rPr>
        <w:t>GB3096-2008</w:t>
      </w:r>
      <w:r>
        <w:rPr>
          <w:rFonts w:cs="Times New Roman"/>
        </w:rPr>
        <w:t>）</w:t>
      </w:r>
      <w:r>
        <w:rPr>
          <w:rFonts w:cs="Times New Roman"/>
        </w:rPr>
        <w:t>2</w:t>
      </w:r>
      <w:r>
        <w:rPr>
          <w:rFonts w:cs="Times New Roman"/>
        </w:rPr>
        <w:t>类标准，即昼间</w:t>
      </w:r>
      <w:r>
        <w:rPr>
          <w:rFonts w:cs="Times New Roman"/>
        </w:rPr>
        <w:t>60dB</w:t>
      </w:r>
      <w:r>
        <w:rPr>
          <w:rFonts w:cs="Times New Roman"/>
        </w:rPr>
        <w:t>（</w:t>
      </w:r>
      <w:r>
        <w:rPr>
          <w:rFonts w:cs="Times New Roman"/>
        </w:rPr>
        <w:t>A</w:t>
      </w:r>
      <w:r>
        <w:rPr>
          <w:rFonts w:cs="Times New Roman"/>
        </w:rPr>
        <w:t>）</w:t>
      </w:r>
      <w:r>
        <w:rPr>
          <w:rFonts w:cs="Times New Roman"/>
        </w:rPr>
        <w:t>，夜间</w:t>
      </w:r>
      <w:r>
        <w:rPr>
          <w:rFonts w:cs="Times New Roman"/>
        </w:rPr>
        <w:t>50dB</w:t>
      </w:r>
      <w:r>
        <w:rPr>
          <w:rFonts w:cs="Times New Roman"/>
        </w:rPr>
        <w:t>（</w:t>
      </w:r>
      <w:r>
        <w:rPr>
          <w:rFonts w:cs="Times New Roman"/>
        </w:rPr>
        <w:t>A</w:t>
      </w:r>
      <w:r>
        <w:rPr>
          <w:rFonts w:cs="Times New Roman"/>
        </w:rPr>
        <w:t>）</w:t>
      </w:r>
      <w:r>
        <w:rPr>
          <w:rFonts w:cs="Times New Roman" w:hint="eastAsia"/>
        </w:rPr>
        <w:t>。</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t>（</w:t>
      </w:r>
      <w:r>
        <w:rPr>
          <w:rFonts w:cs="Times New Roman" w:hint="eastAsia"/>
          <w:szCs w:val="20"/>
        </w:rPr>
        <w:t>2</w:t>
      </w:r>
      <w:r>
        <w:rPr>
          <w:rFonts w:cs="Times New Roman"/>
          <w:szCs w:val="20"/>
        </w:rPr>
        <w:t>）评价方法</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hint="eastAsia"/>
          <w:szCs w:val="20"/>
        </w:rPr>
        <w:t>采用对标法对声环境质量现状进行评价，即用现状监测结果与标准值进行对比</w:t>
      </w:r>
      <w:r>
        <w:rPr>
          <w:rFonts w:cs="Times New Roman" w:hint="eastAsia"/>
          <w:szCs w:val="20"/>
        </w:rPr>
        <w:t>。</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3</w:t>
      </w:r>
      <w:r>
        <w:rPr>
          <w:rFonts w:cs="Times New Roman"/>
        </w:rPr>
        <w:t>）监测及评价结果</w:t>
      </w:r>
    </w:p>
    <w:p w:rsidR="00C645C9" w:rsidRDefault="00F955D9">
      <w:pPr>
        <w:widowControl w:val="0"/>
        <w:adjustRightInd w:val="0"/>
        <w:snapToGrid w:val="0"/>
        <w:spacing w:line="360" w:lineRule="auto"/>
        <w:ind w:firstLineChars="200" w:firstLine="480"/>
        <w:jc w:val="both"/>
        <w:rPr>
          <w:rFonts w:cs="Times New Roman"/>
          <w:szCs w:val="20"/>
        </w:rPr>
      </w:pPr>
      <w:r>
        <w:rPr>
          <w:rFonts w:cs="Times New Roman"/>
          <w:szCs w:val="20"/>
        </w:rPr>
        <w:t>声环境现状监测及评价结果见表</w:t>
      </w:r>
      <w:r>
        <w:rPr>
          <w:rFonts w:cs="Times New Roman"/>
          <w:szCs w:val="20"/>
        </w:rPr>
        <w:t>4.7-</w:t>
      </w:r>
      <w:r>
        <w:rPr>
          <w:rFonts w:cs="Times New Roman" w:hint="eastAsia"/>
          <w:szCs w:val="20"/>
        </w:rPr>
        <w:t>2</w:t>
      </w:r>
      <w:r>
        <w:rPr>
          <w:rFonts w:cs="Times New Roman" w:hint="eastAsia"/>
          <w:szCs w:val="20"/>
        </w:rPr>
        <w:t>。</w:t>
      </w: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t>表</w:t>
      </w:r>
      <w:r>
        <w:rPr>
          <w:rFonts w:eastAsia="黑体" w:cs="Times New Roman"/>
          <w:sz w:val="21"/>
          <w:szCs w:val="21"/>
        </w:rPr>
        <w:t>4.</w:t>
      </w:r>
      <w:r>
        <w:rPr>
          <w:rFonts w:eastAsia="黑体" w:cs="Times New Roman" w:hint="eastAsia"/>
          <w:sz w:val="21"/>
          <w:szCs w:val="21"/>
        </w:rPr>
        <w:t>7</w:t>
      </w:r>
      <w:r>
        <w:rPr>
          <w:rFonts w:eastAsia="黑体" w:cs="Times New Roman"/>
          <w:sz w:val="21"/>
          <w:szCs w:val="21"/>
        </w:rPr>
        <w:t>-</w:t>
      </w:r>
      <w:r>
        <w:rPr>
          <w:rFonts w:eastAsia="黑体" w:cs="Times New Roman" w:hint="eastAsia"/>
          <w:sz w:val="21"/>
          <w:szCs w:val="21"/>
        </w:rPr>
        <w:t>2</w:t>
      </w:r>
      <w:r>
        <w:rPr>
          <w:rFonts w:eastAsia="黑体" w:cs="Times New Roman"/>
          <w:sz w:val="21"/>
          <w:szCs w:val="21"/>
        </w:rPr>
        <w:t xml:space="preserve">   </w:t>
      </w:r>
      <w:r>
        <w:rPr>
          <w:rFonts w:eastAsia="黑体" w:cs="Times New Roman" w:hint="eastAsia"/>
          <w:sz w:val="21"/>
          <w:szCs w:val="21"/>
        </w:rPr>
        <w:t>声环境</w:t>
      </w:r>
      <w:r>
        <w:rPr>
          <w:rFonts w:eastAsia="黑体" w:cs="Times New Roman"/>
          <w:sz w:val="21"/>
          <w:szCs w:val="21"/>
        </w:rPr>
        <w:t>监测点设置情况一览表</w:t>
      </w:r>
    </w:p>
    <w:tbl>
      <w:tblPr>
        <w:tblW w:w="8934" w:type="dxa"/>
        <w:jc w:val="center"/>
        <w:tblLayout w:type="fixed"/>
        <w:tblLook w:val="04A0" w:firstRow="1" w:lastRow="0" w:firstColumn="1" w:lastColumn="0" w:noHBand="0" w:noVBand="1"/>
      </w:tblPr>
      <w:tblGrid>
        <w:gridCol w:w="359"/>
        <w:gridCol w:w="1607"/>
        <w:gridCol w:w="1130"/>
        <w:gridCol w:w="945"/>
        <w:gridCol w:w="868"/>
        <w:gridCol w:w="7"/>
        <w:gridCol w:w="862"/>
        <w:gridCol w:w="638"/>
        <w:gridCol w:w="899"/>
        <w:gridCol w:w="926"/>
        <w:gridCol w:w="693"/>
      </w:tblGrid>
      <w:tr w:rsidR="00C645C9">
        <w:trPr>
          <w:trHeight w:val="300"/>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lang w:bidi="ar"/>
              </w:rPr>
            </w:pPr>
            <w:r>
              <w:rPr>
                <w:rFonts w:cs="Times New Roman"/>
                <w:sz w:val="21"/>
                <w:szCs w:val="21"/>
                <w:lang w:bidi="ar"/>
              </w:rPr>
              <w:t>序号</w:t>
            </w:r>
          </w:p>
        </w:tc>
        <w:tc>
          <w:tcPr>
            <w:tcW w:w="27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监测点位</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监测</w:t>
            </w:r>
          </w:p>
          <w:p w:rsidR="00C645C9" w:rsidRDefault="00F955D9">
            <w:pPr>
              <w:jc w:val="center"/>
              <w:textAlignment w:val="center"/>
              <w:rPr>
                <w:rFonts w:cs="Times New Roman"/>
                <w:sz w:val="21"/>
                <w:szCs w:val="21"/>
                <w:lang w:bidi="ar"/>
              </w:rPr>
            </w:pPr>
            <w:r>
              <w:rPr>
                <w:rFonts w:cs="Times New Roman"/>
                <w:sz w:val="21"/>
                <w:szCs w:val="21"/>
                <w:lang w:bidi="ar"/>
              </w:rPr>
              <w:t>日期</w:t>
            </w:r>
          </w:p>
        </w:tc>
        <w:tc>
          <w:tcPr>
            <w:tcW w:w="23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昼间</w:t>
            </w:r>
          </w:p>
        </w:tc>
        <w:tc>
          <w:tcPr>
            <w:tcW w:w="2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夜间</w:t>
            </w:r>
          </w:p>
        </w:tc>
      </w:tr>
      <w:tr w:rsidR="00C645C9">
        <w:trPr>
          <w:trHeight w:val="624"/>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C645C9">
            <w:pPr>
              <w:jc w:val="center"/>
              <w:textAlignment w:val="center"/>
              <w:rPr>
                <w:rFonts w:cs="Times New Roman"/>
                <w:sz w:val="21"/>
                <w:szCs w:val="21"/>
                <w:lang w:bidi="ar"/>
              </w:rPr>
            </w:pPr>
          </w:p>
        </w:tc>
        <w:tc>
          <w:tcPr>
            <w:tcW w:w="273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9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实测值</w:t>
            </w: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标准值</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p w:rsidR="00C645C9" w:rsidRDefault="00F955D9">
            <w:pPr>
              <w:jc w:val="center"/>
              <w:textAlignment w:val="center"/>
              <w:rPr>
                <w:rFonts w:cs="Times New Roman"/>
                <w:sz w:val="21"/>
                <w:szCs w:val="21"/>
                <w:lang w:bidi="ar"/>
              </w:rPr>
            </w:pPr>
            <w:r>
              <w:rPr>
                <w:rFonts w:cs="Times New Roman"/>
                <w:sz w:val="21"/>
                <w:szCs w:val="21"/>
                <w:lang w:bidi="ar"/>
              </w:rPr>
              <w:t>情况</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实测值</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标准值</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p w:rsidR="00C645C9" w:rsidRDefault="00F955D9">
            <w:pPr>
              <w:jc w:val="center"/>
              <w:textAlignment w:val="center"/>
              <w:rPr>
                <w:rFonts w:cs="Times New Roman"/>
                <w:sz w:val="21"/>
                <w:szCs w:val="21"/>
                <w:lang w:bidi="ar"/>
              </w:rPr>
            </w:pPr>
            <w:r>
              <w:rPr>
                <w:rFonts w:cs="Times New Roman"/>
                <w:sz w:val="21"/>
                <w:szCs w:val="21"/>
                <w:lang w:bidi="ar"/>
              </w:rPr>
              <w:t>情况</w:t>
            </w:r>
          </w:p>
        </w:tc>
      </w:tr>
      <w:tr w:rsidR="00C645C9">
        <w:trPr>
          <w:trHeight w:val="270"/>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lang w:bidi="ar"/>
              </w:rPr>
            </w:pPr>
            <w:bookmarkStart w:id="1458" w:name="OLE_LINK1196" w:colFirst="2" w:colLast="2"/>
            <w:r>
              <w:rPr>
                <w:rFonts w:cs="Times New Roman"/>
                <w:sz w:val="21"/>
                <w:szCs w:val="21"/>
                <w:lang w:bidi="ar"/>
              </w:rPr>
              <w:t>1</w:t>
            </w:r>
          </w:p>
        </w:tc>
        <w:tc>
          <w:tcPr>
            <w:tcW w:w="16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pStyle w:val="aff9"/>
              <w:spacing w:line="240" w:lineRule="exact"/>
              <w:rPr>
                <w:color w:val="auto"/>
                <w:lang w:bidi="ar"/>
              </w:rPr>
            </w:pPr>
            <w:bookmarkStart w:id="1459" w:name="OLE_LINK632"/>
            <w:r>
              <w:rPr>
                <w:color w:val="auto"/>
                <w:lang w:bidi="ar-SA"/>
              </w:rPr>
              <w:t>新北</w:t>
            </w:r>
            <w:r>
              <w:rPr>
                <w:color w:val="auto"/>
                <w:lang w:bidi="ar-SA"/>
              </w:rPr>
              <w:t>1X</w:t>
            </w:r>
            <w:r>
              <w:rPr>
                <w:color w:val="auto"/>
                <w:lang w:bidi="ar-SA"/>
              </w:rPr>
              <w:t>井</w:t>
            </w:r>
            <w:bookmarkEnd w:id="1459"/>
            <w:r>
              <w:rPr>
                <w:color w:val="auto"/>
                <w:lang w:bidi="ar-SA"/>
              </w:rPr>
              <w:t>井</w:t>
            </w:r>
            <w:r>
              <w:rPr>
                <w:color w:val="auto"/>
                <w:lang w:bidi="ar-SA"/>
              </w:rPr>
              <w:t>场</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bookmarkStart w:id="1460" w:name="OLE_LINK1195"/>
            <w:r>
              <w:rPr>
                <w:rFonts w:cs="Times New Roman"/>
                <w:sz w:val="21"/>
                <w:szCs w:val="21"/>
                <w:lang w:bidi="ar"/>
              </w:rPr>
              <w:t>北厂界</w:t>
            </w:r>
            <w:bookmarkEnd w:id="1460"/>
          </w:p>
        </w:tc>
        <w:tc>
          <w:tcPr>
            <w:tcW w:w="945" w:type="dxa"/>
            <w:vMerge w:val="restart"/>
            <w:tcBorders>
              <w:top w:val="single" w:sz="4" w:space="0" w:color="auto"/>
              <w:left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202</w:t>
            </w:r>
            <w:r>
              <w:rPr>
                <w:rFonts w:cs="Times New Roman" w:hint="eastAsia"/>
                <w:sz w:val="21"/>
                <w:szCs w:val="21"/>
                <w:lang w:bidi="ar"/>
              </w:rPr>
              <w:t>5</w:t>
            </w:r>
            <w:r>
              <w:rPr>
                <w:rFonts w:cs="Times New Roman" w:hint="eastAsia"/>
                <w:sz w:val="21"/>
                <w:szCs w:val="21"/>
                <w:lang w:bidi="ar"/>
              </w:rPr>
              <w:t>年</w:t>
            </w:r>
            <w:r>
              <w:rPr>
                <w:rFonts w:cs="Times New Roman" w:hint="eastAsia"/>
                <w:sz w:val="21"/>
                <w:szCs w:val="21"/>
                <w:lang w:bidi="ar"/>
              </w:rPr>
              <w:t>4</w:t>
            </w:r>
            <w:r>
              <w:rPr>
                <w:rFonts w:cs="Times New Roman" w:hint="eastAsia"/>
                <w:sz w:val="21"/>
                <w:szCs w:val="21"/>
                <w:lang w:bidi="ar"/>
              </w:rPr>
              <w:t>月</w:t>
            </w: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862" w:type="dxa"/>
            <w:vMerge w:val="restart"/>
            <w:tcBorders>
              <w:top w:val="single" w:sz="4" w:space="0" w:color="auto"/>
              <w:left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60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926" w:type="dxa"/>
            <w:vMerge w:val="restart"/>
            <w:tcBorders>
              <w:top w:val="single" w:sz="4" w:space="0" w:color="auto"/>
              <w:left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50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r>
      <w:tr w:rsidR="00C645C9">
        <w:trPr>
          <w:trHeight w:val="270"/>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C645C9">
            <w:pPr>
              <w:jc w:val="center"/>
              <w:textAlignment w:val="center"/>
              <w:rPr>
                <w:rFonts w:cs="Times New Roman"/>
                <w:sz w:val="21"/>
                <w:szCs w:val="21"/>
                <w:lang w:bidi="ar"/>
              </w:rPr>
            </w:pPr>
          </w:p>
        </w:tc>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西厂界</w:t>
            </w:r>
          </w:p>
        </w:tc>
        <w:tc>
          <w:tcPr>
            <w:tcW w:w="945"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862"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926"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r>
      <w:tr w:rsidR="00C645C9">
        <w:trPr>
          <w:trHeight w:val="270"/>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C645C9">
            <w:pPr>
              <w:jc w:val="center"/>
              <w:textAlignment w:val="center"/>
              <w:rPr>
                <w:rFonts w:cs="Times New Roman"/>
                <w:sz w:val="21"/>
                <w:szCs w:val="21"/>
                <w:lang w:bidi="ar"/>
              </w:rPr>
            </w:pPr>
          </w:p>
        </w:tc>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南厂界</w:t>
            </w:r>
          </w:p>
        </w:tc>
        <w:tc>
          <w:tcPr>
            <w:tcW w:w="945"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862"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926"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r>
      <w:tr w:rsidR="00C645C9">
        <w:trPr>
          <w:trHeight w:val="270"/>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C645C9">
            <w:pPr>
              <w:jc w:val="center"/>
              <w:textAlignment w:val="center"/>
              <w:rPr>
                <w:rFonts w:cs="Times New Roman"/>
                <w:sz w:val="21"/>
                <w:szCs w:val="21"/>
                <w:lang w:bidi="ar"/>
              </w:rPr>
            </w:pPr>
          </w:p>
        </w:tc>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东厂界</w:t>
            </w:r>
          </w:p>
        </w:tc>
        <w:tc>
          <w:tcPr>
            <w:tcW w:w="945"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862"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926" w:type="dxa"/>
            <w:vMerge/>
            <w:tcBorders>
              <w:left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bookmarkStart w:id="1461" w:name="OLE_LINK634"/>
            <w:r>
              <w:rPr>
                <w:rFonts w:cs="Times New Roman"/>
                <w:sz w:val="21"/>
                <w:szCs w:val="21"/>
                <w:lang w:bidi="ar"/>
              </w:rPr>
              <w:t>达标</w:t>
            </w:r>
            <w:bookmarkEnd w:id="1461"/>
          </w:p>
        </w:tc>
      </w:tr>
      <w:tr w:rsidR="00C645C9">
        <w:trPr>
          <w:trHeight w:val="270"/>
          <w:jc w:val="center"/>
        </w:trPr>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5C9" w:rsidRDefault="00F955D9">
            <w:pPr>
              <w:jc w:val="center"/>
              <w:textAlignment w:val="center"/>
              <w:rPr>
                <w:rFonts w:cs="Times New Roman"/>
                <w:sz w:val="21"/>
                <w:szCs w:val="21"/>
                <w:lang w:bidi="ar"/>
              </w:rPr>
            </w:pPr>
            <w:bookmarkStart w:id="1462" w:name="OLE_LINK633" w:colFirst="3" w:colLast="4"/>
            <w:bookmarkEnd w:id="1458"/>
            <w:r>
              <w:rPr>
                <w:rFonts w:cs="Times New Roman" w:hint="eastAsia"/>
                <w:sz w:val="21"/>
                <w:szCs w:val="21"/>
                <w:lang w:bidi="ar"/>
              </w:rPr>
              <w:t>2</w:t>
            </w:r>
          </w:p>
        </w:tc>
        <w:tc>
          <w:tcPr>
            <w:tcW w:w="27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rPr>
              <w:t>新北</w:t>
            </w:r>
            <w:r>
              <w:rPr>
                <w:rFonts w:cs="Times New Roman"/>
                <w:sz w:val="21"/>
                <w:szCs w:val="21"/>
              </w:rPr>
              <w:t>1X</w:t>
            </w:r>
            <w:r>
              <w:rPr>
                <w:rFonts w:cs="Times New Roman"/>
                <w:sz w:val="21"/>
                <w:szCs w:val="21"/>
              </w:rPr>
              <w:t>井</w:t>
            </w:r>
            <w:r>
              <w:rPr>
                <w:rFonts w:cs="Times New Roman"/>
                <w:sz w:val="21"/>
                <w:szCs w:val="21"/>
              </w:rPr>
              <w:t>背景噪声</w:t>
            </w:r>
          </w:p>
        </w:tc>
        <w:tc>
          <w:tcPr>
            <w:tcW w:w="945" w:type="dxa"/>
            <w:vMerge/>
            <w:tcBorders>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862" w:type="dxa"/>
            <w:vMerge/>
            <w:tcBorders>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hint="eastAsia"/>
                <w:sz w:val="21"/>
                <w:szCs w:val="21"/>
              </w:rPr>
              <w:t>**</w:t>
            </w:r>
          </w:p>
        </w:tc>
        <w:tc>
          <w:tcPr>
            <w:tcW w:w="926" w:type="dxa"/>
            <w:vMerge/>
            <w:tcBorders>
              <w:left w:val="single" w:sz="4" w:space="0" w:color="auto"/>
              <w:bottom w:val="single" w:sz="4" w:space="0" w:color="auto"/>
              <w:right w:val="single" w:sz="4" w:space="0" w:color="auto"/>
            </w:tcBorders>
            <w:shd w:val="clear" w:color="auto" w:fill="auto"/>
            <w:vAlign w:val="center"/>
          </w:tcPr>
          <w:p w:rsidR="00C645C9" w:rsidRDefault="00C645C9">
            <w:pPr>
              <w:jc w:val="center"/>
              <w:textAlignment w:val="center"/>
              <w:rPr>
                <w:rFonts w:cs="Times New Roman"/>
                <w:sz w:val="21"/>
                <w:szCs w:val="21"/>
                <w:lang w:bidi="ar"/>
              </w:rPr>
            </w:pP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C645C9" w:rsidRDefault="00F955D9">
            <w:pPr>
              <w:jc w:val="center"/>
              <w:textAlignment w:val="center"/>
              <w:rPr>
                <w:rFonts w:cs="Times New Roman"/>
                <w:sz w:val="21"/>
                <w:szCs w:val="21"/>
                <w:lang w:bidi="ar"/>
              </w:rPr>
            </w:pPr>
            <w:r>
              <w:rPr>
                <w:rFonts w:cs="Times New Roman"/>
                <w:sz w:val="21"/>
                <w:szCs w:val="21"/>
                <w:lang w:bidi="ar"/>
              </w:rPr>
              <w:t>达标</w:t>
            </w:r>
          </w:p>
        </w:tc>
      </w:tr>
    </w:tbl>
    <w:bookmarkEnd w:id="1462"/>
    <w:p w:rsidR="00C645C9" w:rsidRDefault="00F955D9">
      <w:pPr>
        <w:pStyle w:val="11"/>
        <w:adjustRightInd w:val="0"/>
        <w:snapToGrid w:val="0"/>
        <w:spacing w:line="360" w:lineRule="auto"/>
        <w:ind w:firstLineChars="200" w:firstLine="500"/>
      </w:pPr>
      <w:r>
        <w:rPr>
          <w:b w:val="0"/>
          <w:bCs/>
          <w:spacing w:val="5"/>
          <w:sz w:val="24"/>
          <w:szCs w:val="24"/>
        </w:rPr>
        <w:t>从表</w:t>
      </w:r>
      <w:r>
        <w:rPr>
          <w:b w:val="0"/>
          <w:bCs/>
          <w:spacing w:val="5"/>
          <w:sz w:val="24"/>
          <w:szCs w:val="24"/>
        </w:rPr>
        <w:t>4.</w:t>
      </w:r>
      <w:r>
        <w:rPr>
          <w:rFonts w:hint="eastAsia"/>
          <w:b w:val="0"/>
          <w:bCs/>
          <w:spacing w:val="5"/>
          <w:sz w:val="24"/>
          <w:szCs w:val="24"/>
        </w:rPr>
        <w:t>7</w:t>
      </w:r>
      <w:r>
        <w:rPr>
          <w:b w:val="0"/>
          <w:bCs/>
          <w:spacing w:val="5"/>
          <w:sz w:val="24"/>
          <w:szCs w:val="24"/>
        </w:rPr>
        <w:t>-</w:t>
      </w:r>
      <w:r>
        <w:rPr>
          <w:rFonts w:hint="eastAsia"/>
          <w:b w:val="0"/>
          <w:bCs/>
          <w:spacing w:val="5"/>
          <w:sz w:val="24"/>
          <w:szCs w:val="24"/>
        </w:rPr>
        <w:t>2</w:t>
      </w:r>
      <w:r>
        <w:rPr>
          <w:b w:val="0"/>
          <w:bCs/>
          <w:spacing w:val="5"/>
          <w:sz w:val="24"/>
          <w:szCs w:val="24"/>
        </w:rPr>
        <w:t>可以看出，在监测期内，本工</w:t>
      </w:r>
      <w:r>
        <w:rPr>
          <w:b w:val="0"/>
          <w:bCs/>
          <w:spacing w:val="5"/>
          <w:sz w:val="24"/>
          <w:szCs w:val="24"/>
        </w:rPr>
        <w:t>程所在区域声环境质量均满足《声</w:t>
      </w:r>
      <w:r>
        <w:rPr>
          <w:b w:val="0"/>
          <w:bCs/>
          <w:spacing w:val="5"/>
          <w:sz w:val="24"/>
          <w:szCs w:val="24"/>
        </w:rPr>
        <w:lastRenderedPageBreak/>
        <w:t>环境质量标准》（</w:t>
      </w:r>
      <w:r>
        <w:rPr>
          <w:b w:val="0"/>
          <w:bCs/>
          <w:spacing w:val="5"/>
          <w:sz w:val="24"/>
          <w:szCs w:val="24"/>
        </w:rPr>
        <w:t>GB3096-2008</w:t>
      </w:r>
      <w:r>
        <w:rPr>
          <w:b w:val="0"/>
          <w:bCs/>
          <w:spacing w:val="5"/>
          <w:sz w:val="24"/>
          <w:szCs w:val="24"/>
        </w:rPr>
        <w:t>）中</w:t>
      </w:r>
      <w:r>
        <w:rPr>
          <w:b w:val="0"/>
          <w:bCs/>
          <w:spacing w:val="5"/>
          <w:sz w:val="24"/>
          <w:szCs w:val="24"/>
        </w:rPr>
        <w:t>2</w:t>
      </w:r>
      <w:r>
        <w:rPr>
          <w:b w:val="0"/>
          <w:bCs/>
          <w:spacing w:val="5"/>
          <w:sz w:val="24"/>
          <w:szCs w:val="24"/>
        </w:rPr>
        <w:t>类标准要求。</w:t>
      </w:r>
    </w:p>
    <w:p w:rsidR="00C645C9" w:rsidRDefault="00F955D9">
      <w:pPr>
        <w:pStyle w:val="afff9"/>
        <w:rPr>
          <w:lang w:eastAsia="zh-CN"/>
        </w:rPr>
      </w:pPr>
      <w:bookmarkStart w:id="1463" w:name="_Toc26731"/>
      <w:bookmarkStart w:id="1464" w:name="_Toc93507177"/>
      <w:bookmarkStart w:id="1465" w:name="_Toc20957"/>
      <w:bookmarkStart w:id="1466" w:name="_Toc68025025"/>
      <w:bookmarkStart w:id="1467" w:name="_Toc353966746"/>
      <w:bookmarkStart w:id="1468" w:name="_Toc29229"/>
      <w:bookmarkStart w:id="1469" w:name="_Toc75438900"/>
      <w:bookmarkStart w:id="1470" w:name="_Toc508291894"/>
      <w:bookmarkStart w:id="1471" w:name="_Toc374724191"/>
      <w:bookmarkStart w:id="1472" w:name="_Toc42981115"/>
      <w:bookmarkStart w:id="1473" w:name="_Toc361761838"/>
      <w:bookmarkEnd w:id="1294"/>
      <w:bookmarkEnd w:id="1295"/>
      <w:bookmarkEnd w:id="1296"/>
      <w:bookmarkEnd w:id="1297"/>
      <w:bookmarkEnd w:id="1298"/>
      <w:bookmarkEnd w:id="1299"/>
      <w:bookmarkEnd w:id="1300"/>
      <w:r>
        <w:rPr>
          <w:lang w:eastAsia="zh-CN"/>
        </w:rPr>
        <w:t>5</w:t>
      </w:r>
      <w:r>
        <w:rPr>
          <w:lang w:eastAsia="zh-CN"/>
        </w:rPr>
        <w:t>环境影响预测与评价</w:t>
      </w:r>
      <w:bookmarkEnd w:id="1463"/>
    </w:p>
    <w:p w:rsidR="00C645C9" w:rsidRDefault="00F955D9">
      <w:pPr>
        <w:pStyle w:val="afffa"/>
        <w:rPr>
          <w:lang w:eastAsia="zh-CN"/>
        </w:rPr>
      </w:pPr>
      <w:bookmarkStart w:id="1474" w:name="_Toc25292"/>
      <w:bookmarkStart w:id="1475" w:name="_Toc28807"/>
      <w:bookmarkEnd w:id="1464"/>
      <w:bookmarkEnd w:id="1465"/>
      <w:bookmarkEnd w:id="1466"/>
      <w:r>
        <w:rPr>
          <w:lang w:eastAsia="zh-CN"/>
        </w:rPr>
        <w:t>5.1</w:t>
      </w:r>
      <w:bookmarkEnd w:id="1474"/>
      <w:r>
        <w:rPr>
          <w:lang w:eastAsia="zh-CN"/>
        </w:rPr>
        <w:t>生态影响评价</w:t>
      </w:r>
      <w:bookmarkEnd w:id="1475"/>
    </w:p>
    <w:p w:rsidR="00C645C9" w:rsidRDefault="00F955D9">
      <w:pPr>
        <w:pStyle w:val="afffb"/>
        <w:rPr>
          <w:lang w:eastAsia="zh-CN"/>
        </w:rPr>
      </w:pPr>
      <w:bookmarkStart w:id="1476" w:name="_Hlk96009076"/>
      <w:r>
        <w:rPr>
          <w:lang w:eastAsia="zh-CN"/>
        </w:rPr>
        <w:t>5.1.</w:t>
      </w:r>
      <w:r>
        <w:rPr>
          <w:rFonts w:hint="eastAsia"/>
          <w:lang w:eastAsia="zh-CN"/>
        </w:rPr>
        <w:t>1</w:t>
      </w:r>
      <w:r>
        <w:rPr>
          <w:lang w:eastAsia="zh-CN"/>
        </w:rPr>
        <w:t>施工期生态影响分析</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b/>
          <w:bCs/>
          <w:szCs w:val="28"/>
        </w:rPr>
        <w:t>.1</w:t>
      </w:r>
      <w:r>
        <w:rPr>
          <w:rFonts w:cs="Times New Roman"/>
          <w:b/>
          <w:bCs/>
          <w:szCs w:val="28"/>
        </w:rPr>
        <w:t>占地影响分析</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）永久占地影响分析</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hint="eastAsia"/>
          <w:szCs w:val="21"/>
        </w:rPr>
        <w:t>新增</w:t>
      </w:r>
      <w:r>
        <w:rPr>
          <w:rFonts w:cs="Times New Roman" w:hint="eastAsia"/>
          <w:szCs w:val="21"/>
        </w:rPr>
        <w:t>永久占地</w:t>
      </w:r>
      <w:r>
        <w:rPr>
          <w:rFonts w:cs="Times New Roman" w:hint="eastAsia"/>
          <w:szCs w:val="21"/>
        </w:rPr>
        <w:t>3.43</w:t>
      </w:r>
      <w:r>
        <w:rPr>
          <w:rFonts w:cs="Times New Roman" w:hint="eastAsia"/>
          <w:szCs w:val="21"/>
        </w:rPr>
        <w:t>hm</w:t>
      </w:r>
      <w:r>
        <w:rPr>
          <w:rFonts w:cs="Times New Roman" w:hint="eastAsia"/>
          <w:szCs w:val="21"/>
          <w:vertAlign w:val="superscript"/>
        </w:rPr>
        <w:t>2</w:t>
      </w:r>
      <w:r>
        <w:rPr>
          <w:rFonts w:cs="Times New Roman" w:hint="eastAsia"/>
          <w:szCs w:val="21"/>
        </w:rPr>
        <w:t>，主要是新北</w:t>
      </w:r>
      <w:r>
        <w:rPr>
          <w:rFonts w:cs="Times New Roman" w:hint="eastAsia"/>
          <w:szCs w:val="21"/>
        </w:rPr>
        <w:t>1X</w:t>
      </w:r>
      <w:r>
        <w:rPr>
          <w:rFonts w:cs="Times New Roman" w:hint="eastAsia"/>
          <w:szCs w:val="21"/>
        </w:rPr>
        <w:t>井和新北</w:t>
      </w:r>
      <w:r>
        <w:rPr>
          <w:rFonts w:cs="Times New Roman" w:hint="eastAsia"/>
          <w:szCs w:val="21"/>
        </w:rPr>
        <w:t>7</w:t>
      </w:r>
      <w:r>
        <w:rPr>
          <w:rFonts w:cs="Times New Roman" w:hint="eastAsia"/>
          <w:szCs w:val="21"/>
        </w:rPr>
        <w:t>井井场永久占地。</w:t>
      </w:r>
      <w:r>
        <w:rPr>
          <w:rFonts w:cs="Times New Roman"/>
          <w:szCs w:val="21"/>
        </w:rPr>
        <w:t>施工结束后，永久占地被</w:t>
      </w:r>
      <w:r>
        <w:rPr>
          <w:rFonts w:cs="Times New Roman" w:hint="eastAsia"/>
          <w:szCs w:val="21"/>
        </w:rPr>
        <w:t>井场</w:t>
      </w:r>
      <w:r>
        <w:rPr>
          <w:rFonts w:cs="Times New Roman"/>
          <w:szCs w:val="21"/>
        </w:rPr>
        <w:t>构筑物代替，这部分占地的土壤类型、土地利用类型和植被类型将发生彻底的改变，永久占地使原先土壤－植被复合体构成的自然地表被</w:t>
      </w:r>
      <w:r>
        <w:rPr>
          <w:rFonts w:cs="Times New Roman" w:hint="eastAsia"/>
          <w:szCs w:val="21"/>
        </w:rPr>
        <w:t>井场</w:t>
      </w:r>
      <w:r>
        <w:rPr>
          <w:rFonts w:cs="Times New Roman"/>
          <w:szCs w:val="21"/>
        </w:rPr>
        <w:t>长期取代</w:t>
      </w:r>
      <w:r>
        <w:rPr>
          <w:rFonts w:cs="Times New Roman" w:hint="eastAsia"/>
          <w:szCs w:val="21"/>
        </w:rPr>
        <w:t>。</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）临时占地影响分析</w:t>
      </w:r>
    </w:p>
    <w:p w:rsidR="00C645C9" w:rsidRDefault="00F955D9">
      <w:pPr>
        <w:spacing w:line="360" w:lineRule="auto"/>
        <w:ind w:firstLineChars="200" w:firstLine="480"/>
        <w:jc w:val="both"/>
        <w:rPr>
          <w:rFonts w:cs="Times New Roman"/>
          <w:szCs w:val="21"/>
        </w:rPr>
      </w:pPr>
      <w:r>
        <w:rPr>
          <w:rFonts w:cs="Times New Roman" w:hint="eastAsia"/>
          <w:szCs w:val="21"/>
        </w:rPr>
        <w:t>本工程新增临时占地</w:t>
      </w:r>
      <w:r>
        <w:rPr>
          <w:rFonts w:cs="Times New Roman" w:hint="eastAsia"/>
          <w:szCs w:val="21"/>
        </w:rPr>
        <w:t>0.66</w:t>
      </w:r>
      <w:r>
        <w:rPr>
          <w:rFonts w:cs="Times New Roman" w:hint="eastAsia"/>
          <w:szCs w:val="21"/>
        </w:rPr>
        <w:t>hm</w:t>
      </w:r>
      <w:r>
        <w:rPr>
          <w:rFonts w:cs="Times New Roman" w:hint="eastAsia"/>
          <w:szCs w:val="21"/>
          <w:vertAlign w:val="superscript"/>
        </w:rPr>
        <w:t>2</w:t>
      </w:r>
      <w:r>
        <w:rPr>
          <w:rFonts w:cs="Times New Roman" w:hint="eastAsia"/>
          <w:szCs w:val="21"/>
        </w:rPr>
        <w:t>，主要是新北</w:t>
      </w:r>
      <w:r>
        <w:rPr>
          <w:rFonts w:cs="Times New Roman" w:hint="eastAsia"/>
          <w:szCs w:val="21"/>
        </w:rPr>
        <w:t>1X</w:t>
      </w:r>
      <w:r>
        <w:rPr>
          <w:rFonts w:cs="Times New Roman" w:hint="eastAsia"/>
          <w:szCs w:val="21"/>
        </w:rPr>
        <w:t>井和新北</w:t>
      </w:r>
      <w:r>
        <w:rPr>
          <w:rFonts w:cs="Times New Roman" w:hint="eastAsia"/>
          <w:szCs w:val="21"/>
        </w:rPr>
        <w:t>7</w:t>
      </w:r>
      <w:r>
        <w:rPr>
          <w:rFonts w:cs="Times New Roman" w:hint="eastAsia"/>
          <w:szCs w:val="21"/>
        </w:rPr>
        <w:t>井井场放喷池和临时生活区占地，生态影响主要集中在施工期。</w:t>
      </w:r>
      <w:r>
        <w:rPr>
          <w:rFonts w:cs="Times New Roman" w:hint="eastAsia"/>
          <w:szCs w:val="21"/>
        </w:rPr>
        <w:t>本工程两座井场临时性占地除采矿用地外，主要为果园。建设单位在非作物生长季施工，施工道路以依托现有县、乡道路和机耕道路为主，施工结束后及时对农用地进行复垦，因此从宏观整体区域看，不会影响到该区域的土地利用结构。</w:t>
      </w:r>
    </w:p>
    <w:p w:rsidR="00C645C9" w:rsidRDefault="00F955D9">
      <w:pPr>
        <w:spacing w:line="360" w:lineRule="auto"/>
        <w:ind w:firstLineChars="200" w:firstLine="480"/>
        <w:jc w:val="both"/>
        <w:rPr>
          <w:rFonts w:cs="Times New Roman"/>
          <w:szCs w:val="21"/>
        </w:rPr>
      </w:pPr>
      <w:r>
        <w:rPr>
          <w:rFonts w:cs="Times New Roman" w:hint="eastAsia"/>
          <w:szCs w:val="21"/>
        </w:rPr>
        <w:t>井场建设对周边区域的生态环境影响主要有：</w:t>
      </w:r>
    </w:p>
    <w:p w:rsidR="00C645C9" w:rsidRDefault="00F955D9">
      <w:pPr>
        <w:spacing w:line="360" w:lineRule="auto"/>
        <w:ind w:firstLineChars="200" w:firstLine="480"/>
        <w:jc w:val="both"/>
        <w:rPr>
          <w:rFonts w:cs="Times New Roman"/>
          <w:szCs w:val="21"/>
        </w:rPr>
      </w:pPr>
      <w:r>
        <w:rPr>
          <w:rFonts w:cs="Times New Roman" w:hint="eastAsia"/>
          <w:szCs w:val="21"/>
        </w:rPr>
        <w:t>a.</w:t>
      </w:r>
      <w:r>
        <w:rPr>
          <w:rFonts w:cs="Times New Roman" w:hint="eastAsia"/>
          <w:szCs w:val="21"/>
        </w:rPr>
        <w:t>临时占地将破坏地表原有自然植被，造成生物量损失。</w:t>
      </w:r>
    </w:p>
    <w:p w:rsidR="00C645C9" w:rsidRDefault="00F955D9">
      <w:pPr>
        <w:spacing w:line="360" w:lineRule="auto"/>
        <w:ind w:firstLineChars="200" w:firstLine="480"/>
        <w:jc w:val="both"/>
        <w:rPr>
          <w:rFonts w:cs="Times New Roman"/>
          <w:szCs w:val="21"/>
        </w:rPr>
      </w:pPr>
      <w:r>
        <w:rPr>
          <w:rFonts w:cs="Times New Roman" w:hint="eastAsia"/>
          <w:szCs w:val="21"/>
        </w:rPr>
        <w:t>b.</w:t>
      </w:r>
      <w:r>
        <w:rPr>
          <w:rFonts w:cs="Times New Roman" w:hint="eastAsia"/>
          <w:szCs w:val="21"/>
        </w:rPr>
        <w:t>施工过程中车辆碾压使占地范围内的土壤紧实度增加，对土地复耕后植被根系发育和生长不利。</w:t>
      </w:r>
    </w:p>
    <w:p w:rsidR="00C645C9" w:rsidRDefault="00F955D9">
      <w:pPr>
        <w:spacing w:line="360" w:lineRule="auto"/>
        <w:ind w:firstLineChars="200" w:firstLine="480"/>
        <w:jc w:val="both"/>
        <w:rPr>
          <w:rFonts w:cs="Times New Roman"/>
          <w:szCs w:val="21"/>
        </w:rPr>
      </w:pPr>
      <w:r>
        <w:rPr>
          <w:rFonts w:cs="Times New Roman" w:hint="eastAsia"/>
          <w:szCs w:val="21"/>
        </w:rPr>
        <w:t>c.</w:t>
      </w:r>
      <w:r>
        <w:rPr>
          <w:rFonts w:cs="Times New Roman" w:hint="eastAsia"/>
          <w:szCs w:val="21"/>
        </w:rPr>
        <w:t>在干燥天气下，车辆行驶扬尘，使便道两侧作物叶面覆盖降尘，光和作用减弱，影响作物生长；降雨天气，施工车辆进出施工场</w:t>
      </w:r>
      <w:r>
        <w:rPr>
          <w:rFonts w:cs="Times New Roman" w:hint="eastAsia"/>
          <w:szCs w:val="21"/>
        </w:rPr>
        <w:t>地，施工便道上的泥土将影响到公路路面的清洁，干燥后会产生扬尘污染。</w:t>
      </w:r>
    </w:p>
    <w:p w:rsidR="00C645C9" w:rsidRDefault="00F955D9">
      <w:pPr>
        <w:spacing w:line="360" w:lineRule="auto"/>
        <w:ind w:firstLineChars="200" w:firstLine="480"/>
        <w:jc w:val="both"/>
        <w:rPr>
          <w:rFonts w:cs="Times New Roman"/>
          <w:szCs w:val="21"/>
        </w:rPr>
      </w:pPr>
      <w:r>
        <w:rPr>
          <w:rFonts w:cs="Times New Roman" w:hint="eastAsia"/>
          <w:szCs w:val="21"/>
        </w:rPr>
        <w:t>综上所述，临时性工程占地短期内将影响区域内的利用状况，施工结束后，随着农用地补偿及耕地复垦等措施的实施，这一影响将逐渐减小直至消失。</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b/>
          <w:bCs/>
          <w:szCs w:val="28"/>
        </w:rPr>
        <w:t>.2</w:t>
      </w:r>
      <w:r>
        <w:rPr>
          <w:rFonts w:cs="Times New Roman"/>
          <w:b/>
          <w:bCs/>
          <w:szCs w:val="28"/>
        </w:rPr>
        <w:t>对植被的影响分析</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szCs w:val="21"/>
        </w:rPr>
        <w:t>对植被的影响主要</w:t>
      </w:r>
      <w:r>
        <w:rPr>
          <w:rFonts w:cs="Times New Roman" w:hint="eastAsia"/>
          <w:szCs w:val="21"/>
        </w:rPr>
        <w:t>表现</w:t>
      </w:r>
      <w:r>
        <w:rPr>
          <w:rFonts w:cs="Times New Roman"/>
          <w:szCs w:val="21"/>
        </w:rPr>
        <w:t>在施工期的占地产生的影响、人类活动产生的影响</w:t>
      </w:r>
      <w:r>
        <w:rPr>
          <w:rFonts w:cs="Times New Roman" w:hint="eastAsia"/>
          <w:szCs w:val="21"/>
        </w:rPr>
        <w:t>、</w:t>
      </w:r>
      <w:r>
        <w:rPr>
          <w:rFonts w:cs="Times New Roman"/>
          <w:szCs w:val="21"/>
        </w:rPr>
        <w:t>其次污染物排放也将对植被产生一定的影响。</w:t>
      </w:r>
    </w:p>
    <w:p w:rsidR="00C645C9" w:rsidRDefault="00F955D9">
      <w:pPr>
        <w:spacing w:line="360" w:lineRule="auto"/>
        <w:ind w:firstLineChars="200" w:firstLine="480"/>
        <w:jc w:val="both"/>
        <w:rPr>
          <w:rFonts w:cs="Times New Roman"/>
          <w:szCs w:val="21"/>
        </w:rPr>
      </w:pPr>
      <w:r>
        <w:rPr>
          <w:rFonts w:cs="Times New Roman"/>
          <w:szCs w:val="21"/>
        </w:rPr>
        <w:lastRenderedPageBreak/>
        <w:t>塔河油田经过了多年的勘探开发后，现已具备了一定的规模，占用了一定面积的土地，使其上的荒漠植被消失，整个自然环境中的植被覆盖度减少，地表永久性构筑物增多。具体的影响方式及影响程度表现在以下几个方面：</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szCs w:val="21"/>
        </w:rPr>
        <w:t>1</w:t>
      </w:r>
      <w:r>
        <w:rPr>
          <w:rFonts w:cs="Times New Roman"/>
          <w:szCs w:val="21"/>
        </w:rPr>
        <w:t>）</w:t>
      </w:r>
      <w:r>
        <w:rPr>
          <w:rFonts w:cs="Times New Roman" w:hint="eastAsia"/>
          <w:szCs w:val="21"/>
        </w:rPr>
        <w:t>工程</w:t>
      </w:r>
      <w:r>
        <w:rPr>
          <w:rFonts w:cs="Times New Roman" w:hint="eastAsia"/>
          <w:szCs w:val="21"/>
        </w:rPr>
        <w:t>占地对植被影响</w:t>
      </w:r>
    </w:p>
    <w:p w:rsidR="00C645C9" w:rsidRDefault="00F955D9">
      <w:pPr>
        <w:widowControl w:val="0"/>
        <w:spacing w:line="360" w:lineRule="auto"/>
        <w:ind w:firstLineChars="200" w:firstLine="480"/>
        <w:jc w:val="both"/>
        <w:rPr>
          <w:rFonts w:cs="Times New Roman"/>
          <w:szCs w:val="21"/>
        </w:rPr>
      </w:pPr>
      <w:r>
        <w:rPr>
          <w:rFonts w:cs="Times New Roman"/>
          <w:szCs w:val="21"/>
        </w:rPr>
        <w:t>由影响因素分析和油田建设的特点决定了在诸多对自然植被的影响因素中，施工期的建设占地等行为最严重，只有勘探对地表扰动和工程施工占地对影响区段植被的一次性破坏较大。</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szCs w:val="21"/>
        </w:rPr>
        <w:t>共占地</w:t>
      </w:r>
      <w:r>
        <w:rPr>
          <w:rFonts w:cs="Times New Roman" w:hint="eastAsia"/>
          <w:szCs w:val="21"/>
        </w:rPr>
        <w:t>4.09</w:t>
      </w:r>
      <w:r>
        <w:rPr>
          <w:rFonts w:cs="Times New Roman"/>
          <w:szCs w:val="21"/>
        </w:rPr>
        <w:t>hm</w:t>
      </w:r>
      <w:r>
        <w:rPr>
          <w:rFonts w:cs="Times New Roman"/>
          <w:szCs w:val="21"/>
          <w:vertAlign w:val="superscript"/>
        </w:rPr>
        <w:t>2</w:t>
      </w:r>
      <w:r>
        <w:rPr>
          <w:rFonts w:cs="Times New Roman"/>
          <w:szCs w:val="21"/>
        </w:rPr>
        <w:t>，</w:t>
      </w:r>
      <w:r>
        <w:rPr>
          <w:rFonts w:cs="Times New Roman" w:hint="eastAsia"/>
          <w:szCs w:val="21"/>
        </w:rPr>
        <w:t>本工程占地范围内的现状用地为果园、农村道路和采矿用地，农村道路和采矿用地</w:t>
      </w:r>
      <w:r>
        <w:rPr>
          <w:rFonts w:cs="Times New Roman"/>
          <w:szCs w:val="21"/>
        </w:rPr>
        <w:t>地表</w:t>
      </w:r>
      <w:r>
        <w:rPr>
          <w:rFonts w:cs="Times New Roman" w:hint="eastAsia"/>
          <w:szCs w:val="21"/>
        </w:rPr>
        <w:t>基本无自然植被覆盖，果</w:t>
      </w:r>
      <w:r>
        <w:rPr>
          <w:rFonts w:cs="Times New Roman" w:hint="eastAsia"/>
          <w:szCs w:val="21"/>
        </w:rPr>
        <w:t>园主要种植核桃等农作物</w:t>
      </w:r>
      <w:r>
        <w:rPr>
          <w:rFonts w:cs="Times New Roman"/>
          <w:szCs w:val="21"/>
        </w:rPr>
        <w:t>。在投入运营后，其中有</w:t>
      </w:r>
      <w:r>
        <w:rPr>
          <w:rFonts w:cs="Times New Roman" w:hint="eastAsia"/>
          <w:szCs w:val="21"/>
        </w:rPr>
        <w:t>3.43</w:t>
      </w:r>
      <w:r>
        <w:rPr>
          <w:rFonts w:cs="Times New Roman"/>
          <w:szCs w:val="21"/>
        </w:rPr>
        <w:t>hm</w:t>
      </w:r>
      <w:r>
        <w:rPr>
          <w:rFonts w:cs="Times New Roman"/>
          <w:szCs w:val="21"/>
          <w:vertAlign w:val="superscript"/>
        </w:rPr>
        <w:t>2</w:t>
      </w:r>
      <w:r>
        <w:rPr>
          <w:rFonts w:cs="Times New Roman"/>
          <w:szCs w:val="21"/>
        </w:rPr>
        <w:t>的地表被永久占用，地表被各种构筑物或砾石覆盖</w:t>
      </w:r>
      <w:r>
        <w:rPr>
          <w:rFonts w:cs="Times New Roman" w:hint="eastAsia"/>
          <w:szCs w:val="21"/>
        </w:rPr>
        <w:t>，</w:t>
      </w:r>
      <w:r>
        <w:rPr>
          <w:rFonts w:cs="Times New Roman"/>
          <w:szCs w:val="21"/>
        </w:rPr>
        <w:t>临时占地</w:t>
      </w:r>
      <w:r>
        <w:rPr>
          <w:rFonts w:cs="Times New Roman" w:hint="eastAsia"/>
          <w:szCs w:val="21"/>
        </w:rPr>
        <w:t>0.66</w:t>
      </w:r>
      <w:r>
        <w:rPr>
          <w:rFonts w:cs="Times New Roman"/>
          <w:szCs w:val="21"/>
        </w:rPr>
        <w:t>hm</w:t>
      </w:r>
      <w:r>
        <w:rPr>
          <w:rFonts w:cs="Times New Roman"/>
          <w:szCs w:val="21"/>
          <w:vertAlign w:val="superscript"/>
        </w:rPr>
        <w:t>2</w:t>
      </w:r>
      <w:r>
        <w:rPr>
          <w:rFonts w:cs="Times New Roman"/>
          <w:szCs w:val="21"/>
        </w:rPr>
        <w:t>土地重新</w:t>
      </w:r>
      <w:r>
        <w:rPr>
          <w:rFonts w:cs="Times New Roman" w:hint="eastAsia"/>
          <w:szCs w:val="21"/>
        </w:rPr>
        <w:t>恢复</w:t>
      </w:r>
      <w:r>
        <w:rPr>
          <w:rFonts w:cs="Times New Roman"/>
          <w:szCs w:val="21"/>
        </w:rPr>
        <w:t>到原来的自然状态</w:t>
      </w:r>
      <w:r>
        <w:rPr>
          <w:rFonts w:cs="Times New Roman" w:hint="eastAsia"/>
          <w:szCs w:val="21"/>
        </w:rPr>
        <w:t>。</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hint="eastAsia"/>
          <w:szCs w:val="21"/>
        </w:rPr>
        <w:t>2</w:t>
      </w:r>
      <w:r>
        <w:rPr>
          <w:rFonts w:cs="Times New Roman"/>
          <w:szCs w:val="21"/>
        </w:rPr>
        <w:t>）石油类污染对植被的影响</w:t>
      </w:r>
    </w:p>
    <w:p w:rsidR="00C645C9" w:rsidRDefault="00F955D9">
      <w:pPr>
        <w:spacing w:line="360" w:lineRule="auto"/>
        <w:ind w:firstLineChars="200" w:firstLine="480"/>
        <w:jc w:val="both"/>
        <w:rPr>
          <w:rFonts w:cs="Times New Roman"/>
          <w:szCs w:val="21"/>
        </w:rPr>
      </w:pPr>
      <w:r>
        <w:rPr>
          <w:rFonts w:cs="Times New Roman" w:hint="eastAsia"/>
          <w:szCs w:val="21"/>
        </w:rPr>
        <w:t>本工程开发建设</w:t>
      </w:r>
      <w:r>
        <w:rPr>
          <w:rFonts w:cs="Times New Roman"/>
          <w:szCs w:val="21"/>
        </w:rPr>
        <w:t>过程中石油类对植被的污染途径主要有两种：一是落地油先污染土壤，改变其结构和性状，使生长其上的植被间接</w:t>
      </w:r>
      <w:r>
        <w:rPr>
          <w:rFonts w:cs="Times New Roman" w:hint="eastAsia"/>
          <w:szCs w:val="21"/>
        </w:rPr>
        <w:t>地</w:t>
      </w:r>
      <w:r>
        <w:rPr>
          <w:rFonts w:cs="Times New Roman"/>
          <w:szCs w:val="21"/>
        </w:rPr>
        <w:t>受到影响；二是钻井及生产过程中不慎将</w:t>
      </w:r>
      <w:r>
        <w:rPr>
          <w:rFonts w:cs="Times New Roman" w:hint="eastAsia"/>
          <w:szCs w:val="21"/>
        </w:rPr>
        <w:t>凝析油</w:t>
      </w:r>
      <w:r>
        <w:rPr>
          <w:rFonts w:cs="Times New Roman"/>
          <w:szCs w:val="21"/>
        </w:rPr>
        <w:t>溅落在植物体上，影响其生理功能，使植物生长发育受阻，严重时导致植物的死亡。</w:t>
      </w:r>
    </w:p>
    <w:p w:rsidR="00C645C9" w:rsidRDefault="00F955D9">
      <w:pPr>
        <w:spacing w:line="360" w:lineRule="auto"/>
        <w:ind w:firstLineChars="200" w:firstLine="480"/>
        <w:jc w:val="both"/>
        <w:rPr>
          <w:rFonts w:cs="Times New Roman"/>
          <w:szCs w:val="21"/>
        </w:rPr>
      </w:pPr>
      <w:r>
        <w:rPr>
          <w:rFonts w:cs="Times New Roman"/>
          <w:szCs w:val="21"/>
        </w:rPr>
        <w:t>根据对以往油田资料的分析及实地勘察，石油类在土壤中</w:t>
      </w:r>
      <w:r>
        <w:rPr>
          <w:rFonts w:cs="Times New Roman"/>
          <w:szCs w:val="21"/>
        </w:rPr>
        <w:t>0</w:t>
      </w:r>
      <w:r>
        <w:rPr>
          <w:rFonts w:cs="Times New Roman"/>
          <w:szCs w:val="21"/>
        </w:rPr>
        <w:t>～</w:t>
      </w:r>
      <w:r>
        <w:rPr>
          <w:rFonts w:cs="Times New Roman"/>
          <w:szCs w:val="21"/>
        </w:rPr>
        <w:t>20cm</w:t>
      </w:r>
      <w:r>
        <w:rPr>
          <w:rFonts w:cs="Times New Roman"/>
          <w:szCs w:val="21"/>
        </w:rPr>
        <w:t>土层中残留量最大，污染源对植被影响范围在</w:t>
      </w:r>
      <w:r>
        <w:rPr>
          <w:rFonts w:cs="Times New Roman"/>
          <w:szCs w:val="21"/>
        </w:rPr>
        <w:t>50m</w:t>
      </w:r>
      <w:r>
        <w:rPr>
          <w:rFonts w:cs="Times New Roman"/>
          <w:szCs w:val="21"/>
        </w:rPr>
        <w:t>左右，</w:t>
      </w:r>
      <w:r>
        <w:rPr>
          <w:rFonts w:cs="Times New Roman"/>
          <w:szCs w:val="21"/>
        </w:rPr>
        <w:t>50m</w:t>
      </w:r>
      <w:r>
        <w:rPr>
          <w:rFonts w:cs="Times New Roman"/>
          <w:szCs w:val="21"/>
        </w:rPr>
        <w:t>以外植物体内石油类含量接近背景值，植被生长良好。</w:t>
      </w:r>
      <w:bookmarkStart w:id="1477" w:name="OLE_LINK659"/>
      <w:r>
        <w:rPr>
          <w:rFonts w:cs="Times New Roman" w:hint="eastAsia"/>
          <w:szCs w:val="21"/>
        </w:rPr>
        <w:t>本工程</w:t>
      </w:r>
      <w:bookmarkEnd w:id="1477"/>
      <w:r>
        <w:rPr>
          <w:rFonts w:cs="Times New Roman" w:hint="eastAsia"/>
          <w:szCs w:val="21"/>
        </w:rPr>
        <w:t>占地范围内植被主要为农作物，自然植被很少，本工程开工建设尽量选择休耕期，</w:t>
      </w:r>
      <w:r>
        <w:rPr>
          <w:rFonts w:cs="Times New Roman"/>
          <w:szCs w:val="21"/>
        </w:rPr>
        <w:t>所以地表石油类污染不会使植被受到明显伤害。</w:t>
      </w:r>
    </w:p>
    <w:p w:rsidR="00C645C9" w:rsidRDefault="00F955D9">
      <w:pPr>
        <w:spacing w:line="360" w:lineRule="auto"/>
        <w:ind w:firstLineChars="200" w:firstLine="480"/>
        <w:jc w:val="both"/>
        <w:rPr>
          <w:rFonts w:cs="Times New Roman"/>
          <w:szCs w:val="21"/>
        </w:rPr>
      </w:pPr>
      <w:r>
        <w:rPr>
          <w:rFonts w:cs="Times New Roman"/>
          <w:szCs w:val="21"/>
        </w:rPr>
        <w:t>（</w:t>
      </w:r>
      <w:r>
        <w:rPr>
          <w:rFonts w:cs="Times New Roman" w:hint="eastAsia"/>
          <w:szCs w:val="21"/>
        </w:rPr>
        <w:t>3</w:t>
      </w:r>
      <w:r>
        <w:rPr>
          <w:rFonts w:cs="Times New Roman"/>
          <w:szCs w:val="21"/>
        </w:rPr>
        <w:t>）人类活动对植被的影响</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szCs w:val="21"/>
        </w:rPr>
        <w:t>开发建设过程中</w:t>
      </w:r>
      <w:r>
        <w:rPr>
          <w:rFonts w:cs="Times New Roman" w:hint="eastAsia"/>
          <w:szCs w:val="21"/>
        </w:rPr>
        <w:t>人类活动</w:t>
      </w:r>
      <w:r>
        <w:rPr>
          <w:rFonts w:cs="Times New Roman"/>
          <w:szCs w:val="21"/>
        </w:rPr>
        <w:t>对植被的影响主要表现在人类和机械对植物的践踏、碾压和砍伐，使原生植被生境发生较大变化。单位面积上人口密度的增加将导致工程开发范围内及边缘区域地表土壤被践踏和自然植被覆盖率减少，使工程区域内局部地带沙漠化的可能性增加，从而形成次生沙漠化。</w:t>
      </w:r>
      <w:r>
        <w:rPr>
          <w:rFonts w:cs="Times New Roman" w:hint="eastAsia"/>
          <w:szCs w:val="21"/>
        </w:rPr>
        <w:t>此外，人类和机械对项目区周边农田的践踏和碾压等，会破坏农作物、压实农田土壤和降低土壤肥力等，影响农作物生长</w:t>
      </w:r>
      <w:r>
        <w:rPr>
          <w:rFonts w:cs="Times New Roman"/>
          <w:szCs w:val="21"/>
        </w:rPr>
        <w:t>。</w:t>
      </w:r>
    </w:p>
    <w:p w:rsidR="00C645C9" w:rsidRDefault="00F955D9">
      <w:pPr>
        <w:spacing w:line="360" w:lineRule="auto"/>
        <w:ind w:firstLineChars="200" w:firstLine="480"/>
        <w:jc w:val="both"/>
        <w:rPr>
          <w:rFonts w:cs="Times New Roman"/>
          <w:szCs w:val="21"/>
        </w:rPr>
      </w:pPr>
      <w:r>
        <w:rPr>
          <w:rFonts w:cs="Times New Roman"/>
          <w:szCs w:val="21"/>
        </w:rPr>
        <w:lastRenderedPageBreak/>
        <w:t>（</w:t>
      </w:r>
      <w:r>
        <w:rPr>
          <w:rFonts w:cs="Times New Roman" w:hint="eastAsia"/>
          <w:szCs w:val="21"/>
        </w:rPr>
        <w:t>4</w:t>
      </w:r>
      <w:r>
        <w:rPr>
          <w:rFonts w:cs="Times New Roman"/>
          <w:szCs w:val="21"/>
        </w:rPr>
        <w:t>）大气污染物的影响</w:t>
      </w:r>
    </w:p>
    <w:p w:rsidR="00C645C9" w:rsidRDefault="00F955D9">
      <w:pPr>
        <w:spacing w:line="360" w:lineRule="auto"/>
        <w:ind w:firstLineChars="200" w:firstLine="480"/>
        <w:jc w:val="both"/>
        <w:rPr>
          <w:rFonts w:cs="Times New Roman"/>
          <w:szCs w:val="21"/>
        </w:rPr>
      </w:pPr>
      <w:r>
        <w:rPr>
          <w:rFonts w:cs="Times New Roman" w:hint="eastAsia"/>
          <w:szCs w:val="21"/>
        </w:rPr>
        <w:t>井场建设施工期</w:t>
      </w:r>
      <w:r>
        <w:rPr>
          <w:rFonts w:cs="Times New Roman"/>
          <w:szCs w:val="21"/>
        </w:rPr>
        <w:t>，大气污染物主要是来自</w:t>
      </w:r>
      <w:r>
        <w:rPr>
          <w:rFonts w:cs="Times New Roman" w:hint="eastAsia"/>
          <w:szCs w:val="21"/>
        </w:rPr>
        <w:t>施工扬尘、施工机械</w:t>
      </w:r>
      <w:r>
        <w:rPr>
          <w:rFonts w:cs="Times New Roman"/>
          <w:szCs w:val="21"/>
        </w:rPr>
        <w:t>产生的废气，废气中主要含有</w:t>
      </w:r>
      <w:r>
        <w:rPr>
          <w:rFonts w:cs="Times New Roman"/>
          <w:szCs w:val="21"/>
        </w:rPr>
        <w:t>TSP</w:t>
      </w:r>
      <w:r>
        <w:rPr>
          <w:rFonts w:cs="Times New Roman"/>
          <w:szCs w:val="21"/>
        </w:rPr>
        <w:t>、</w:t>
      </w:r>
      <w:r>
        <w:rPr>
          <w:rFonts w:cs="Times New Roman"/>
          <w:szCs w:val="21"/>
        </w:rPr>
        <w:t>NO</w:t>
      </w:r>
      <w:r>
        <w:rPr>
          <w:rFonts w:cs="Times New Roman"/>
          <w:szCs w:val="21"/>
          <w:vertAlign w:val="subscript"/>
        </w:rPr>
        <w:t>2</w:t>
      </w:r>
      <w:r>
        <w:rPr>
          <w:rFonts w:cs="Times New Roman"/>
          <w:szCs w:val="21"/>
        </w:rPr>
        <w:t>、</w:t>
      </w:r>
      <w:r>
        <w:rPr>
          <w:rFonts w:cs="Times New Roman"/>
          <w:szCs w:val="21"/>
        </w:rPr>
        <w:t>SO</w:t>
      </w:r>
      <w:r>
        <w:rPr>
          <w:rFonts w:cs="Times New Roman"/>
          <w:szCs w:val="21"/>
          <w:vertAlign w:val="subscript"/>
        </w:rPr>
        <w:t>2</w:t>
      </w:r>
      <w:r>
        <w:rPr>
          <w:rFonts w:cs="Times New Roman"/>
          <w:szCs w:val="21"/>
        </w:rPr>
        <w:t>、</w:t>
      </w:r>
      <w:r>
        <w:rPr>
          <w:rFonts w:cs="Times New Roman"/>
          <w:szCs w:val="21"/>
        </w:rPr>
        <w:t>CO</w:t>
      </w:r>
      <w:r>
        <w:rPr>
          <w:rFonts w:cs="Times New Roman"/>
          <w:szCs w:val="21"/>
        </w:rPr>
        <w:t>等有害成分，而在运营期产生的大气污</w:t>
      </w:r>
      <w:r>
        <w:rPr>
          <w:rFonts w:cs="Times New Roman"/>
          <w:szCs w:val="21"/>
        </w:rPr>
        <w:t>染物主要有</w:t>
      </w:r>
      <w:r>
        <w:rPr>
          <w:rFonts w:cs="Times New Roman" w:hint="eastAsia"/>
          <w:szCs w:val="21"/>
        </w:rPr>
        <w:t>井场加热炉烟气和油气生产设施</w:t>
      </w:r>
      <w:r>
        <w:rPr>
          <w:rFonts w:cs="Times New Roman"/>
          <w:szCs w:val="21"/>
        </w:rPr>
        <w:t>无组织释放的烃类气体等。在这些污染物中能对植物产生影响的主要为</w:t>
      </w:r>
      <w:r>
        <w:rPr>
          <w:rFonts w:cs="Times New Roman" w:hint="eastAsia"/>
          <w:szCs w:val="21"/>
        </w:rPr>
        <w:t>NOx</w:t>
      </w:r>
      <w:r>
        <w:rPr>
          <w:rFonts w:cs="Times New Roman"/>
          <w:szCs w:val="21"/>
        </w:rPr>
        <w:t>、</w:t>
      </w:r>
      <w:r>
        <w:rPr>
          <w:rFonts w:cs="Times New Roman"/>
          <w:szCs w:val="21"/>
        </w:rPr>
        <w:t>SO</w:t>
      </w:r>
      <w:r>
        <w:rPr>
          <w:rFonts w:cs="Times New Roman"/>
          <w:szCs w:val="21"/>
          <w:vertAlign w:val="subscript"/>
        </w:rPr>
        <w:t>2</w:t>
      </w:r>
      <w:r>
        <w:rPr>
          <w:rFonts w:cs="Times New Roman"/>
          <w:szCs w:val="21"/>
        </w:rPr>
        <w:t>及建设期的空气扬尘。</w:t>
      </w:r>
    </w:p>
    <w:p w:rsidR="00C645C9" w:rsidRDefault="00F955D9">
      <w:pPr>
        <w:spacing w:line="360" w:lineRule="auto"/>
        <w:ind w:firstLineChars="200" w:firstLine="480"/>
        <w:jc w:val="both"/>
        <w:rPr>
          <w:rFonts w:cs="Times New Roman"/>
          <w:szCs w:val="21"/>
        </w:rPr>
      </w:pPr>
      <w:r>
        <w:rPr>
          <w:rFonts w:cs="Times New Roman"/>
          <w:szCs w:val="21"/>
        </w:rPr>
        <w:t>SO</w:t>
      </w:r>
      <w:r>
        <w:rPr>
          <w:rFonts w:cs="Times New Roman"/>
          <w:szCs w:val="21"/>
          <w:vertAlign w:val="subscript"/>
        </w:rPr>
        <w:t>2</w:t>
      </w:r>
      <w:r>
        <w:rPr>
          <w:rFonts w:cs="Times New Roman"/>
          <w:szCs w:val="21"/>
        </w:rPr>
        <w:t>可通过叶片气孔进入植物体，形成亚硫酸离子，当它超过植物自净能力时，将会破坏叶肉组织，使叶片水分减少失绿，严重时细胞发生质壁分离，叶片逐渐枯萎，植物慢慢死亡。</w:t>
      </w:r>
    </w:p>
    <w:p w:rsidR="00C645C9" w:rsidRDefault="00F955D9">
      <w:pPr>
        <w:spacing w:line="360" w:lineRule="auto"/>
        <w:ind w:firstLineChars="200" w:firstLine="480"/>
        <w:jc w:val="both"/>
        <w:rPr>
          <w:rFonts w:cs="Times New Roman"/>
          <w:szCs w:val="21"/>
        </w:rPr>
      </w:pPr>
      <w:r>
        <w:rPr>
          <w:rFonts w:cs="Times New Roman" w:hint="eastAsia"/>
          <w:szCs w:val="21"/>
        </w:rPr>
        <w:t>NOx</w:t>
      </w:r>
      <w:r>
        <w:rPr>
          <w:rFonts w:cs="Times New Roman"/>
          <w:szCs w:val="21"/>
        </w:rPr>
        <w:t>对植物的伤害表现在叶肉组织内部的细胞上。植物通过气孔吸收了大气中的氮氧化物，随后污染物由气态变为液态，改变了细胞及其周围的</w:t>
      </w:r>
      <w:r>
        <w:rPr>
          <w:rFonts w:cs="Times New Roman"/>
          <w:szCs w:val="21"/>
        </w:rPr>
        <w:t>pH</w:t>
      </w:r>
      <w:r>
        <w:rPr>
          <w:rFonts w:cs="Times New Roman"/>
          <w:szCs w:val="21"/>
        </w:rPr>
        <w:t>值，引起细胞结构变化，光合作用降低，植物的生长活性受到影响。</w:t>
      </w:r>
    </w:p>
    <w:p w:rsidR="00C645C9" w:rsidRDefault="00F955D9">
      <w:pPr>
        <w:widowControl w:val="0"/>
        <w:spacing w:line="360" w:lineRule="auto"/>
        <w:ind w:firstLineChars="200" w:firstLine="480"/>
        <w:jc w:val="both"/>
        <w:rPr>
          <w:rFonts w:cs="Times New Roman"/>
          <w:szCs w:val="21"/>
        </w:rPr>
      </w:pPr>
      <w:r>
        <w:rPr>
          <w:rFonts w:cs="Times New Roman"/>
          <w:szCs w:val="21"/>
        </w:rPr>
        <w:t>扬尘颗粒物降落在植</w:t>
      </w:r>
      <w:r>
        <w:rPr>
          <w:rFonts w:cs="Times New Roman"/>
          <w:szCs w:val="21"/>
        </w:rPr>
        <w:t>物叶片表面以干粉尘、泥膜的形式积累、堵塞气孔，导致气体交换减少，叶片温度升高，光合作用下降，叶片黄化萎缩。夏季白天气温高，</w:t>
      </w:r>
      <w:r>
        <w:rPr>
          <w:rFonts w:cs="Times New Roman" w:hint="eastAsia"/>
          <w:szCs w:val="21"/>
        </w:rPr>
        <w:t>植物</w:t>
      </w:r>
      <w:r>
        <w:rPr>
          <w:rFonts w:cs="Times New Roman"/>
          <w:szCs w:val="21"/>
        </w:rPr>
        <w:t>气孔易打开，容易吸收有毒物质，因而污染物夏季对植被的危害比冬季大，白天的污染造成的后果比夜间严重。</w:t>
      </w:r>
    </w:p>
    <w:p w:rsidR="00C645C9" w:rsidRDefault="00F955D9">
      <w:pPr>
        <w:spacing w:line="360" w:lineRule="auto"/>
        <w:ind w:firstLineChars="200" w:firstLine="480"/>
        <w:jc w:val="both"/>
        <w:rPr>
          <w:rFonts w:cs="Times New Roman"/>
          <w:szCs w:val="21"/>
        </w:rPr>
      </w:pPr>
      <w:r>
        <w:rPr>
          <w:rFonts w:cs="Times New Roman"/>
          <w:szCs w:val="21"/>
        </w:rPr>
        <w:t>总体来说，</w:t>
      </w:r>
      <w:r>
        <w:rPr>
          <w:rFonts w:cs="Times New Roman" w:hint="eastAsia"/>
          <w:szCs w:val="21"/>
        </w:rPr>
        <w:t>工程区</w:t>
      </w:r>
      <w:r>
        <w:rPr>
          <w:rFonts w:cs="Times New Roman"/>
          <w:szCs w:val="21"/>
        </w:rPr>
        <w:t>多风、少雨、干旱、地形开阔的自然条件使大气污染物易于扩散，工程</w:t>
      </w:r>
      <w:r>
        <w:rPr>
          <w:rFonts w:cs="Times New Roman" w:hint="eastAsia"/>
          <w:szCs w:val="21"/>
        </w:rPr>
        <w:t>建设规模较小</w:t>
      </w:r>
      <w:r>
        <w:rPr>
          <w:rFonts w:cs="Times New Roman"/>
          <w:szCs w:val="21"/>
        </w:rPr>
        <w:t>，因此在正常情况下污染物浓度不会太高，大气污染物对植被的影响不大。</w:t>
      </w:r>
    </w:p>
    <w:p w:rsidR="00C645C9" w:rsidRDefault="00F955D9">
      <w:pPr>
        <w:widowControl w:val="0"/>
        <w:spacing w:line="360" w:lineRule="auto"/>
        <w:ind w:firstLineChars="200" w:firstLine="480"/>
        <w:jc w:val="both"/>
        <w:rPr>
          <w:rFonts w:cs="Times New Roman"/>
          <w:szCs w:val="21"/>
        </w:rPr>
      </w:pPr>
      <w:r>
        <w:rPr>
          <w:rFonts w:cs="Times New Roman"/>
          <w:szCs w:val="21"/>
        </w:rPr>
        <w:t>（</w:t>
      </w:r>
      <w:r>
        <w:rPr>
          <w:rFonts w:cs="Times New Roman" w:hint="eastAsia"/>
          <w:szCs w:val="21"/>
        </w:rPr>
        <w:t>5</w:t>
      </w:r>
      <w:r>
        <w:rPr>
          <w:rFonts w:cs="Times New Roman"/>
          <w:szCs w:val="21"/>
        </w:rPr>
        <w:t>）</w:t>
      </w:r>
      <w:r>
        <w:rPr>
          <w:rFonts w:cs="Times New Roman"/>
          <w:szCs w:val="21"/>
        </w:rPr>
        <w:t>植被生物量损失</w:t>
      </w:r>
    </w:p>
    <w:p w:rsidR="00C645C9" w:rsidRDefault="00F955D9">
      <w:pPr>
        <w:widowControl w:val="0"/>
        <w:spacing w:line="360" w:lineRule="auto"/>
        <w:ind w:firstLineChars="200" w:firstLine="480"/>
        <w:jc w:val="both"/>
        <w:rPr>
          <w:rFonts w:cs="Times New Roman"/>
          <w:szCs w:val="21"/>
        </w:rPr>
      </w:pPr>
      <w:r>
        <w:rPr>
          <w:rFonts w:cs="Times New Roman"/>
          <w:szCs w:val="21"/>
        </w:rPr>
        <w:t>①</w:t>
      </w:r>
      <w:r>
        <w:rPr>
          <w:rFonts w:cs="Times New Roman"/>
          <w:szCs w:val="21"/>
        </w:rPr>
        <w:t>自然植被</w:t>
      </w:r>
    </w:p>
    <w:p w:rsidR="00C645C9" w:rsidRDefault="00F955D9">
      <w:pPr>
        <w:widowControl w:val="0"/>
        <w:spacing w:line="360" w:lineRule="auto"/>
        <w:ind w:firstLineChars="200" w:firstLine="480"/>
        <w:jc w:val="both"/>
        <w:rPr>
          <w:rFonts w:cs="Times New Roman"/>
          <w:szCs w:val="21"/>
        </w:rPr>
      </w:pPr>
      <w:r>
        <w:rPr>
          <w:rFonts w:cs="Times New Roman"/>
          <w:szCs w:val="21"/>
        </w:rPr>
        <w:t>本</w:t>
      </w:r>
      <w:r>
        <w:rPr>
          <w:rFonts w:cs="Times New Roman" w:hint="eastAsia"/>
          <w:szCs w:val="21"/>
        </w:rPr>
        <w:t>工程</w:t>
      </w:r>
      <w:r>
        <w:rPr>
          <w:rFonts w:cs="Times New Roman"/>
          <w:szCs w:val="21"/>
        </w:rPr>
        <w:t>新增占地主要为</w:t>
      </w:r>
      <w:r>
        <w:rPr>
          <w:rFonts w:cs="Times New Roman" w:hint="eastAsia"/>
          <w:szCs w:val="21"/>
        </w:rPr>
        <w:t>井场永久占地和</w:t>
      </w:r>
      <w:r>
        <w:rPr>
          <w:rFonts w:cs="Times New Roman"/>
          <w:szCs w:val="21"/>
        </w:rPr>
        <w:t>临时占地，占地面积</w:t>
      </w:r>
      <w:r>
        <w:rPr>
          <w:rFonts w:cs="Times New Roman"/>
          <w:szCs w:val="21"/>
        </w:rPr>
        <w:t>4.</w:t>
      </w:r>
      <w:r>
        <w:rPr>
          <w:rFonts w:cs="Times New Roman" w:hint="eastAsia"/>
          <w:szCs w:val="21"/>
        </w:rPr>
        <w:t>09</w:t>
      </w:r>
      <w:r>
        <w:rPr>
          <w:rFonts w:cs="Times New Roman"/>
          <w:szCs w:val="21"/>
        </w:rPr>
        <w:t>hm</w:t>
      </w:r>
      <w:r>
        <w:rPr>
          <w:rFonts w:cs="Times New Roman"/>
          <w:szCs w:val="21"/>
          <w:vertAlign w:val="superscript"/>
        </w:rPr>
        <w:t>2</w:t>
      </w:r>
      <w:r>
        <w:rPr>
          <w:rFonts w:cs="Times New Roman"/>
          <w:szCs w:val="21"/>
        </w:rPr>
        <w:t>，</w:t>
      </w:r>
      <w:r>
        <w:rPr>
          <w:rFonts w:cs="Times New Roman" w:hint="eastAsia"/>
          <w:szCs w:val="21"/>
        </w:rPr>
        <w:t>占地范围内无自然植被覆盖，因此本工程不产生自然植被生物量损失</w:t>
      </w:r>
      <w:r>
        <w:rPr>
          <w:rFonts w:cs="Times New Roman"/>
          <w:szCs w:val="21"/>
        </w:rPr>
        <w:t>。</w:t>
      </w:r>
    </w:p>
    <w:p w:rsidR="00C645C9" w:rsidRDefault="00F955D9">
      <w:pPr>
        <w:widowControl w:val="0"/>
        <w:spacing w:line="360" w:lineRule="auto"/>
        <w:ind w:firstLineChars="200" w:firstLine="480"/>
        <w:jc w:val="both"/>
        <w:rPr>
          <w:rFonts w:cs="Times New Roman"/>
          <w:szCs w:val="21"/>
        </w:rPr>
      </w:pPr>
      <w:r>
        <w:rPr>
          <w:rFonts w:cs="Times New Roman"/>
          <w:szCs w:val="21"/>
        </w:rPr>
        <w:t>建设单位应加强施工管理，</w:t>
      </w:r>
      <w:r>
        <w:rPr>
          <w:rFonts w:cs="Times New Roman" w:hint="eastAsia"/>
          <w:szCs w:val="21"/>
        </w:rPr>
        <w:t>严格控制占地，避免对项目区周边</w:t>
      </w:r>
      <w:r>
        <w:rPr>
          <w:rFonts w:cs="Times New Roman"/>
          <w:szCs w:val="21"/>
        </w:rPr>
        <w:t>自然植被</w:t>
      </w:r>
      <w:r>
        <w:rPr>
          <w:rFonts w:cs="Times New Roman" w:hint="eastAsia"/>
          <w:szCs w:val="21"/>
        </w:rPr>
        <w:t>产生</w:t>
      </w:r>
      <w:r>
        <w:rPr>
          <w:rFonts w:cs="Times New Roman"/>
          <w:szCs w:val="21"/>
        </w:rPr>
        <w:t>影响。</w:t>
      </w:r>
    </w:p>
    <w:p w:rsidR="00C645C9" w:rsidRDefault="00F955D9">
      <w:pPr>
        <w:widowControl w:val="0"/>
        <w:spacing w:line="360" w:lineRule="auto"/>
        <w:ind w:firstLineChars="200" w:firstLine="480"/>
        <w:jc w:val="both"/>
        <w:rPr>
          <w:rFonts w:cs="Times New Roman"/>
          <w:szCs w:val="21"/>
        </w:rPr>
      </w:pPr>
      <w:r>
        <w:rPr>
          <w:rFonts w:cs="Times New Roman"/>
          <w:szCs w:val="21"/>
        </w:rPr>
        <w:t>②</w:t>
      </w:r>
      <w:r>
        <w:rPr>
          <w:rFonts w:cs="Times New Roman"/>
          <w:szCs w:val="21"/>
        </w:rPr>
        <w:t>人工植被</w:t>
      </w:r>
    </w:p>
    <w:p w:rsidR="00C645C9" w:rsidRDefault="00F955D9">
      <w:pPr>
        <w:widowControl w:val="0"/>
        <w:spacing w:line="360" w:lineRule="auto"/>
        <w:ind w:firstLineChars="200" w:firstLine="480"/>
        <w:jc w:val="both"/>
        <w:rPr>
          <w:rFonts w:cs="Times New Roman"/>
          <w:szCs w:val="21"/>
        </w:rPr>
      </w:pPr>
      <w:r>
        <w:rPr>
          <w:rFonts w:cs="Times New Roman"/>
          <w:szCs w:val="21"/>
        </w:rPr>
        <w:t>本项目新增占地中</w:t>
      </w:r>
      <w:r>
        <w:rPr>
          <w:rFonts w:cs="Times New Roman"/>
          <w:szCs w:val="21"/>
        </w:rPr>
        <w:t>2.49hm</w:t>
      </w:r>
      <w:r>
        <w:rPr>
          <w:rFonts w:cs="Times New Roman"/>
          <w:szCs w:val="21"/>
          <w:vertAlign w:val="superscript"/>
        </w:rPr>
        <w:t>2</w:t>
      </w:r>
      <w:r>
        <w:rPr>
          <w:rFonts w:cs="Times New Roman" w:hint="eastAsia"/>
          <w:szCs w:val="21"/>
        </w:rPr>
        <w:t>的地面分布植被，均为</w:t>
      </w:r>
      <w:r>
        <w:rPr>
          <w:rFonts w:cs="Times New Roman"/>
          <w:szCs w:val="21"/>
        </w:rPr>
        <w:t>人工植被</w:t>
      </w:r>
      <w:r>
        <w:rPr>
          <w:rFonts w:cs="Times New Roman" w:hint="eastAsia"/>
          <w:szCs w:val="21"/>
        </w:rPr>
        <w:t>，主要种植核桃</w:t>
      </w:r>
      <w:r>
        <w:rPr>
          <w:rFonts w:cs="Times New Roman"/>
          <w:szCs w:val="21"/>
        </w:rPr>
        <w:t>，</w:t>
      </w:r>
      <w:r>
        <w:rPr>
          <w:rFonts w:cs="Times New Roman" w:hint="eastAsia"/>
          <w:szCs w:val="21"/>
        </w:rPr>
        <w:t>分布在</w:t>
      </w:r>
      <w:r>
        <w:rPr>
          <w:rFonts w:cs="Times New Roman"/>
          <w:szCs w:val="21"/>
        </w:rPr>
        <w:t>新北</w:t>
      </w:r>
      <w:r>
        <w:rPr>
          <w:rFonts w:cs="Times New Roman"/>
          <w:szCs w:val="21"/>
        </w:rPr>
        <w:t>1X</w:t>
      </w:r>
      <w:r>
        <w:rPr>
          <w:rFonts w:cs="Times New Roman"/>
          <w:szCs w:val="21"/>
        </w:rPr>
        <w:t>井井场临时生活区</w:t>
      </w:r>
      <w:r>
        <w:rPr>
          <w:rFonts w:cs="Times New Roman" w:hint="eastAsia"/>
          <w:szCs w:val="21"/>
        </w:rPr>
        <w:t>、</w:t>
      </w:r>
      <w:r>
        <w:rPr>
          <w:rFonts w:cs="Times New Roman"/>
          <w:szCs w:val="21"/>
        </w:rPr>
        <w:t>新北</w:t>
      </w:r>
      <w:r>
        <w:rPr>
          <w:rFonts w:cs="Times New Roman"/>
          <w:szCs w:val="21"/>
        </w:rPr>
        <w:t>7</w:t>
      </w:r>
      <w:r>
        <w:rPr>
          <w:rFonts w:cs="Times New Roman"/>
          <w:szCs w:val="21"/>
        </w:rPr>
        <w:t>井井场</w:t>
      </w:r>
      <w:r>
        <w:rPr>
          <w:rFonts w:cs="Times New Roman" w:hint="eastAsia"/>
          <w:szCs w:val="21"/>
        </w:rPr>
        <w:t>及</w:t>
      </w:r>
      <w:r>
        <w:rPr>
          <w:rFonts w:cs="Times New Roman"/>
          <w:szCs w:val="21"/>
        </w:rPr>
        <w:t>主副放喷池、临时生活区。</w:t>
      </w:r>
      <w:r>
        <w:rPr>
          <w:rFonts w:cs="Times New Roman" w:hint="eastAsia"/>
          <w:szCs w:val="21"/>
        </w:rPr>
        <w:t>工程占用</w:t>
      </w:r>
      <w:r>
        <w:rPr>
          <w:rFonts w:cs="Times New Roman"/>
          <w:szCs w:val="21"/>
        </w:rPr>
        <w:t>对农业生态环境的直接影响表现为占用农田以及由此造成的农业损失。</w:t>
      </w:r>
    </w:p>
    <w:p w:rsidR="00C645C9" w:rsidRDefault="00F955D9">
      <w:pPr>
        <w:widowControl w:val="0"/>
        <w:spacing w:line="360" w:lineRule="auto"/>
        <w:ind w:firstLineChars="200" w:firstLine="480"/>
        <w:jc w:val="both"/>
        <w:rPr>
          <w:rFonts w:cs="Times New Roman"/>
          <w:szCs w:val="21"/>
        </w:rPr>
      </w:pPr>
      <w:r>
        <w:rPr>
          <w:rFonts w:cs="Times New Roman" w:hint="eastAsia"/>
          <w:szCs w:val="21"/>
        </w:rPr>
        <w:lastRenderedPageBreak/>
        <w:t>新北</w:t>
      </w:r>
      <w:r>
        <w:rPr>
          <w:rFonts w:cs="Times New Roman" w:hint="eastAsia"/>
          <w:szCs w:val="21"/>
        </w:rPr>
        <w:t>7</w:t>
      </w:r>
      <w:r>
        <w:rPr>
          <w:rFonts w:cs="Times New Roman" w:hint="eastAsia"/>
          <w:szCs w:val="21"/>
        </w:rPr>
        <w:t>井井场大小为</w:t>
      </w:r>
      <w:r>
        <w:rPr>
          <w:rFonts w:cs="Times New Roman" w:hint="eastAsia"/>
          <w:szCs w:val="21"/>
        </w:rPr>
        <w:t>125m</w:t>
      </w:r>
      <w:r>
        <w:rPr>
          <w:rFonts w:cs="Times New Roman" w:hint="eastAsia"/>
          <w:szCs w:val="21"/>
        </w:rPr>
        <w:t>×</w:t>
      </w:r>
      <w:r>
        <w:rPr>
          <w:rFonts w:cs="Times New Roman" w:hint="eastAsia"/>
          <w:szCs w:val="21"/>
        </w:rPr>
        <w:t>160m</w:t>
      </w:r>
      <w:r>
        <w:rPr>
          <w:rFonts w:cs="Times New Roman" w:hint="eastAsia"/>
          <w:szCs w:val="21"/>
        </w:rPr>
        <w:t>，占地面积</w:t>
      </w:r>
      <w:r>
        <w:rPr>
          <w:rFonts w:cs="Times New Roman" w:hint="eastAsia"/>
          <w:szCs w:val="21"/>
        </w:rPr>
        <w:t>2hm</w:t>
      </w:r>
      <w:r>
        <w:rPr>
          <w:rFonts w:cs="Times New Roman" w:hint="eastAsia"/>
          <w:szCs w:val="21"/>
          <w:vertAlign w:val="superscript"/>
        </w:rPr>
        <w:t>2</w:t>
      </w:r>
      <w:r>
        <w:rPr>
          <w:rFonts w:cs="Times New Roman"/>
          <w:szCs w:val="21"/>
        </w:rPr>
        <w:t>，</w:t>
      </w:r>
      <w:r>
        <w:rPr>
          <w:rFonts w:cs="Times New Roman" w:hint="eastAsia"/>
          <w:szCs w:val="21"/>
        </w:rPr>
        <w:t>属于永久占地。其中有</w:t>
      </w:r>
      <w:r>
        <w:rPr>
          <w:rFonts w:cs="Times New Roman" w:hint="eastAsia"/>
          <w:szCs w:val="21"/>
        </w:rPr>
        <w:t>1.87hm</w:t>
      </w:r>
      <w:r>
        <w:rPr>
          <w:rFonts w:cs="Times New Roman" w:hint="eastAsia"/>
          <w:szCs w:val="21"/>
          <w:vertAlign w:val="superscript"/>
        </w:rPr>
        <w:t>2</w:t>
      </w:r>
      <w:r>
        <w:rPr>
          <w:rFonts w:cs="Times New Roman" w:hint="eastAsia"/>
          <w:szCs w:val="21"/>
        </w:rPr>
        <w:t>位于农田内，其余</w:t>
      </w:r>
      <w:r>
        <w:rPr>
          <w:rFonts w:cs="Times New Roman" w:hint="eastAsia"/>
          <w:szCs w:val="21"/>
        </w:rPr>
        <w:t>0.13hm</w:t>
      </w:r>
      <w:r>
        <w:rPr>
          <w:rFonts w:cs="Times New Roman" w:hint="eastAsia"/>
          <w:szCs w:val="21"/>
          <w:vertAlign w:val="superscript"/>
        </w:rPr>
        <w:t>2</w:t>
      </w:r>
      <w:r>
        <w:rPr>
          <w:rFonts w:cs="Times New Roman" w:hint="eastAsia"/>
          <w:szCs w:val="21"/>
        </w:rPr>
        <w:t>占地类型为井场道路，这一部分不造成生物量损失。井场建设</w:t>
      </w:r>
      <w:r>
        <w:rPr>
          <w:rFonts w:cs="Times New Roman"/>
          <w:szCs w:val="21"/>
        </w:rPr>
        <w:t>施工</w:t>
      </w:r>
      <w:r>
        <w:rPr>
          <w:rFonts w:cs="Times New Roman" w:hint="eastAsia"/>
          <w:szCs w:val="21"/>
        </w:rPr>
        <w:t>时，</w:t>
      </w:r>
      <w:r>
        <w:rPr>
          <w:rFonts w:cs="Times New Roman"/>
          <w:szCs w:val="21"/>
        </w:rPr>
        <w:t>整个</w:t>
      </w:r>
      <w:r>
        <w:rPr>
          <w:rFonts w:cs="Times New Roman" w:hint="eastAsia"/>
          <w:szCs w:val="21"/>
        </w:rPr>
        <w:t>井场占地范围内</w:t>
      </w:r>
      <w:r>
        <w:rPr>
          <w:rFonts w:cs="Times New Roman"/>
          <w:szCs w:val="21"/>
        </w:rPr>
        <w:t>的当季农作物都将颗粒无收，此为一次性损失或单季损失，其值采用如下公式计算：</w:t>
      </w:r>
    </w:p>
    <w:p w:rsidR="00C645C9" w:rsidRDefault="00F955D9">
      <w:pPr>
        <w:widowControl w:val="0"/>
        <w:jc w:val="center"/>
        <w:rPr>
          <w:rFonts w:cs="Times New Roman"/>
        </w:rPr>
      </w:pPr>
      <w:r>
        <w:rPr>
          <w:rFonts w:cs="Times New Roman"/>
          <w:noProof/>
        </w:rPr>
        <w:drawing>
          <wp:inline distT="0" distB="0" distL="114300" distR="114300">
            <wp:extent cx="593090" cy="214630"/>
            <wp:effectExtent l="0" t="0" r="16510" b="1524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37"/>
                    <a:stretch>
                      <a:fillRect/>
                    </a:stretch>
                  </pic:blipFill>
                  <pic:spPr>
                    <a:xfrm>
                      <a:off x="0" y="0"/>
                      <a:ext cx="593090" cy="214630"/>
                    </a:xfrm>
                    <a:prstGeom prst="rect">
                      <a:avLst/>
                    </a:prstGeom>
                    <a:noFill/>
                    <a:ln>
                      <a:noFill/>
                    </a:ln>
                  </pic:spPr>
                </pic:pic>
              </a:graphicData>
            </a:graphic>
          </wp:inline>
        </w:drawing>
      </w:r>
    </w:p>
    <w:p w:rsidR="00C645C9" w:rsidRDefault="00F955D9">
      <w:pPr>
        <w:widowControl w:val="0"/>
        <w:spacing w:line="360" w:lineRule="auto"/>
        <w:ind w:firstLineChars="200" w:firstLine="480"/>
        <w:jc w:val="both"/>
        <w:rPr>
          <w:rFonts w:cs="Times New Roman"/>
          <w:szCs w:val="21"/>
        </w:rPr>
      </w:pPr>
      <w:r>
        <w:rPr>
          <w:rFonts w:cs="Times New Roman"/>
          <w:szCs w:val="21"/>
        </w:rPr>
        <w:t>式中</w:t>
      </w:r>
      <w:r>
        <w:rPr>
          <w:rFonts w:cs="Times New Roman" w:hint="eastAsia"/>
          <w:szCs w:val="21"/>
        </w:rPr>
        <w:t>：</w:t>
      </w:r>
      <w:r>
        <w:rPr>
          <w:rFonts w:cs="Times New Roman"/>
          <w:szCs w:val="21"/>
        </w:rPr>
        <w:t>Y</w:t>
      </w:r>
      <w:r>
        <w:rPr>
          <w:rFonts w:cs="Times New Roman"/>
          <w:szCs w:val="21"/>
          <w:vertAlign w:val="subscript"/>
        </w:rPr>
        <w:t>1</w:t>
      </w:r>
      <w:bookmarkStart w:id="1478" w:name="OLE_LINK1505"/>
      <w:r>
        <w:rPr>
          <w:rFonts w:cs="Times New Roman" w:hint="eastAsia"/>
          <w:szCs w:val="21"/>
        </w:rPr>
        <w:t>—</w:t>
      </w:r>
      <w:bookmarkEnd w:id="1478"/>
      <w:r>
        <w:rPr>
          <w:rFonts w:cs="Times New Roman"/>
          <w:szCs w:val="21"/>
        </w:rPr>
        <w:t>某一农作物损失量（</w:t>
      </w:r>
      <w:r>
        <w:rPr>
          <w:rFonts w:cs="Times New Roman"/>
          <w:szCs w:val="21"/>
        </w:rPr>
        <w:t>kg</w:t>
      </w:r>
      <w:r>
        <w:rPr>
          <w:rFonts w:cs="Times New Roman"/>
          <w:szCs w:val="21"/>
        </w:rPr>
        <w:t>）；</w:t>
      </w:r>
    </w:p>
    <w:p w:rsidR="00C645C9" w:rsidRDefault="00F955D9">
      <w:pPr>
        <w:widowControl w:val="0"/>
        <w:spacing w:line="360" w:lineRule="auto"/>
        <w:ind w:firstLineChars="200" w:firstLine="480"/>
        <w:jc w:val="both"/>
        <w:rPr>
          <w:rFonts w:cs="Times New Roman"/>
          <w:szCs w:val="21"/>
        </w:rPr>
      </w:pPr>
      <w:r>
        <w:rPr>
          <w:rFonts w:cs="Times New Roman"/>
          <w:szCs w:val="21"/>
        </w:rPr>
        <w:tab/>
      </w:r>
      <w:r>
        <w:rPr>
          <w:rFonts w:cs="Times New Roman" w:hint="eastAsia"/>
          <w:szCs w:val="21"/>
        </w:rPr>
        <w:t xml:space="preserve">   </w:t>
      </w:r>
      <w:r>
        <w:rPr>
          <w:rFonts w:cs="Times New Roman"/>
          <w:szCs w:val="21"/>
        </w:rPr>
        <w:t>A</w:t>
      </w:r>
      <w:r>
        <w:rPr>
          <w:rFonts w:cs="Times New Roman"/>
          <w:szCs w:val="21"/>
          <w:vertAlign w:val="subscript"/>
        </w:rPr>
        <w:t>1</w:t>
      </w:r>
      <w:r>
        <w:rPr>
          <w:rFonts w:cs="Times New Roman" w:hint="eastAsia"/>
          <w:szCs w:val="21"/>
        </w:rPr>
        <w:t>—</w:t>
      </w:r>
      <w:r>
        <w:rPr>
          <w:rFonts w:cs="Times New Roman"/>
          <w:szCs w:val="21"/>
        </w:rPr>
        <w:t>某一农作物农田施工带占地面积（</w:t>
      </w:r>
      <w:r>
        <w:rPr>
          <w:rFonts w:cs="Times New Roman"/>
          <w:szCs w:val="21"/>
        </w:rPr>
        <w:t>hm</w:t>
      </w:r>
      <w:r>
        <w:rPr>
          <w:rFonts w:cs="Times New Roman"/>
          <w:szCs w:val="21"/>
          <w:vertAlign w:val="superscript"/>
        </w:rPr>
        <w:t>2</w:t>
      </w:r>
      <w:r>
        <w:rPr>
          <w:rFonts w:cs="Times New Roman"/>
          <w:szCs w:val="21"/>
        </w:rPr>
        <w:t>）；</w:t>
      </w:r>
    </w:p>
    <w:p w:rsidR="00C645C9" w:rsidRDefault="00F955D9">
      <w:pPr>
        <w:widowControl w:val="0"/>
        <w:spacing w:line="360" w:lineRule="auto"/>
        <w:ind w:firstLineChars="500" w:firstLine="1200"/>
        <w:jc w:val="both"/>
        <w:rPr>
          <w:rFonts w:cs="Times New Roman"/>
          <w:szCs w:val="21"/>
        </w:rPr>
      </w:pPr>
      <w:r>
        <w:rPr>
          <w:rFonts w:cs="Times New Roman"/>
          <w:szCs w:val="21"/>
        </w:rPr>
        <w:t>W</w:t>
      </w:r>
      <w:r>
        <w:rPr>
          <w:rFonts w:cs="Times New Roman"/>
          <w:szCs w:val="21"/>
          <w:vertAlign w:val="subscript"/>
        </w:rPr>
        <w:t>1</w:t>
      </w:r>
      <w:r>
        <w:rPr>
          <w:rFonts w:cs="Times New Roman" w:hint="eastAsia"/>
          <w:szCs w:val="21"/>
        </w:rPr>
        <w:t>—</w:t>
      </w:r>
      <w:r>
        <w:rPr>
          <w:rFonts w:cs="Times New Roman"/>
          <w:szCs w:val="21"/>
        </w:rPr>
        <w:t>某一农作物单位面积产量（</w:t>
      </w:r>
      <w:r>
        <w:rPr>
          <w:rFonts w:cs="Times New Roman"/>
          <w:szCs w:val="21"/>
        </w:rPr>
        <w:t>kg/hm</w:t>
      </w:r>
      <w:r>
        <w:rPr>
          <w:rFonts w:cs="Times New Roman"/>
          <w:szCs w:val="21"/>
          <w:vertAlign w:val="superscript"/>
        </w:rPr>
        <w:t>2</w:t>
      </w:r>
      <w:r>
        <w:rPr>
          <w:rFonts w:cs="Times New Roman"/>
          <w:szCs w:val="21"/>
        </w:rPr>
        <w:t>）。</w:t>
      </w:r>
    </w:p>
    <w:p w:rsidR="00C645C9" w:rsidRDefault="00F955D9">
      <w:pPr>
        <w:widowControl w:val="0"/>
        <w:spacing w:line="360" w:lineRule="auto"/>
        <w:ind w:firstLineChars="200" w:firstLine="480"/>
        <w:jc w:val="both"/>
        <w:rPr>
          <w:rFonts w:cs="Times New Roman"/>
          <w:szCs w:val="21"/>
        </w:rPr>
      </w:pPr>
      <w:r>
        <w:rPr>
          <w:rFonts w:cs="Times New Roman" w:hint="eastAsia"/>
          <w:szCs w:val="21"/>
        </w:rPr>
        <w:t>井场的临时生活区和主副放喷池属于临时占地，共计</w:t>
      </w:r>
      <w:r>
        <w:rPr>
          <w:rFonts w:cs="Times New Roman" w:hint="eastAsia"/>
          <w:szCs w:val="21"/>
        </w:rPr>
        <w:t>0.62hm</w:t>
      </w:r>
      <w:r>
        <w:rPr>
          <w:rFonts w:cs="Times New Roman" w:hint="eastAsia"/>
          <w:szCs w:val="21"/>
          <w:vertAlign w:val="superscript"/>
        </w:rPr>
        <w:t>2</w:t>
      </w:r>
      <w:r>
        <w:rPr>
          <w:rFonts w:cs="Times New Roman" w:hint="eastAsia"/>
          <w:szCs w:val="21"/>
        </w:rPr>
        <w:t>。其中新北</w:t>
      </w:r>
      <w:r>
        <w:rPr>
          <w:rFonts w:cs="Times New Roman" w:hint="eastAsia"/>
          <w:szCs w:val="21"/>
        </w:rPr>
        <w:t>1X</w:t>
      </w:r>
      <w:r>
        <w:rPr>
          <w:rFonts w:cs="Times New Roman" w:hint="eastAsia"/>
          <w:szCs w:val="21"/>
        </w:rPr>
        <w:t>井井场临时生活区占地</w:t>
      </w:r>
      <w:r>
        <w:rPr>
          <w:rFonts w:cs="Times New Roman" w:hint="eastAsia"/>
          <w:szCs w:val="21"/>
        </w:rPr>
        <w:t>0.23hm</w:t>
      </w:r>
      <w:r>
        <w:rPr>
          <w:rFonts w:cs="Times New Roman" w:hint="eastAsia"/>
          <w:szCs w:val="21"/>
          <w:vertAlign w:val="superscript"/>
        </w:rPr>
        <w:t>2</w:t>
      </w:r>
      <w:r>
        <w:rPr>
          <w:rFonts w:cs="Times New Roman" w:hint="eastAsia"/>
          <w:szCs w:val="21"/>
        </w:rPr>
        <w:t>，新北</w:t>
      </w:r>
      <w:r>
        <w:rPr>
          <w:rFonts w:cs="Times New Roman" w:hint="eastAsia"/>
          <w:szCs w:val="21"/>
        </w:rPr>
        <w:t>7</w:t>
      </w:r>
      <w:r>
        <w:rPr>
          <w:rFonts w:cs="Times New Roman" w:hint="eastAsia"/>
          <w:szCs w:val="21"/>
        </w:rPr>
        <w:t>井井场临时生活区占地</w:t>
      </w:r>
      <w:r>
        <w:rPr>
          <w:rFonts w:cs="Times New Roman" w:hint="eastAsia"/>
          <w:szCs w:val="21"/>
        </w:rPr>
        <w:t>0.35hm</w:t>
      </w:r>
      <w:r>
        <w:rPr>
          <w:rFonts w:cs="Times New Roman" w:hint="eastAsia"/>
          <w:szCs w:val="21"/>
          <w:vertAlign w:val="superscript"/>
        </w:rPr>
        <w:t>2</w:t>
      </w:r>
      <w:r>
        <w:rPr>
          <w:rFonts w:cs="Times New Roman" w:hint="eastAsia"/>
          <w:szCs w:val="21"/>
        </w:rPr>
        <w:t>，两座放喷池占地</w:t>
      </w:r>
      <w:r>
        <w:rPr>
          <w:rFonts w:cs="Times New Roman" w:hint="eastAsia"/>
          <w:szCs w:val="21"/>
        </w:rPr>
        <w:t>0.04hm</w:t>
      </w:r>
      <w:r>
        <w:rPr>
          <w:rFonts w:cs="Times New Roman" w:hint="eastAsia"/>
          <w:szCs w:val="21"/>
          <w:vertAlign w:val="superscript"/>
        </w:rPr>
        <w:t>2</w:t>
      </w:r>
      <w:r>
        <w:rPr>
          <w:rFonts w:cs="Times New Roman"/>
          <w:szCs w:val="21"/>
        </w:rPr>
        <w:t>。由于施工扰动会使土壤的结构、组成及理化性质等发生较大变化，土壤肥力会有所下降，因此</w:t>
      </w:r>
      <w:r>
        <w:rPr>
          <w:rFonts w:cs="Times New Roman" w:hint="eastAsia"/>
          <w:szCs w:val="21"/>
        </w:rPr>
        <w:t>临时占地内</w:t>
      </w:r>
      <w:r>
        <w:rPr>
          <w:rFonts w:cs="Times New Roman"/>
          <w:szCs w:val="21"/>
        </w:rPr>
        <w:t>的农业生产力将随之降低，由此造成的损失称为暂时性损失。随着</w:t>
      </w:r>
      <w:r>
        <w:rPr>
          <w:rFonts w:cs="Times New Roman" w:hint="eastAsia"/>
          <w:szCs w:val="21"/>
        </w:rPr>
        <w:t>项目施工结束，临时用地逐渐恢复</w:t>
      </w:r>
      <w:r>
        <w:rPr>
          <w:rFonts w:cs="Times New Roman"/>
          <w:szCs w:val="21"/>
        </w:rPr>
        <w:t>，</w:t>
      </w:r>
      <w:r>
        <w:rPr>
          <w:rFonts w:cs="Times New Roman" w:hint="eastAsia"/>
          <w:szCs w:val="21"/>
        </w:rPr>
        <w:t>临时占地范围内</w:t>
      </w:r>
      <w:r>
        <w:rPr>
          <w:rFonts w:cs="Times New Roman"/>
          <w:szCs w:val="21"/>
        </w:rPr>
        <w:t>覆土的生产能力会逐渐恢复至施工前的水平。</w:t>
      </w:r>
    </w:p>
    <w:p w:rsidR="00C645C9" w:rsidRDefault="00F955D9">
      <w:pPr>
        <w:widowControl w:val="0"/>
        <w:spacing w:line="360" w:lineRule="auto"/>
        <w:ind w:firstLineChars="200" w:firstLine="480"/>
        <w:jc w:val="both"/>
        <w:rPr>
          <w:rFonts w:cs="Times New Roman"/>
          <w:szCs w:val="21"/>
        </w:rPr>
      </w:pPr>
      <w:r>
        <w:rPr>
          <w:rFonts w:cs="Times New Roman" w:hint="eastAsia"/>
          <w:szCs w:val="21"/>
        </w:rPr>
        <w:t>临时工程</w:t>
      </w:r>
      <w:r>
        <w:rPr>
          <w:rFonts w:cs="Times New Roman"/>
          <w:szCs w:val="21"/>
        </w:rPr>
        <w:t>所造成的暂时性损失按下式计算：</w:t>
      </w:r>
    </w:p>
    <w:p w:rsidR="00C645C9" w:rsidRDefault="00F955D9">
      <w:pPr>
        <w:widowControl w:val="0"/>
        <w:jc w:val="center"/>
        <w:rPr>
          <w:rFonts w:ascii="宋体" w:hAnsi="宋体"/>
        </w:rPr>
      </w:pPr>
      <w:r>
        <w:rPr>
          <w:rFonts w:ascii="宋体" w:hAnsi="宋体" w:hint="eastAsia"/>
          <w:noProof/>
        </w:rPr>
        <w:drawing>
          <wp:inline distT="0" distB="0" distL="114300" distR="114300">
            <wp:extent cx="1409700" cy="428625"/>
            <wp:effectExtent l="0" t="0" r="0" b="889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8"/>
                    <a:stretch>
                      <a:fillRect/>
                    </a:stretch>
                  </pic:blipFill>
                  <pic:spPr>
                    <a:xfrm>
                      <a:off x="0" y="0"/>
                      <a:ext cx="1409700" cy="428625"/>
                    </a:xfrm>
                    <a:prstGeom prst="rect">
                      <a:avLst/>
                    </a:prstGeom>
                    <a:noFill/>
                    <a:ln>
                      <a:noFill/>
                    </a:ln>
                  </pic:spPr>
                </pic:pic>
              </a:graphicData>
            </a:graphic>
          </wp:inline>
        </w:drawing>
      </w:r>
    </w:p>
    <w:p w:rsidR="00C645C9" w:rsidRDefault="00F955D9">
      <w:pPr>
        <w:widowControl w:val="0"/>
        <w:spacing w:line="360" w:lineRule="auto"/>
        <w:ind w:firstLineChars="200" w:firstLine="480"/>
        <w:jc w:val="both"/>
        <w:rPr>
          <w:rFonts w:cs="Times New Roman"/>
          <w:szCs w:val="21"/>
        </w:rPr>
      </w:pPr>
      <w:r>
        <w:rPr>
          <w:rFonts w:cs="Times New Roman"/>
          <w:szCs w:val="21"/>
        </w:rPr>
        <w:t>式中：</w:t>
      </w:r>
      <w:r>
        <w:rPr>
          <w:rFonts w:cs="Times New Roman"/>
          <w:szCs w:val="21"/>
        </w:rPr>
        <w:tab/>
        <w:t>Y</w:t>
      </w:r>
      <w:r>
        <w:rPr>
          <w:rFonts w:cs="Times New Roman"/>
          <w:szCs w:val="21"/>
          <w:vertAlign w:val="subscript"/>
        </w:rPr>
        <w:t>2</w:t>
      </w:r>
      <w:bookmarkStart w:id="1479" w:name="OLE_LINK1506"/>
      <w:r>
        <w:rPr>
          <w:rFonts w:cs="Times New Roman" w:hint="eastAsia"/>
          <w:szCs w:val="21"/>
        </w:rPr>
        <w:t>—</w:t>
      </w:r>
      <w:bookmarkEnd w:id="1479"/>
      <w:r>
        <w:rPr>
          <w:rFonts w:cs="Times New Roman"/>
          <w:szCs w:val="21"/>
        </w:rPr>
        <w:t>某一农作物的暂时损失量（</w:t>
      </w:r>
      <w:r>
        <w:rPr>
          <w:rFonts w:cs="Times New Roman"/>
          <w:szCs w:val="21"/>
        </w:rPr>
        <w:t>kg</w:t>
      </w:r>
      <w:r>
        <w:rPr>
          <w:rFonts w:cs="Times New Roman"/>
          <w:szCs w:val="21"/>
        </w:rPr>
        <w:t>）；</w:t>
      </w:r>
    </w:p>
    <w:p w:rsidR="00C645C9" w:rsidRDefault="00F955D9">
      <w:pPr>
        <w:widowControl w:val="0"/>
        <w:spacing w:line="360" w:lineRule="auto"/>
        <w:ind w:firstLineChars="500" w:firstLine="1200"/>
        <w:jc w:val="both"/>
        <w:rPr>
          <w:rFonts w:cs="Times New Roman"/>
          <w:szCs w:val="21"/>
        </w:rPr>
      </w:pPr>
      <w:r>
        <w:rPr>
          <w:rFonts w:cs="Times New Roman"/>
          <w:szCs w:val="21"/>
        </w:rPr>
        <w:t>n</w:t>
      </w:r>
      <w:r>
        <w:rPr>
          <w:rFonts w:cs="Times New Roman" w:hint="eastAsia"/>
          <w:szCs w:val="21"/>
        </w:rPr>
        <w:t>—</w:t>
      </w:r>
      <w:r>
        <w:rPr>
          <w:rFonts w:cs="Times New Roman"/>
          <w:szCs w:val="21"/>
        </w:rPr>
        <w:t>管沟区土地产量恢复到施工前状态所需的时间（年），通过类比调查，选择按照</w:t>
      </w:r>
      <w:r>
        <w:rPr>
          <w:rFonts w:cs="Times New Roman"/>
          <w:szCs w:val="21"/>
        </w:rPr>
        <w:t>3</w:t>
      </w:r>
      <w:r>
        <w:rPr>
          <w:rFonts w:cs="Times New Roman"/>
          <w:szCs w:val="21"/>
        </w:rPr>
        <w:t>年计算；</w:t>
      </w:r>
    </w:p>
    <w:p w:rsidR="00C645C9" w:rsidRDefault="00F955D9">
      <w:pPr>
        <w:widowControl w:val="0"/>
        <w:spacing w:line="360" w:lineRule="auto"/>
        <w:ind w:firstLineChars="500" w:firstLine="1200"/>
        <w:jc w:val="both"/>
        <w:rPr>
          <w:rFonts w:cs="Times New Roman"/>
          <w:szCs w:val="21"/>
        </w:rPr>
      </w:pPr>
      <w:r>
        <w:rPr>
          <w:rFonts w:cs="Times New Roman"/>
          <w:szCs w:val="21"/>
        </w:rPr>
        <w:t>A</w:t>
      </w:r>
      <w:r>
        <w:rPr>
          <w:rFonts w:cs="Times New Roman"/>
          <w:szCs w:val="21"/>
          <w:vertAlign w:val="subscript"/>
        </w:rPr>
        <w:t>2</w:t>
      </w:r>
      <w:r>
        <w:rPr>
          <w:rFonts w:cs="Times New Roman" w:hint="eastAsia"/>
          <w:szCs w:val="21"/>
        </w:rPr>
        <w:t>—</w:t>
      </w:r>
      <w:r>
        <w:rPr>
          <w:rFonts w:cs="Times New Roman"/>
          <w:szCs w:val="21"/>
        </w:rPr>
        <w:t>某一农作物农田区</w:t>
      </w:r>
      <w:r>
        <w:rPr>
          <w:rFonts w:cs="Times New Roman" w:hint="eastAsia"/>
          <w:szCs w:val="21"/>
        </w:rPr>
        <w:t>工程</w:t>
      </w:r>
      <w:r>
        <w:rPr>
          <w:rFonts w:cs="Times New Roman"/>
          <w:szCs w:val="21"/>
        </w:rPr>
        <w:t>占地面积（</w:t>
      </w:r>
      <w:r>
        <w:rPr>
          <w:rFonts w:cs="Times New Roman"/>
          <w:szCs w:val="21"/>
        </w:rPr>
        <w:t>hm</w:t>
      </w:r>
      <w:r>
        <w:rPr>
          <w:rFonts w:cs="Times New Roman"/>
          <w:szCs w:val="21"/>
          <w:vertAlign w:val="superscript"/>
        </w:rPr>
        <w:t>2</w:t>
      </w:r>
      <w:r>
        <w:rPr>
          <w:rFonts w:cs="Times New Roman"/>
          <w:szCs w:val="21"/>
        </w:rPr>
        <w:t>）；</w:t>
      </w:r>
    </w:p>
    <w:p w:rsidR="00C645C9" w:rsidRDefault="00F955D9">
      <w:pPr>
        <w:widowControl w:val="0"/>
        <w:spacing w:line="360" w:lineRule="auto"/>
        <w:ind w:firstLineChars="500" w:firstLine="1200"/>
        <w:jc w:val="both"/>
        <w:rPr>
          <w:rFonts w:cs="Times New Roman"/>
          <w:szCs w:val="21"/>
        </w:rPr>
      </w:pPr>
      <w:r>
        <w:rPr>
          <w:rFonts w:cs="Times New Roman"/>
          <w:szCs w:val="21"/>
        </w:rPr>
        <w:t>W</w:t>
      </w:r>
      <w:r>
        <w:rPr>
          <w:rFonts w:cs="Times New Roman"/>
          <w:szCs w:val="21"/>
          <w:vertAlign w:val="subscript"/>
        </w:rPr>
        <w:t>2</w:t>
      </w:r>
      <w:r>
        <w:rPr>
          <w:rFonts w:cs="Times New Roman" w:hint="eastAsia"/>
          <w:szCs w:val="21"/>
        </w:rPr>
        <w:t>—</w:t>
      </w:r>
      <w:r>
        <w:rPr>
          <w:rFonts w:cs="Times New Roman"/>
          <w:szCs w:val="21"/>
        </w:rPr>
        <w:t>农田区施工后某一农作物的产量（</w:t>
      </w:r>
      <w:r>
        <w:rPr>
          <w:rFonts w:cs="Times New Roman"/>
          <w:szCs w:val="21"/>
        </w:rPr>
        <w:t>kg/hm</w:t>
      </w:r>
      <w:r>
        <w:rPr>
          <w:rFonts w:cs="Times New Roman"/>
          <w:szCs w:val="21"/>
          <w:vertAlign w:val="superscript"/>
        </w:rPr>
        <w:t>2</w:t>
      </w:r>
      <w:r>
        <w:rPr>
          <w:rFonts w:cs="Times New Roman"/>
          <w:szCs w:val="21"/>
        </w:rPr>
        <w:t>），按照施工前单产的</w:t>
      </w:r>
      <w:r>
        <w:rPr>
          <w:rFonts w:cs="Times New Roman"/>
          <w:szCs w:val="21"/>
        </w:rPr>
        <w:t>70%</w:t>
      </w:r>
      <w:r>
        <w:rPr>
          <w:rFonts w:cs="Times New Roman"/>
          <w:szCs w:val="21"/>
        </w:rPr>
        <w:t>计算。</w:t>
      </w:r>
    </w:p>
    <w:p w:rsidR="00C645C9" w:rsidRDefault="00F955D9">
      <w:pPr>
        <w:widowControl w:val="0"/>
        <w:spacing w:line="360" w:lineRule="auto"/>
        <w:ind w:firstLineChars="200" w:firstLine="480"/>
        <w:jc w:val="both"/>
        <w:rPr>
          <w:rFonts w:cs="Times New Roman"/>
          <w:szCs w:val="21"/>
        </w:rPr>
      </w:pPr>
      <w:r>
        <w:rPr>
          <w:rFonts w:cs="Times New Roman"/>
          <w:szCs w:val="21"/>
        </w:rPr>
        <w:t>按有关研究</w:t>
      </w:r>
      <w:r>
        <w:rPr>
          <w:rFonts w:cs="Times New Roman" w:hint="eastAsia"/>
          <w:szCs w:val="21"/>
        </w:rPr>
        <w:t>，</w:t>
      </w:r>
      <w:r>
        <w:rPr>
          <w:rFonts w:cs="Times New Roman"/>
          <w:szCs w:val="21"/>
        </w:rPr>
        <w:t>上述农田在</w:t>
      </w:r>
      <w:r>
        <w:rPr>
          <w:rFonts w:cs="Times New Roman" w:hint="eastAsia"/>
          <w:szCs w:val="21"/>
        </w:rPr>
        <w:t>临时工程在</w:t>
      </w:r>
      <w:r>
        <w:rPr>
          <w:rFonts w:cs="Times New Roman"/>
          <w:szCs w:val="21"/>
        </w:rPr>
        <w:t>施工后需</w:t>
      </w:r>
      <w:r>
        <w:rPr>
          <w:rFonts w:cs="Times New Roman"/>
          <w:szCs w:val="21"/>
        </w:rPr>
        <w:t>2</w:t>
      </w:r>
      <w:r>
        <w:rPr>
          <w:rFonts w:cs="Times New Roman"/>
          <w:szCs w:val="21"/>
        </w:rPr>
        <w:t>年</w:t>
      </w:r>
      <w:r>
        <w:rPr>
          <w:rFonts w:cs="Times New Roman"/>
          <w:szCs w:val="21"/>
        </w:rPr>
        <w:t>~3</w:t>
      </w:r>
      <w:r>
        <w:rPr>
          <w:rFonts w:cs="Times New Roman"/>
          <w:szCs w:val="21"/>
        </w:rPr>
        <w:t>年恢复，因此，公式中取</w:t>
      </w:r>
      <w:r>
        <w:rPr>
          <w:rFonts w:cs="Times New Roman"/>
          <w:szCs w:val="21"/>
        </w:rPr>
        <w:t>n=3</w:t>
      </w:r>
      <w:r>
        <w:rPr>
          <w:rFonts w:cs="Times New Roman"/>
          <w:szCs w:val="21"/>
        </w:rPr>
        <w:t>。</w:t>
      </w:r>
    </w:p>
    <w:p w:rsidR="00C645C9" w:rsidRDefault="00F955D9">
      <w:pPr>
        <w:widowControl w:val="0"/>
        <w:spacing w:line="360" w:lineRule="auto"/>
        <w:ind w:firstLineChars="200" w:firstLine="480"/>
        <w:jc w:val="both"/>
        <w:rPr>
          <w:rFonts w:cs="Times New Roman"/>
          <w:szCs w:val="21"/>
        </w:rPr>
      </w:pPr>
      <w:r>
        <w:rPr>
          <w:rFonts w:cs="Times New Roman"/>
          <w:szCs w:val="21"/>
        </w:rPr>
        <w:t>根据现场调查和资料分析，本项目临时占用耕地约</w:t>
      </w:r>
      <w:r>
        <w:rPr>
          <w:rFonts w:cs="Times New Roman" w:hint="eastAsia"/>
          <w:szCs w:val="21"/>
        </w:rPr>
        <w:t>0.62</w:t>
      </w:r>
      <w:r>
        <w:rPr>
          <w:rFonts w:cs="Times New Roman"/>
          <w:szCs w:val="21"/>
        </w:rPr>
        <w:t>hm</w:t>
      </w:r>
      <w:r>
        <w:rPr>
          <w:rFonts w:cs="Times New Roman"/>
          <w:szCs w:val="21"/>
          <w:vertAlign w:val="superscript"/>
        </w:rPr>
        <w:t>2</w:t>
      </w:r>
      <w:r>
        <w:rPr>
          <w:rFonts w:cs="Times New Roman"/>
          <w:szCs w:val="21"/>
        </w:rPr>
        <w:t>。新北</w:t>
      </w:r>
      <w:r>
        <w:rPr>
          <w:rFonts w:cs="Times New Roman"/>
          <w:szCs w:val="21"/>
        </w:rPr>
        <w:t>1X</w:t>
      </w:r>
      <w:r>
        <w:rPr>
          <w:rFonts w:cs="Times New Roman"/>
          <w:szCs w:val="21"/>
        </w:rPr>
        <w:t>井井场</w:t>
      </w:r>
      <w:r>
        <w:rPr>
          <w:rFonts w:cs="Times New Roman" w:hint="eastAsia"/>
          <w:szCs w:val="21"/>
        </w:rPr>
        <w:t>临时生活区占用耕地属于</w:t>
      </w:r>
      <w:r>
        <w:rPr>
          <w:rFonts w:cs="Times New Roman"/>
          <w:szCs w:val="21"/>
        </w:rPr>
        <w:t>渭干买里村</w:t>
      </w:r>
      <w:r>
        <w:rPr>
          <w:rFonts w:cs="Times New Roman" w:hint="eastAsia"/>
          <w:szCs w:val="21"/>
        </w:rPr>
        <w:t>直属，主要种植核桃和小麦；</w:t>
      </w:r>
      <w:r>
        <w:rPr>
          <w:rFonts w:cs="Times New Roman"/>
          <w:szCs w:val="21"/>
        </w:rPr>
        <w:t>新北</w:t>
      </w:r>
      <w:r>
        <w:rPr>
          <w:rFonts w:cs="Times New Roman"/>
          <w:szCs w:val="21"/>
        </w:rPr>
        <w:t>7</w:t>
      </w:r>
      <w:r>
        <w:rPr>
          <w:rFonts w:cs="Times New Roman"/>
          <w:szCs w:val="21"/>
        </w:rPr>
        <w:t>井井场</w:t>
      </w:r>
      <w:r>
        <w:rPr>
          <w:rFonts w:cs="Times New Roman" w:hint="eastAsia"/>
          <w:szCs w:val="21"/>
        </w:rPr>
        <w:t>及其附属生活区和主副放喷池占用耕地属于奥依其兰村直属</w:t>
      </w:r>
      <w:r>
        <w:rPr>
          <w:rFonts w:cs="Times New Roman"/>
          <w:szCs w:val="21"/>
        </w:rPr>
        <w:t>，主要种植作物是</w:t>
      </w:r>
      <w:r>
        <w:rPr>
          <w:rFonts w:cs="Times New Roman"/>
          <w:szCs w:val="21"/>
        </w:rPr>
        <w:lastRenderedPageBreak/>
        <w:t>核桃和小麦</w:t>
      </w:r>
      <w:r>
        <w:rPr>
          <w:rFonts w:cs="Times New Roman" w:hint="eastAsia"/>
          <w:szCs w:val="21"/>
        </w:rPr>
        <w:t>。根据调查，本项目所在区域农田林粮间作产量按</w:t>
      </w:r>
      <w:r>
        <w:rPr>
          <w:rFonts w:cs="Times New Roman"/>
          <w:szCs w:val="21"/>
        </w:rPr>
        <w:t>平均</w:t>
      </w:r>
      <w:r>
        <w:rPr>
          <w:rFonts w:cs="Times New Roman" w:hint="eastAsia"/>
          <w:szCs w:val="21"/>
        </w:rPr>
        <w:t>5</w:t>
      </w:r>
      <w:r>
        <w:rPr>
          <w:rFonts w:cs="Times New Roman"/>
          <w:szCs w:val="21"/>
        </w:rPr>
        <w:t>000kg/hm</w:t>
      </w:r>
      <w:r>
        <w:rPr>
          <w:rFonts w:cs="Times New Roman"/>
          <w:szCs w:val="21"/>
          <w:vertAlign w:val="superscript"/>
        </w:rPr>
        <w:t>2</w:t>
      </w:r>
      <w:r>
        <w:rPr>
          <w:rFonts w:cs="Times New Roman" w:hint="eastAsia"/>
          <w:szCs w:val="21"/>
        </w:rPr>
        <w:t>计，本次生物量损失计算过程见下表：</w:t>
      </w:r>
    </w:p>
    <w:p w:rsidR="00C645C9" w:rsidRDefault="00F955D9">
      <w:pPr>
        <w:widowControl w:val="0"/>
        <w:adjustRightInd w:val="0"/>
        <w:snapToGrid w:val="0"/>
        <w:jc w:val="center"/>
        <w:rPr>
          <w:rFonts w:eastAsia="黑体" w:cs="Times New Roman"/>
          <w:sz w:val="21"/>
          <w:szCs w:val="21"/>
        </w:rPr>
      </w:pPr>
      <w:r>
        <w:rPr>
          <w:rFonts w:eastAsia="黑体" w:cs="Times New Roman" w:hint="eastAsia"/>
          <w:sz w:val="21"/>
          <w:szCs w:val="21"/>
        </w:rPr>
        <w:t>表</w:t>
      </w:r>
      <w:r>
        <w:rPr>
          <w:rFonts w:eastAsia="黑体" w:cs="Times New Roman" w:hint="eastAsia"/>
          <w:sz w:val="21"/>
          <w:szCs w:val="21"/>
        </w:rPr>
        <w:t xml:space="preserve">5.1-1  </w:t>
      </w:r>
      <w:r>
        <w:rPr>
          <w:rFonts w:eastAsia="黑体" w:cs="Times New Roman" w:hint="eastAsia"/>
          <w:sz w:val="21"/>
          <w:szCs w:val="21"/>
        </w:rPr>
        <w:t>工程所在区域占地类型及生物量损失</w:t>
      </w:r>
    </w:p>
    <w:tbl>
      <w:tblPr>
        <w:tblStyle w:val="af3"/>
        <w:tblW w:w="4998" w:type="pct"/>
        <w:tblLook w:val="04A0" w:firstRow="1" w:lastRow="0" w:firstColumn="1" w:lastColumn="0" w:noHBand="0" w:noVBand="1"/>
      </w:tblPr>
      <w:tblGrid>
        <w:gridCol w:w="657"/>
        <w:gridCol w:w="1107"/>
        <w:gridCol w:w="1178"/>
        <w:gridCol w:w="1270"/>
        <w:gridCol w:w="1515"/>
        <w:gridCol w:w="1356"/>
        <w:gridCol w:w="1436"/>
      </w:tblGrid>
      <w:tr w:rsidR="00C645C9">
        <w:tc>
          <w:tcPr>
            <w:tcW w:w="385"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植被类型</w:t>
            </w:r>
          </w:p>
        </w:tc>
        <w:tc>
          <w:tcPr>
            <w:tcW w:w="64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占地类型</w:t>
            </w:r>
          </w:p>
        </w:tc>
        <w:tc>
          <w:tcPr>
            <w:tcW w:w="1436" w:type="pct"/>
            <w:gridSpan w:val="2"/>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工程内容</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占地面积</w:t>
            </w:r>
            <w:r>
              <w:rPr>
                <w:rFonts w:cs="Times New Roman" w:hint="eastAsia"/>
                <w:sz w:val="21"/>
                <w:szCs w:val="21"/>
                <w:lang w:bidi="ar"/>
              </w:rPr>
              <w:t>(hm</w:t>
            </w:r>
            <w:r>
              <w:rPr>
                <w:rFonts w:cs="Times New Roman" w:hint="eastAsia"/>
                <w:sz w:val="21"/>
                <w:szCs w:val="21"/>
                <w:vertAlign w:val="superscript"/>
                <w:lang w:bidi="ar"/>
              </w:rPr>
              <w:t>2</w:t>
            </w:r>
            <w:r>
              <w:rPr>
                <w:rFonts w:cs="Times New Roman" w:hint="eastAsia"/>
                <w:sz w:val="21"/>
                <w:szCs w:val="21"/>
                <w:lang w:bidi="ar"/>
              </w:rPr>
              <w:t>)</w:t>
            </w:r>
          </w:p>
        </w:tc>
        <w:tc>
          <w:tcPr>
            <w:tcW w:w="796"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生物量损失</w:t>
            </w:r>
            <w:r>
              <w:rPr>
                <w:rFonts w:cs="Times New Roman" w:hint="eastAsia"/>
                <w:sz w:val="21"/>
                <w:szCs w:val="21"/>
                <w:lang w:bidi="ar"/>
              </w:rPr>
              <w:t>(t/a)</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影响时间</w:t>
            </w:r>
            <w:r>
              <w:rPr>
                <w:rFonts w:cs="Times New Roman" w:hint="eastAsia"/>
                <w:sz w:val="21"/>
                <w:szCs w:val="21"/>
                <w:lang w:bidi="ar"/>
              </w:rPr>
              <w:t>(a)</w:t>
            </w:r>
          </w:p>
        </w:tc>
      </w:tr>
      <w:tr w:rsidR="00C645C9">
        <w:tc>
          <w:tcPr>
            <w:tcW w:w="385" w:type="pct"/>
            <w:vMerge w:val="restar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农田</w:t>
            </w:r>
          </w:p>
        </w:tc>
        <w:tc>
          <w:tcPr>
            <w:tcW w:w="64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永久占地</w:t>
            </w:r>
          </w:p>
        </w:tc>
        <w:tc>
          <w:tcPr>
            <w:tcW w:w="1436" w:type="pct"/>
            <w:gridSpan w:val="2"/>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新北</w:t>
            </w:r>
            <w:r>
              <w:rPr>
                <w:rFonts w:cs="Times New Roman" w:hint="eastAsia"/>
                <w:sz w:val="21"/>
                <w:szCs w:val="21"/>
                <w:lang w:bidi="ar"/>
              </w:rPr>
              <w:t>7</w:t>
            </w:r>
            <w:r>
              <w:rPr>
                <w:rFonts w:cs="Times New Roman" w:hint="eastAsia"/>
                <w:sz w:val="21"/>
                <w:szCs w:val="21"/>
                <w:lang w:bidi="ar"/>
              </w:rPr>
              <w:t>井井场</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1.87</w:t>
            </w:r>
          </w:p>
        </w:tc>
        <w:tc>
          <w:tcPr>
            <w:tcW w:w="796"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9.35</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永久</w:t>
            </w:r>
          </w:p>
        </w:tc>
      </w:tr>
      <w:tr w:rsidR="00C645C9">
        <w:tc>
          <w:tcPr>
            <w:tcW w:w="385" w:type="pct"/>
            <w:vMerge/>
            <w:vAlign w:val="center"/>
          </w:tcPr>
          <w:p w:rsidR="00C645C9" w:rsidRDefault="00C645C9">
            <w:pPr>
              <w:widowControl/>
              <w:jc w:val="center"/>
              <w:textAlignment w:val="center"/>
              <w:rPr>
                <w:rFonts w:cs="Times New Roman"/>
                <w:sz w:val="21"/>
                <w:szCs w:val="21"/>
                <w:lang w:bidi="ar"/>
              </w:rPr>
            </w:pPr>
          </w:p>
        </w:tc>
        <w:tc>
          <w:tcPr>
            <w:tcW w:w="649" w:type="pct"/>
            <w:vMerge w:val="restar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临时占地</w:t>
            </w:r>
          </w:p>
        </w:tc>
        <w:tc>
          <w:tcPr>
            <w:tcW w:w="691"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新北</w:t>
            </w:r>
            <w:r>
              <w:rPr>
                <w:rFonts w:cs="Times New Roman" w:hint="eastAsia"/>
                <w:sz w:val="21"/>
                <w:szCs w:val="21"/>
                <w:lang w:bidi="ar"/>
              </w:rPr>
              <w:t>7</w:t>
            </w:r>
            <w:r>
              <w:rPr>
                <w:rFonts w:cs="Times New Roman" w:hint="eastAsia"/>
                <w:sz w:val="21"/>
                <w:szCs w:val="21"/>
                <w:lang w:bidi="ar"/>
              </w:rPr>
              <w:t>井</w:t>
            </w:r>
          </w:p>
        </w:tc>
        <w:tc>
          <w:tcPr>
            <w:tcW w:w="745"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临时生活区</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0.35</w:t>
            </w:r>
          </w:p>
        </w:tc>
        <w:tc>
          <w:tcPr>
            <w:tcW w:w="1357" w:type="dxa"/>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1.05</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3-5</w:t>
            </w:r>
          </w:p>
        </w:tc>
      </w:tr>
      <w:tr w:rsidR="00C645C9">
        <w:tc>
          <w:tcPr>
            <w:tcW w:w="385" w:type="pct"/>
            <w:vMerge/>
            <w:vAlign w:val="center"/>
          </w:tcPr>
          <w:p w:rsidR="00C645C9" w:rsidRDefault="00C645C9">
            <w:pPr>
              <w:widowControl/>
              <w:jc w:val="center"/>
              <w:textAlignment w:val="center"/>
              <w:rPr>
                <w:rFonts w:cs="Times New Roman"/>
                <w:sz w:val="21"/>
                <w:szCs w:val="21"/>
                <w:lang w:bidi="ar"/>
              </w:rPr>
            </w:pPr>
          </w:p>
        </w:tc>
        <w:tc>
          <w:tcPr>
            <w:tcW w:w="649" w:type="pct"/>
            <w:vMerge/>
            <w:vAlign w:val="center"/>
          </w:tcPr>
          <w:p w:rsidR="00C645C9" w:rsidRDefault="00C645C9">
            <w:pPr>
              <w:widowControl/>
              <w:jc w:val="center"/>
              <w:textAlignment w:val="center"/>
              <w:rPr>
                <w:rFonts w:cs="Times New Roman"/>
                <w:sz w:val="21"/>
                <w:szCs w:val="21"/>
                <w:lang w:bidi="ar"/>
              </w:rPr>
            </w:pPr>
          </w:p>
        </w:tc>
        <w:tc>
          <w:tcPr>
            <w:tcW w:w="691" w:type="pct"/>
            <w:vMerge w:val="restar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新北</w:t>
            </w:r>
            <w:r>
              <w:rPr>
                <w:rFonts w:cs="Times New Roman" w:hint="eastAsia"/>
                <w:sz w:val="21"/>
                <w:szCs w:val="21"/>
                <w:lang w:bidi="ar"/>
              </w:rPr>
              <w:t>1X</w:t>
            </w:r>
            <w:r>
              <w:rPr>
                <w:rFonts w:cs="Times New Roman" w:hint="eastAsia"/>
                <w:sz w:val="21"/>
                <w:szCs w:val="21"/>
                <w:lang w:bidi="ar"/>
              </w:rPr>
              <w:t>井</w:t>
            </w:r>
          </w:p>
        </w:tc>
        <w:tc>
          <w:tcPr>
            <w:tcW w:w="745"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临时生活区</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0.23</w:t>
            </w:r>
          </w:p>
        </w:tc>
        <w:tc>
          <w:tcPr>
            <w:tcW w:w="1357" w:type="dxa"/>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0.69</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3-5</w:t>
            </w:r>
          </w:p>
        </w:tc>
      </w:tr>
      <w:tr w:rsidR="00C645C9">
        <w:tc>
          <w:tcPr>
            <w:tcW w:w="385" w:type="pct"/>
            <w:vMerge/>
            <w:vAlign w:val="center"/>
          </w:tcPr>
          <w:p w:rsidR="00C645C9" w:rsidRDefault="00C645C9">
            <w:pPr>
              <w:widowControl/>
              <w:jc w:val="center"/>
              <w:textAlignment w:val="center"/>
              <w:rPr>
                <w:rFonts w:cs="Times New Roman"/>
                <w:sz w:val="21"/>
                <w:szCs w:val="21"/>
                <w:lang w:bidi="ar"/>
              </w:rPr>
            </w:pPr>
          </w:p>
        </w:tc>
        <w:tc>
          <w:tcPr>
            <w:tcW w:w="649" w:type="pct"/>
            <w:vMerge/>
            <w:vAlign w:val="center"/>
          </w:tcPr>
          <w:p w:rsidR="00C645C9" w:rsidRDefault="00C645C9">
            <w:pPr>
              <w:widowControl/>
              <w:jc w:val="center"/>
              <w:textAlignment w:val="center"/>
              <w:rPr>
                <w:rFonts w:cs="Times New Roman"/>
                <w:sz w:val="21"/>
                <w:szCs w:val="21"/>
                <w:lang w:bidi="ar"/>
              </w:rPr>
            </w:pPr>
          </w:p>
        </w:tc>
        <w:tc>
          <w:tcPr>
            <w:tcW w:w="691" w:type="pct"/>
            <w:vMerge/>
            <w:vAlign w:val="center"/>
          </w:tcPr>
          <w:p w:rsidR="00C645C9" w:rsidRDefault="00C645C9">
            <w:pPr>
              <w:widowControl/>
              <w:jc w:val="center"/>
              <w:textAlignment w:val="center"/>
              <w:rPr>
                <w:rFonts w:cs="Times New Roman"/>
                <w:sz w:val="21"/>
                <w:szCs w:val="21"/>
                <w:lang w:bidi="ar"/>
              </w:rPr>
            </w:pPr>
          </w:p>
        </w:tc>
        <w:tc>
          <w:tcPr>
            <w:tcW w:w="745"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放喷池</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0.04</w:t>
            </w:r>
          </w:p>
        </w:tc>
        <w:tc>
          <w:tcPr>
            <w:tcW w:w="1357" w:type="dxa"/>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0.12</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3-5</w:t>
            </w:r>
          </w:p>
        </w:tc>
      </w:tr>
      <w:tr w:rsidR="00C645C9">
        <w:tc>
          <w:tcPr>
            <w:tcW w:w="2470" w:type="pct"/>
            <w:gridSpan w:val="4"/>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合计</w:t>
            </w:r>
          </w:p>
        </w:tc>
        <w:tc>
          <w:tcPr>
            <w:tcW w:w="889"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2.49</w:t>
            </w:r>
          </w:p>
        </w:tc>
        <w:tc>
          <w:tcPr>
            <w:tcW w:w="796"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11.21</w:t>
            </w:r>
          </w:p>
        </w:tc>
        <w:tc>
          <w:tcPr>
            <w:tcW w:w="843" w:type="pct"/>
            <w:vAlign w:val="center"/>
          </w:tcPr>
          <w:p w:rsidR="00C645C9" w:rsidRDefault="00F955D9">
            <w:pPr>
              <w:widowControl/>
              <w:jc w:val="center"/>
              <w:textAlignment w:val="center"/>
              <w:rPr>
                <w:rFonts w:cs="Times New Roman"/>
                <w:sz w:val="21"/>
                <w:szCs w:val="21"/>
                <w:lang w:bidi="ar"/>
              </w:rPr>
            </w:pPr>
            <w:r>
              <w:rPr>
                <w:rFonts w:cs="Times New Roman" w:hint="eastAsia"/>
                <w:sz w:val="21"/>
                <w:szCs w:val="21"/>
                <w:lang w:bidi="ar"/>
              </w:rPr>
              <w:t>/</w:t>
            </w:r>
          </w:p>
        </w:tc>
      </w:tr>
    </w:tbl>
    <w:p w:rsidR="00C645C9" w:rsidRDefault="00F955D9">
      <w:pPr>
        <w:spacing w:line="360" w:lineRule="auto"/>
        <w:ind w:firstLineChars="200" w:firstLine="480"/>
        <w:jc w:val="both"/>
        <w:rPr>
          <w:rFonts w:cs="Times New Roman"/>
          <w:szCs w:val="21"/>
        </w:rPr>
      </w:pPr>
      <w:r>
        <w:rPr>
          <w:rFonts w:cs="Times New Roman" w:hint="eastAsia"/>
          <w:szCs w:val="21"/>
        </w:rPr>
        <w:t>由表</w:t>
      </w:r>
      <w:r>
        <w:rPr>
          <w:rFonts w:cs="Times New Roman" w:hint="eastAsia"/>
          <w:szCs w:val="21"/>
        </w:rPr>
        <w:t>5.1-1</w:t>
      </w:r>
      <w:r>
        <w:rPr>
          <w:rFonts w:cs="Times New Roman"/>
          <w:szCs w:val="21"/>
        </w:rPr>
        <w:t>计算</w:t>
      </w:r>
      <w:r>
        <w:rPr>
          <w:rFonts w:cs="Times New Roman" w:hint="eastAsia"/>
          <w:szCs w:val="21"/>
        </w:rPr>
        <w:t>结果可知，本</w:t>
      </w:r>
      <w:r>
        <w:rPr>
          <w:rFonts w:cs="Times New Roman"/>
          <w:szCs w:val="21"/>
        </w:rPr>
        <w:t>工程实施</w:t>
      </w:r>
      <w:r>
        <w:rPr>
          <w:rFonts w:cs="Times New Roman" w:hint="eastAsia"/>
          <w:szCs w:val="21"/>
        </w:rPr>
        <w:t>预计</w:t>
      </w:r>
      <w:r>
        <w:rPr>
          <w:rFonts w:cs="Times New Roman"/>
          <w:szCs w:val="21"/>
        </w:rPr>
        <w:t>将造成一次性农作物损失</w:t>
      </w:r>
      <w:r>
        <w:rPr>
          <w:rFonts w:cs="Times New Roman"/>
          <w:szCs w:val="21"/>
        </w:rPr>
        <w:t>9.</w:t>
      </w:r>
      <w:r>
        <w:rPr>
          <w:rFonts w:cs="Times New Roman" w:hint="eastAsia"/>
          <w:szCs w:val="21"/>
        </w:rPr>
        <w:t>35</w:t>
      </w:r>
      <w:r>
        <w:rPr>
          <w:rFonts w:cs="Times New Roman"/>
          <w:szCs w:val="21"/>
        </w:rPr>
        <w:t>t</w:t>
      </w:r>
      <w:r>
        <w:rPr>
          <w:rFonts w:cs="Times New Roman"/>
          <w:szCs w:val="21"/>
        </w:rPr>
        <w:t>，暂时损失共计</w:t>
      </w:r>
      <w:r>
        <w:rPr>
          <w:rFonts w:cs="Times New Roman" w:hint="eastAsia"/>
          <w:szCs w:val="21"/>
        </w:rPr>
        <w:t>1.86</w:t>
      </w:r>
      <w:r>
        <w:rPr>
          <w:rFonts w:cs="Times New Roman"/>
          <w:szCs w:val="21"/>
        </w:rPr>
        <w:t>t</w:t>
      </w:r>
      <w:r>
        <w:rPr>
          <w:rFonts w:cs="Times New Roman"/>
          <w:szCs w:val="21"/>
        </w:rPr>
        <w:t>。从以上数据可以看出，</w:t>
      </w:r>
      <w:r>
        <w:rPr>
          <w:rFonts w:cs="Times New Roman" w:hint="eastAsia"/>
          <w:szCs w:val="21"/>
        </w:rPr>
        <w:t>井场建设</w:t>
      </w:r>
      <w:r>
        <w:rPr>
          <w:rFonts w:cs="Times New Roman"/>
          <w:szCs w:val="21"/>
        </w:rPr>
        <w:t>对农作物的产量会有一定的影响。本</w:t>
      </w:r>
      <w:r>
        <w:rPr>
          <w:rFonts w:cs="Times New Roman" w:hint="eastAsia"/>
          <w:szCs w:val="21"/>
        </w:rPr>
        <w:t>工程</w:t>
      </w:r>
      <w:r>
        <w:rPr>
          <w:rFonts w:cs="Times New Roman"/>
          <w:szCs w:val="21"/>
        </w:rPr>
        <w:t>所经过的农业区有完善的农田水利排灌系统，施工活动可能损坏当地的农灌系统，进而影响当地农业生产。另外，工扬尘也会对</w:t>
      </w:r>
      <w:r>
        <w:rPr>
          <w:rFonts w:cs="Times New Roman"/>
          <w:szCs w:val="21"/>
        </w:rPr>
        <w:t>100m</w:t>
      </w:r>
      <w:r>
        <w:rPr>
          <w:rFonts w:cs="Times New Roman"/>
          <w:szCs w:val="21"/>
        </w:rPr>
        <w:t>范围的农作物正常生长产生一定的影响，如影响作物的传花受粉、妨碍嫩芽的光合作用等。</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b/>
          <w:bCs/>
          <w:szCs w:val="28"/>
        </w:rPr>
        <w:t>.3</w:t>
      </w:r>
      <w:r>
        <w:rPr>
          <w:rFonts w:cs="Times New Roman"/>
          <w:b/>
          <w:bCs/>
          <w:szCs w:val="28"/>
        </w:rPr>
        <w:t>对野生动物的影响分析</w:t>
      </w:r>
    </w:p>
    <w:p w:rsidR="00C645C9" w:rsidRDefault="00F955D9">
      <w:pPr>
        <w:spacing w:line="360" w:lineRule="auto"/>
        <w:ind w:firstLineChars="200" w:firstLine="480"/>
        <w:jc w:val="both"/>
        <w:rPr>
          <w:rFonts w:cs="Times New Roman"/>
          <w:szCs w:val="21"/>
        </w:rPr>
      </w:pPr>
      <w:r>
        <w:rPr>
          <w:rFonts w:cs="Times New Roman"/>
          <w:szCs w:val="21"/>
        </w:rPr>
        <w:t>油田开发建设对野生动物生存环境、分布范围和种群数量的影响主要分为直接影响和间接影响两个方面。直接影响主要表现为建设工程占地，使野生动物的原始生存环境被破坏或改变</w:t>
      </w:r>
      <w:r>
        <w:rPr>
          <w:rFonts w:cs="Times New Roman" w:hint="eastAsia"/>
          <w:szCs w:val="21"/>
        </w:rPr>
        <w:t>，</w:t>
      </w:r>
      <w:r>
        <w:rPr>
          <w:rFonts w:cs="Times New Roman"/>
          <w:szCs w:val="21"/>
        </w:rPr>
        <w:t>间接影响主要表现为由于植被的减少或污染破坏而引起野生动物食物来源减少。</w:t>
      </w:r>
      <w:r>
        <w:rPr>
          <w:rFonts w:cs="Times New Roman" w:hint="eastAsia"/>
          <w:szCs w:val="21"/>
        </w:rPr>
        <w:t>本工程所在区域重点保护野生动物有塔里木兔，现场调查期间未在工程占地区域发现其踪迹，且</w:t>
      </w:r>
      <w:r>
        <w:rPr>
          <w:rFonts w:cs="Times New Roman"/>
          <w:szCs w:val="21"/>
        </w:rPr>
        <w:t>由于评价区域不是动物的唯一栖息地，故</w:t>
      </w:r>
      <w:r>
        <w:rPr>
          <w:rFonts w:cs="Times New Roman" w:hint="eastAsia"/>
          <w:szCs w:val="21"/>
        </w:rPr>
        <w:t>本工程</w:t>
      </w:r>
      <w:r>
        <w:rPr>
          <w:rFonts w:cs="Times New Roman"/>
          <w:szCs w:val="21"/>
        </w:rPr>
        <w:t>对动物区域性生境不产生明显影响。</w:t>
      </w:r>
    </w:p>
    <w:p w:rsidR="00C645C9" w:rsidRDefault="00F955D9">
      <w:pPr>
        <w:spacing w:line="360" w:lineRule="auto"/>
        <w:ind w:firstLineChars="200" w:firstLine="480"/>
        <w:jc w:val="both"/>
        <w:rPr>
          <w:rFonts w:cs="Times New Roman"/>
          <w:szCs w:val="21"/>
        </w:rPr>
      </w:pPr>
      <w:r>
        <w:rPr>
          <w:rFonts w:cs="Times New Roman"/>
          <w:szCs w:val="21"/>
        </w:rPr>
        <w:t>在施工生产过程中，由于油田机械设备的轰鸣声惊扰，大多数野生脊椎动物种类将避行远离，使区域内单位面积上的动物种群数量下降，但此类影响对爬行类和小型啮齿类动物的干扰不大。一些伴人型鸟类如麻雀、乌鸦、喜鹊等，一般在离作业区</w:t>
      </w:r>
      <w:r>
        <w:rPr>
          <w:rFonts w:cs="Times New Roman"/>
          <w:szCs w:val="21"/>
        </w:rPr>
        <w:t>50m</w:t>
      </w:r>
      <w:r>
        <w:rPr>
          <w:rFonts w:cs="Times New Roman"/>
          <w:szCs w:val="21"/>
        </w:rPr>
        <w:t>以远处活动，待无噪声干扰时较常见于人类生活区附近。因此，随着</w:t>
      </w:r>
      <w:r>
        <w:rPr>
          <w:rFonts w:cs="Times New Roman" w:hint="eastAsia"/>
          <w:szCs w:val="21"/>
        </w:rPr>
        <w:t>本工程</w:t>
      </w:r>
      <w:r>
        <w:rPr>
          <w:rFonts w:cs="Times New Roman"/>
          <w:szCs w:val="21"/>
        </w:rPr>
        <w:t>钻井、站场建设的各个过程，塔河油田内野生动物的种类和数量发生一定</w:t>
      </w:r>
      <w:r>
        <w:rPr>
          <w:rFonts w:cs="Times New Roman"/>
          <w:szCs w:val="21"/>
        </w:rPr>
        <w:t>的变化，原有的荒漠型鸟类和大型哺乳类将逐渐避开人类活动的干扰迁至</w:t>
      </w:r>
      <w:r>
        <w:rPr>
          <w:rFonts w:cs="Times New Roman" w:hint="eastAsia"/>
          <w:szCs w:val="21"/>
        </w:rPr>
        <w:t>其他</w:t>
      </w:r>
      <w:r>
        <w:rPr>
          <w:rFonts w:cs="Times New Roman"/>
          <w:szCs w:val="21"/>
        </w:rPr>
        <w:t>区域，而常见的伴人型野生动物种类有所增加。</w:t>
      </w:r>
    </w:p>
    <w:p w:rsidR="00C645C9" w:rsidRDefault="00F955D9">
      <w:pPr>
        <w:spacing w:line="360" w:lineRule="auto"/>
        <w:ind w:firstLineChars="200" w:firstLine="480"/>
        <w:jc w:val="both"/>
        <w:rPr>
          <w:rFonts w:cs="Times New Roman"/>
          <w:szCs w:val="21"/>
        </w:rPr>
      </w:pPr>
      <w:r>
        <w:rPr>
          <w:rFonts w:cs="Times New Roman" w:hint="eastAsia"/>
          <w:szCs w:val="21"/>
        </w:rPr>
        <w:lastRenderedPageBreak/>
        <w:t>塔河油田已开发多年，大型的野生脊椎动物早已离开此地，再加上本工程位于绿洲农田区，项目周边分布有大量农田，动物受人为活动影响较大，因而本工程建设对动物的影响较小，所影响的只是一些爬行类和鸟类动物。</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b/>
          <w:bCs/>
          <w:szCs w:val="28"/>
        </w:rPr>
        <w:t>.</w:t>
      </w:r>
      <w:r>
        <w:rPr>
          <w:rFonts w:cs="Times New Roman" w:hint="eastAsia"/>
          <w:b/>
          <w:bCs/>
          <w:szCs w:val="28"/>
        </w:rPr>
        <w:t>4</w:t>
      </w:r>
      <w:r>
        <w:rPr>
          <w:rFonts w:cs="Times New Roman" w:hint="eastAsia"/>
          <w:b/>
          <w:bCs/>
          <w:szCs w:val="28"/>
        </w:rPr>
        <w:t>水土流失影响分析</w:t>
      </w:r>
    </w:p>
    <w:p w:rsidR="00C645C9" w:rsidRDefault="00F955D9">
      <w:pPr>
        <w:spacing w:line="360" w:lineRule="auto"/>
        <w:ind w:firstLineChars="200" w:firstLine="480"/>
        <w:jc w:val="both"/>
        <w:rPr>
          <w:rFonts w:cs="Times New Roman"/>
          <w:szCs w:val="21"/>
        </w:rPr>
      </w:pPr>
      <w:r>
        <w:rPr>
          <w:rFonts w:cs="Times New Roman" w:hint="eastAsia"/>
          <w:szCs w:val="21"/>
        </w:rPr>
        <w:t>根据新水水保〔</w:t>
      </w:r>
      <w:r>
        <w:rPr>
          <w:rFonts w:cs="Times New Roman" w:hint="eastAsia"/>
          <w:szCs w:val="21"/>
        </w:rPr>
        <w:t>2019</w:t>
      </w:r>
      <w:r>
        <w:rPr>
          <w:rFonts w:cs="Times New Roman" w:hint="eastAsia"/>
          <w:szCs w:val="21"/>
        </w:rPr>
        <w:t>〕</w:t>
      </w:r>
      <w:r>
        <w:rPr>
          <w:rFonts w:cs="Times New Roman" w:hint="eastAsia"/>
          <w:szCs w:val="21"/>
        </w:rPr>
        <w:t>4</w:t>
      </w:r>
      <w:r>
        <w:rPr>
          <w:rFonts w:cs="Times New Roman" w:hint="eastAsia"/>
          <w:szCs w:val="21"/>
        </w:rPr>
        <w:t>号文，本工程所在区域属于塔里木河流域水土流失重点治理区，本工程实施对区域水土流失影响如下：</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）土壤粗粒化</w:t>
      </w:r>
    </w:p>
    <w:p w:rsidR="00C645C9" w:rsidRDefault="00F955D9">
      <w:pPr>
        <w:spacing w:line="360" w:lineRule="auto"/>
        <w:ind w:firstLineChars="200" w:firstLine="480"/>
        <w:jc w:val="both"/>
        <w:rPr>
          <w:rFonts w:cs="Times New Roman"/>
          <w:szCs w:val="21"/>
        </w:rPr>
      </w:pPr>
      <w:r>
        <w:rPr>
          <w:rFonts w:cs="Times New Roman" w:hint="eastAsia"/>
          <w:szCs w:val="21"/>
        </w:rPr>
        <w:t>在土壤沙化过程中，当风力作用地表产生风蚀时，便产生</w:t>
      </w:r>
      <w:r>
        <w:rPr>
          <w:rFonts w:cs="Times New Roman" w:hint="eastAsia"/>
          <w:szCs w:val="21"/>
        </w:rPr>
        <w:t>风蚀</w:t>
      </w:r>
      <w:r>
        <w:rPr>
          <w:rFonts w:cs="Times New Roman" w:hint="eastAsia"/>
          <w:szCs w:val="21"/>
        </w:rPr>
        <w:t>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）土壤贫瘠及含盐量变化</w:t>
      </w:r>
    </w:p>
    <w:p w:rsidR="00C645C9" w:rsidRDefault="00F955D9">
      <w:pPr>
        <w:spacing w:line="360" w:lineRule="auto"/>
        <w:ind w:firstLineChars="200" w:firstLine="480"/>
        <w:jc w:val="both"/>
        <w:rPr>
          <w:rFonts w:cs="Times New Roman"/>
          <w:szCs w:val="21"/>
        </w:rPr>
      </w:pPr>
      <w:r>
        <w:rPr>
          <w:rFonts w:cs="Times New Roman" w:hint="eastAsia"/>
          <w:szCs w:val="21"/>
        </w:rPr>
        <w:t>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w:t>
      </w:r>
      <w:r>
        <w:rPr>
          <w:rFonts w:cs="Times New Roman" w:hint="eastAsia"/>
          <w:szCs w:val="21"/>
        </w:rPr>
        <w:t>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调查，随沙化增强，盐分含量降低。</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3</w:t>
      </w:r>
      <w:r>
        <w:rPr>
          <w:rFonts w:cs="Times New Roman" w:hint="eastAsia"/>
          <w:szCs w:val="21"/>
        </w:rPr>
        <w:t>）对油</w:t>
      </w:r>
      <w:r>
        <w:rPr>
          <w:rFonts w:cs="Times New Roman" w:hint="eastAsia"/>
          <w:szCs w:val="21"/>
        </w:rPr>
        <w:t>气田</w:t>
      </w:r>
      <w:r>
        <w:rPr>
          <w:rFonts w:cs="Times New Roman" w:hint="eastAsia"/>
          <w:szCs w:val="21"/>
        </w:rPr>
        <w:t>区公路、井场的危害</w:t>
      </w:r>
    </w:p>
    <w:p w:rsidR="00C645C9" w:rsidRDefault="00F955D9">
      <w:pPr>
        <w:spacing w:line="360" w:lineRule="auto"/>
        <w:ind w:firstLineChars="200" w:firstLine="480"/>
        <w:jc w:val="both"/>
        <w:rPr>
          <w:rFonts w:cs="Times New Roman"/>
          <w:szCs w:val="21"/>
        </w:rPr>
      </w:pPr>
      <w:r>
        <w:rPr>
          <w:rFonts w:cs="Times New Roman" w:hint="eastAsia"/>
          <w:szCs w:val="21"/>
        </w:rPr>
        <w:t>项目对水土流失的影响主要发生在施工期，主要</w:t>
      </w:r>
      <w:r>
        <w:rPr>
          <w:rFonts w:cs="Times New Roman" w:hint="eastAsia"/>
          <w:szCs w:val="21"/>
        </w:rPr>
        <w:t>包括</w:t>
      </w:r>
      <w:r>
        <w:rPr>
          <w:rFonts w:cs="Times New Roman" w:hint="eastAsia"/>
          <w:szCs w:val="21"/>
        </w:rPr>
        <w:t>钻井工程和地面工程。此外</w:t>
      </w:r>
      <w:r>
        <w:rPr>
          <w:rFonts w:cs="Times New Roman" w:hint="eastAsia"/>
          <w:szCs w:val="21"/>
        </w:rPr>
        <w:t>，在施工过程中，各种车辆（尤其是重型卡车）在荒漠上行驶将使经过的土壤变紧实，严重的经过多次碾压后植物很难再生长，甚至退化为裸土地。</w:t>
      </w:r>
    </w:p>
    <w:p w:rsidR="00C645C9" w:rsidRDefault="00F955D9">
      <w:pPr>
        <w:spacing w:line="360" w:lineRule="auto"/>
        <w:ind w:firstLineChars="200" w:firstLine="480"/>
        <w:jc w:val="both"/>
        <w:rPr>
          <w:rFonts w:cs="Times New Roman"/>
          <w:szCs w:val="21"/>
        </w:rPr>
      </w:pPr>
      <w:r>
        <w:rPr>
          <w:rFonts w:cs="Times New Roman" w:hint="eastAsia"/>
          <w:szCs w:val="21"/>
        </w:rPr>
        <w:t>项目施工期对原地貌的扰动大大降低了项目占地范围内的土壤抗侵蚀能力，若未采取相应的防护措施，遇大风天气，极易加重区域沙尘天气。本工程所在区域属于塔里木河流域水土流失重点治理区范围，区域以地表植被分布较少，土壤</w:t>
      </w:r>
      <w:r>
        <w:rPr>
          <w:rFonts w:cs="Times New Roman" w:hint="eastAsia"/>
          <w:szCs w:val="21"/>
        </w:rPr>
        <w:lastRenderedPageBreak/>
        <w:t>侵蚀强度以轻度为主，生态环境质量较差，应加强水土保持综合治理工作，减少因项目的建设而产生的水土流失。</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hint="eastAsia"/>
          <w:b/>
          <w:bCs/>
          <w:szCs w:val="28"/>
        </w:rPr>
        <w:t>5</w:t>
      </w:r>
      <w:r>
        <w:rPr>
          <w:rFonts w:cs="Times New Roman" w:hint="eastAsia"/>
          <w:b/>
          <w:bCs/>
          <w:szCs w:val="28"/>
        </w:rPr>
        <w:t>井场建设对生态环境的影响</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hint="eastAsia"/>
          <w:szCs w:val="21"/>
        </w:rPr>
        <w:t>部署采气井</w:t>
      </w:r>
      <w:r>
        <w:rPr>
          <w:rFonts w:cs="Times New Roman" w:hint="eastAsia"/>
          <w:szCs w:val="21"/>
        </w:rPr>
        <w:t>2</w:t>
      </w:r>
      <w:r>
        <w:rPr>
          <w:rFonts w:cs="Times New Roman" w:hint="eastAsia"/>
          <w:szCs w:val="21"/>
        </w:rPr>
        <w:t>口（包括新北</w:t>
      </w:r>
      <w:r>
        <w:rPr>
          <w:rFonts w:cs="Times New Roman" w:hint="eastAsia"/>
          <w:szCs w:val="21"/>
        </w:rPr>
        <w:t>1</w:t>
      </w:r>
      <w:r>
        <w:rPr>
          <w:rFonts w:cs="Times New Roman" w:hint="eastAsia"/>
          <w:szCs w:val="21"/>
        </w:rPr>
        <w:t>X</w:t>
      </w:r>
      <w:r>
        <w:rPr>
          <w:rFonts w:cs="Times New Roman" w:hint="eastAsia"/>
          <w:szCs w:val="21"/>
        </w:rPr>
        <w:t>井、新北</w:t>
      </w:r>
      <w:r>
        <w:rPr>
          <w:rFonts w:cs="Times New Roman" w:hint="eastAsia"/>
          <w:szCs w:val="21"/>
        </w:rPr>
        <w:t>7</w:t>
      </w:r>
      <w:r>
        <w:rPr>
          <w:rFonts w:cs="Times New Roman" w:hint="eastAsia"/>
          <w:szCs w:val="21"/>
        </w:rPr>
        <w:t>井），其中新北</w:t>
      </w:r>
      <w:r>
        <w:rPr>
          <w:rFonts w:cs="Times New Roman" w:hint="eastAsia"/>
          <w:szCs w:val="21"/>
        </w:rPr>
        <w:t>7</w:t>
      </w:r>
      <w:r>
        <w:rPr>
          <w:rFonts w:cs="Times New Roman" w:hint="eastAsia"/>
          <w:szCs w:val="21"/>
        </w:rPr>
        <w:t>井为新钻井，新北</w:t>
      </w:r>
      <w:r>
        <w:rPr>
          <w:rFonts w:cs="Times New Roman" w:hint="eastAsia"/>
          <w:szCs w:val="21"/>
        </w:rPr>
        <w:t>1X</w:t>
      </w:r>
      <w:r>
        <w:rPr>
          <w:rFonts w:cs="Times New Roman" w:hint="eastAsia"/>
          <w:szCs w:val="21"/>
        </w:rPr>
        <w:t>井由勘探井转为产能井。</w:t>
      </w:r>
      <w:r>
        <w:rPr>
          <w:rFonts w:cs="Times New Roman" w:hint="eastAsia"/>
          <w:szCs w:val="21"/>
        </w:rPr>
        <w:t>钻前工程将建设区域进行平整，地表植被被清除、压实，并用砾石铺垫，表层土壤原有的结构和质地已发生改变。</w:t>
      </w:r>
    </w:p>
    <w:p w:rsidR="00C645C9" w:rsidRDefault="00F955D9">
      <w:pPr>
        <w:spacing w:line="360" w:lineRule="auto"/>
        <w:ind w:firstLineChars="200" w:firstLine="480"/>
        <w:jc w:val="both"/>
        <w:rPr>
          <w:rFonts w:cs="Times New Roman"/>
          <w:szCs w:val="21"/>
        </w:rPr>
      </w:pPr>
      <w:r>
        <w:rPr>
          <w:rFonts w:cs="Times New Roman" w:hint="eastAsia"/>
          <w:szCs w:val="21"/>
        </w:rPr>
        <w:t>钻井期间，由于本工程所在区域的特殊性，井场建设破坏植被的总面积虽然不是很大，但形成植被破口的斑块数量多，如果不采取必要的措施，破口将扩大发展，导致水土流失加剧。</w:t>
      </w:r>
    </w:p>
    <w:p w:rsidR="00C645C9" w:rsidRDefault="00F955D9">
      <w:pPr>
        <w:spacing w:line="360" w:lineRule="auto"/>
        <w:ind w:firstLineChars="200" w:firstLine="480"/>
        <w:jc w:val="both"/>
        <w:rPr>
          <w:rFonts w:cs="Times New Roman"/>
          <w:szCs w:val="21"/>
        </w:rPr>
      </w:pPr>
      <w:r>
        <w:rPr>
          <w:rFonts w:cs="Times New Roman" w:hint="eastAsia"/>
          <w:szCs w:val="21"/>
        </w:rPr>
        <w:t>所评价井场区的土壤类型主要为</w:t>
      </w:r>
      <w:r>
        <w:rPr>
          <w:rFonts w:cs="Times New Roman" w:hint="eastAsia"/>
          <w:szCs w:val="21"/>
        </w:rPr>
        <w:t>潮土</w:t>
      </w:r>
      <w:r>
        <w:rPr>
          <w:rFonts w:cs="Times New Roman" w:hint="eastAsia"/>
          <w:szCs w:val="21"/>
        </w:rPr>
        <w:t>，类比调查表明，距井场不同距离处土壤中石油类浓度明显高于井场外土壤石油类浓度，说明油气田开采对土壤存在石油类污染；而井场外</w:t>
      </w:r>
      <w:r>
        <w:rPr>
          <w:rFonts w:cs="Times New Roman" w:hint="eastAsia"/>
          <w:szCs w:val="21"/>
        </w:rPr>
        <w:t>10m</w:t>
      </w:r>
      <w:r>
        <w:rPr>
          <w:rFonts w:cs="Times New Roman" w:hint="eastAsia"/>
          <w:szCs w:val="21"/>
        </w:rPr>
        <w:t>至</w:t>
      </w:r>
      <w:r>
        <w:rPr>
          <w:rFonts w:cs="Times New Roman" w:hint="eastAsia"/>
          <w:szCs w:val="21"/>
        </w:rPr>
        <w:t>200m</w:t>
      </w:r>
      <w:r>
        <w:rPr>
          <w:rFonts w:cs="Times New Roman" w:hint="eastAsia"/>
          <w:szCs w:val="21"/>
        </w:rPr>
        <w:t>处土壤石</w:t>
      </w:r>
      <w:r>
        <w:rPr>
          <w:rFonts w:cs="Times New Roman" w:hint="eastAsia"/>
          <w:szCs w:val="21"/>
        </w:rPr>
        <w:t>油类浓度值较接近，且与区域土壤环境质量对照点石油类浓度也接近，因此油气田开采对土壤的污染主要集中在井场内部。从井场内土壤不同剖面深度的石油类浓度分布来看，</w:t>
      </w:r>
      <w:r>
        <w:rPr>
          <w:rFonts w:cs="Times New Roman" w:hint="eastAsia"/>
          <w:szCs w:val="21"/>
        </w:rPr>
        <w:t>10cm</w:t>
      </w:r>
      <w:r>
        <w:rPr>
          <w:rFonts w:cs="Times New Roman" w:hint="eastAsia"/>
          <w:szCs w:val="21"/>
        </w:rPr>
        <w:t>深度的石油类浓度最高，是表层土壤石油类浓度的</w:t>
      </w:r>
      <w:r>
        <w:rPr>
          <w:rFonts w:cs="Times New Roman" w:hint="eastAsia"/>
          <w:szCs w:val="21"/>
        </w:rPr>
        <w:t>2</w:t>
      </w:r>
      <w:r>
        <w:rPr>
          <w:rFonts w:cs="Times New Roman" w:hint="eastAsia"/>
          <w:szCs w:val="21"/>
        </w:rPr>
        <w:t>倍，是对照点土壤中石油类浓度的</w:t>
      </w:r>
      <w:r>
        <w:rPr>
          <w:rFonts w:cs="Times New Roman" w:hint="eastAsia"/>
          <w:szCs w:val="21"/>
        </w:rPr>
        <w:t>4</w:t>
      </w:r>
      <w:r>
        <w:rPr>
          <w:rFonts w:cs="Times New Roman" w:hint="eastAsia"/>
          <w:szCs w:val="21"/>
        </w:rPr>
        <w:t>倍，说明油气田开采产生的落地油等污染物会向下渗透对深层土壤造成影响；</w:t>
      </w:r>
      <w:r>
        <w:rPr>
          <w:rFonts w:cs="Times New Roman" w:hint="eastAsia"/>
          <w:szCs w:val="21"/>
        </w:rPr>
        <w:t>30cm</w:t>
      </w:r>
      <w:r>
        <w:rPr>
          <w:rFonts w:cs="Times New Roman" w:hint="eastAsia"/>
          <w:szCs w:val="21"/>
        </w:rPr>
        <w:t>浓度的土壤中石油类浓度与表层土壤石油类浓度相近，说明井场石油类污染主要集中在表层至</w:t>
      </w:r>
      <w:r>
        <w:rPr>
          <w:rFonts w:cs="Times New Roman" w:hint="eastAsia"/>
          <w:szCs w:val="21"/>
        </w:rPr>
        <w:t>30cm</w:t>
      </w:r>
      <w:r>
        <w:rPr>
          <w:rFonts w:cs="Times New Roman" w:hint="eastAsia"/>
          <w:szCs w:val="21"/>
        </w:rPr>
        <w:t>深度处。</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5.1.1.</w:t>
      </w:r>
      <w:r>
        <w:rPr>
          <w:rFonts w:cs="Times New Roman" w:hint="eastAsia"/>
          <w:b/>
          <w:bCs/>
          <w:szCs w:val="28"/>
        </w:rPr>
        <w:t>6</w:t>
      </w:r>
      <w:r>
        <w:rPr>
          <w:rFonts w:cs="Times New Roman" w:hint="eastAsia"/>
          <w:b/>
          <w:bCs/>
          <w:szCs w:val="28"/>
        </w:rPr>
        <w:t>对永久基本农田的生态影响分析</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本工程不占用永久基本农田，但部署的</w:t>
      </w:r>
      <w:r>
        <w:rPr>
          <w:rFonts w:cs="Times New Roman" w:hint="eastAsia"/>
          <w:szCs w:val="21"/>
        </w:rPr>
        <w:t>2</w:t>
      </w:r>
      <w:r>
        <w:rPr>
          <w:rFonts w:cs="Times New Roman" w:hint="eastAsia"/>
          <w:szCs w:val="21"/>
        </w:rPr>
        <w:t>口井的生态环境评价范围内分布有永久基本农田，保护内容主要为水土流失防治、土壤肥力、农田面积等。本工程所在区域分布永久基本农田主要种植作物为棉花、核桃和小麦等。本工程不占用基本农田，本工程建设不会对工程周边永久基本农田产生影响</w:t>
      </w:r>
      <w:r>
        <w:rPr>
          <w:rFonts w:cs="Times New Roman"/>
          <w:szCs w:val="21"/>
        </w:rPr>
        <w:t>。</w:t>
      </w:r>
    </w:p>
    <w:bookmarkEnd w:id="1476"/>
    <w:p w:rsidR="00C645C9" w:rsidRDefault="00F955D9">
      <w:pPr>
        <w:pStyle w:val="afffb"/>
        <w:rPr>
          <w:lang w:eastAsia="zh-CN"/>
        </w:rPr>
      </w:pPr>
      <w:r>
        <w:rPr>
          <w:lang w:eastAsia="zh-CN"/>
        </w:rPr>
        <w:t>5.1.</w:t>
      </w:r>
      <w:r>
        <w:rPr>
          <w:rFonts w:hint="eastAsia"/>
          <w:lang w:eastAsia="zh-CN"/>
        </w:rPr>
        <w:t>2</w:t>
      </w:r>
      <w:r>
        <w:rPr>
          <w:lang w:eastAsia="zh-CN"/>
        </w:rPr>
        <w:t>运营期生态影响分析</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本工程运营期对生态环境的影响主要表现在对野生动物、植被等的影响，生态系统完整性影响以及生态景观影响。</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lastRenderedPageBreak/>
        <w:t>5.1.</w:t>
      </w:r>
      <w:r>
        <w:rPr>
          <w:rFonts w:cs="Times New Roman" w:hint="eastAsia"/>
          <w:b/>
          <w:bCs/>
          <w:szCs w:val="28"/>
        </w:rPr>
        <w:t>2</w:t>
      </w:r>
      <w:r>
        <w:rPr>
          <w:rFonts w:cs="Times New Roman" w:hint="eastAsia"/>
          <w:b/>
          <w:bCs/>
          <w:szCs w:val="28"/>
        </w:rPr>
        <w:t>.1</w:t>
      </w:r>
      <w:r>
        <w:rPr>
          <w:rFonts w:cs="Times New Roman" w:hint="eastAsia"/>
          <w:b/>
          <w:bCs/>
          <w:szCs w:val="28"/>
        </w:rPr>
        <w:t>对野生动物的影响分析</w:t>
      </w:r>
    </w:p>
    <w:p w:rsidR="00C645C9" w:rsidRDefault="00F955D9">
      <w:pPr>
        <w:spacing w:line="360" w:lineRule="auto"/>
        <w:ind w:firstLineChars="200" w:firstLine="480"/>
        <w:jc w:val="both"/>
        <w:rPr>
          <w:rFonts w:cs="Times New Roman"/>
          <w:szCs w:val="21"/>
        </w:rPr>
      </w:pPr>
      <w:r>
        <w:rPr>
          <w:rFonts w:cs="Times New Roman" w:hint="eastAsia"/>
          <w:szCs w:val="21"/>
        </w:rPr>
        <w:t>运营期车辆运输和机械噪声相对施工期有所减小，人为活动相对施工也有所减少，通过加强</w:t>
      </w:r>
      <w:r>
        <w:rPr>
          <w:rFonts w:cs="Times New Roman" w:hint="eastAsia"/>
          <w:szCs w:val="21"/>
        </w:rPr>
        <w:t>管理禁止油气田职工对野生动物的猎杀，本工程运营期的噪声和人为活动对野生动物的影响也相对减小。</w:t>
      </w:r>
    </w:p>
    <w:p w:rsidR="00C645C9" w:rsidRDefault="00F955D9">
      <w:pPr>
        <w:spacing w:line="360" w:lineRule="auto"/>
        <w:ind w:firstLineChars="200" w:firstLine="480"/>
        <w:jc w:val="both"/>
        <w:rPr>
          <w:rFonts w:cs="Times New Roman"/>
          <w:szCs w:val="21"/>
        </w:rPr>
      </w:pPr>
      <w:r>
        <w:rPr>
          <w:rFonts w:cs="Times New Roman" w:hint="eastAsia"/>
          <w:szCs w:val="21"/>
        </w:rPr>
        <w:t>运营期道路行车主要是油气田巡线的自备车辆，车流量很小，夜间无车行驶，一般情况下，野生动物会自行规避或适应，不会对野生动物产生明显影响。</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w:t>
      </w:r>
      <w:r>
        <w:rPr>
          <w:rFonts w:cs="Times New Roman" w:hint="eastAsia"/>
          <w:b/>
          <w:bCs/>
          <w:szCs w:val="28"/>
        </w:rPr>
        <w:t>2</w:t>
      </w:r>
      <w:r>
        <w:rPr>
          <w:rFonts w:cs="Times New Roman" w:hint="eastAsia"/>
          <w:b/>
          <w:bCs/>
          <w:szCs w:val="28"/>
        </w:rPr>
        <w:t>.2</w:t>
      </w:r>
      <w:r>
        <w:rPr>
          <w:rFonts w:cs="Times New Roman" w:hint="eastAsia"/>
          <w:b/>
          <w:bCs/>
          <w:szCs w:val="28"/>
        </w:rPr>
        <w:t>植被影响分析</w:t>
      </w:r>
    </w:p>
    <w:p w:rsidR="00C645C9" w:rsidRDefault="00F955D9">
      <w:pPr>
        <w:spacing w:line="360" w:lineRule="auto"/>
        <w:ind w:firstLineChars="200" w:firstLine="480"/>
        <w:jc w:val="both"/>
        <w:rPr>
          <w:rFonts w:cs="Times New Roman"/>
          <w:szCs w:val="21"/>
        </w:rPr>
      </w:pPr>
      <w:r>
        <w:rPr>
          <w:rFonts w:cs="Times New Roman" w:hint="eastAsia"/>
          <w:szCs w:val="21"/>
        </w:rPr>
        <w:t>运营期由于占地活动的结束，工程基本不会对植被产生影响，临时占地的植被开始自然恢复，一般在</w:t>
      </w:r>
      <w:r>
        <w:rPr>
          <w:rFonts w:cs="Times New Roman" w:hint="eastAsia"/>
          <w:szCs w:val="21"/>
        </w:rPr>
        <w:t>2</w:t>
      </w:r>
      <w:r>
        <w:rPr>
          <w:rFonts w:cs="Times New Roman" w:hint="eastAsia"/>
          <w:szCs w:val="21"/>
        </w:rPr>
        <w:t>～</w:t>
      </w:r>
      <w:r>
        <w:rPr>
          <w:rFonts w:cs="Times New Roman" w:hint="eastAsia"/>
          <w:szCs w:val="21"/>
        </w:rPr>
        <w:t>3</w:t>
      </w:r>
      <w:r>
        <w:rPr>
          <w:rFonts w:cs="Times New Roman" w:hint="eastAsia"/>
          <w:szCs w:val="21"/>
        </w:rPr>
        <w:t>年内开始发生向原生植被群落演替，并逐渐得到恢复。但事故状态如火灾</w:t>
      </w:r>
      <w:r>
        <w:rPr>
          <w:rFonts w:cs="Times New Roman" w:hint="eastAsia"/>
          <w:szCs w:val="21"/>
        </w:rPr>
        <w:t>等，将</w:t>
      </w:r>
      <w:r>
        <w:rPr>
          <w:rFonts w:cs="Times New Roman" w:hint="eastAsia"/>
          <w:szCs w:val="21"/>
        </w:rPr>
        <w:t>会致火灾处局部范围内植被死亡。但事故造成的植被破坏是小范围的，植被损失量很小。</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w:t>
      </w:r>
      <w:r>
        <w:rPr>
          <w:rFonts w:cs="Times New Roman" w:hint="eastAsia"/>
          <w:b/>
          <w:bCs/>
          <w:szCs w:val="28"/>
        </w:rPr>
        <w:t>2</w:t>
      </w:r>
      <w:r>
        <w:rPr>
          <w:rFonts w:cs="Times New Roman" w:hint="eastAsia"/>
          <w:b/>
          <w:bCs/>
          <w:szCs w:val="28"/>
        </w:rPr>
        <w:t>.3</w:t>
      </w:r>
      <w:r>
        <w:rPr>
          <w:rFonts w:cs="Times New Roman" w:hint="eastAsia"/>
          <w:b/>
          <w:bCs/>
          <w:szCs w:val="28"/>
        </w:rPr>
        <w:t>生态保护目标影响分析</w:t>
      </w:r>
    </w:p>
    <w:p w:rsidR="00C645C9" w:rsidRDefault="00F955D9">
      <w:pPr>
        <w:spacing w:line="360" w:lineRule="auto"/>
        <w:ind w:firstLineChars="200" w:firstLine="480"/>
        <w:jc w:val="both"/>
        <w:rPr>
          <w:rFonts w:cs="Times New Roman"/>
          <w:szCs w:val="21"/>
        </w:rPr>
      </w:pPr>
      <w:r>
        <w:rPr>
          <w:rFonts w:cs="Times New Roman" w:hint="eastAsia"/>
          <w:szCs w:val="21"/>
          <w:lang w:bidi="ar"/>
        </w:rPr>
        <w:t>运营期影响主要集中在井场等永久占地范围内，运营期采出水、井下作业废水等均不外排，落地油妥善处置；同时加强日常巡检监管工作，出现泄漏情况能及时发现；加强法兰、阀门连接处腐蚀情况记录管理，避免因老化、腐蚀导致泄漏情况发生。因此不会对生态保护目标产生明显不利影响</w:t>
      </w:r>
      <w:r>
        <w:rPr>
          <w:rFonts w:cs="Times New Roman" w:hint="eastAsia"/>
          <w:szCs w:val="21"/>
        </w:rPr>
        <w:t>。</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w:t>
      </w:r>
      <w:r>
        <w:rPr>
          <w:rFonts w:cs="Times New Roman" w:hint="eastAsia"/>
          <w:b/>
          <w:bCs/>
          <w:szCs w:val="28"/>
        </w:rPr>
        <w:t>2</w:t>
      </w:r>
      <w:r>
        <w:rPr>
          <w:rFonts w:cs="Times New Roman" w:hint="eastAsia"/>
          <w:b/>
          <w:bCs/>
          <w:szCs w:val="28"/>
        </w:rPr>
        <w:t>.4</w:t>
      </w:r>
      <w:r>
        <w:rPr>
          <w:rFonts w:cs="Times New Roman" w:hint="eastAsia"/>
          <w:b/>
          <w:bCs/>
          <w:szCs w:val="28"/>
        </w:rPr>
        <w:t>生态系统完整性影响评价</w:t>
      </w:r>
    </w:p>
    <w:p w:rsidR="00C645C9" w:rsidRDefault="00F955D9">
      <w:pPr>
        <w:spacing w:line="360" w:lineRule="auto"/>
        <w:ind w:firstLineChars="200" w:firstLine="480"/>
        <w:jc w:val="both"/>
        <w:rPr>
          <w:rFonts w:cs="Times New Roman"/>
          <w:szCs w:val="21"/>
        </w:rPr>
      </w:pPr>
      <w:r>
        <w:rPr>
          <w:rFonts w:cs="Times New Roman" w:hint="eastAsia"/>
          <w:szCs w:val="21"/>
        </w:rPr>
        <w:t>生态系统完整性是生态系统在特定地理区域的最优化状态，在这种状态下，生态系统具备区域自然生境所应包含的全部本土生物多样性和生态学进程，其结构和功能没有受到人类活动胁迫的损害，本地物种处在能够</w:t>
      </w:r>
      <w:r>
        <w:rPr>
          <w:rFonts w:cs="Times New Roman" w:hint="eastAsia"/>
          <w:szCs w:val="21"/>
        </w:rPr>
        <w:t>持续繁衍的种群水平。它主要反映生态系统在外来干扰下维持自然状态、稳定性和自组织能力的程度。评价生态系统完整性对于保护敏感自然生态系统免受人类干扰的影响有着重要的意义。</w:t>
      </w:r>
    </w:p>
    <w:p w:rsidR="00C645C9" w:rsidRDefault="00F955D9">
      <w:pPr>
        <w:spacing w:line="360" w:lineRule="auto"/>
        <w:ind w:firstLineChars="200" w:firstLine="480"/>
        <w:jc w:val="both"/>
        <w:rPr>
          <w:rFonts w:cs="Times New Roman"/>
          <w:szCs w:val="21"/>
        </w:rPr>
      </w:pPr>
      <w:r>
        <w:rPr>
          <w:rFonts w:cs="Times New Roman" w:hint="eastAsia"/>
          <w:szCs w:val="21"/>
        </w:rPr>
        <w:t>本工程</w:t>
      </w:r>
      <w:r>
        <w:rPr>
          <w:rFonts w:cs="Times New Roman" w:hint="eastAsia"/>
          <w:szCs w:val="21"/>
        </w:rPr>
        <w:t>建设中，新增油田设施及永久性构筑物，不但不会使区域内异质化程度降低，反而在一定程度上会增加区域的异质性。区域的异质性越大，抵抗外界干扰的能力就越大。因此，本工程的建设不会改变区域内景观生态的稳定性及完整性。</w:t>
      </w:r>
    </w:p>
    <w:p w:rsidR="00C645C9" w:rsidRDefault="00F955D9">
      <w:pPr>
        <w:keepNext/>
        <w:keepLines/>
        <w:adjustRightInd w:val="0"/>
        <w:snapToGrid w:val="0"/>
        <w:spacing w:before="10" w:after="10" w:line="0" w:lineRule="atLeast"/>
        <w:jc w:val="both"/>
        <w:outlineLvl w:val="3"/>
        <w:rPr>
          <w:rFonts w:cs="Times New Roman"/>
          <w:b/>
          <w:bCs/>
          <w:szCs w:val="28"/>
        </w:rPr>
      </w:pPr>
      <w:r>
        <w:rPr>
          <w:rFonts w:cs="Times New Roman" w:hint="eastAsia"/>
          <w:b/>
          <w:bCs/>
          <w:szCs w:val="28"/>
        </w:rPr>
        <w:t>5.1.</w:t>
      </w:r>
      <w:r>
        <w:rPr>
          <w:rFonts w:cs="Times New Roman" w:hint="eastAsia"/>
          <w:b/>
          <w:bCs/>
          <w:szCs w:val="28"/>
        </w:rPr>
        <w:t>2</w:t>
      </w:r>
      <w:r>
        <w:rPr>
          <w:rFonts w:cs="Times New Roman" w:hint="eastAsia"/>
          <w:b/>
          <w:bCs/>
          <w:szCs w:val="28"/>
        </w:rPr>
        <w:t>.5</w:t>
      </w:r>
      <w:r>
        <w:rPr>
          <w:rFonts w:cs="Times New Roman" w:hint="eastAsia"/>
          <w:b/>
          <w:bCs/>
          <w:szCs w:val="28"/>
        </w:rPr>
        <w:t>景观完整性影响分析</w:t>
      </w:r>
    </w:p>
    <w:p w:rsidR="00C645C9" w:rsidRDefault="00F955D9">
      <w:pPr>
        <w:spacing w:line="360" w:lineRule="auto"/>
        <w:ind w:firstLineChars="200" w:firstLine="480"/>
        <w:jc w:val="both"/>
        <w:rPr>
          <w:rFonts w:cs="Times New Roman"/>
          <w:szCs w:val="21"/>
        </w:rPr>
      </w:pPr>
      <w:r>
        <w:rPr>
          <w:rFonts w:cs="Times New Roman" w:hint="eastAsia"/>
          <w:szCs w:val="21"/>
        </w:rPr>
        <w:t>评价区域的基质为荒漠</w:t>
      </w:r>
      <w:r>
        <w:rPr>
          <w:rFonts w:cs="Times New Roman" w:hint="eastAsia"/>
          <w:szCs w:val="21"/>
        </w:rPr>
        <w:t>-</w:t>
      </w:r>
      <w:r>
        <w:rPr>
          <w:rFonts w:cs="Times New Roman" w:hint="eastAsia"/>
          <w:szCs w:val="21"/>
        </w:rPr>
        <w:t>农田</w:t>
      </w:r>
      <w:r>
        <w:rPr>
          <w:rFonts w:cs="Times New Roman" w:hint="eastAsia"/>
          <w:szCs w:val="21"/>
        </w:rPr>
        <w:t>-</w:t>
      </w:r>
      <w:r>
        <w:rPr>
          <w:rFonts w:cs="Times New Roman" w:hint="eastAsia"/>
          <w:szCs w:val="21"/>
        </w:rPr>
        <w:t>绿洲复合生态景观。荒漠生态景观的稳定性较差，异质化程度低；而绿洲与农</w:t>
      </w:r>
      <w:r>
        <w:rPr>
          <w:rFonts w:cs="Times New Roman" w:hint="eastAsia"/>
          <w:szCs w:val="21"/>
        </w:rPr>
        <w:t>田虽依赖人工灌溉维持，但其斑块分布增加了区</w:t>
      </w:r>
      <w:r>
        <w:rPr>
          <w:rFonts w:cs="Times New Roman" w:hint="eastAsia"/>
          <w:szCs w:val="21"/>
        </w:rPr>
        <w:lastRenderedPageBreak/>
        <w:t>域景观异质性。整体上，复合生态系统的稳定性和抵御干扰的能力仍受限于荒漠基质的主导性及绿洲</w:t>
      </w:r>
      <w:r>
        <w:rPr>
          <w:rFonts w:cs="Times New Roman" w:hint="eastAsia"/>
          <w:szCs w:val="21"/>
        </w:rPr>
        <w:t>-</w:t>
      </w:r>
      <w:r>
        <w:rPr>
          <w:rFonts w:cs="Times New Roman" w:hint="eastAsia"/>
          <w:szCs w:val="21"/>
        </w:rPr>
        <w:t>农田生态单元的脆弱性。</w:t>
      </w:r>
    </w:p>
    <w:p w:rsidR="00C645C9" w:rsidRDefault="00F955D9">
      <w:pPr>
        <w:spacing w:line="360" w:lineRule="auto"/>
        <w:ind w:firstLineChars="200" w:firstLine="480"/>
        <w:jc w:val="both"/>
        <w:rPr>
          <w:rFonts w:cs="Times New Roman"/>
          <w:szCs w:val="21"/>
        </w:rPr>
      </w:pPr>
      <w:r>
        <w:rPr>
          <w:rFonts w:cs="Times New Roman" w:hint="eastAsia"/>
          <w:szCs w:val="21"/>
        </w:rPr>
        <w:t>本工程总占地约</w:t>
      </w:r>
      <w:r>
        <w:rPr>
          <w:rFonts w:cs="Times New Roman" w:hint="eastAsia"/>
          <w:szCs w:val="21"/>
        </w:rPr>
        <w:t xml:space="preserve">4.09 </w:t>
      </w:r>
      <w:bookmarkStart w:id="1480" w:name="OLE_LINK1345"/>
      <w:r>
        <w:rPr>
          <w:rFonts w:cs="Times New Roman" w:hint="eastAsia"/>
          <w:szCs w:val="21"/>
        </w:rPr>
        <w:t>hm</w:t>
      </w:r>
      <w:r>
        <w:rPr>
          <w:rFonts w:cs="Times New Roman" w:hint="eastAsia"/>
          <w:szCs w:val="21"/>
          <w:vertAlign w:val="superscript"/>
        </w:rPr>
        <w:t>2</w:t>
      </w:r>
      <w:bookmarkEnd w:id="1480"/>
      <w:r>
        <w:rPr>
          <w:rFonts w:cs="Times New Roman" w:hint="eastAsia"/>
          <w:szCs w:val="21"/>
        </w:rPr>
        <w:t>，其中永久占地</w:t>
      </w:r>
      <w:r>
        <w:rPr>
          <w:rFonts w:cs="Times New Roman" w:hint="eastAsia"/>
          <w:szCs w:val="21"/>
        </w:rPr>
        <w:t>3.43 hm</w:t>
      </w:r>
      <w:r>
        <w:rPr>
          <w:rFonts w:cs="Times New Roman" w:hint="eastAsia"/>
          <w:szCs w:val="21"/>
          <w:vertAlign w:val="superscript"/>
        </w:rPr>
        <w:t>2</w:t>
      </w:r>
      <w:r>
        <w:rPr>
          <w:rFonts w:cs="Times New Roman" w:hint="eastAsia"/>
          <w:szCs w:val="21"/>
        </w:rPr>
        <w:t>、临时占地</w:t>
      </w:r>
      <w:r>
        <w:rPr>
          <w:rFonts w:cs="Times New Roman" w:hint="eastAsia"/>
          <w:szCs w:val="21"/>
        </w:rPr>
        <w:t>0.66 hm</w:t>
      </w:r>
      <w:r>
        <w:rPr>
          <w:rFonts w:cs="Times New Roman" w:hint="eastAsia"/>
          <w:szCs w:val="21"/>
          <w:vertAlign w:val="superscript"/>
        </w:rPr>
        <w:t>2</w:t>
      </w:r>
      <w:r>
        <w:rPr>
          <w:rFonts w:cs="Times New Roman" w:hint="eastAsia"/>
          <w:szCs w:val="21"/>
        </w:rPr>
        <w:t>。荒漠</w:t>
      </w:r>
      <w:r>
        <w:rPr>
          <w:rFonts w:cs="Times New Roman" w:hint="eastAsia"/>
          <w:szCs w:val="21"/>
        </w:rPr>
        <w:t>-</w:t>
      </w:r>
      <w:r>
        <w:rPr>
          <w:rFonts w:cs="Times New Roman" w:hint="eastAsia"/>
          <w:szCs w:val="21"/>
        </w:rPr>
        <w:t>绿洲过渡带内的部分区域被油田设施等永久构筑物占用，原有荒漠生态景观和部分人工绿洲</w:t>
      </w:r>
      <w:r>
        <w:rPr>
          <w:rFonts w:cs="Times New Roman" w:hint="eastAsia"/>
          <w:szCs w:val="21"/>
        </w:rPr>
        <w:t>/</w:t>
      </w:r>
      <w:r>
        <w:rPr>
          <w:rFonts w:cs="Times New Roman" w:hint="eastAsia"/>
          <w:szCs w:val="21"/>
        </w:rPr>
        <w:t>农田转化为人工硬化地表景观。由于工程占地规模较小，荒漠基质的主体性未发生根本改变，但局部景观破碎化程度有所增加，人工景观与自然景观的边界进一步交错。</w:t>
      </w:r>
    </w:p>
    <w:p w:rsidR="00C645C9" w:rsidRDefault="00F955D9">
      <w:pPr>
        <w:spacing w:line="360" w:lineRule="auto"/>
        <w:ind w:firstLineChars="200" w:firstLine="480"/>
        <w:jc w:val="both"/>
        <w:rPr>
          <w:rFonts w:cs="Times New Roman"/>
          <w:szCs w:val="21"/>
        </w:rPr>
      </w:pPr>
      <w:r>
        <w:rPr>
          <w:rFonts w:cs="Times New Roman" w:hint="eastAsia"/>
          <w:szCs w:val="21"/>
        </w:rPr>
        <w:t>综上所述，在荒漠</w:t>
      </w:r>
      <w:r>
        <w:rPr>
          <w:rFonts w:cs="Times New Roman" w:hint="eastAsia"/>
          <w:szCs w:val="21"/>
        </w:rPr>
        <w:t>-</w:t>
      </w:r>
      <w:r>
        <w:rPr>
          <w:rFonts w:cs="Times New Roman" w:hint="eastAsia"/>
          <w:szCs w:val="21"/>
        </w:rPr>
        <w:t>农田</w:t>
      </w:r>
      <w:r>
        <w:rPr>
          <w:rFonts w:cs="Times New Roman" w:hint="eastAsia"/>
          <w:szCs w:val="21"/>
        </w:rPr>
        <w:t>-</w:t>
      </w:r>
      <w:r>
        <w:rPr>
          <w:rFonts w:cs="Times New Roman" w:hint="eastAsia"/>
          <w:szCs w:val="21"/>
        </w:rPr>
        <w:t>绿洲复</w:t>
      </w:r>
      <w:r>
        <w:rPr>
          <w:rFonts w:cs="Times New Roman" w:hint="eastAsia"/>
          <w:szCs w:val="21"/>
        </w:rPr>
        <w:t>合生态系统的背景下，本工程对区域生态完整性的直接影响有限，但项目建设过程中需要注意以下问题：</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）人工干扰的累积影响：油田开发加剧了荒漠</w:t>
      </w:r>
      <w:r>
        <w:rPr>
          <w:rFonts w:cs="Times New Roman" w:hint="eastAsia"/>
          <w:szCs w:val="21"/>
        </w:rPr>
        <w:t>-</w:t>
      </w:r>
      <w:r>
        <w:rPr>
          <w:rFonts w:cs="Times New Roman" w:hint="eastAsia"/>
          <w:szCs w:val="21"/>
        </w:rPr>
        <w:t>绿洲边缘带由自然</w:t>
      </w:r>
      <w:r>
        <w:rPr>
          <w:rFonts w:cs="Times New Roman" w:hint="eastAsia"/>
          <w:szCs w:val="21"/>
        </w:rPr>
        <w:t>/</w:t>
      </w:r>
      <w:r>
        <w:rPr>
          <w:rFonts w:cs="Times New Roman" w:hint="eastAsia"/>
          <w:szCs w:val="21"/>
        </w:rPr>
        <w:t>半自然景观向人工景观的演替趋势，可能削弱绿洲生态屏障功能；</w:t>
      </w:r>
    </w:p>
    <w:p w:rsidR="00C645C9" w:rsidRDefault="00F955D9">
      <w:pPr>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）局部生态功能变化：永久占地区域的物质循环和能量流动路径被人工系统替代，可能影响周边荒漠</w:t>
      </w:r>
      <w:r>
        <w:rPr>
          <w:rFonts w:cs="Times New Roman" w:hint="eastAsia"/>
          <w:szCs w:val="21"/>
        </w:rPr>
        <w:t>-</w:t>
      </w:r>
      <w:r>
        <w:rPr>
          <w:rFonts w:cs="Times New Roman" w:hint="eastAsia"/>
          <w:szCs w:val="21"/>
        </w:rPr>
        <w:t>农田景观的风沙拦截、土壤水盐平衡等；</w:t>
      </w:r>
    </w:p>
    <w:p w:rsidR="00C645C9" w:rsidRDefault="00F955D9">
      <w:pPr>
        <w:adjustRightInd w:val="0"/>
        <w:snapToGrid w:val="0"/>
        <w:spacing w:line="360" w:lineRule="auto"/>
        <w:ind w:firstLineChars="200" w:firstLine="480"/>
        <w:jc w:val="both"/>
      </w:pPr>
      <w:r>
        <w:rPr>
          <w:rFonts w:cs="Times New Roman" w:hint="eastAsia"/>
          <w:szCs w:val="21"/>
        </w:rPr>
        <w:t>因此，在严格管控施工范围、落实生态修复措施的前提下，工程对评价区生态系统完整性和稳定性的影响可控，不会导致区域生态格局的质变性破坏。</w:t>
      </w:r>
    </w:p>
    <w:p w:rsidR="00C645C9" w:rsidRDefault="00F955D9">
      <w:pPr>
        <w:pStyle w:val="afffb"/>
        <w:rPr>
          <w:lang w:eastAsia="zh-CN"/>
        </w:rPr>
      </w:pPr>
      <w:r>
        <w:rPr>
          <w:lang w:eastAsia="zh-CN"/>
        </w:rPr>
        <w:t>5.1.</w:t>
      </w:r>
      <w:r>
        <w:rPr>
          <w:rFonts w:hint="eastAsia"/>
          <w:lang w:eastAsia="zh-CN"/>
        </w:rPr>
        <w:t>3</w:t>
      </w:r>
      <w:r>
        <w:rPr>
          <w:lang w:eastAsia="zh-CN"/>
        </w:rPr>
        <w:t>退役期生态影响分析</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随着油田开采的不断进行，其储量逐渐下降，最终井区将进入退役期。当油田开发接近尾声时，各种机械设备将停止使用，进驻其中的油田开发工作人员将陆续撤离油田区域，由此带来的大气污染物、生产废水、噪声及固体废物等对环境的影响将会消失。</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退役期的环境影响以生态环境的恢复为主，同时封井和井场清理也会产生少量扬尘和建筑垃圾，会对周围的环境造成一定影响。气井停采后将进行一系列清理工作，包括地面设施拆除、井场清理等，在这期间，将会产生少量扬尘和固体废物。在闭井施工操作中应注意采取降尘措施，文明施工，防止水泥等的洒落与飘散，同</w:t>
      </w:r>
      <w:r>
        <w:rPr>
          <w:rFonts w:cs="Times New Roman" w:hint="eastAsia"/>
          <w:szCs w:val="21"/>
        </w:rPr>
        <w:t>时在清理井场时防止飞灰、扬尘的产生，尽可能降低对周边大气环境的影响。</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另外，井场清理等工作还会产生部分废弃管线（地面管线拆除）、废弃建筑残渣等固体废物，对这些废弃管线、残渣等进行集中清理收集，管线外运经清洗</w:t>
      </w:r>
      <w:r>
        <w:rPr>
          <w:rFonts w:cs="Times New Roman" w:hint="eastAsia"/>
          <w:szCs w:val="21"/>
        </w:rPr>
        <w:lastRenderedPageBreak/>
        <w:t>后可回收再利用，废弃建筑残渣外运至指定处理场填埋处理。固体废物的妥善处理，可以有效控制对区域环境的影响。</w:t>
      </w:r>
    </w:p>
    <w:p w:rsidR="00C645C9" w:rsidRDefault="00F955D9">
      <w:pPr>
        <w:adjustRightInd w:val="0"/>
        <w:snapToGrid w:val="0"/>
        <w:spacing w:line="360" w:lineRule="auto"/>
        <w:ind w:firstLineChars="200" w:firstLine="480"/>
        <w:jc w:val="both"/>
      </w:pPr>
      <w:r>
        <w:rPr>
          <w:rFonts w:cs="Times New Roman" w:hint="eastAsia"/>
          <w:szCs w:val="21"/>
        </w:rPr>
        <w:t>迹地经过清理后，根据周边区域的自然现状对其进行恢复，使井场恢复到相对自然的一种状态。油田设施退役后，人员撤离，区域内没有人为扰动，井场范围内的自然植被会逐渐得以恢复，有助于区域生态环境的改善</w:t>
      </w:r>
      <w:r>
        <w:rPr>
          <w:rFonts w:cs="Times New Roman"/>
          <w:szCs w:val="21"/>
        </w:rPr>
        <w:t>。</w:t>
      </w:r>
    </w:p>
    <w:p w:rsidR="00C645C9" w:rsidRDefault="00F955D9">
      <w:pPr>
        <w:pStyle w:val="afffb"/>
        <w:rPr>
          <w:lang w:eastAsia="zh-CN"/>
        </w:rPr>
      </w:pPr>
      <w:r>
        <w:rPr>
          <w:lang w:eastAsia="zh-CN"/>
        </w:rPr>
        <w:t>5.1</w:t>
      </w:r>
      <w:r>
        <w:rPr>
          <w:lang w:eastAsia="zh-CN"/>
        </w:rPr>
        <w:t>.</w:t>
      </w:r>
      <w:r>
        <w:rPr>
          <w:rFonts w:hint="eastAsia"/>
          <w:lang w:eastAsia="zh-CN"/>
        </w:rPr>
        <w:t>4</w:t>
      </w:r>
      <w:r>
        <w:rPr>
          <w:lang w:eastAsia="zh-CN"/>
        </w:rPr>
        <w:t>生态影响评价自查表</w:t>
      </w:r>
    </w:p>
    <w:p w:rsidR="00C645C9" w:rsidRDefault="00F955D9">
      <w:pPr>
        <w:widowControl w:val="0"/>
        <w:adjustRightInd w:val="0"/>
        <w:snapToGrid w:val="0"/>
        <w:jc w:val="center"/>
        <w:rPr>
          <w:rFonts w:eastAsia="黑体" w:cs="Times New Roman"/>
          <w:kern w:val="2"/>
          <w:sz w:val="21"/>
          <w:szCs w:val="21"/>
          <w:lang w:bidi="ar"/>
        </w:rPr>
      </w:pPr>
      <w:bookmarkStart w:id="1481" w:name="_Toc31188"/>
      <w:r>
        <w:rPr>
          <w:rFonts w:eastAsia="黑体" w:cs="Times New Roman" w:hint="eastAsia"/>
          <w:kern w:val="2"/>
          <w:sz w:val="21"/>
          <w:szCs w:val="21"/>
          <w:lang w:bidi="ar"/>
        </w:rPr>
        <w:t>表</w:t>
      </w:r>
      <w:r>
        <w:rPr>
          <w:rFonts w:eastAsia="黑体" w:cs="Times New Roman" w:hint="eastAsia"/>
          <w:kern w:val="2"/>
          <w:sz w:val="21"/>
          <w:szCs w:val="21"/>
          <w:lang w:bidi="ar"/>
        </w:rPr>
        <w:t>5</w:t>
      </w:r>
      <w:r>
        <w:rPr>
          <w:rFonts w:eastAsia="黑体" w:cs="Times New Roman"/>
          <w:kern w:val="2"/>
          <w:sz w:val="21"/>
          <w:szCs w:val="21"/>
          <w:lang w:bidi="ar"/>
        </w:rPr>
        <w:t>.1-</w:t>
      </w:r>
      <w:r>
        <w:rPr>
          <w:rFonts w:eastAsia="黑体" w:cs="Times New Roman" w:hint="eastAsia"/>
          <w:kern w:val="2"/>
          <w:sz w:val="21"/>
          <w:szCs w:val="21"/>
          <w:lang w:bidi="ar"/>
        </w:rPr>
        <w:t xml:space="preserve">1   </w:t>
      </w:r>
      <w:r>
        <w:rPr>
          <w:rFonts w:eastAsia="黑体" w:cs="Times New Roman"/>
          <w:kern w:val="2"/>
          <w:sz w:val="21"/>
          <w:szCs w:val="21"/>
          <w:lang w:bidi="ar"/>
        </w:rPr>
        <w:t>生态影响评价自查表</w:t>
      </w:r>
      <w:bookmarkEnd w:id="1481"/>
    </w:p>
    <w:tbl>
      <w:tblPr>
        <w:tblW w:w="8441"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91"/>
        <w:gridCol w:w="241"/>
        <w:gridCol w:w="1365"/>
        <w:gridCol w:w="5944"/>
      </w:tblGrid>
      <w:tr w:rsidR="00C645C9">
        <w:trPr>
          <w:trHeight w:val="397"/>
          <w:jc w:val="center"/>
        </w:trPr>
        <w:tc>
          <w:tcPr>
            <w:tcW w:w="2497" w:type="dxa"/>
            <w:gridSpan w:val="3"/>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工作内容</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自查项目</w:t>
            </w:r>
          </w:p>
        </w:tc>
      </w:tr>
      <w:tr w:rsidR="00C645C9">
        <w:trPr>
          <w:trHeight w:val="397"/>
          <w:jc w:val="center"/>
        </w:trPr>
        <w:tc>
          <w:tcPr>
            <w:tcW w:w="891" w:type="dxa"/>
            <w:vMerge w:val="restart"/>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生态影响识别</w:t>
            </w:r>
          </w:p>
        </w:tc>
        <w:tc>
          <w:tcPr>
            <w:tcW w:w="1606" w:type="dxa"/>
            <w:gridSpan w:val="2"/>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生态保护目标</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重要物种</w:t>
            </w:r>
            <w:r>
              <w:rPr>
                <w:rFonts w:ascii="Segoe UI Symbol" w:hAnsi="Segoe UI Symbol" w:cs="Segoe UI Symbol"/>
                <w:sz w:val="21"/>
                <w:szCs w:val="21"/>
              </w:rPr>
              <w:t>☑</w:t>
            </w:r>
            <w:r>
              <w:rPr>
                <w:rFonts w:cs="Times New Roman" w:hint="eastAsia"/>
                <w:sz w:val="21"/>
                <w:szCs w:val="21"/>
              </w:rPr>
              <w:t>；国家公园□；自然保护区□；自然公园□；世界自然遗产□；生态保护红线□；重要生境□；其他具有重要生态功能、对保护生物多样性具有重要意义的区域□；其他</w:t>
            </w:r>
            <w:r>
              <w:rPr>
                <w:rFonts w:ascii="Segoe UI Symbol" w:hAnsi="Segoe UI Symbol" w:cs="Segoe UI Symbol"/>
                <w:sz w:val="21"/>
                <w:szCs w:val="21"/>
              </w:rPr>
              <w:t>☑</w:t>
            </w:r>
          </w:p>
        </w:tc>
      </w:tr>
      <w:tr w:rsidR="00C645C9">
        <w:trPr>
          <w:trHeight w:val="397"/>
          <w:jc w:val="center"/>
        </w:trPr>
        <w:tc>
          <w:tcPr>
            <w:tcW w:w="891" w:type="dxa"/>
            <w:vMerge/>
            <w:vAlign w:val="center"/>
          </w:tcPr>
          <w:p w:rsidR="00C645C9" w:rsidRDefault="00C645C9">
            <w:pPr>
              <w:adjustRightInd w:val="0"/>
              <w:snapToGrid w:val="0"/>
              <w:spacing w:line="0" w:lineRule="atLeast"/>
              <w:jc w:val="center"/>
              <w:rPr>
                <w:rFonts w:cs="Times New Roman"/>
                <w:sz w:val="21"/>
                <w:szCs w:val="21"/>
              </w:rPr>
            </w:pPr>
          </w:p>
        </w:tc>
        <w:tc>
          <w:tcPr>
            <w:tcW w:w="1606" w:type="dxa"/>
            <w:gridSpan w:val="2"/>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影响方式</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工程占用□；施工活动干扰</w:t>
            </w:r>
            <w:r>
              <w:rPr>
                <w:rFonts w:ascii="Segoe UI Symbol" w:hAnsi="Segoe UI Symbol" w:cs="Segoe UI Symbol"/>
                <w:sz w:val="21"/>
                <w:szCs w:val="21"/>
              </w:rPr>
              <w:t>☑</w:t>
            </w:r>
            <w:r>
              <w:rPr>
                <w:rFonts w:ascii="宋体" w:hAnsi="宋体" w:hint="eastAsia"/>
                <w:sz w:val="21"/>
                <w:szCs w:val="21"/>
              </w:rPr>
              <w:t>；改变环境条件□；其他</w:t>
            </w:r>
            <w:r>
              <w:rPr>
                <w:rFonts w:ascii="Segoe UI Symbol" w:hAnsi="Segoe UI Symbol" w:cs="Segoe UI Symbol"/>
                <w:sz w:val="21"/>
                <w:szCs w:val="21"/>
              </w:rPr>
              <w:t>☑</w:t>
            </w:r>
          </w:p>
        </w:tc>
      </w:tr>
      <w:tr w:rsidR="00C645C9">
        <w:trPr>
          <w:trHeight w:val="397"/>
          <w:jc w:val="center"/>
        </w:trPr>
        <w:tc>
          <w:tcPr>
            <w:tcW w:w="891" w:type="dxa"/>
            <w:vMerge/>
            <w:vAlign w:val="center"/>
          </w:tcPr>
          <w:p w:rsidR="00C645C9" w:rsidRDefault="00C645C9">
            <w:pPr>
              <w:adjustRightInd w:val="0"/>
              <w:snapToGrid w:val="0"/>
              <w:spacing w:line="0" w:lineRule="atLeast"/>
              <w:jc w:val="center"/>
              <w:rPr>
                <w:rFonts w:cs="Times New Roman"/>
                <w:sz w:val="21"/>
                <w:szCs w:val="21"/>
              </w:rPr>
            </w:pPr>
          </w:p>
        </w:tc>
        <w:tc>
          <w:tcPr>
            <w:tcW w:w="1606" w:type="dxa"/>
            <w:gridSpan w:val="2"/>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评价因子</w:t>
            </w:r>
          </w:p>
        </w:tc>
        <w:tc>
          <w:tcPr>
            <w:tcW w:w="5944" w:type="dxa"/>
            <w:vAlign w:val="bottom"/>
          </w:tcPr>
          <w:p w:rsidR="00C645C9" w:rsidRDefault="00F955D9">
            <w:pPr>
              <w:adjustRightInd w:val="0"/>
              <w:snapToGrid w:val="0"/>
              <w:spacing w:line="0" w:lineRule="atLeast"/>
              <w:rPr>
                <w:rFonts w:cs="Times New Roman"/>
                <w:sz w:val="21"/>
                <w:szCs w:val="21"/>
              </w:rPr>
            </w:pPr>
            <w:r>
              <w:rPr>
                <w:rFonts w:cs="Times New Roman" w:hint="eastAsia"/>
                <w:noProof/>
                <w:sz w:val="21"/>
                <w:szCs w:val="21"/>
              </w:rPr>
              <mc:AlternateContent>
                <mc:Choice Requires="wps">
                  <w:drawing>
                    <wp:anchor distT="0" distB="0" distL="114300" distR="114300" simplePos="0" relativeHeight="251673088" behindDoc="0" locked="0" layoutInCell="1" allowOverlap="1">
                      <wp:simplePos x="0" y="0"/>
                      <wp:positionH relativeFrom="page">
                        <wp:posOffset>4193540</wp:posOffset>
                      </wp:positionH>
                      <wp:positionV relativeFrom="page">
                        <wp:posOffset>1538605</wp:posOffset>
                      </wp:positionV>
                      <wp:extent cx="6350" cy="6350"/>
                      <wp:effectExtent l="0" t="0" r="0" b="0"/>
                      <wp:wrapNone/>
                      <wp:docPr id="197" name="矩形 1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rsidR="00C645C9" w:rsidRDefault="00C645C9">
                                  <w:pPr>
                                    <w:adjustRightInd w:val="0"/>
                                    <w:snapToGrid w:val="0"/>
                                    <w:spacing w:line="0" w:lineRule="atLeast"/>
                                    <w:jc w:val="center"/>
                                    <w:rPr>
                                      <w:rFonts w:cs="Times New Roman"/>
                                      <w:sz w:val="21"/>
                                      <w:szCs w:val="21"/>
                                    </w:rP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30.2pt;margin-top:121.15pt;height:0.5pt;width:0.5pt;mso-position-horizontal-relative:page;mso-position-vertical-relative:page;z-index:251694080;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tVbGvZAAAACwEAAA8AAAAAAAAAAQAgAAAAIgAAAGRycy9kb3ducmV2LnhtbFBLAQIUABQA&#10;AAAIAIdO4kBOTGTrtgEAAHcDAAAOAAAAAAAAAAEAIAAAACgBAABkcnMvZTJvRG9jLnhtbFBLBQYA&#10;AAAABgAGAFkBAABQBQAAAAA=&#10;">
                      <v:fill on="t" focussize="0,0"/>
                      <v:stroke on="f"/>
                      <v:imagedata o:title=""/>
                      <o:lock v:ext="edit" aspectratio="f"/>
                      <v:textbox>
                        <w:txbxContent>
                          <w:p>
                            <w:pPr>
                              <w:adjustRightInd w:val="0"/>
                              <w:snapToGrid w:val="0"/>
                              <w:spacing w:line="0" w:lineRule="atLeast"/>
                              <w:jc w:val="center"/>
                              <w:rPr>
                                <w:rFonts w:ascii="Times New Roman" w:hAnsi="Times New Roman" w:eastAsia="宋体" w:cs="Times New Roman"/>
                                <w:sz w:val="21"/>
                                <w:szCs w:val="21"/>
                              </w:rPr>
                            </w:pPr>
                          </w:p>
                        </w:txbxContent>
                      </v:textbox>
                    </v:rect>
                  </w:pict>
                </mc:Fallback>
              </mc:AlternateContent>
            </w:r>
            <w:r>
              <w:rPr>
                <w:rFonts w:cs="Times New Roman" w:hint="eastAsia"/>
                <w:sz w:val="21"/>
                <w:szCs w:val="21"/>
              </w:rPr>
              <w:t>物种</w:t>
            </w:r>
            <w:r>
              <w:rPr>
                <w:rFonts w:ascii="Segoe UI Symbol" w:hAnsi="Segoe UI Symbol" w:cs="Segoe UI Symbol"/>
                <w:sz w:val="21"/>
                <w:szCs w:val="21"/>
              </w:rPr>
              <w:t>☑</w:t>
            </w:r>
            <w:r>
              <w:rPr>
                <w:rFonts w:cs="Times New Roman" w:hint="eastAsia"/>
                <w:sz w:val="21"/>
                <w:szCs w:val="21"/>
              </w:rPr>
              <w:t>（分布范围、种群数量、种群结构、行为等）</w:t>
            </w:r>
          </w:p>
          <w:p w:rsidR="00C645C9" w:rsidRDefault="00F955D9">
            <w:pPr>
              <w:adjustRightInd w:val="0"/>
              <w:snapToGrid w:val="0"/>
              <w:spacing w:line="0" w:lineRule="atLeast"/>
              <w:rPr>
                <w:rFonts w:cs="Times New Roman"/>
                <w:sz w:val="21"/>
                <w:szCs w:val="21"/>
              </w:rPr>
            </w:pPr>
            <w:r>
              <w:rPr>
                <w:rFonts w:cs="Times New Roman" w:hint="eastAsia"/>
                <w:sz w:val="21"/>
                <w:szCs w:val="21"/>
              </w:rPr>
              <w:t>生境</w:t>
            </w:r>
            <w:r>
              <w:rPr>
                <w:rFonts w:ascii="Segoe UI Symbol" w:hAnsi="Segoe UI Symbol" w:cs="Segoe UI Symbol"/>
                <w:sz w:val="21"/>
                <w:szCs w:val="21"/>
              </w:rPr>
              <w:t>☑</w:t>
            </w:r>
            <w:r>
              <w:rPr>
                <w:rFonts w:ascii="宋体" w:hAnsi="宋体" w:hint="eastAsia"/>
                <w:sz w:val="21"/>
                <w:szCs w:val="21"/>
              </w:rPr>
              <w:t>（生境面积、质量</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生物群落</w:t>
            </w:r>
            <w:r>
              <w:rPr>
                <w:rFonts w:ascii="Segoe UI Symbol" w:hAnsi="Segoe UI Symbol" w:cs="Segoe UI Symbol"/>
                <w:sz w:val="21"/>
                <w:szCs w:val="21"/>
              </w:rPr>
              <w:t>☑</w:t>
            </w:r>
            <w:r>
              <w:rPr>
                <w:rFonts w:ascii="宋体" w:hAnsi="宋体" w:hint="eastAsia"/>
                <w:sz w:val="21"/>
                <w:szCs w:val="21"/>
              </w:rPr>
              <w:t>（物种组成、群落结构等</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生态系统</w:t>
            </w:r>
            <w:r>
              <w:rPr>
                <w:rFonts w:ascii="Segoe UI Symbol" w:hAnsi="Segoe UI Symbol" w:cs="Segoe UI Symbol"/>
                <w:sz w:val="21"/>
                <w:szCs w:val="21"/>
              </w:rPr>
              <w:t>☑</w:t>
            </w:r>
            <w:r>
              <w:rPr>
                <w:rFonts w:cs="Times New Roman" w:hint="eastAsia"/>
                <w:sz w:val="21"/>
                <w:szCs w:val="21"/>
              </w:rPr>
              <w:t>（植被覆盖度、生态系统功能等</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生物多样性</w:t>
            </w:r>
            <w:r>
              <w:rPr>
                <w:rFonts w:ascii="Segoe UI Symbol" w:hAnsi="Segoe UI Symbol" w:cs="Segoe UI Symbol" w:hint="eastAsia"/>
                <w:sz w:val="21"/>
                <w:szCs w:val="21"/>
              </w:rPr>
              <w:t>□</w:t>
            </w:r>
            <w:r>
              <w:rPr>
                <w:rFonts w:ascii="宋体" w:hAnsi="宋体" w:hint="eastAsia"/>
                <w:sz w:val="21"/>
                <w:szCs w:val="21"/>
              </w:rPr>
              <w:t>（物种丰富度、优势度等</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生态敏感区□（</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自然景观</w:t>
            </w:r>
            <w:r>
              <w:rPr>
                <w:rFonts w:ascii="Segoe UI Symbol" w:hAnsi="Segoe UI Symbol" w:cs="Segoe UI Symbol" w:hint="eastAsia"/>
                <w:sz w:val="21"/>
                <w:szCs w:val="21"/>
              </w:rPr>
              <w:t>□</w:t>
            </w:r>
            <w:r>
              <w:rPr>
                <w:rFonts w:ascii="宋体" w:hAnsi="宋体" w:hint="eastAsia"/>
                <w:sz w:val="21"/>
                <w:szCs w:val="21"/>
              </w:rPr>
              <w:t>（景观多样性、完整性</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自然遗迹□（</w:t>
            </w:r>
            <w:r>
              <w:rPr>
                <w:rFonts w:cs="Times New Roman" w:hint="eastAsia"/>
                <w:sz w:val="21"/>
                <w:szCs w:val="21"/>
              </w:rPr>
              <w:t xml:space="preserve">                                     </w:t>
            </w:r>
            <w:r>
              <w:rPr>
                <w:rFonts w:cs="Times New Roman" w:hint="eastAsia"/>
                <w:sz w:val="21"/>
                <w:szCs w:val="21"/>
              </w:rPr>
              <w:t>）</w:t>
            </w:r>
          </w:p>
          <w:p w:rsidR="00C645C9" w:rsidRDefault="00F955D9">
            <w:pPr>
              <w:adjustRightInd w:val="0"/>
              <w:snapToGrid w:val="0"/>
              <w:spacing w:line="0" w:lineRule="atLeast"/>
              <w:rPr>
                <w:rFonts w:cs="Times New Roman"/>
                <w:sz w:val="21"/>
                <w:szCs w:val="21"/>
              </w:rPr>
            </w:pPr>
            <w:r>
              <w:rPr>
                <w:rFonts w:cs="Times New Roman" w:hint="eastAsia"/>
                <w:sz w:val="21"/>
                <w:szCs w:val="21"/>
              </w:rPr>
              <w:t>其他</w:t>
            </w:r>
            <w:r>
              <w:rPr>
                <w:rFonts w:ascii="Segoe UI Symbol" w:hAnsi="Segoe UI Symbol" w:cs="Segoe UI Symbol"/>
                <w:sz w:val="21"/>
                <w:szCs w:val="21"/>
              </w:rPr>
              <w:t>☑</w:t>
            </w:r>
            <w:r>
              <w:rPr>
                <w:rFonts w:ascii="宋体" w:hAnsi="宋体" w:hint="eastAsia"/>
                <w:sz w:val="21"/>
                <w:szCs w:val="21"/>
              </w:rPr>
              <w:t>（水</w:t>
            </w:r>
            <w:r>
              <w:rPr>
                <w:rFonts w:cs="Times New Roman" w:hint="eastAsia"/>
                <w:sz w:val="21"/>
                <w:szCs w:val="21"/>
              </w:rPr>
              <w:t>土流失等</w:t>
            </w:r>
            <w:r>
              <w:rPr>
                <w:rFonts w:cs="Times New Roman" w:hint="eastAsia"/>
                <w:sz w:val="21"/>
                <w:szCs w:val="21"/>
              </w:rPr>
              <w:t xml:space="preserve">      </w:t>
            </w:r>
            <w:r>
              <w:rPr>
                <w:rFonts w:cs="Times New Roman" w:hint="eastAsia"/>
                <w:sz w:val="21"/>
                <w:szCs w:val="21"/>
              </w:rPr>
              <w:t>）</w:t>
            </w:r>
          </w:p>
        </w:tc>
      </w:tr>
      <w:tr w:rsidR="00C645C9">
        <w:trPr>
          <w:trHeight w:val="397"/>
          <w:jc w:val="center"/>
        </w:trPr>
        <w:tc>
          <w:tcPr>
            <w:tcW w:w="2497" w:type="dxa"/>
            <w:gridSpan w:val="3"/>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评价等级</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一级□</w:t>
            </w:r>
            <w:r>
              <w:rPr>
                <w:rFonts w:cs="Times New Roman" w:hint="eastAsia"/>
                <w:sz w:val="21"/>
                <w:szCs w:val="21"/>
              </w:rPr>
              <w:t xml:space="preserve">  </w:t>
            </w:r>
            <w:r>
              <w:rPr>
                <w:rFonts w:cs="Times New Roman" w:hint="eastAsia"/>
                <w:sz w:val="21"/>
                <w:szCs w:val="21"/>
              </w:rPr>
              <w:t>二级</w:t>
            </w:r>
            <w:r>
              <w:rPr>
                <w:rFonts w:ascii="Segoe UI Symbol" w:hAnsi="Segoe UI Symbol" w:cs="Segoe UI Symbol" w:hint="eastAsia"/>
                <w:sz w:val="21"/>
                <w:szCs w:val="21"/>
              </w:rPr>
              <w:t>□</w:t>
            </w:r>
            <w:r>
              <w:rPr>
                <w:rFonts w:cs="Times New Roman" w:hint="eastAsia"/>
                <w:sz w:val="21"/>
                <w:szCs w:val="21"/>
              </w:rPr>
              <w:t xml:space="preserve">  </w:t>
            </w:r>
            <w:r>
              <w:rPr>
                <w:rFonts w:cs="Times New Roman" w:hint="eastAsia"/>
                <w:sz w:val="21"/>
                <w:szCs w:val="21"/>
              </w:rPr>
              <w:t>三级</w:t>
            </w:r>
            <w:r>
              <w:rPr>
                <w:rFonts w:cs="Times New Roman" w:hint="eastAsia"/>
                <w:sz w:val="21"/>
                <w:szCs w:val="21"/>
              </w:rPr>
              <w:t>☑</w:t>
            </w:r>
            <w:r>
              <w:rPr>
                <w:rFonts w:cs="Times New Roman" w:hint="eastAsia"/>
                <w:sz w:val="21"/>
                <w:szCs w:val="21"/>
              </w:rPr>
              <w:t xml:space="preserve">  </w:t>
            </w:r>
            <w:r>
              <w:rPr>
                <w:rFonts w:cs="Times New Roman" w:hint="eastAsia"/>
                <w:sz w:val="21"/>
                <w:szCs w:val="21"/>
              </w:rPr>
              <w:t>生态影响简单分析□</w:t>
            </w:r>
          </w:p>
        </w:tc>
      </w:tr>
      <w:tr w:rsidR="00C645C9">
        <w:trPr>
          <w:trHeight w:val="397"/>
          <w:jc w:val="center"/>
        </w:trPr>
        <w:tc>
          <w:tcPr>
            <w:tcW w:w="2497" w:type="dxa"/>
            <w:gridSpan w:val="3"/>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评价范围</w:t>
            </w:r>
          </w:p>
        </w:tc>
        <w:tc>
          <w:tcPr>
            <w:tcW w:w="5944" w:type="dxa"/>
            <w:vAlign w:val="center"/>
          </w:tcPr>
          <w:p w:rsidR="00C645C9" w:rsidRDefault="00F955D9">
            <w:pPr>
              <w:adjustRightInd w:val="0"/>
              <w:snapToGrid w:val="0"/>
              <w:spacing w:line="0" w:lineRule="atLeast"/>
              <w:jc w:val="center"/>
              <w:rPr>
                <w:rFonts w:ascii="宋体" w:hAnsi="宋体"/>
                <w:sz w:val="21"/>
                <w:szCs w:val="21"/>
              </w:rPr>
            </w:pPr>
            <w:r>
              <w:rPr>
                <w:rFonts w:ascii="宋体" w:hAnsi="宋体" w:hint="eastAsia"/>
                <w:sz w:val="21"/>
                <w:szCs w:val="21"/>
              </w:rPr>
              <w:t>陆域面积：</w:t>
            </w:r>
            <w:r>
              <w:rPr>
                <w:rFonts w:cs="Times New Roman"/>
                <w:sz w:val="21"/>
                <w:szCs w:val="21"/>
              </w:rPr>
              <w:t>（</w:t>
            </w:r>
            <w:r>
              <w:rPr>
                <w:rFonts w:cs="Times New Roman" w:hint="eastAsia"/>
                <w:sz w:val="21"/>
                <w:szCs w:val="21"/>
              </w:rPr>
              <w:t>0.103</w:t>
            </w:r>
            <w:r>
              <w:rPr>
                <w:rFonts w:cs="Times New Roman"/>
                <w:sz w:val="21"/>
                <w:szCs w:val="21"/>
              </w:rPr>
              <w:t>）</w:t>
            </w:r>
            <w:r>
              <w:rPr>
                <w:rFonts w:cs="Times New Roman"/>
                <w:sz w:val="21"/>
                <w:szCs w:val="21"/>
              </w:rPr>
              <w:t>km</w:t>
            </w:r>
            <w:r>
              <w:rPr>
                <w:rFonts w:cs="Times New Roman"/>
                <w:sz w:val="21"/>
                <w:szCs w:val="21"/>
                <w:vertAlign w:val="superscript"/>
              </w:rPr>
              <w:t>2</w:t>
            </w:r>
            <w:r>
              <w:rPr>
                <w:rFonts w:cs="Times New Roman"/>
                <w:sz w:val="21"/>
                <w:szCs w:val="21"/>
              </w:rPr>
              <w:t>；水域面积：（）</w:t>
            </w:r>
            <w:r>
              <w:rPr>
                <w:rFonts w:cs="Times New Roman"/>
                <w:sz w:val="21"/>
                <w:szCs w:val="21"/>
              </w:rPr>
              <w:t>km</w:t>
            </w:r>
            <w:r>
              <w:rPr>
                <w:rFonts w:cs="Times New Roman"/>
                <w:sz w:val="21"/>
                <w:szCs w:val="21"/>
                <w:vertAlign w:val="superscript"/>
              </w:rPr>
              <w:t>2</w:t>
            </w:r>
          </w:p>
        </w:tc>
      </w:tr>
      <w:tr w:rsidR="00C645C9">
        <w:trPr>
          <w:trHeight w:val="397"/>
          <w:jc w:val="center"/>
        </w:trPr>
        <w:tc>
          <w:tcPr>
            <w:tcW w:w="1132" w:type="dxa"/>
            <w:gridSpan w:val="2"/>
            <w:vMerge w:val="restart"/>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生态现状调查与评价</w:t>
            </w: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调查方法</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资料收集</w:t>
            </w:r>
            <w:r>
              <w:rPr>
                <w:rFonts w:ascii="Segoe UI Symbol" w:hAnsi="Segoe UI Symbol" w:cs="Segoe UI Symbol"/>
                <w:sz w:val="21"/>
                <w:szCs w:val="21"/>
              </w:rPr>
              <w:t>☑</w:t>
            </w:r>
            <w:r>
              <w:rPr>
                <w:rFonts w:cs="Times New Roman" w:hint="eastAsia"/>
                <w:sz w:val="21"/>
                <w:szCs w:val="21"/>
              </w:rPr>
              <w:t>；遥感调查</w:t>
            </w:r>
            <w:r>
              <w:rPr>
                <w:rFonts w:ascii="Segoe UI Symbol" w:hAnsi="Segoe UI Symbol" w:cs="Segoe UI Symbol"/>
                <w:sz w:val="21"/>
                <w:szCs w:val="21"/>
              </w:rPr>
              <w:t>☑</w:t>
            </w:r>
            <w:r>
              <w:rPr>
                <w:rFonts w:cs="Times New Roman" w:hint="eastAsia"/>
                <w:sz w:val="21"/>
                <w:szCs w:val="21"/>
              </w:rPr>
              <w:t>；调查样方、样线</w:t>
            </w:r>
            <w:r>
              <w:rPr>
                <w:rFonts w:ascii="Segoe UI Symbol" w:hAnsi="Segoe UI Symbol" w:cs="Segoe UI Symbol" w:hint="eastAsia"/>
                <w:sz w:val="21"/>
                <w:szCs w:val="21"/>
              </w:rPr>
              <w:t>□</w:t>
            </w:r>
            <w:r>
              <w:rPr>
                <w:rFonts w:cs="Times New Roman" w:hint="eastAsia"/>
                <w:sz w:val="21"/>
                <w:szCs w:val="21"/>
              </w:rPr>
              <w:t>；调查点位、断面□；专家和公众咨询法□；其他</w:t>
            </w:r>
            <w:r>
              <w:rPr>
                <w:rFonts w:ascii="Segoe UI Symbol" w:hAnsi="Segoe UI Symbol" w:cs="Segoe UI Symbol"/>
                <w:sz w:val="21"/>
                <w:szCs w:val="21"/>
              </w:rPr>
              <w:t>☑</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调查时间</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春季□；夏季</w:t>
            </w:r>
            <w:r>
              <w:rPr>
                <w:rFonts w:ascii="Segoe UI Symbol" w:hAnsi="Segoe UI Symbol" w:cs="Segoe UI Symbol"/>
                <w:sz w:val="21"/>
                <w:szCs w:val="21"/>
              </w:rPr>
              <w:t>☑</w:t>
            </w:r>
            <w:r>
              <w:rPr>
                <w:rFonts w:cs="Times New Roman" w:hint="eastAsia"/>
                <w:sz w:val="21"/>
                <w:szCs w:val="21"/>
              </w:rPr>
              <w:t>；秋季□；冬季□</w:t>
            </w:r>
          </w:p>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丰水期□；枯水期□；平水期□</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所在区域的生态问题</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水土流失</w:t>
            </w:r>
            <w:r>
              <w:rPr>
                <w:rFonts w:ascii="Segoe UI Symbol" w:hAnsi="Segoe UI Symbol" w:cs="Segoe UI Symbol"/>
                <w:sz w:val="21"/>
                <w:szCs w:val="21"/>
              </w:rPr>
              <w:t>☑</w:t>
            </w:r>
            <w:r>
              <w:rPr>
                <w:rFonts w:cs="Times New Roman" w:hint="eastAsia"/>
                <w:sz w:val="21"/>
                <w:szCs w:val="21"/>
              </w:rPr>
              <w:t>；沙漠化</w:t>
            </w:r>
            <w:r>
              <w:rPr>
                <w:rFonts w:ascii="Segoe UI Symbol" w:hAnsi="Segoe UI Symbol" w:cs="Segoe UI Symbol" w:hint="eastAsia"/>
                <w:sz w:val="21"/>
                <w:szCs w:val="21"/>
              </w:rPr>
              <w:t>□</w:t>
            </w:r>
            <w:r>
              <w:rPr>
                <w:rFonts w:cs="Times New Roman" w:hint="eastAsia"/>
                <w:sz w:val="21"/>
                <w:szCs w:val="21"/>
              </w:rPr>
              <w:t>；石漠化□；盐渍化</w:t>
            </w:r>
            <w:r>
              <w:rPr>
                <w:rFonts w:ascii="Segoe UI Symbol" w:hAnsi="Segoe UI Symbol" w:cs="Segoe UI Symbol" w:hint="eastAsia"/>
                <w:sz w:val="21"/>
                <w:szCs w:val="21"/>
              </w:rPr>
              <w:t>☑</w:t>
            </w:r>
            <w:r>
              <w:rPr>
                <w:rFonts w:cs="Times New Roman" w:hint="eastAsia"/>
                <w:sz w:val="21"/>
                <w:szCs w:val="21"/>
              </w:rPr>
              <w:t>；生物入侵□；污染危害□；其他</w:t>
            </w:r>
            <w:r>
              <w:rPr>
                <w:rFonts w:ascii="Segoe UI Symbol" w:hAnsi="Segoe UI Symbol" w:cs="Segoe UI Symbol"/>
                <w:sz w:val="21"/>
                <w:szCs w:val="21"/>
              </w:rPr>
              <w:t>☑</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评价内容</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植被</w:t>
            </w:r>
            <w:r>
              <w:rPr>
                <w:rFonts w:cs="Times New Roman" w:hint="eastAsia"/>
                <w:sz w:val="21"/>
                <w:szCs w:val="21"/>
              </w:rPr>
              <w:t>/</w:t>
            </w:r>
            <w:r>
              <w:rPr>
                <w:rFonts w:cs="Times New Roman" w:hint="eastAsia"/>
                <w:sz w:val="21"/>
                <w:szCs w:val="21"/>
              </w:rPr>
              <w:t>植物群落</w:t>
            </w:r>
            <w:r>
              <w:rPr>
                <w:rFonts w:ascii="Segoe UI Symbol" w:hAnsi="Segoe UI Symbol" w:cs="Segoe UI Symbol"/>
                <w:sz w:val="21"/>
                <w:szCs w:val="21"/>
              </w:rPr>
              <w:t>☑</w:t>
            </w:r>
            <w:r>
              <w:rPr>
                <w:rFonts w:cs="Times New Roman" w:hint="eastAsia"/>
                <w:sz w:val="21"/>
                <w:szCs w:val="21"/>
              </w:rPr>
              <w:t>；土地利用</w:t>
            </w:r>
            <w:r>
              <w:rPr>
                <w:rFonts w:ascii="Segoe UI Symbol" w:hAnsi="Segoe UI Symbol" w:cs="Segoe UI Symbol"/>
                <w:sz w:val="21"/>
                <w:szCs w:val="21"/>
              </w:rPr>
              <w:t>☑</w:t>
            </w:r>
            <w:r>
              <w:rPr>
                <w:rFonts w:cs="Times New Roman" w:hint="eastAsia"/>
                <w:sz w:val="21"/>
                <w:szCs w:val="21"/>
              </w:rPr>
              <w:t>；生态系统</w:t>
            </w:r>
            <w:r>
              <w:rPr>
                <w:rFonts w:ascii="Segoe UI Symbol" w:hAnsi="Segoe UI Symbol" w:cs="Segoe UI Symbol"/>
                <w:sz w:val="21"/>
                <w:szCs w:val="21"/>
              </w:rPr>
              <w:t>☑</w:t>
            </w:r>
            <w:r>
              <w:rPr>
                <w:rFonts w:cs="Times New Roman" w:hint="eastAsia"/>
                <w:sz w:val="21"/>
                <w:szCs w:val="21"/>
              </w:rPr>
              <w:t>；生物多样性</w:t>
            </w:r>
            <w:r>
              <w:rPr>
                <w:rFonts w:ascii="Segoe UI Symbol" w:hAnsi="Segoe UI Symbol" w:cs="Segoe UI Symbol" w:hint="eastAsia"/>
                <w:sz w:val="21"/>
                <w:szCs w:val="21"/>
              </w:rPr>
              <w:t>□</w:t>
            </w:r>
            <w:r>
              <w:rPr>
                <w:rFonts w:cs="Times New Roman" w:hint="eastAsia"/>
                <w:sz w:val="21"/>
                <w:szCs w:val="21"/>
              </w:rPr>
              <w:t>；重要物种</w:t>
            </w:r>
            <w:r>
              <w:rPr>
                <w:rFonts w:ascii="Segoe UI Symbol" w:hAnsi="Segoe UI Symbol" w:cs="Segoe UI Symbol"/>
                <w:sz w:val="21"/>
                <w:szCs w:val="21"/>
              </w:rPr>
              <w:t>☑</w:t>
            </w:r>
            <w:r>
              <w:rPr>
                <w:rFonts w:cs="Times New Roman" w:hint="eastAsia"/>
                <w:sz w:val="21"/>
                <w:szCs w:val="21"/>
              </w:rPr>
              <w:t>；生态敏感区</w:t>
            </w:r>
            <w:r>
              <w:rPr>
                <w:rFonts w:cs="Times New Roman" w:hint="eastAsia"/>
                <w:sz w:val="21"/>
                <w:szCs w:val="21"/>
              </w:rPr>
              <w:t>☑</w:t>
            </w:r>
            <w:r>
              <w:rPr>
                <w:rFonts w:cs="Times New Roman" w:hint="eastAsia"/>
                <w:sz w:val="21"/>
                <w:szCs w:val="21"/>
              </w:rPr>
              <w:t>；其他</w:t>
            </w:r>
            <w:r>
              <w:rPr>
                <w:rFonts w:ascii="Segoe UI Symbol" w:hAnsi="Segoe UI Symbol" w:cs="Segoe UI Symbol"/>
                <w:sz w:val="21"/>
                <w:szCs w:val="21"/>
              </w:rPr>
              <w:t>☑</w:t>
            </w:r>
          </w:p>
        </w:tc>
      </w:tr>
      <w:tr w:rsidR="00C645C9">
        <w:trPr>
          <w:trHeight w:val="397"/>
          <w:jc w:val="center"/>
        </w:trPr>
        <w:tc>
          <w:tcPr>
            <w:tcW w:w="1132" w:type="dxa"/>
            <w:gridSpan w:val="2"/>
            <w:vMerge w:val="restart"/>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生态影响预测与评价</w:t>
            </w: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评价方法</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定性</w:t>
            </w:r>
            <w:r>
              <w:rPr>
                <w:rFonts w:cs="Times New Roman" w:hint="eastAsia"/>
                <w:sz w:val="21"/>
                <w:szCs w:val="21"/>
              </w:rPr>
              <w:t>□</w:t>
            </w:r>
            <w:r>
              <w:rPr>
                <w:rFonts w:cs="Times New Roman" w:hint="eastAsia"/>
                <w:sz w:val="21"/>
                <w:szCs w:val="21"/>
              </w:rPr>
              <w:t>；定性和定量</w:t>
            </w:r>
            <w:r>
              <w:rPr>
                <w:rFonts w:ascii="Segoe UI Symbol" w:hAnsi="Segoe UI Symbol" w:cs="Segoe UI Symbol" w:hint="eastAsia"/>
                <w:sz w:val="21"/>
                <w:szCs w:val="21"/>
              </w:rPr>
              <w:t>☑</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评价内容</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植被</w:t>
            </w:r>
            <w:r>
              <w:rPr>
                <w:rFonts w:cs="Times New Roman" w:hint="eastAsia"/>
                <w:sz w:val="21"/>
                <w:szCs w:val="21"/>
              </w:rPr>
              <w:t>/</w:t>
            </w:r>
            <w:r>
              <w:rPr>
                <w:rFonts w:cs="Times New Roman" w:hint="eastAsia"/>
                <w:sz w:val="21"/>
                <w:szCs w:val="21"/>
              </w:rPr>
              <w:t>植物群落</w:t>
            </w:r>
            <w:r>
              <w:rPr>
                <w:rFonts w:ascii="Segoe UI Symbol" w:hAnsi="Segoe UI Symbol" w:cs="Segoe UI Symbol"/>
                <w:sz w:val="21"/>
                <w:szCs w:val="21"/>
              </w:rPr>
              <w:t>☑</w:t>
            </w:r>
            <w:r>
              <w:rPr>
                <w:rFonts w:cs="Times New Roman" w:hint="eastAsia"/>
                <w:sz w:val="21"/>
                <w:szCs w:val="21"/>
              </w:rPr>
              <w:t>；土地利用</w:t>
            </w:r>
            <w:r>
              <w:rPr>
                <w:rFonts w:ascii="Segoe UI Symbol" w:hAnsi="Segoe UI Symbol" w:cs="Segoe UI Symbol"/>
                <w:sz w:val="21"/>
                <w:szCs w:val="21"/>
              </w:rPr>
              <w:t>☑</w:t>
            </w:r>
            <w:r>
              <w:rPr>
                <w:rFonts w:cs="Times New Roman" w:hint="eastAsia"/>
                <w:sz w:val="21"/>
                <w:szCs w:val="21"/>
              </w:rPr>
              <w:t>；生态系统</w:t>
            </w:r>
            <w:r>
              <w:rPr>
                <w:rFonts w:ascii="Segoe UI Symbol" w:hAnsi="Segoe UI Symbol" w:cs="Segoe UI Symbol"/>
                <w:sz w:val="21"/>
                <w:szCs w:val="21"/>
              </w:rPr>
              <w:t>☑</w:t>
            </w:r>
            <w:r>
              <w:rPr>
                <w:rFonts w:cs="Times New Roman" w:hint="eastAsia"/>
                <w:sz w:val="21"/>
                <w:szCs w:val="21"/>
              </w:rPr>
              <w:t>；生物多样性</w:t>
            </w:r>
            <w:r>
              <w:rPr>
                <w:rFonts w:ascii="Segoe UI Symbol" w:hAnsi="Segoe UI Symbol" w:cs="Segoe UI Symbol" w:hint="eastAsia"/>
                <w:sz w:val="21"/>
                <w:szCs w:val="21"/>
              </w:rPr>
              <w:t>□</w:t>
            </w:r>
            <w:r>
              <w:rPr>
                <w:rFonts w:cs="Times New Roman" w:hint="eastAsia"/>
                <w:sz w:val="21"/>
                <w:szCs w:val="21"/>
              </w:rPr>
              <w:t>；重要物种</w:t>
            </w:r>
            <w:r>
              <w:rPr>
                <w:rFonts w:ascii="Segoe UI Symbol" w:hAnsi="Segoe UI Symbol" w:cs="Segoe UI Symbol"/>
                <w:sz w:val="21"/>
                <w:szCs w:val="21"/>
              </w:rPr>
              <w:t>☑</w:t>
            </w:r>
            <w:r>
              <w:rPr>
                <w:rFonts w:cs="Times New Roman" w:hint="eastAsia"/>
                <w:sz w:val="21"/>
                <w:szCs w:val="21"/>
              </w:rPr>
              <w:t>；生态敏感区□；生物入侵风险□；其他</w:t>
            </w:r>
            <w:r>
              <w:rPr>
                <w:rFonts w:ascii="Segoe UI Symbol" w:hAnsi="Segoe UI Symbol" w:cs="Segoe UI Symbol"/>
                <w:sz w:val="21"/>
                <w:szCs w:val="21"/>
              </w:rPr>
              <w:t>☑</w:t>
            </w:r>
          </w:p>
        </w:tc>
      </w:tr>
      <w:tr w:rsidR="00C645C9">
        <w:trPr>
          <w:trHeight w:val="397"/>
          <w:jc w:val="center"/>
        </w:trPr>
        <w:tc>
          <w:tcPr>
            <w:tcW w:w="1132" w:type="dxa"/>
            <w:gridSpan w:val="2"/>
            <w:vMerge w:val="restart"/>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生态保护对策措施</w:t>
            </w: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对策措施</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避让□；减缓</w:t>
            </w:r>
            <w:r>
              <w:rPr>
                <w:rFonts w:ascii="Segoe UI Symbol" w:hAnsi="Segoe UI Symbol" w:cs="Segoe UI Symbol"/>
                <w:sz w:val="21"/>
                <w:szCs w:val="21"/>
              </w:rPr>
              <w:t>☑</w:t>
            </w:r>
            <w:r>
              <w:rPr>
                <w:rFonts w:cs="Times New Roman" w:hint="eastAsia"/>
                <w:sz w:val="21"/>
                <w:szCs w:val="21"/>
              </w:rPr>
              <w:t>；生态修复</w:t>
            </w:r>
            <w:r>
              <w:rPr>
                <w:rFonts w:ascii="Segoe UI Symbol" w:hAnsi="Segoe UI Symbol" w:cs="Segoe UI Symbol"/>
                <w:sz w:val="21"/>
                <w:szCs w:val="21"/>
              </w:rPr>
              <w:t>☑</w:t>
            </w:r>
            <w:r>
              <w:rPr>
                <w:rFonts w:cs="Times New Roman" w:hint="eastAsia"/>
                <w:sz w:val="21"/>
                <w:szCs w:val="21"/>
              </w:rPr>
              <w:t>；生态补偿□；科研□；其他</w:t>
            </w:r>
            <w:r>
              <w:rPr>
                <w:rFonts w:ascii="Segoe UI Symbol" w:hAnsi="Segoe UI Symbol" w:cs="Segoe UI Symbol"/>
                <w:sz w:val="21"/>
                <w:szCs w:val="21"/>
              </w:rPr>
              <w:t>☑</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生态监测计划</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全生命周期□；长期跟踪□；常规</w:t>
            </w:r>
            <w:r>
              <w:rPr>
                <w:rFonts w:ascii="Segoe UI Symbol" w:hAnsi="Segoe UI Symbol" w:cs="Segoe UI Symbol"/>
                <w:sz w:val="21"/>
                <w:szCs w:val="21"/>
              </w:rPr>
              <w:t>☑</w:t>
            </w:r>
            <w:r>
              <w:rPr>
                <w:rFonts w:ascii="宋体" w:hAnsi="宋体" w:hint="eastAsia"/>
                <w:sz w:val="21"/>
                <w:szCs w:val="21"/>
              </w:rPr>
              <w:t>；无□</w:t>
            </w:r>
          </w:p>
        </w:tc>
      </w:tr>
      <w:tr w:rsidR="00C645C9">
        <w:trPr>
          <w:trHeight w:val="397"/>
          <w:jc w:val="center"/>
        </w:trPr>
        <w:tc>
          <w:tcPr>
            <w:tcW w:w="1132" w:type="dxa"/>
            <w:gridSpan w:val="2"/>
            <w:vMerge/>
            <w:vAlign w:val="center"/>
          </w:tcPr>
          <w:p w:rsidR="00C645C9" w:rsidRDefault="00C645C9">
            <w:pPr>
              <w:adjustRightInd w:val="0"/>
              <w:snapToGrid w:val="0"/>
              <w:spacing w:line="0" w:lineRule="atLeast"/>
              <w:jc w:val="center"/>
              <w:rPr>
                <w:rFonts w:cs="Times New Roman"/>
                <w:sz w:val="21"/>
                <w:szCs w:val="21"/>
              </w:rPr>
            </w:pP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环境管理</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环境监理</w:t>
            </w:r>
            <w:r>
              <w:rPr>
                <w:rFonts w:ascii="Segoe UI Symbol" w:hAnsi="Segoe UI Symbol" w:cs="Segoe UI Symbol"/>
                <w:sz w:val="21"/>
                <w:szCs w:val="21"/>
              </w:rPr>
              <w:t>☑</w:t>
            </w:r>
            <w:r>
              <w:rPr>
                <w:rFonts w:cs="Times New Roman" w:hint="eastAsia"/>
                <w:sz w:val="21"/>
                <w:szCs w:val="21"/>
              </w:rPr>
              <w:t>；环境影响后评价</w:t>
            </w:r>
            <w:r>
              <w:rPr>
                <w:rFonts w:ascii="Segoe UI Symbol" w:hAnsi="Segoe UI Symbol" w:cs="Segoe UI Symbol"/>
                <w:sz w:val="21"/>
                <w:szCs w:val="21"/>
              </w:rPr>
              <w:t>☑</w:t>
            </w:r>
            <w:r>
              <w:rPr>
                <w:rFonts w:cs="Times New Roman" w:hint="eastAsia"/>
                <w:sz w:val="21"/>
                <w:szCs w:val="21"/>
              </w:rPr>
              <w:t>；其他</w:t>
            </w:r>
            <w:r>
              <w:rPr>
                <w:rFonts w:ascii="Segoe UI Symbol" w:hAnsi="Segoe UI Symbol" w:cs="Segoe UI Symbol"/>
                <w:sz w:val="21"/>
                <w:szCs w:val="21"/>
              </w:rPr>
              <w:t>☑</w:t>
            </w:r>
          </w:p>
        </w:tc>
      </w:tr>
      <w:tr w:rsidR="00C645C9">
        <w:trPr>
          <w:trHeight w:val="397"/>
          <w:jc w:val="center"/>
        </w:trPr>
        <w:tc>
          <w:tcPr>
            <w:tcW w:w="1132" w:type="dxa"/>
            <w:gridSpan w:val="2"/>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评价结论</w:t>
            </w:r>
          </w:p>
        </w:tc>
        <w:tc>
          <w:tcPr>
            <w:tcW w:w="1365"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生态影响</w:t>
            </w:r>
          </w:p>
        </w:tc>
        <w:tc>
          <w:tcPr>
            <w:tcW w:w="5944" w:type="dxa"/>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可行</w:t>
            </w:r>
            <w:r>
              <w:rPr>
                <w:rFonts w:ascii="Segoe UI Symbol" w:hAnsi="Segoe UI Symbol" w:cs="Segoe UI Symbol"/>
                <w:sz w:val="21"/>
                <w:szCs w:val="21"/>
              </w:rPr>
              <w:t>☑</w:t>
            </w:r>
            <w:r>
              <w:rPr>
                <w:rFonts w:cs="Times New Roman" w:hint="eastAsia"/>
                <w:sz w:val="21"/>
                <w:szCs w:val="21"/>
              </w:rPr>
              <w:t>；不可行□</w:t>
            </w:r>
          </w:p>
        </w:tc>
      </w:tr>
      <w:tr w:rsidR="00C645C9">
        <w:trPr>
          <w:trHeight w:val="397"/>
          <w:jc w:val="center"/>
        </w:trPr>
        <w:tc>
          <w:tcPr>
            <w:tcW w:w="8441" w:type="dxa"/>
            <w:gridSpan w:val="4"/>
            <w:vAlign w:val="center"/>
          </w:tcPr>
          <w:p w:rsidR="00C645C9" w:rsidRDefault="00F955D9">
            <w:pPr>
              <w:adjustRightInd w:val="0"/>
              <w:snapToGrid w:val="0"/>
              <w:spacing w:line="0" w:lineRule="atLeast"/>
              <w:jc w:val="center"/>
              <w:rPr>
                <w:rFonts w:cs="Times New Roman"/>
                <w:sz w:val="21"/>
                <w:szCs w:val="21"/>
              </w:rPr>
            </w:pPr>
            <w:r>
              <w:rPr>
                <w:rFonts w:cs="Times New Roman" w:hint="eastAsia"/>
                <w:sz w:val="21"/>
                <w:szCs w:val="21"/>
              </w:rPr>
              <w:t>注：“□”为勾选项，可√；“（）”为内容填写项。</w:t>
            </w:r>
          </w:p>
        </w:tc>
      </w:tr>
    </w:tbl>
    <w:p w:rsidR="00C645C9" w:rsidRDefault="00F955D9">
      <w:pPr>
        <w:pStyle w:val="afffb"/>
        <w:rPr>
          <w:lang w:eastAsia="zh-CN"/>
        </w:rPr>
      </w:pPr>
      <w:r>
        <w:rPr>
          <w:lang w:eastAsia="zh-CN"/>
        </w:rPr>
        <w:lastRenderedPageBreak/>
        <w:t>5.1.</w:t>
      </w:r>
      <w:r>
        <w:rPr>
          <w:rFonts w:hint="eastAsia"/>
          <w:lang w:eastAsia="zh-CN"/>
        </w:rPr>
        <w:t>5</w:t>
      </w:r>
      <w:r>
        <w:rPr>
          <w:lang w:eastAsia="zh-CN"/>
        </w:rPr>
        <w:t>小结</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本工程对生态环境的影响主要在施工期，为永久占地平整及</w:t>
      </w:r>
      <w:r>
        <w:rPr>
          <w:rFonts w:cs="Times New Roman" w:hint="eastAsia"/>
          <w:szCs w:val="21"/>
        </w:rPr>
        <w:t>地面工程建设</w:t>
      </w:r>
      <w:r>
        <w:rPr>
          <w:rFonts w:cs="Times New Roman" w:hint="eastAsia"/>
          <w:szCs w:val="21"/>
        </w:rPr>
        <w:t>等带来的生态环境影响。本工程永久占地约</w:t>
      </w:r>
      <w:r>
        <w:rPr>
          <w:rFonts w:cs="Times New Roman" w:hint="eastAsia"/>
          <w:szCs w:val="21"/>
        </w:rPr>
        <w:t>3.43</w:t>
      </w:r>
      <w:r>
        <w:rPr>
          <w:rFonts w:cs="Times New Roman" w:hint="eastAsia"/>
          <w:szCs w:val="21"/>
        </w:rPr>
        <w:t>hm</w:t>
      </w:r>
      <w:r>
        <w:rPr>
          <w:rFonts w:cs="Times New Roman" w:hint="eastAsia"/>
          <w:szCs w:val="21"/>
          <w:vertAlign w:val="superscript"/>
        </w:rPr>
        <w:t>2</w:t>
      </w:r>
      <w:r>
        <w:rPr>
          <w:rFonts w:cs="Times New Roman" w:hint="eastAsia"/>
          <w:szCs w:val="21"/>
        </w:rPr>
        <w:t>，永久性工程占地对</w:t>
      </w:r>
      <w:r>
        <w:rPr>
          <w:rFonts w:cs="Times New Roman" w:hint="eastAsia"/>
          <w:szCs w:val="21"/>
        </w:rPr>
        <w:t>工程区</w:t>
      </w:r>
      <w:r>
        <w:rPr>
          <w:rFonts w:cs="Times New Roman" w:hint="eastAsia"/>
          <w:szCs w:val="21"/>
        </w:rPr>
        <w:t>的土地利用影响较小。临时占地</w:t>
      </w:r>
      <w:r>
        <w:rPr>
          <w:rFonts w:cs="Times New Roman" w:hint="eastAsia"/>
          <w:szCs w:val="21"/>
        </w:rPr>
        <w:t>0.66</w:t>
      </w:r>
      <w:r>
        <w:rPr>
          <w:rFonts w:cs="Times New Roman" w:hint="eastAsia"/>
          <w:szCs w:val="21"/>
        </w:rPr>
        <w:t>hm</w:t>
      </w:r>
      <w:r>
        <w:rPr>
          <w:rFonts w:cs="Times New Roman" w:hint="eastAsia"/>
          <w:szCs w:val="21"/>
          <w:vertAlign w:val="superscript"/>
        </w:rPr>
        <w:t>2</w:t>
      </w:r>
      <w:r>
        <w:rPr>
          <w:rFonts w:cs="Times New Roman" w:hint="eastAsia"/>
          <w:szCs w:val="21"/>
        </w:rPr>
        <w:t>，临时性工程占地仅在施工阶段对</w:t>
      </w:r>
      <w:r>
        <w:rPr>
          <w:rFonts w:cs="Times New Roman" w:hint="eastAsia"/>
          <w:szCs w:val="21"/>
        </w:rPr>
        <w:t>工程区及周边</w:t>
      </w:r>
      <w:r>
        <w:rPr>
          <w:rFonts w:cs="Times New Roman" w:hint="eastAsia"/>
          <w:szCs w:val="21"/>
        </w:rPr>
        <w:t>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rsidR="00C645C9" w:rsidRDefault="00F955D9">
      <w:pPr>
        <w:adjustRightInd w:val="0"/>
        <w:snapToGrid w:val="0"/>
        <w:spacing w:line="360" w:lineRule="auto"/>
        <w:ind w:firstLineChars="200" w:firstLine="480"/>
        <w:jc w:val="both"/>
      </w:pPr>
      <w:r>
        <w:rPr>
          <w:rFonts w:cs="Times New Roman" w:hint="eastAsia"/>
          <w:szCs w:val="21"/>
        </w:rPr>
        <w:t>本工程位于阿克苏地区</w:t>
      </w:r>
      <w:r>
        <w:rPr>
          <w:rFonts w:cs="Times New Roman" w:hint="eastAsia"/>
          <w:szCs w:val="21"/>
        </w:rPr>
        <w:t>新和县</w:t>
      </w:r>
      <w:r>
        <w:rPr>
          <w:rFonts w:cs="Times New Roman" w:hint="eastAsia"/>
          <w:szCs w:val="21"/>
        </w:rPr>
        <w:t>境内，本工程评价范围和占地范围内均不涉及法定生态保护区域、重要生境以及其他具有重要生态功能、对保护生物多样性具有重要意义的区域等生态敏感区。</w:t>
      </w:r>
      <w:r>
        <w:rPr>
          <w:rFonts w:cs="Times New Roman"/>
          <w:szCs w:val="21"/>
        </w:rPr>
        <w:t>由于本区域的野生动物种类</w:t>
      </w:r>
      <w:r>
        <w:rPr>
          <w:rFonts w:cs="Times New Roman" w:hint="eastAsia"/>
          <w:szCs w:val="21"/>
        </w:rPr>
        <w:t>较</w:t>
      </w:r>
      <w:r>
        <w:rPr>
          <w:rFonts w:cs="Times New Roman"/>
          <w:szCs w:val="21"/>
        </w:rPr>
        <w:t>少，少有大型野生动物在本区域出现，</w:t>
      </w:r>
      <w:r>
        <w:rPr>
          <w:rFonts w:cs="Times New Roman" w:hint="eastAsia"/>
          <w:szCs w:val="21"/>
        </w:rPr>
        <w:t>本工程</w:t>
      </w:r>
      <w:r>
        <w:rPr>
          <w:rFonts w:cs="Times New Roman"/>
          <w:szCs w:val="21"/>
        </w:rPr>
        <w:t>对野生动物的影响较小。</w:t>
      </w:r>
      <w:r>
        <w:rPr>
          <w:rFonts w:cs="Times New Roman" w:hint="eastAsia"/>
          <w:szCs w:val="21"/>
        </w:rPr>
        <w:t>综上所述，</w:t>
      </w:r>
      <w:r>
        <w:rPr>
          <w:rFonts w:cs="Times New Roman" w:hint="eastAsia"/>
          <w:spacing w:val="4"/>
          <w:kern w:val="24"/>
          <w:szCs w:val="21"/>
        </w:rPr>
        <w:t>本工程</w:t>
      </w:r>
      <w:r>
        <w:rPr>
          <w:rFonts w:cs="Times New Roman"/>
          <w:spacing w:val="4"/>
          <w:kern w:val="24"/>
          <w:szCs w:val="21"/>
        </w:rPr>
        <w:t>建设</w:t>
      </w:r>
      <w:r>
        <w:rPr>
          <w:rFonts w:cs="Times New Roman" w:hint="eastAsia"/>
          <w:spacing w:val="4"/>
          <w:kern w:val="24"/>
          <w:szCs w:val="21"/>
        </w:rPr>
        <w:t>在采取严格的环境保护措施后，生态环境影响可接受</w:t>
      </w:r>
      <w:r>
        <w:rPr>
          <w:rFonts w:cs="Times New Roman"/>
          <w:spacing w:val="4"/>
          <w:kern w:val="24"/>
          <w:szCs w:val="21"/>
        </w:rPr>
        <w:t>。</w:t>
      </w:r>
    </w:p>
    <w:p w:rsidR="00C645C9" w:rsidRDefault="00F955D9">
      <w:pPr>
        <w:pStyle w:val="afffa"/>
        <w:rPr>
          <w:lang w:eastAsia="zh-CN"/>
        </w:rPr>
      </w:pPr>
      <w:bookmarkStart w:id="1482" w:name="_Toc1193"/>
      <w:bookmarkStart w:id="1483" w:name="_Toc31683"/>
      <w:bookmarkStart w:id="1484" w:name="_Toc7097"/>
      <w:bookmarkStart w:id="1485" w:name="_Toc1585"/>
      <w:r>
        <w:rPr>
          <w:lang w:eastAsia="zh-CN"/>
        </w:rPr>
        <w:t>5.</w:t>
      </w:r>
      <w:r>
        <w:rPr>
          <w:rFonts w:hint="eastAsia"/>
          <w:lang w:eastAsia="zh-CN"/>
        </w:rPr>
        <w:t>2</w:t>
      </w:r>
      <w:r>
        <w:rPr>
          <w:lang w:eastAsia="zh-CN"/>
        </w:rPr>
        <w:t>地下水环境影响评价</w:t>
      </w:r>
      <w:bookmarkEnd w:id="1482"/>
    </w:p>
    <w:p w:rsidR="00C645C9" w:rsidRDefault="00F955D9">
      <w:pPr>
        <w:pStyle w:val="afffb"/>
        <w:rPr>
          <w:lang w:eastAsia="zh-CN"/>
        </w:rPr>
      </w:pPr>
      <w:r>
        <w:rPr>
          <w:lang w:eastAsia="zh-CN"/>
        </w:rPr>
        <w:t>5.</w:t>
      </w:r>
      <w:r>
        <w:rPr>
          <w:rFonts w:hint="eastAsia"/>
          <w:lang w:eastAsia="zh-CN"/>
        </w:rPr>
        <w:t>2</w:t>
      </w:r>
      <w:r>
        <w:rPr>
          <w:lang w:eastAsia="zh-CN"/>
        </w:rPr>
        <w:t>.1</w:t>
      </w:r>
      <w:r>
        <w:rPr>
          <w:lang w:eastAsia="zh-CN"/>
        </w:rPr>
        <w:t>水文地质条件</w:t>
      </w:r>
    </w:p>
    <w:p w:rsidR="00C645C9" w:rsidRDefault="00F955D9">
      <w:pPr>
        <w:keepLines/>
        <w:widowControl w:val="0"/>
        <w:adjustRightInd w:val="0"/>
        <w:snapToGrid w:val="0"/>
        <w:spacing w:line="360" w:lineRule="auto"/>
        <w:jc w:val="both"/>
        <w:outlineLvl w:val="3"/>
        <w:rPr>
          <w:rFonts w:cs="Times New Roman"/>
          <w:b/>
          <w:kern w:val="2"/>
          <w:szCs w:val="20"/>
        </w:rPr>
      </w:pPr>
      <w:r>
        <w:rPr>
          <w:rFonts w:cs="Times New Roman"/>
          <w:b/>
          <w:kern w:val="2"/>
          <w:szCs w:val="20"/>
        </w:rPr>
        <w:t>5.2</w:t>
      </w:r>
      <w:r>
        <w:rPr>
          <w:rFonts w:cs="Times New Roman"/>
          <w:b/>
          <w:kern w:val="2"/>
          <w:szCs w:val="20"/>
        </w:rPr>
        <w:t>.1.</w:t>
      </w:r>
      <w:r>
        <w:rPr>
          <w:rFonts w:cs="Times New Roman" w:hint="eastAsia"/>
          <w:b/>
          <w:kern w:val="2"/>
          <w:szCs w:val="20"/>
        </w:rPr>
        <w:t>1</w:t>
      </w:r>
      <w:r>
        <w:rPr>
          <w:rFonts w:cs="Times New Roman"/>
          <w:b/>
          <w:kern w:val="2"/>
          <w:szCs w:val="20"/>
        </w:rPr>
        <w:t>区域水文地质</w:t>
      </w:r>
      <w:r>
        <w:rPr>
          <w:rFonts w:cs="Times New Roman" w:hint="eastAsia"/>
          <w:b/>
          <w:kern w:val="2"/>
          <w:szCs w:val="20"/>
        </w:rPr>
        <w:t>条件</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w:t>
      </w:r>
      <w:r>
        <w:rPr>
          <w:rFonts w:cs="Times New Roman" w:hint="eastAsia"/>
          <w:szCs w:val="21"/>
        </w:rPr>
        <w:t>地下水的赋存及分布规律</w:t>
      </w:r>
    </w:p>
    <w:p w:rsidR="00C645C9" w:rsidRDefault="00F955D9">
      <w:pPr>
        <w:adjustRightInd w:val="0"/>
        <w:snapToGrid w:val="0"/>
        <w:spacing w:line="360" w:lineRule="auto"/>
        <w:ind w:firstLineChars="200" w:firstLine="480"/>
        <w:rPr>
          <w:rFonts w:cs="Times New Roman"/>
        </w:rPr>
      </w:pPr>
      <w:r>
        <w:rPr>
          <w:rFonts w:cs="Times New Roman"/>
        </w:rPr>
        <w:t>该区域分布于</w:t>
      </w:r>
      <w:r>
        <w:rPr>
          <w:rFonts w:cs="Times New Roman"/>
        </w:rPr>
        <w:t>314</w:t>
      </w:r>
      <w:r>
        <w:rPr>
          <w:rFonts w:cs="Times New Roman"/>
        </w:rPr>
        <w:t>国道以南塔里木河以北却勒塔格山洪积冲积平原。</w:t>
      </w:r>
      <w:r>
        <w:rPr>
          <w:rFonts w:cs="Times New Roman" w:hint="eastAsia"/>
          <w:szCs w:val="21"/>
        </w:rPr>
        <w:t>地下水的形成受到库沙新冲洪积倾斜平原地貌单元的影响致使其过程较为复杂，库沙新灌区在渭干河水流及北部却勒塔格山南坡洪流的作用下，沿山前及渭干河中下游区域形成了库沙新冲洪积倾斜平原，岩性多以冲积为主的卵砾石、砂砾石、</w:t>
      </w:r>
      <w:r>
        <w:rPr>
          <w:rFonts w:ascii="宋体" w:hAnsi="宋体"/>
          <w:snapToGrid w:val="0"/>
          <w:spacing w:val="-2"/>
        </w:rPr>
        <w:t>砂及粉土、粉质粘土地层（</w:t>
      </w:r>
      <w:r>
        <w:rPr>
          <w:rFonts w:eastAsia="Times New Roman" w:cs="Times New Roman"/>
          <w:snapToGrid w:val="0"/>
          <w:spacing w:val="-2"/>
        </w:rPr>
        <w:t>Q</w:t>
      </w:r>
      <w:r>
        <w:rPr>
          <w:rFonts w:eastAsia="Times New Roman" w:cs="Times New Roman"/>
          <w:snapToGrid w:val="0"/>
          <w:spacing w:val="-2"/>
          <w:position w:val="-1"/>
          <w:sz w:val="15"/>
          <w:szCs w:val="15"/>
        </w:rPr>
        <w:t>4</w:t>
      </w:r>
      <w:r>
        <w:rPr>
          <w:rFonts w:eastAsia="Times New Roman" w:cs="Times New Roman"/>
          <w:snapToGrid w:val="0"/>
          <w:spacing w:val="29"/>
          <w:w w:val="102"/>
          <w:position w:val="-1"/>
          <w:sz w:val="15"/>
          <w:szCs w:val="15"/>
        </w:rPr>
        <w:t xml:space="preserve"> </w:t>
      </w:r>
      <w:r>
        <w:rPr>
          <w:rFonts w:eastAsia="Times New Roman" w:cs="Times New Roman"/>
          <w:snapToGrid w:val="0"/>
          <w:spacing w:val="-2"/>
          <w:position w:val="8"/>
          <w:sz w:val="15"/>
          <w:szCs w:val="15"/>
        </w:rPr>
        <w:t xml:space="preserve">al + pl </w:t>
      </w:r>
      <w:r>
        <w:rPr>
          <w:rFonts w:ascii="宋体" w:hAnsi="宋体"/>
          <w:snapToGrid w:val="0"/>
          <w:spacing w:val="-2"/>
        </w:rPr>
        <w:t>）组成，由北向南地层颗粒逐渐变细，在</w:t>
      </w:r>
      <w:r>
        <w:rPr>
          <w:rFonts w:ascii="宋体" w:hAnsi="宋体"/>
          <w:snapToGrid w:val="0"/>
          <w:spacing w:val="-3"/>
        </w:rPr>
        <w:t>塔里木</w:t>
      </w:r>
      <w:r>
        <w:rPr>
          <w:rFonts w:ascii="宋体" w:hAnsi="宋体"/>
          <w:snapToGrid w:val="0"/>
          <w:spacing w:val="-1"/>
        </w:rPr>
        <w:t>河左岸区有较大面积的风积地层（</w:t>
      </w:r>
      <w:r>
        <w:rPr>
          <w:rFonts w:eastAsia="Times New Roman" w:cs="Times New Roman"/>
          <w:snapToGrid w:val="0"/>
          <w:spacing w:val="-1"/>
        </w:rPr>
        <w:t>Q</w:t>
      </w:r>
      <w:r>
        <w:rPr>
          <w:rFonts w:eastAsia="Times New Roman" w:cs="Times New Roman"/>
          <w:snapToGrid w:val="0"/>
          <w:spacing w:val="-1"/>
          <w:position w:val="-1"/>
          <w:sz w:val="15"/>
          <w:szCs w:val="15"/>
        </w:rPr>
        <w:t xml:space="preserve">4 </w:t>
      </w:r>
      <w:r>
        <w:rPr>
          <w:rFonts w:eastAsia="Times New Roman" w:cs="Times New Roman"/>
          <w:snapToGrid w:val="0"/>
          <w:spacing w:val="-1"/>
          <w:position w:val="8"/>
          <w:sz w:val="15"/>
          <w:szCs w:val="15"/>
        </w:rPr>
        <w:t xml:space="preserve">eol </w:t>
      </w:r>
      <w:r>
        <w:rPr>
          <w:rFonts w:ascii="宋体" w:hAnsi="宋体"/>
          <w:snapToGrid w:val="0"/>
          <w:spacing w:val="-30"/>
        </w:rPr>
        <w:t>），</w:t>
      </w:r>
      <w:r>
        <w:rPr>
          <w:rFonts w:ascii="宋体" w:hAnsi="宋体"/>
          <w:snapToGrid w:val="0"/>
          <w:spacing w:val="-1"/>
        </w:rPr>
        <w:t>主要分布于新和县西南部、沙雅县南部和</w:t>
      </w:r>
      <w:r>
        <w:rPr>
          <w:rFonts w:ascii="宋体" w:hAnsi="宋体" w:hint="eastAsia"/>
          <w:snapToGrid w:val="0"/>
          <w:spacing w:val="-1"/>
        </w:rPr>
        <w:t>库车市</w:t>
      </w:r>
      <w:r>
        <w:rPr>
          <w:rFonts w:ascii="宋体" w:hAnsi="宋体"/>
          <w:snapToGrid w:val="0"/>
          <w:spacing w:val="-1"/>
        </w:rPr>
        <w:t>东南部一带，多为半固定草灌沙丘，沙丘高</w:t>
      </w:r>
      <w:r>
        <w:rPr>
          <w:rFonts w:ascii="宋体" w:hAnsi="宋体"/>
          <w:snapToGrid w:val="0"/>
          <w:spacing w:val="-55"/>
        </w:rPr>
        <w:t xml:space="preserve"> </w:t>
      </w:r>
      <w:r>
        <w:rPr>
          <w:rFonts w:eastAsia="Times New Roman" w:cs="Times New Roman"/>
          <w:snapToGrid w:val="0"/>
          <w:spacing w:val="-1"/>
        </w:rPr>
        <w:t>2</w:t>
      </w:r>
      <w:r>
        <w:rPr>
          <w:rFonts w:ascii="宋体" w:hAnsi="宋体"/>
          <w:snapToGrid w:val="0"/>
          <w:spacing w:val="-1"/>
        </w:rPr>
        <w:t>～</w:t>
      </w:r>
      <w:r>
        <w:rPr>
          <w:rFonts w:eastAsia="Times New Roman" w:cs="Times New Roman"/>
          <w:snapToGrid w:val="0"/>
          <w:spacing w:val="-2"/>
        </w:rPr>
        <w:t>5m</w:t>
      </w:r>
      <w:r>
        <w:rPr>
          <w:rFonts w:ascii="宋体" w:hAnsi="宋体"/>
          <w:snapToGrid w:val="0"/>
          <w:spacing w:val="-2"/>
        </w:rPr>
        <w:t>，岩性为土黄色粉土、</w:t>
      </w:r>
      <w:r>
        <w:rPr>
          <w:rFonts w:ascii="宋体" w:hAnsi="宋体"/>
          <w:snapToGrid w:val="0"/>
        </w:rPr>
        <w:t xml:space="preserve"> </w:t>
      </w:r>
      <w:r>
        <w:rPr>
          <w:rFonts w:ascii="宋体" w:hAnsi="宋体"/>
          <w:snapToGrid w:val="0"/>
          <w:spacing w:val="-6"/>
        </w:rPr>
        <w:t>中</w:t>
      </w:r>
      <w:r>
        <w:rPr>
          <w:rFonts w:cs="Times New Roman" w:hint="eastAsia"/>
          <w:szCs w:val="21"/>
        </w:rPr>
        <w:t>细砂层。该区域第四系松散沉积物厚度变化较大，分布厚度</w:t>
      </w:r>
      <w:r>
        <w:rPr>
          <w:rFonts w:cs="Times New Roman" w:hint="eastAsia"/>
          <w:szCs w:val="21"/>
        </w:rPr>
        <w:t>100m</w:t>
      </w:r>
      <w:r>
        <w:rPr>
          <w:rFonts w:cs="Times New Roman" w:hint="eastAsia"/>
          <w:szCs w:val="21"/>
        </w:rPr>
        <w:t>～</w:t>
      </w:r>
      <w:r>
        <w:rPr>
          <w:rFonts w:cs="Times New Roman" w:hint="eastAsia"/>
          <w:szCs w:val="21"/>
        </w:rPr>
        <w:t>300</w:t>
      </w:r>
      <w:bookmarkStart w:id="1486" w:name="OLE_LINK1479"/>
      <w:r>
        <w:rPr>
          <w:rFonts w:cs="Times New Roman" w:hint="eastAsia"/>
          <w:szCs w:val="21"/>
        </w:rPr>
        <w:t>m</w:t>
      </w:r>
      <w:bookmarkEnd w:id="1486"/>
      <w:r>
        <w:rPr>
          <w:rFonts w:cs="Times New Roman" w:hint="eastAsia"/>
          <w:szCs w:val="21"/>
        </w:rPr>
        <w:t>，在中下游区未揭穿该地层</w:t>
      </w:r>
      <w:r>
        <w:rPr>
          <w:rFonts w:cs="Times New Roman"/>
        </w:rPr>
        <w:t>。</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hint="eastAsia"/>
          <w:szCs w:val="21"/>
        </w:rPr>
        <w:t>含水岩组特征及富水性</w:t>
      </w:r>
    </w:p>
    <w:p w:rsidR="00C645C9" w:rsidRDefault="00F955D9">
      <w:pPr>
        <w:adjustRightInd w:val="0"/>
        <w:snapToGrid w:val="0"/>
        <w:spacing w:line="360" w:lineRule="auto"/>
        <w:ind w:firstLineChars="200" w:firstLine="480"/>
        <w:jc w:val="both"/>
        <w:rPr>
          <w:rFonts w:ascii="宋体" w:hAnsi="宋体"/>
          <w:snapToGrid w:val="0"/>
        </w:rPr>
      </w:pPr>
      <w:r>
        <w:rPr>
          <w:rFonts w:ascii="宋体" w:hAnsi="宋体"/>
          <w:snapToGrid w:val="0"/>
        </w:rPr>
        <w:t>库沙新</w:t>
      </w:r>
      <w:r>
        <w:rPr>
          <w:rFonts w:ascii="宋体" w:hAnsi="宋体" w:hint="eastAsia"/>
          <w:snapToGrid w:val="0"/>
        </w:rPr>
        <w:t>（</w:t>
      </w:r>
      <w:r>
        <w:rPr>
          <w:rFonts w:ascii="宋体" w:hAnsi="宋体"/>
          <w:snapToGrid w:val="0"/>
        </w:rPr>
        <w:t>库车、新和、沙雅县</w:t>
      </w:r>
      <w:r>
        <w:rPr>
          <w:rFonts w:ascii="宋体" w:hAnsi="宋体" w:hint="eastAsia"/>
          <w:snapToGrid w:val="0"/>
        </w:rPr>
        <w:t>）</w:t>
      </w:r>
      <w:r>
        <w:rPr>
          <w:rFonts w:ascii="宋体" w:hAnsi="宋体"/>
          <w:snapToGrid w:val="0"/>
        </w:rPr>
        <w:t>平原</w:t>
      </w:r>
      <w:r>
        <w:rPr>
          <w:rFonts w:ascii="宋体" w:hAnsi="宋体" w:hint="eastAsia"/>
          <w:snapToGrid w:val="0"/>
        </w:rPr>
        <w:t>可利用</w:t>
      </w:r>
      <w:r>
        <w:rPr>
          <w:rFonts w:ascii="宋体" w:hAnsi="宋体"/>
          <w:snapToGrid w:val="0"/>
        </w:rPr>
        <w:t>的地下水均为第四系松散岩类潜水</w:t>
      </w:r>
      <w:r>
        <w:rPr>
          <w:rFonts w:ascii="宋体" w:hAnsi="宋体"/>
          <w:snapToGrid w:val="0"/>
          <w:spacing w:val="-2"/>
        </w:rPr>
        <w:t>和多层结构承压水。但因其承压水顶板隔水层区域分布的局限性和厚度小且不</w:t>
      </w:r>
      <w:r>
        <w:rPr>
          <w:rFonts w:ascii="宋体" w:hAnsi="宋体"/>
          <w:snapToGrid w:val="0"/>
          <w:spacing w:val="-3"/>
        </w:rPr>
        <w:t>连续等，则可视同潜水一起利用。</w:t>
      </w:r>
    </w:p>
    <w:p w:rsidR="00C645C9" w:rsidRDefault="00F955D9">
      <w:pPr>
        <w:kinsoku w:val="0"/>
        <w:autoSpaceDE w:val="0"/>
        <w:autoSpaceDN w:val="0"/>
        <w:adjustRightInd w:val="0"/>
        <w:snapToGrid w:val="0"/>
        <w:spacing w:line="360" w:lineRule="auto"/>
        <w:textAlignment w:val="baseline"/>
        <w:rPr>
          <w:rFonts w:ascii="宋体" w:hAnsi="宋体"/>
          <w:snapToGrid w:val="0"/>
        </w:rPr>
      </w:pPr>
      <w:r>
        <w:rPr>
          <w:rFonts w:ascii="宋体" w:hAnsi="宋体" w:hint="eastAsia"/>
          <w:snapToGrid w:val="0"/>
          <w:spacing w:val="-2"/>
        </w:rPr>
        <w:lastRenderedPageBreak/>
        <w:t>①</w:t>
      </w:r>
      <w:r>
        <w:rPr>
          <w:rFonts w:ascii="宋体" w:hAnsi="宋体"/>
          <w:snapToGrid w:val="0"/>
          <w:spacing w:val="-2"/>
        </w:rPr>
        <w:t>单一结构的潜水含水层</w:t>
      </w:r>
    </w:p>
    <w:p w:rsidR="00C645C9" w:rsidRDefault="00F955D9">
      <w:pPr>
        <w:kinsoku w:val="0"/>
        <w:autoSpaceDE w:val="0"/>
        <w:autoSpaceDN w:val="0"/>
        <w:adjustRightInd w:val="0"/>
        <w:snapToGrid w:val="0"/>
        <w:spacing w:line="360" w:lineRule="auto"/>
        <w:ind w:firstLine="482"/>
        <w:textAlignment w:val="baseline"/>
        <w:rPr>
          <w:rFonts w:ascii="宋体" w:hAnsi="宋体"/>
          <w:snapToGrid w:val="0"/>
        </w:rPr>
      </w:pPr>
      <w:r>
        <w:rPr>
          <w:rFonts w:ascii="宋体" w:hAnsi="宋体"/>
          <w:snapToGrid w:val="0"/>
          <w:spacing w:val="-2"/>
        </w:rPr>
        <w:t>主要分布于新和县东北部和</w:t>
      </w:r>
      <w:r>
        <w:rPr>
          <w:rFonts w:ascii="宋体" w:hAnsi="宋体" w:hint="eastAsia"/>
          <w:snapToGrid w:val="0"/>
          <w:spacing w:val="-2"/>
        </w:rPr>
        <w:t>库车市</w:t>
      </w:r>
      <w:r>
        <w:rPr>
          <w:rFonts w:ascii="宋体" w:hAnsi="宋体"/>
          <w:snapToGrid w:val="0"/>
          <w:spacing w:val="-2"/>
        </w:rPr>
        <w:t>西部临近渭干河的区域，地</w:t>
      </w:r>
      <w:r>
        <w:rPr>
          <w:rFonts w:ascii="宋体" w:hAnsi="宋体"/>
          <w:snapToGrid w:val="0"/>
          <w:spacing w:val="-3"/>
        </w:rPr>
        <w:t>下水主要赋存于</w:t>
      </w:r>
      <w:r>
        <w:rPr>
          <w:rFonts w:ascii="宋体" w:hAnsi="宋体"/>
          <w:snapToGrid w:val="0"/>
          <w:spacing w:val="-7"/>
        </w:rPr>
        <w:t>第四系冲积松散沉积层中，含水层岩组为单一结构漂石、卵砾石、砂砾石地层，松</w:t>
      </w:r>
      <w:r>
        <w:rPr>
          <w:rFonts w:ascii="宋体" w:hAnsi="宋体"/>
          <w:snapToGrid w:val="0"/>
          <w:spacing w:val="-3"/>
        </w:rPr>
        <w:t>散，呈巨厚度状。其富水性多为极强富水区。</w:t>
      </w:r>
    </w:p>
    <w:p w:rsidR="00C645C9" w:rsidRDefault="00F955D9">
      <w:pPr>
        <w:kinsoku w:val="0"/>
        <w:autoSpaceDE w:val="0"/>
        <w:autoSpaceDN w:val="0"/>
        <w:adjustRightInd w:val="0"/>
        <w:snapToGrid w:val="0"/>
        <w:spacing w:line="360" w:lineRule="auto"/>
        <w:textAlignment w:val="baseline"/>
        <w:rPr>
          <w:rFonts w:ascii="宋体" w:hAnsi="宋体"/>
          <w:snapToGrid w:val="0"/>
          <w:spacing w:val="-2"/>
        </w:rPr>
      </w:pPr>
      <w:r>
        <w:rPr>
          <w:rFonts w:ascii="宋体" w:hAnsi="宋体" w:hint="eastAsia"/>
          <w:snapToGrid w:val="0"/>
          <w:spacing w:val="-2"/>
        </w:rPr>
        <w:t>②</w:t>
      </w:r>
      <w:r>
        <w:rPr>
          <w:rFonts w:ascii="宋体" w:hAnsi="宋体"/>
          <w:snapToGrid w:val="0"/>
          <w:spacing w:val="-2"/>
        </w:rPr>
        <w:t>多层结构的（潜水或承压）含水层</w:t>
      </w:r>
    </w:p>
    <w:p w:rsidR="00C645C9" w:rsidRDefault="00F955D9">
      <w:pPr>
        <w:kinsoku w:val="0"/>
        <w:autoSpaceDE w:val="0"/>
        <w:autoSpaceDN w:val="0"/>
        <w:adjustRightInd w:val="0"/>
        <w:snapToGrid w:val="0"/>
        <w:spacing w:line="360" w:lineRule="auto"/>
        <w:ind w:firstLineChars="200" w:firstLine="456"/>
        <w:textAlignment w:val="baseline"/>
        <w:rPr>
          <w:rFonts w:ascii="宋体" w:hAnsi="宋体"/>
          <w:snapToGrid w:val="0"/>
        </w:rPr>
      </w:pPr>
      <w:r>
        <w:rPr>
          <w:rFonts w:ascii="宋体" w:hAnsi="宋体"/>
          <w:snapToGrid w:val="0"/>
          <w:spacing w:val="-6"/>
        </w:rPr>
        <w:t>主要分布于新和县中东部、西部及中南部；沙雅县北部、</w:t>
      </w:r>
      <w:r>
        <w:rPr>
          <w:rFonts w:ascii="宋体" w:hAnsi="宋体" w:hint="eastAsia"/>
          <w:snapToGrid w:val="0"/>
          <w:spacing w:val="-6"/>
        </w:rPr>
        <w:t>库车市</w:t>
      </w:r>
      <w:r>
        <w:rPr>
          <w:rFonts w:ascii="宋体" w:hAnsi="宋体"/>
          <w:snapToGrid w:val="0"/>
          <w:spacing w:val="-6"/>
        </w:rPr>
        <w:t>西南部靠近渭</w:t>
      </w:r>
      <w:r>
        <w:rPr>
          <w:rFonts w:ascii="宋体" w:hAnsi="宋体"/>
          <w:snapToGrid w:val="0"/>
          <w:spacing w:val="-2"/>
        </w:rPr>
        <w:t>干河的区域，地下水主要赋存于第四系冲洪积松散沉积地层中，含水岩组为多层结构的中粗粒地层，表层为砂性土潜水含水层，下部为一层到数层中粗砂、粉砂承压</w:t>
      </w:r>
      <w:r>
        <w:rPr>
          <w:rFonts w:ascii="宋体" w:hAnsi="宋体"/>
          <w:snapToGrid w:val="0"/>
          <w:spacing w:val="-3"/>
        </w:rPr>
        <w:t>水含水层。其富水性多为中等～强富水区。</w:t>
      </w:r>
    </w:p>
    <w:p w:rsidR="00C645C9" w:rsidRDefault="00F955D9">
      <w:pPr>
        <w:kinsoku w:val="0"/>
        <w:autoSpaceDE w:val="0"/>
        <w:autoSpaceDN w:val="0"/>
        <w:adjustRightInd w:val="0"/>
        <w:snapToGrid w:val="0"/>
        <w:spacing w:line="360" w:lineRule="auto"/>
        <w:textAlignment w:val="baseline"/>
        <w:rPr>
          <w:rFonts w:ascii="宋体" w:hAnsi="宋体"/>
          <w:snapToGrid w:val="0"/>
          <w:spacing w:val="-3"/>
        </w:rPr>
      </w:pPr>
      <w:r>
        <w:rPr>
          <w:rFonts w:ascii="宋体" w:hAnsi="宋体" w:hint="eastAsia"/>
          <w:snapToGrid w:val="0"/>
          <w:spacing w:val="-3"/>
        </w:rPr>
        <w:t>③</w:t>
      </w:r>
      <w:r>
        <w:rPr>
          <w:rFonts w:ascii="宋体" w:hAnsi="宋体"/>
          <w:snapToGrid w:val="0"/>
          <w:spacing w:val="-3"/>
        </w:rPr>
        <w:t>多层结构的承压含水层</w:t>
      </w:r>
    </w:p>
    <w:p w:rsidR="00C645C9" w:rsidRDefault="00F955D9">
      <w:pPr>
        <w:kinsoku w:val="0"/>
        <w:autoSpaceDE w:val="0"/>
        <w:autoSpaceDN w:val="0"/>
        <w:adjustRightInd w:val="0"/>
        <w:snapToGrid w:val="0"/>
        <w:spacing w:line="360" w:lineRule="auto"/>
        <w:ind w:firstLineChars="200" w:firstLine="472"/>
        <w:jc w:val="both"/>
        <w:textAlignment w:val="baseline"/>
        <w:rPr>
          <w:rFonts w:cs="Times New Roman"/>
          <w:snapToGrid w:val="0"/>
          <w:spacing w:val="-2"/>
        </w:rPr>
      </w:pPr>
      <w:r>
        <w:rPr>
          <w:rFonts w:ascii="宋体" w:hAnsi="宋体"/>
          <w:snapToGrid w:val="0"/>
          <w:spacing w:val="-2"/>
        </w:rPr>
        <w:t>主要分布新和县南部、沙雅县南部、</w:t>
      </w:r>
      <w:r>
        <w:rPr>
          <w:rFonts w:ascii="宋体" w:hAnsi="宋体" w:hint="eastAsia"/>
          <w:snapToGrid w:val="0"/>
          <w:spacing w:val="-2"/>
        </w:rPr>
        <w:t>库车市</w:t>
      </w:r>
      <w:r>
        <w:rPr>
          <w:rFonts w:ascii="宋体" w:hAnsi="宋体"/>
          <w:snapToGrid w:val="0"/>
          <w:spacing w:val="-2"/>
        </w:rPr>
        <w:t>南部冲洪积倾斜平原</w:t>
      </w:r>
      <w:r>
        <w:rPr>
          <w:rFonts w:ascii="宋体" w:hAnsi="宋体"/>
          <w:snapToGrid w:val="0"/>
          <w:spacing w:val="-3"/>
        </w:rPr>
        <w:t>的下部，地下</w:t>
      </w:r>
      <w:r>
        <w:rPr>
          <w:rFonts w:ascii="宋体" w:hAnsi="宋体"/>
          <w:snapToGrid w:val="0"/>
          <w:spacing w:val="-2"/>
        </w:rPr>
        <w:t>水主要</w:t>
      </w:r>
      <w:r>
        <w:rPr>
          <w:rFonts w:cs="Times New Roman"/>
          <w:snapToGrid w:val="0"/>
          <w:spacing w:val="-2"/>
        </w:rPr>
        <w:t>赋存于第四系洪积松散沉积地层中，含水岩组为多层结构的中细砂、粉砂细粒地层，该含水层单层厚度较小，并为层状粉土等细粒地层所夹。其富水性多为中等富水区。</w:t>
      </w:r>
    </w:p>
    <w:p w:rsidR="00C645C9" w:rsidRDefault="00F955D9">
      <w:pPr>
        <w:kinsoku w:val="0"/>
        <w:autoSpaceDE w:val="0"/>
        <w:autoSpaceDN w:val="0"/>
        <w:adjustRightInd w:val="0"/>
        <w:snapToGrid w:val="0"/>
        <w:spacing w:line="360" w:lineRule="auto"/>
        <w:ind w:firstLineChars="200" w:firstLine="472"/>
        <w:jc w:val="both"/>
        <w:textAlignment w:val="baseline"/>
        <w:rPr>
          <w:rFonts w:cs="Times New Roman"/>
          <w:snapToGrid w:val="0"/>
          <w:spacing w:val="-2"/>
        </w:rPr>
      </w:pPr>
      <w:r>
        <w:rPr>
          <w:rFonts w:cs="Times New Roman"/>
          <w:snapToGrid w:val="0"/>
          <w:spacing w:val="-2"/>
        </w:rPr>
        <w:t>（</w:t>
      </w:r>
      <w:r>
        <w:rPr>
          <w:rFonts w:cs="Times New Roman"/>
          <w:snapToGrid w:val="0"/>
          <w:spacing w:val="-2"/>
        </w:rPr>
        <w:t>3</w:t>
      </w:r>
      <w:r>
        <w:rPr>
          <w:rFonts w:cs="Times New Roman"/>
          <w:snapToGrid w:val="0"/>
          <w:spacing w:val="-2"/>
        </w:rPr>
        <w:t>）</w:t>
      </w:r>
      <w:r>
        <w:rPr>
          <w:rFonts w:cs="Times New Roman"/>
          <w:snapToGrid w:val="0"/>
          <w:spacing w:val="-2"/>
        </w:rPr>
        <w:t>地下水的补给、径流、排泄条件</w:t>
      </w:r>
    </w:p>
    <w:p w:rsidR="00C645C9" w:rsidRDefault="00F955D9">
      <w:pPr>
        <w:kinsoku w:val="0"/>
        <w:autoSpaceDE w:val="0"/>
        <w:autoSpaceDN w:val="0"/>
        <w:adjustRightInd w:val="0"/>
        <w:snapToGrid w:val="0"/>
        <w:spacing w:line="360" w:lineRule="auto"/>
        <w:ind w:firstLineChars="200" w:firstLine="472"/>
        <w:jc w:val="both"/>
        <w:textAlignment w:val="baseline"/>
        <w:rPr>
          <w:rFonts w:cs="Times New Roman"/>
          <w:snapToGrid w:val="0"/>
          <w:spacing w:val="-7"/>
        </w:rPr>
      </w:pPr>
      <w:r>
        <w:rPr>
          <w:rFonts w:cs="Times New Roman"/>
          <w:snapToGrid w:val="0"/>
          <w:spacing w:val="-2"/>
        </w:rPr>
        <w:t>在渭干河流域下游库沙新冲洪积倾斜平原区，地下水主要以河水入渗、库水入渗、渠水入渗、田间灌溉回归水入渗等主要形式补给地下水，其次有少量的降水入渗补给和山前洪流入渗补给，由于下游第四纪地层结构变化较大，地形由高到低，坡降由陡变缓，岩性由粗变细，地下水由北部山前冲洪积扇顶部形成单一结构潜水，</w:t>
      </w:r>
      <w:r>
        <w:rPr>
          <w:rFonts w:cs="Times New Roman"/>
          <w:snapToGrid w:val="0"/>
          <w:spacing w:val="-1"/>
        </w:rPr>
        <w:t>向南部逐渐变为多层结构的潜水、微承压水及承压水，地下水径流条件逐渐变差，</w:t>
      </w:r>
      <w:r>
        <w:rPr>
          <w:rFonts w:cs="Times New Roman"/>
          <w:snapToGrid w:val="0"/>
        </w:rPr>
        <w:t>由于冲洪积倾斜平原缘部细粒地层的阻挡，地下水埋深变浅，</w:t>
      </w:r>
      <w:r>
        <w:rPr>
          <w:rFonts w:cs="Times New Roman"/>
          <w:snapToGrid w:val="0"/>
          <w:spacing w:val="-1"/>
        </w:rPr>
        <w:t>胡杨、梭梭、红柳、</w:t>
      </w:r>
      <w:r>
        <w:rPr>
          <w:rFonts w:cs="Times New Roman"/>
          <w:snapToGrid w:val="0"/>
          <w:spacing w:val="-7"/>
        </w:rPr>
        <w:t>芦苇等植被发育，地面蒸发、叶面蒸腾作用强烈，地下水一部分以蒸发的方式排泄，一部分以侧向径流和泉水的形式排向塔里木河，另外人工开采地下水也是地下水主要排泄方式之一。</w:t>
      </w:r>
    </w:p>
    <w:p w:rsidR="00C645C9" w:rsidRDefault="00F955D9">
      <w:pPr>
        <w:kinsoku w:val="0"/>
        <w:autoSpaceDE w:val="0"/>
        <w:autoSpaceDN w:val="0"/>
        <w:adjustRightInd w:val="0"/>
        <w:snapToGrid w:val="0"/>
        <w:spacing w:line="360" w:lineRule="auto"/>
        <w:ind w:firstLineChars="200" w:firstLine="452"/>
        <w:jc w:val="both"/>
        <w:textAlignment w:val="baseline"/>
        <w:rPr>
          <w:rFonts w:cs="Times New Roman"/>
          <w:snapToGrid w:val="0"/>
          <w:spacing w:val="-7"/>
        </w:rPr>
      </w:pPr>
      <w:r>
        <w:rPr>
          <w:rFonts w:cs="Times New Roman"/>
          <w:snapToGrid w:val="0"/>
          <w:spacing w:val="-7"/>
        </w:rPr>
        <w:t>（</w:t>
      </w:r>
      <w:r>
        <w:rPr>
          <w:rFonts w:cs="Times New Roman"/>
          <w:snapToGrid w:val="0"/>
          <w:spacing w:val="-7"/>
        </w:rPr>
        <w:t>4</w:t>
      </w:r>
      <w:r>
        <w:rPr>
          <w:rFonts w:cs="Times New Roman"/>
          <w:snapToGrid w:val="0"/>
          <w:spacing w:val="-7"/>
        </w:rPr>
        <w:t>）</w:t>
      </w:r>
      <w:r>
        <w:rPr>
          <w:rFonts w:cs="Times New Roman"/>
          <w:snapToGrid w:val="0"/>
          <w:spacing w:val="-7"/>
        </w:rPr>
        <w:t>地下水动态特征</w:t>
      </w:r>
    </w:p>
    <w:p w:rsidR="00C645C9" w:rsidRDefault="00F955D9">
      <w:pPr>
        <w:kinsoku w:val="0"/>
        <w:autoSpaceDE w:val="0"/>
        <w:autoSpaceDN w:val="0"/>
        <w:adjustRightInd w:val="0"/>
        <w:snapToGrid w:val="0"/>
        <w:spacing w:line="360" w:lineRule="auto"/>
        <w:ind w:firstLineChars="200" w:firstLine="452"/>
        <w:jc w:val="both"/>
        <w:textAlignment w:val="baseline"/>
        <w:rPr>
          <w:rFonts w:cs="Times New Roman"/>
          <w:snapToGrid w:val="0"/>
          <w:spacing w:val="-1"/>
        </w:rPr>
      </w:pPr>
      <w:r>
        <w:rPr>
          <w:rFonts w:cs="Times New Roman"/>
          <w:snapToGrid w:val="0"/>
          <w:spacing w:val="-7"/>
        </w:rPr>
        <w:t>渭干河库沙新灌区</w:t>
      </w:r>
      <w:r>
        <w:rPr>
          <w:rFonts w:cs="Times New Roman"/>
          <w:snapToGrid w:val="0"/>
          <w:spacing w:val="-6"/>
        </w:rPr>
        <w:t>北部区域地下水形成的补给、径流及排泄条件较好，水位埋</w:t>
      </w:r>
      <w:r>
        <w:rPr>
          <w:rFonts w:cs="Times New Roman"/>
          <w:snapToGrid w:val="0"/>
          <w:spacing w:val="-1"/>
        </w:rPr>
        <w:t>深较大，一般大于</w:t>
      </w:r>
      <w:r>
        <w:rPr>
          <w:rFonts w:eastAsia="Times New Roman" w:cs="Times New Roman"/>
          <w:snapToGrid w:val="0"/>
          <w:spacing w:val="-1"/>
        </w:rPr>
        <w:t>6</w:t>
      </w:r>
      <w:r>
        <w:rPr>
          <w:rFonts w:cs="Times New Roman" w:hint="eastAsia"/>
          <w:snapToGrid w:val="0"/>
          <w:spacing w:val="-1"/>
        </w:rPr>
        <w:t>.0m</w:t>
      </w:r>
      <w:r>
        <w:rPr>
          <w:rFonts w:cs="Times New Roman"/>
          <w:snapToGrid w:val="0"/>
          <w:spacing w:val="-1"/>
        </w:rPr>
        <w:t>，且地层颗粒较粗，地下水主要侧向径流形式向下游排泄以及抽取地下水形式排泄，由于开采量适宜，该区地下水水位变化基本呈现一种自然状态，在南部区域地下水形成的补给、径流及排泄条件较差，水位埋深较小，受灌溉期开采影响呈下降趋势，但到冬季大部分能够得到恢复。</w:t>
      </w:r>
    </w:p>
    <w:p w:rsidR="00C645C9" w:rsidRDefault="00F955D9">
      <w:pPr>
        <w:kinsoku w:val="0"/>
        <w:autoSpaceDE w:val="0"/>
        <w:autoSpaceDN w:val="0"/>
        <w:adjustRightInd w:val="0"/>
        <w:snapToGrid w:val="0"/>
        <w:spacing w:line="360" w:lineRule="auto"/>
        <w:ind w:firstLineChars="200" w:firstLine="476"/>
        <w:jc w:val="both"/>
        <w:textAlignment w:val="baseline"/>
        <w:rPr>
          <w:rFonts w:cs="Times New Roman"/>
          <w:snapToGrid w:val="0"/>
          <w:spacing w:val="-1"/>
        </w:rPr>
      </w:pPr>
      <w:r>
        <w:rPr>
          <w:rFonts w:cs="Times New Roman"/>
          <w:snapToGrid w:val="0"/>
          <w:spacing w:val="-1"/>
        </w:rPr>
        <w:lastRenderedPageBreak/>
        <w:t>（</w:t>
      </w:r>
      <w:r>
        <w:rPr>
          <w:rFonts w:cs="Times New Roman"/>
          <w:snapToGrid w:val="0"/>
          <w:spacing w:val="-1"/>
        </w:rPr>
        <w:t>5</w:t>
      </w:r>
      <w:r>
        <w:rPr>
          <w:rFonts w:cs="Times New Roman"/>
          <w:snapToGrid w:val="0"/>
          <w:spacing w:val="-1"/>
        </w:rPr>
        <w:t>）</w:t>
      </w:r>
      <w:r>
        <w:rPr>
          <w:rFonts w:cs="Times New Roman"/>
          <w:snapToGrid w:val="0"/>
          <w:spacing w:val="-1"/>
        </w:rPr>
        <w:t>地下水化学特征</w:t>
      </w:r>
    </w:p>
    <w:p w:rsidR="00C645C9" w:rsidRDefault="00F955D9">
      <w:pPr>
        <w:kinsoku w:val="0"/>
        <w:autoSpaceDE w:val="0"/>
        <w:autoSpaceDN w:val="0"/>
        <w:adjustRightInd w:val="0"/>
        <w:snapToGrid w:val="0"/>
        <w:spacing w:line="360" w:lineRule="auto"/>
        <w:ind w:firstLineChars="200" w:firstLine="476"/>
        <w:jc w:val="both"/>
        <w:textAlignment w:val="baseline"/>
        <w:rPr>
          <w:rFonts w:cs="Times New Roman"/>
          <w:snapToGrid w:val="0"/>
        </w:rPr>
      </w:pPr>
      <w:r>
        <w:rPr>
          <w:rFonts w:cs="Times New Roman"/>
          <w:snapToGrid w:val="0"/>
          <w:spacing w:val="-1"/>
        </w:rPr>
        <w:t>库沙新</w:t>
      </w:r>
      <w:r>
        <w:rPr>
          <w:rFonts w:cs="Times New Roman"/>
          <w:snapToGrid w:val="0"/>
          <w:spacing w:val="-2"/>
        </w:rPr>
        <w:t>冲洪积平原上部及近河地带地下水均处于碱性、弱碱性的</w:t>
      </w:r>
      <w:r>
        <w:rPr>
          <w:rFonts w:cs="Times New Roman"/>
          <w:snapToGrid w:val="0"/>
          <w:spacing w:val="-3"/>
        </w:rPr>
        <w:t>水文地球化学环境中，</w:t>
      </w:r>
      <w:r>
        <w:rPr>
          <w:rFonts w:cs="Times New Roman"/>
          <w:snapToGrid w:val="0"/>
          <w:spacing w:val="-3"/>
        </w:rPr>
        <w:t>HCO</w:t>
      </w:r>
      <w:r>
        <w:rPr>
          <w:rFonts w:cs="Times New Roman"/>
          <w:snapToGrid w:val="0"/>
          <w:spacing w:val="-3"/>
          <w:position w:val="-1"/>
        </w:rPr>
        <w:t>3</w:t>
      </w:r>
      <w:r>
        <w:rPr>
          <w:rFonts w:cs="Times New Roman"/>
          <w:snapToGrid w:val="0"/>
          <w:spacing w:val="-3"/>
        </w:rPr>
        <w:t>、</w:t>
      </w:r>
      <w:r>
        <w:rPr>
          <w:rFonts w:cs="Times New Roman"/>
          <w:snapToGrid w:val="0"/>
          <w:spacing w:val="-3"/>
        </w:rPr>
        <w:t>SO</w:t>
      </w:r>
      <w:r>
        <w:rPr>
          <w:rFonts w:cs="Times New Roman"/>
          <w:snapToGrid w:val="0"/>
          <w:spacing w:val="-3"/>
          <w:position w:val="-1"/>
        </w:rPr>
        <w:t>4</w:t>
      </w:r>
      <w:r>
        <w:rPr>
          <w:rFonts w:cs="Times New Roman"/>
          <w:snapToGrid w:val="0"/>
          <w:spacing w:val="-3"/>
          <w:position w:val="8"/>
          <w:vertAlign w:val="superscript"/>
        </w:rPr>
        <w:t>2-</w:t>
      </w:r>
      <w:r>
        <w:rPr>
          <w:rFonts w:cs="Times New Roman"/>
          <w:snapToGrid w:val="0"/>
          <w:spacing w:val="-3"/>
        </w:rPr>
        <w:t>、</w:t>
      </w:r>
      <w:r>
        <w:rPr>
          <w:rFonts w:cs="Times New Roman"/>
          <w:snapToGrid w:val="0"/>
          <w:spacing w:val="-3"/>
        </w:rPr>
        <w:t>Cl</w:t>
      </w:r>
      <w:r>
        <w:rPr>
          <w:rFonts w:cs="Times New Roman"/>
          <w:snapToGrid w:val="0"/>
          <w:spacing w:val="-3"/>
          <w:position w:val="8"/>
          <w:vertAlign w:val="superscript"/>
        </w:rPr>
        <w:t>-</w:t>
      </w:r>
      <w:r>
        <w:rPr>
          <w:rFonts w:cs="Times New Roman"/>
          <w:snapToGrid w:val="0"/>
          <w:spacing w:val="-3"/>
        </w:rPr>
        <w:t>、</w:t>
      </w:r>
      <w:r>
        <w:rPr>
          <w:rFonts w:cs="Times New Roman"/>
          <w:snapToGrid w:val="0"/>
          <w:spacing w:val="-3"/>
        </w:rPr>
        <w:t>Ca</w:t>
      </w:r>
      <w:r>
        <w:rPr>
          <w:rFonts w:cs="Times New Roman"/>
          <w:snapToGrid w:val="0"/>
          <w:spacing w:val="-3"/>
          <w:position w:val="8"/>
          <w:vertAlign w:val="superscript"/>
        </w:rPr>
        <w:t>2+</w:t>
      </w:r>
      <w:r>
        <w:rPr>
          <w:rFonts w:cs="Times New Roman"/>
          <w:snapToGrid w:val="0"/>
          <w:spacing w:val="-3"/>
        </w:rPr>
        <w:t>、</w:t>
      </w:r>
      <w:r>
        <w:rPr>
          <w:rFonts w:cs="Times New Roman"/>
          <w:snapToGrid w:val="0"/>
          <w:spacing w:val="-3"/>
        </w:rPr>
        <w:t>Na</w:t>
      </w:r>
      <w:r>
        <w:rPr>
          <w:rFonts w:cs="Times New Roman"/>
          <w:snapToGrid w:val="0"/>
          <w:spacing w:val="-3"/>
          <w:position w:val="8"/>
          <w:vertAlign w:val="superscript"/>
        </w:rPr>
        <w:t>+</w:t>
      </w:r>
      <w:r>
        <w:rPr>
          <w:rFonts w:cs="Times New Roman"/>
          <w:snapToGrid w:val="0"/>
          <w:spacing w:val="-3"/>
        </w:rPr>
        <w:t>、</w:t>
      </w:r>
      <w:r>
        <w:rPr>
          <w:rFonts w:cs="Times New Roman"/>
          <w:snapToGrid w:val="0"/>
          <w:spacing w:val="-3"/>
        </w:rPr>
        <w:t>Mg</w:t>
      </w:r>
      <w:r>
        <w:rPr>
          <w:rFonts w:cs="Times New Roman"/>
          <w:snapToGrid w:val="0"/>
          <w:spacing w:val="-3"/>
          <w:position w:val="8"/>
          <w:vertAlign w:val="superscript"/>
        </w:rPr>
        <w:t>2+</w:t>
      </w:r>
      <w:r>
        <w:rPr>
          <w:rFonts w:cs="Times New Roman"/>
          <w:snapToGrid w:val="0"/>
          <w:spacing w:val="-4"/>
        </w:rPr>
        <w:t>等离子或元素相对富集，潜水多为矿</w:t>
      </w:r>
      <w:r>
        <w:rPr>
          <w:rFonts w:cs="Times New Roman"/>
          <w:snapToGrid w:val="0"/>
          <w:spacing w:val="-3"/>
        </w:rPr>
        <w:t>化度</w:t>
      </w:r>
      <w:r>
        <w:rPr>
          <w:rFonts w:cs="Times New Roman"/>
          <w:snapToGrid w:val="0"/>
          <w:spacing w:val="-3"/>
        </w:rPr>
        <w:t>&lt;1g/L</w:t>
      </w:r>
      <w:r>
        <w:rPr>
          <w:rFonts w:cs="Times New Roman"/>
          <w:snapToGrid w:val="0"/>
          <w:spacing w:val="-3"/>
        </w:rPr>
        <w:t>的</w:t>
      </w:r>
      <w:r>
        <w:rPr>
          <w:rFonts w:cs="Times New Roman"/>
          <w:snapToGrid w:val="0"/>
          <w:spacing w:val="-3"/>
        </w:rPr>
        <w:t>HCO</w:t>
      </w:r>
      <w:r>
        <w:rPr>
          <w:rFonts w:cs="Times New Roman"/>
          <w:snapToGrid w:val="0"/>
          <w:spacing w:val="-3"/>
          <w:vertAlign w:val="subscript"/>
        </w:rPr>
        <w:t>3</w:t>
      </w:r>
      <w:r>
        <w:rPr>
          <w:rFonts w:cs="Times New Roman"/>
          <w:snapToGrid w:val="0"/>
          <w:spacing w:val="-3"/>
        </w:rPr>
        <w:t>—Ca·Na·Mg</w:t>
      </w:r>
      <w:r>
        <w:rPr>
          <w:rFonts w:cs="Times New Roman"/>
          <w:snapToGrid w:val="0"/>
          <w:spacing w:val="-3"/>
        </w:rPr>
        <w:t>型淡水，水质较好。</w:t>
      </w:r>
    </w:p>
    <w:p w:rsidR="00C645C9" w:rsidRDefault="00F955D9">
      <w:pPr>
        <w:kinsoku w:val="0"/>
        <w:autoSpaceDE w:val="0"/>
        <w:autoSpaceDN w:val="0"/>
        <w:adjustRightInd w:val="0"/>
        <w:snapToGrid w:val="0"/>
        <w:spacing w:line="360" w:lineRule="auto"/>
        <w:ind w:firstLine="480"/>
        <w:jc w:val="both"/>
        <w:textAlignment w:val="baseline"/>
        <w:rPr>
          <w:rFonts w:cs="Times New Roman"/>
          <w:snapToGrid w:val="0"/>
          <w:lang w:eastAsia="en-US"/>
        </w:rPr>
      </w:pPr>
      <w:r>
        <w:rPr>
          <w:rFonts w:cs="Times New Roman"/>
          <w:snapToGrid w:val="0"/>
          <w:spacing w:val="-5"/>
          <w:lang w:eastAsia="en-US"/>
        </w:rPr>
        <w:t>平原中下部其潜水水化学基本以蒸发、浓缩</w:t>
      </w:r>
      <w:r>
        <w:rPr>
          <w:rFonts w:cs="Times New Roman"/>
          <w:snapToGrid w:val="0"/>
          <w:spacing w:val="-6"/>
          <w:lang w:eastAsia="en-US"/>
        </w:rPr>
        <w:t>作用为主，</w:t>
      </w:r>
      <w:bookmarkStart w:id="1487" w:name="OLE_LINK1328"/>
      <w:r>
        <w:rPr>
          <w:rFonts w:cs="Times New Roman"/>
          <w:snapToGrid w:val="0"/>
          <w:spacing w:val="-6"/>
          <w:lang w:eastAsia="en-US"/>
        </w:rPr>
        <w:t>迳流</w:t>
      </w:r>
      <w:bookmarkEnd w:id="1487"/>
      <w:r>
        <w:rPr>
          <w:rFonts w:cs="Times New Roman"/>
          <w:snapToGrid w:val="0"/>
          <w:spacing w:val="-6"/>
          <w:lang w:eastAsia="en-US"/>
        </w:rPr>
        <w:t>条件差，矿化度一</w:t>
      </w:r>
      <w:r>
        <w:rPr>
          <w:rFonts w:cs="Times New Roman"/>
          <w:snapToGrid w:val="0"/>
          <w:spacing w:val="-4"/>
          <w:lang w:eastAsia="en-US"/>
        </w:rPr>
        <w:t>般在</w:t>
      </w:r>
      <w:r>
        <w:rPr>
          <w:rFonts w:cs="Times New Roman"/>
          <w:snapToGrid w:val="0"/>
          <w:spacing w:val="-4"/>
          <w:lang w:eastAsia="en-US"/>
        </w:rPr>
        <w:t>1.0</w:t>
      </w:r>
      <w:r>
        <w:rPr>
          <w:rFonts w:cs="Times New Roman"/>
          <w:snapToGrid w:val="0"/>
          <w:spacing w:val="-4"/>
          <w:lang w:eastAsia="en-US"/>
        </w:rPr>
        <w:t>～</w:t>
      </w:r>
      <w:r>
        <w:rPr>
          <w:rFonts w:cs="Times New Roman"/>
          <w:snapToGrid w:val="0"/>
          <w:spacing w:val="-4"/>
          <w:lang w:eastAsia="en-US"/>
        </w:rPr>
        <w:t>3.0g/</w:t>
      </w:r>
      <w:r>
        <w:rPr>
          <w:rFonts w:cs="Times New Roman"/>
          <w:snapToGrid w:val="0"/>
          <w:spacing w:val="-4"/>
        </w:rPr>
        <w:t>L</w:t>
      </w:r>
      <w:r>
        <w:rPr>
          <w:rFonts w:cs="Times New Roman"/>
          <w:snapToGrid w:val="0"/>
          <w:spacing w:val="-4"/>
          <w:lang w:eastAsia="en-US"/>
        </w:rPr>
        <w:t>间，局部区域矿化度</w:t>
      </w:r>
      <w:r>
        <w:rPr>
          <w:rFonts w:cs="Times New Roman"/>
          <w:snapToGrid w:val="0"/>
          <w:spacing w:val="-4"/>
          <w:lang w:eastAsia="en-US"/>
        </w:rPr>
        <w:t>&gt;3.0g/</w:t>
      </w:r>
      <w:r>
        <w:rPr>
          <w:rFonts w:cs="Times New Roman"/>
          <w:snapToGrid w:val="0"/>
          <w:spacing w:val="-4"/>
        </w:rPr>
        <w:t>L</w:t>
      </w:r>
      <w:r>
        <w:rPr>
          <w:rFonts w:cs="Times New Roman"/>
          <w:snapToGrid w:val="0"/>
          <w:spacing w:val="-4"/>
          <w:lang w:eastAsia="en-US"/>
        </w:rPr>
        <w:t>，多为</w:t>
      </w:r>
      <w:r>
        <w:rPr>
          <w:rFonts w:cs="Times New Roman"/>
          <w:snapToGrid w:val="0"/>
          <w:spacing w:val="-4"/>
          <w:lang w:eastAsia="en-US"/>
        </w:rPr>
        <w:t>Cl·SO4—Na·M</w:t>
      </w:r>
      <w:r>
        <w:rPr>
          <w:rFonts w:cs="Times New Roman"/>
          <w:snapToGrid w:val="0"/>
          <w:spacing w:val="-5"/>
          <w:lang w:eastAsia="en-US"/>
        </w:rPr>
        <w:t>g</w:t>
      </w:r>
      <w:r>
        <w:rPr>
          <w:rFonts w:cs="Times New Roman"/>
          <w:snapToGrid w:val="0"/>
          <w:spacing w:val="-5"/>
          <w:lang w:eastAsia="en-US"/>
        </w:rPr>
        <w:t>型微咸水、</w:t>
      </w:r>
      <w:r>
        <w:rPr>
          <w:rFonts w:cs="Times New Roman"/>
          <w:snapToGrid w:val="0"/>
          <w:spacing w:val="-4"/>
          <w:lang w:eastAsia="en-US"/>
        </w:rPr>
        <w:t>局部为</w:t>
      </w:r>
      <w:r>
        <w:rPr>
          <w:rFonts w:cs="Times New Roman"/>
          <w:snapToGrid w:val="0"/>
          <w:spacing w:val="-4"/>
          <w:lang w:eastAsia="en-US"/>
        </w:rPr>
        <w:t>SO</w:t>
      </w:r>
      <w:r>
        <w:rPr>
          <w:rFonts w:cs="Times New Roman"/>
          <w:snapToGrid w:val="0"/>
          <w:spacing w:val="-4"/>
          <w:vertAlign w:val="subscript"/>
          <w:lang w:eastAsia="en-US"/>
        </w:rPr>
        <w:t>4</w:t>
      </w:r>
      <w:r>
        <w:rPr>
          <w:rFonts w:cs="Times New Roman"/>
          <w:snapToGrid w:val="0"/>
          <w:spacing w:val="-14"/>
          <w:lang w:eastAsia="en-US"/>
        </w:rPr>
        <w:t>·Cl—Na·Mg</w:t>
      </w:r>
      <w:r>
        <w:rPr>
          <w:rFonts w:cs="Times New Roman"/>
          <w:snapToGrid w:val="0"/>
          <w:spacing w:val="-14"/>
          <w:lang w:eastAsia="en-US"/>
        </w:rPr>
        <w:t>型</w:t>
      </w:r>
      <w:r>
        <w:rPr>
          <w:rFonts w:cs="Times New Roman"/>
          <w:snapToGrid w:val="0"/>
          <w:spacing w:val="-14"/>
        </w:rPr>
        <w:t>，</w:t>
      </w:r>
      <w:r>
        <w:rPr>
          <w:rFonts w:cs="Times New Roman"/>
          <w:snapToGrid w:val="0"/>
          <w:spacing w:val="-14"/>
          <w:lang w:eastAsia="en-US"/>
        </w:rPr>
        <w:t>Cl·SO</w:t>
      </w:r>
      <w:r>
        <w:rPr>
          <w:rFonts w:cs="Times New Roman"/>
          <w:snapToGrid w:val="0"/>
          <w:spacing w:val="-3"/>
          <w:vertAlign w:val="subscript"/>
          <w:lang w:eastAsia="en-US"/>
        </w:rPr>
        <w:t>4</w:t>
      </w:r>
      <w:r>
        <w:rPr>
          <w:rFonts w:cs="Times New Roman"/>
          <w:snapToGrid w:val="0"/>
          <w:spacing w:val="-3"/>
          <w:lang w:eastAsia="en-US"/>
        </w:rPr>
        <w:t>—Na·Mg</w:t>
      </w:r>
      <w:r>
        <w:rPr>
          <w:rFonts w:cs="Times New Roman"/>
          <w:snapToGrid w:val="0"/>
          <w:spacing w:val="-3"/>
          <w:lang w:eastAsia="en-US"/>
        </w:rPr>
        <w:t>型咸水，水质较差。</w:t>
      </w:r>
    </w:p>
    <w:p w:rsidR="00C645C9" w:rsidRDefault="00F955D9">
      <w:pPr>
        <w:pStyle w:val="Default"/>
        <w:snapToGrid w:val="0"/>
        <w:spacing w:line="360" w:lineRule="auto"/>
        <w:ind w:firstLineChars="200" w:firstLine="448"/>
        <w:jc w:val="both"/>
        <w:rPr>
          <w:rFonts w:ascii="Times New Roman" w:hAnsi="Times New Roman" w:cs="Times New Roman"/>
          <w:snapToGrid w:val="0"/>
          <w:color w:val="auto"/>
          <w:spacing w:val="-1"/>
        </w:rPr>
      </w:pPr>
      <w:r>
        <w:rPr>
          <w:rFonts w:ascii="Times New Roman" w:hAnsi="Times New Roman" w:cs="Times New Roman"/>
          <w:snapToGrid w:val="0"/>
          <w:color w:val="auto"/>
          <w:spacing w:val="-8"/>
          <w:lang w:eastAsia="en-US"/>
        </w:rPr>
        <w:t>平</w:t>
      </w:r>
      <w:r>
        <w:rPr>
          <w:rFonts w:ascii="Times New Roman" w:hAnsi="Times New Roman" w:cs="Times New Roman"/>
          <w:snapToGrid w:val="0"/>
          <w:color w:val="auto"/>
          <w:spacing w:val="-5"/>
          <w:lang w:eastAsia="en-US"/>
        </w:rPr>
        <w:t>原中下部其承压水水化学类型多为</w:t>
      </w:r>
      <w:r>
        <w:rPr>
          <w:rFonts w:ascii="Times New Roman" w:hAnsi="Times New Roman" w:cs="Times New Roman"/>
          <w:snapToGrid w:val="0"/>
          <w:color w:val="auto"/>
          <w:spacing w:val="-5"/>
          <w:lang w:eastAsia="en-US"/>
        </w:rPr>
        <w:t xml:space="preserve"> HCO</w:t>
      </w:r>
      <w:r>
        <w:rPr>
          <w:rFonts w:ascii="Times New Roman" w:hAnsi="Times New Roman" w:cs="Times New Roman"/>
          <w:snapToGrid w:val="0"/>
          <w:color w:val="auto"/>
          <w:spacing w:val="-5"/>
          <w:vertAlign w:val="subscript"/>
          <w:lang w:eastAsia="en-US"/>
        </w:rPr>
        <w:t>3</w:t>
      </w:r>
      <w:r>
        <w:rPr>
          <w:rFonts w:ascii="Times New Roman" w:hAnsi="Times New Roman" w:cs="Times New Roman"/>
          <w:snapToGrid w:val="0"/>
          <w:color w:val="auto"/>
          <w:spacing w:val="-5"/>
          <w:lang w:eastAsia="en-US"/>
        </w:rPr>
        <w:t>·Cl·SO</w:t>
      </w:r>
      <w:r>
        <w:rPr>
          <w:rFonts w:ascii="Times New Roman" w:hAnsi="Times New Roman" w:cs="Times New Roman"/>
          <w:snapToGrid w:val="0"/>
          <w:color w:val="auto"/>
          <w:spacing w:val="-5"/>
          <w:vertAlign w:val="subscript"/>
          <w:lang w:eastAsia="en-US"/>
        </w:rPr>
        <w:t>4</w:t>
      </w:r>
      <w:r>
        <w:rPr>
          <w:rFonts w:ascii="Times New Roman" w:hAnsi="Times New Roman" w:cs="Times New Roman"/>
          <w:snapToGrid w:val="0"/>
          <w:color w:val="auto"/>
          <w:spacing w:val="-5"/>
          <w:lang w:eastAsia="en-US"/>
        </w:rPr>
        <w:t>—Ca·Na·Mg</w:t>
      </w:r>
      <w:r>
        <w:rPr>
          <w:rFonts w:ascii="Times New Roman" w:hAnsi="Times New Roman" w:cs="Times New Roman"/>
          <w:snapToGrid w:val="0"/>
          <w:color w:val="auto"/>
          <w:spacing w:val="-5"/>
          <w:lang w:eastAsia="en-US"/>
        </w:rPr>
        <w:t>型</w:t>
      </w:r>
      <w:r>
        <w:rPr>
          <w:rFonts w:ascii="Times New Roman" w:hAnsi="Times New Roman" w:cs="Times New Roman"/>
          <w:snapToGrid w:val="0"/>
          <w:color w:val="auto"/>
          <w:spacing w:val="-5"/>
        </w:rPr>
        <w:t>、</w:t>
      </w:r>
      <w:r>
        <w:rPr>
          <w:rFonts w:ascii="Times New Roman" w:hAnsi="Times New Roman" w:cs="Times New Roman"/>
          <w:snapToGrid w:val="0"/>
          <w:color w:val="auto"/>
          <w:spacing w:val="-5"/>
          <w:lang w:eastAsia="en-US"/>
        </w:rPr>
        <w:t>Cl·SO</w:t>
      </w:r>
      <w:r>
        <w:rPr>
          <w:rFonts w:ascii="Times New Roman" w:hAnsi="Times New Roman" w:cs="Times New Roman"/>
          <w:snapToGrid w:val="0"/>
          <w:color w:val="auto"/>
          <w:spacing w:val="-5"/>
          <w:vertAlign w:val="subscript"/>
          <w:lang w:eastAsia="en-US"/>
        </w:rPr>
        <w:t>4</w:t>
      </w:r>
      <w:r>
        <w:rPr>
          <w:rFonts w:ascii="Times New Roman" w:hAnsi="Times New Roman" w:cs="Times New Roman"/>
          <w:snapToGrid w:val="0"/>
          <w:color w:val="auto"/>
          <w:spacing w:val="-5"/>
          <w:lang w:eastAsia="en-US"/>
        </w:rPr>
        <w:t xml:space="preserve"> —Mg·Na</w:t>
      </w:r>
      <w:r>
        <w:rPr>
          <w:rFonts w:ascii="Times New Roman" w:hAnsi="Times New Roman" w:cs="Times New Roman"/>
          <w:snapToGrid w:val="0"/>
          <w:color w:val="auto"/>
          <w:spacing w:val="-5"/>
          <w:lang w:eastAsia="en-US"/>
        </w:rPr>
        <w:t>型或</w:t>
      </w:r>
      <w:r>
        <w:rPr>
          <w:rFonts w:ascii="Times New Roman" w:hAnsi="Times New Roman" w:cs="Times New Roman"/>
          <w:snapToGrid w:val="0"/>
          <w:color w:val="auto"/>
          <w:spacing w:val="-5"/>
          <w:lang w:eastAsia="en-US"/>
        </w:rPr>
        <w:t xml:space="preserve"> SO</w:t>
      </w:r>
      <w:r>
        <w:rPr>
          <w:rFonts w:ascii="Times New Roman" w:hAnsi="Times New Roman" w:cs="Times New Roman"/>
          <w:snapToGrid w:val="0"/>
          <w:color w:val="auto"/>
          <w:spacing w:val="-5"/>
          <w:vertAlign w:val="subscript"/>
          <w:lang w:eastAsia="en-US"/>
        </w:rPr>
        <w:t>4</w:t>
      </w:r>
      <w:r>
        <w:rPr>
          <w:rFonts w:ascii="Times New Roman" w:hAnsi="Times New Roman" w:cs="Times New Roman"/>
          <w:snapToGrid w:val="0"/>
          <w:color w:val="auto"/>
          <w:spacing w:val="-5"/>
          <w:lang w:eastAsia="en-US"/>
        </w:rPr>
        <w:t>·Cl—Mg·Na</w:t>
      </w:r>
      <w:r>
        <w:rPr>
          <w:rFonts w:ascii="Times New Roman" w:hAnsi="Times New Roman" w:cs="Times New Roman"/>
          <w:snapToGrid w:val="0"/>
          <w:color w:val="auto"/>
          <w:spacing w:val="-5"/>
          <w:lang w:eastAsia="en-US"/>
        </w:rPr>
        <w:t>型水，矿化度一般在</w:t>
      </w:r>
      <w:r>
        <w:rPr>
          <w:rFonts w:ascii="Times New Roman" w:hAnsi="Times New Roman" w:cs="Times New Roman"/>
          <w:snapToGrid w:val="0"/>
          <w:color w:val="auto"/>
          <w:spacing w:val="-5"/>
          <w:lang w:eastAsia="en-US"/>
        </w:rPr>
        <w:t>1.0</w:t>
      </w:r>
      <w:r>
        <w:rPr>
          <w:rFonts w:ascii="Times New Roman" w:hAnsi="Times New Roman" w:cs="Times New Roman"/>
          <w:snapToGrid w:val="0"/>
          <w:color w:val="auto"/>
          <w:spacing w:val="-5"/>
          <w:lang w:eastAsia="en-US"/>
        </w:rPr>
        <w:t>～</w:t>
      </w:r>
      <w:r>
        <w:rPr>
          <w:rFonts w:ascii="Times New Roman" w:hAnsi="Times New Roman" w:cs="Times New Roman"/>
          <w:snapToGrid w:val="0"/>
          <w:color w:val="auto"/>
          <w:spacing w:val="-5"/>
          <w:lang w:eastAsia="en-US"/>
        </w:rPr>
        <w:t>2.0g/</w:t>
      </w:r>
      <w:r>
        <w:rPr>
          <w:rFonts w:ascii="Times New Roman" w:hAnsi="Times New Roman" w:cs="Times New Roman"/>
          <w:snapToGrid w:val="0"/>
          <w:color w:val="auto"/>
          <w:spacing w:val="-5"/>
        </w:rPr>
        <w:t>L</w:t>
      </w:r>
      <w:r>
        <w:rPr>
          <w:rFonts w:ascii="Times New Roman" w:hAnsi="Times New Roman" w:cs="Times New Roman"/>
          <w:snapToGrid w:val="0"/>
          <w:color w:val="auto"/>
          <w:spacing w:val="-5"/>
        </w:rPr>
        <w:t>之</w:t>
      </w:r>
      <w:r>
        <w:rPr>
          <w:rFonts w:ascii="Times New Roman" w:hAnsi="Times New Roman" w:cs="Times New Roman"/>
          <w:snapToGrid w:val="0"/>
          <w:color w:val="auto"/>
          <w:spacing w:val="-5"/>
          <w:lang w:eastAsia="en-US"/>
        </w:rPr>
        <w:t>间，局部区域矿化度</w:t>
      </w:r>
      <w:r>
        <w:rPr>
          <w:rFonts w:ascii="Times New Roman" w:hAnsi="Times New Roman" w:cs="Times New Roman"/>
          <w:snapToGrid w:val="0"/>
          <w:color w:val="auto"/>
          <w:spacing w:val="-5"/>
          <w:lang w:eastAsia="en-US"/>
        </w:rPr>
        <w:t>&gt; 2.0g/</w:t>
      </w:r>
      <w:r>
        <w:rPr>
          <w:rFonts w:ascii="Times New Roman" w:hAnsi="Times New Roman" w:cs="Times New Roman"/>
          <w:snapToGrid w:val="0"/>
          <w:color w:val="auto"/>
          <w:spacing w:val="-5"/>
        </w:rPr>
        <w:t>L</w:t>
      </w:r>
      <w:r>
        <w:rPr>
          <w:rFonts w:ascii="Times New Roman" w:hAnsi="Times New Roman" w:cs="Times New Roman"/>
          <w:snapToGrid w:val="0"/>
          <w:color w:val="auto"/>
          <w:spacing w:val="-5"/>
          <w:lang w:eastAsia="en-US"/>
        </w:rPr>
        <w:t>，多为微咸水</w:t>
      </w:r>
      <w:r>
        <w:rPr>
          <w:rFonts w:ascii="Times New Roman" w:hAnsi="Times New Roman" w:cs="Times New Roman"/>
          <w:snapToGrid w:val="0"/>
          <w:color w:val="auto"/>
          <w:spacing w:val="-1"/>
        </w:rPr>
        <w:t>。</w:t>
      </w:r>
    </w:p>
    <w:p w:rsidR="00C645C9" w:rsidRDefault="00F955D9">
      <w:pPr>
        <w:keepLines/>
        <w:widowControl w:val="0"/>
        <w:adjustRightInd w:val="0"/>
        <w:snapToGrid w:val="0"/>
        <w:spacing w:line="360" w:lineRule="auto"/>
        <w:jc w:val="both"/>
        <w:outlineLvl w:val="3"/>
        <w:rPr>
          <w:rFonts w:cs="Times New Roman"/>
          <w:b/>
          <w:kern w:val="2"/>
          <w:szCs w:val="20"/>
        </w:rPr>
      </w:pPr>
      <w:r>
        <w:rPr>
          <w:rFonts w:cs="Times New Roman"/>
          <w:b/>
          <w:kern w:val="2"/>
          <w:szCs w:val="20"/>
        </w:rPr>
        <w:t>5.2</w:t>
      </w:r>
      <w:r>
        <w:rPr>
          <w:rFonts w:cs="Times New Roman"/>
          <w:b/>
          <w:kern w:val="2"/>
          <w:szCs w:val="20"/>
        </w:rPr>
        <w:t>.1.</w:t>
      </w:r>
      <w:r>
        <w:rPr>
          <w:rFonts w:cs="Times New Roman"/>
          <w:b/>
          <w:kern w:val="2"/>
          <w:szCs w:val="20"/>
        </w:rPr>
        <w:t>2</w:t>
      </w:r>
      <w:r>
        <w:rPr>
          <w:rFonts w:cs="Times New Roman"/>
          <w:b/>
          <w:kern w:val="2"/>
          <w:szCs w:val="20"/>
        </w:rPr>
        <w:t>评价区水文地质条件</w:t>
      </w:r>
    </w:p>
    <w:p w:rsidR="00C645C9" w:rsidRDefault="00F955D9">
      <w:pPr>
        <w:kinsoku w:val="0"/>
        <w:autoSpaceDE w:val="0"/>
        <w:autoSpaceDN w:val="0"/>
        <w:adjustRightInd w:val="0"/>
        <w:snapToGrid w:val="0"/>
        <w:spacing w:before="51" w:line="360" w:lineRule="auto"/>
        <w:ind w:firstLine="480"/>
        <w:textAlignment w:val="baseline"/>
        <w:rPr>
          <w:rFonts w:cs="Times New Roman"/>
          <w:snapToGrid w:val="0"/>
          <w:spacing w:val="-4"/>
        </w:rPr>
      </w:pPr>
      <w:r>
        <w:rPr>
          <w:rFonts w:cs="Times New Roman"/>
          <w:snapToGrid w:val="0"/>
          <w:spacing w:val="-4"/>
        </w:rPr>
        <w:t>（</w:t>
      </w:r>
      <w:r>
        <w:rPr>
          <w:rFonts w:cs="Times New Roman"/>
          <w:snapToGrid w:val="0"/>
          <w:spacing w:val="-4"/>
        </w:rPr>
        <w:t>1</w:t>
      </w:r>
      <w:r>
        <w:rPr>
          <w:rFonts w:cs="Times New Roman"/>
          <w:snapToGrid w:val="0"/>
          <w:spacing w:val="-4"/>
        </w:rPr>
        <w:t>）</w:t>
      </w:r>
      <w:r>
        <w:rPr>
          <w:rFonts w:cs="Times New Roman"/>
          <w:snapToGrid w:val="0"/>
          <w:spacing w:val="-4"/>
        </w:rPr>
        <w:t>地下水的赋存及其分布规律</w:t>
      </w:r>
    </w:p>
    <w:p w:rsidR="00C645C9" w:rsidRDefault="00F955D9">
      <w:pPr>
        <w:kinsoku w:val="0"/>
        <w:autoSpaceDE w:val="0"/>
        <w:autoSpaceDN w:val="0"/>
        <w:adjustRightInd w:val="0"/>
        <w:snapToGrid w:val="0"/>
        <w:spacing w:before="51" w:line="360" w:lineRule="auto"/>
        <w:ind w:firstLine="480"/>
        <w:textAlignment w:val="baseline"/>
        <w:rPr>
          <w:rFonts w:cs="Times New Roman"/>
          <w:snapToGrid w:val="0"/>
          <w:spacing w:val="-4"/>
        </w:rPr>
      </w:pPr>
      <w:r>
        <w:rPr>
          <w:rFonts w:cs="Times New Roman"/>
          <w:snapToGrid w:val="0"/>
          <w:spacing w:val="-4"/>
        </w:rPr>
        <w:t>评价区</w:t>
      </w:r>
      <w:r>
        <w:rPr>
          <w:rFonts w:cs="Times New Roman"/>
          <w:snapToGrid w:val="0"/>
          <w:spacing w:val="-4"/>
        </w:rPr>
        <w:t>位于渭干河冲洪积扇中上部地段，地形坡降较大，含水层岩性以冲洪积砂砾石、砾砂层为主，颗粒较粗，厚度大于</w:t>
      </w:r>
      <w:r>
        <w:rPr>
          <w:rFonts w:cs="Times New Roman"/>
          <w:snapToGrid w:val="0"/>
          <w:spacing w:val="-4"/>
        </w:rPr>
        <w:t>200m</w:t>
      </w:r>
      <w:r>
        <w:rPr>
          <w:rFonts w:cs="Times New Roman"/>
          <w:snapToGrid w:val="0"/>
          <w:spacing w:val="-4"/>
        </w:rPr>
        <w:t>，透水性能</w:t>
      </w:r>
      <w:r>
        <w:rPr>
          <w:rFonts w:cs="Times New Roman"/>
          <w:snapToGrid w:val="0"/>
          <w:spacing w:val="-4"/>
        </w:rPr>
        <w:t>较</w:t>
      </w:r>
      <w:r>
        <w:rPr>
          <w:rFonts w:cs="Times New Roman"/>
          <w:snapToGrid w:val="0"/>
          <w:spacing w:val="-4"/>
        </w:rPr>
        <w:t>强，含水层为</w:t>
      </w:r>
      <w:r>
        <w:rPr>
          <w:rFonts w:cs="Times New Roman"/>
          <w:snapToGrid w:val="0"/>
          <w:spacing w:val="-4"/>
        </w:rPr>
        <w:t>多层</w:t>
      </w:r>
      <w:r>
        <w:rPr>
          <w:rFonts w:cs="Times New Roman"/>
          <w:snapToGrid w:val="0"/>
          <w:spacing w:val="-4"/>
        </w:rPr>
        <w:t>结构孔隙潜水</w:t>
      </w:r>
      <w:r>
        <w:rPr>
          <w:rFonts w:cs="Times New Roman"/>
          <w:snapToGrid w:val="0"/>
          <w:spacing w:val="-4"/>
        </w:rPr>
        <w:t>-</w:t>
      </w:r>
      <w:r>
        <w:rPr>
          <w:rFonts w:cs="Times New Roman"/>
          <w:snapToGrid w:val="0"/>
          <w:spacing w:val="-4"/>
        </w:rPr>
        <w:t>承压水</w:t>
      </w:r>
      <w:r>
        <w:rPr>
          <w:rFonts w:cs="Times New Roman"/>
          <w:snapToGrid w:val="0"/>
          <w:spacing w:val="-4"/>
        </w:rPr>
        <w:t>类型。</w:t>
      </w:r>
    </w:p>
    <w:p w:rsidR="00C645C9" w:rsidRDefault="00F955D9">
      <w:pPr>
        <w:kinsoku w:val="0"/>
        <w:autoSpaceDE w:val="0"/>
        <w:autoSpaceDN w:val="0"/>
        <w:adjustRightInd w:val="0"/>
        <w:snapToGrid w:val="0"/>
        <w:spacing w:before="51" w:line="360" w:lineRule="auto"/>
        <w:ind w:firstLine="480"/>
        <w:textAlignment w:val="baseline"/>
        <w:rPr>
          <w:rFonts w:cs="Times New Roman"/>
          <w:snapToGrid w:val="0"/>
          <w:spacing w:val="-4"/>
        </w:rPr>
      </w:pPr>
      <w:r>
        <w:rPr>
          <w:rFonts w:cs="Times New Roman"/>
          <w:snapToGrid w:val="0"/>
          <w:spacing w:val="-4"/>
        </w:rPr>
        <w:t>（</w:t>
      </w:r>
      <w:r>
        <w:rPr>
          <w:rFonts w:cs="Times New Roman"/>
          <w:snapToGrid w:val="0"/>
          <w:spacing w:val="-4"/>
        </w:rPr>
        <w:t>2</w:t>
      </w:r>
      <w:r>
        <w:rPr>
          <w:rFonts w:cs="Times New Roman"/>
          <w:snapToGrid w:val="0"/>
          <w:spacing w:val="-4"/>
        </w:rPr>
        <w:t>）</w:t>
      </w:r>
      <w:r>
        <w:rPr>
          <w:rFonts w:cs="Times New Roman"/>
          <w:snapToGrid w:val="0"/>
          <w:spacing w:val="-4"/>
        </w:rPr>
        <w:t>含水岩组特征及富水性</w:t>
      </w:r>
    </w:p>
    <w:p w:rsidR="00C645C9" w:rsidRDefault="00F955D9">
      <w:pPr>
        <w:adjustRightInd w:val="0"/>
        <w:snapToGrid w:val="0"/>
        <w:spacing w:line="360" w:lineRule="auto"/>
        <w:ind w:firstLineChars="200" w:firstLine="480"/>
        <w:jc w:val="both"/>
        <w:rPr>
          <w:rFonts w:cs="Times New Roman"/>
        </w:rPr>
      </w:pPr>
      <w:r>
        <w:rPr>
          <w:rFonts w:cs="Times New Roman"/>
        </w:rPr>
        <w:t>①</w:t>
      </w:r>
      <w:r>
        <w:rPr>
          <w:rFonts w:cs="Times New Roman"/>
        </w:rPr>
        <w:t>潜水</w:t>
      </w:r>
    </w:p>
    <w:p w:rsidR="00C645C9" w:rsidRDefault="00F955D9">
      <w:pPr>
        <w:adjustRightInd w:val="0"/>
        <w:snapToGrid w:val="0"/>
        <w:spacing w:line="360" w:lineRule="auto"/>
        <w:ind w:firstLineChars="200" w:firstLine="464"/>
        <w:jc w:val="both"/>
        <w:rPr>
          <w:rFonts w:cs="Times New Roman"/>
        </w:rPr>
      </w:pPr>
      <w:r>
        <w:rPr>
          <w:rFonts w:cs="Times New Roman"/>
          <w:snapToGrid w:val="0"/>
          <w:spacing w:val="-4"/>
        </w:rPr>
        <w:t>根据收集的成果资料，</w:t>
      </w:r>
      <w:r>
        <w:rPr>
          <w:rFonts w:cs="Times New Roman"/>
          <w:snapToGrid w:val="0"/>
          <w:spacing w:val="-4"/>
        </w:rPr>
        <w:t>评价区上部的</w:t>
      </w:r>
      <w:r>
        <w:rPr>
          <w:rFonts w:cs="Times New Roman"/>
        </w:rPr>
        <w:t>潜水含水层岩性均为细砂、粉砂，新北</w:t>
      </w:r>
      <w:r>
        <w:rPr>
          <w:rFonts w:cs="Times New Roman"/>
        </w:rPr>
        <w:t>1X</w:t>
      </w:r>
      <w:r>
        <w:rPr>
          <w:rFonts w:cs="Times New Roman" w:hint="eastAsia"/>
        </w:rPr>
        <w:t>井</w:t>
      </w:r>
      <w:r>
        <w:rPr>
          <w:rFonts w:cs="Times New Roman"/>
        </w:rPr>
        <w:t>井场地富水性为水量丰富（涌水量</w:t>
      </w:r>
      <w:r>
        <w:rPr>
          <w:rFonts w:cs="Times New Roman"/>
        </w:rPr>
        <w:t>1000m</w:t>
      </w:r>
      <w:r>
        <w:rPr>
          <w:rFonts w:cs="Times New Roman"/>
          <w:vertAlign w:val="superscript"/>
        </w:rPr>
        <w:t>3</w:t>
      </w:r>
      <w:r>
        <w:rPr>
          <w:rFonts w:cs="Times New Roman"/>
        </w:rPr>
        <w:t>/d~5000m</w:t>
      </w:r>
      <w:r>
        <w:rPr>
          <w:rFonts w:cs="Times New Roman"/>
          <w:vertAlign w:val="superscript"/>
        </w:rPr>
        <w:t>3</w:t>
      </w:r>
      <w:r>
        <w:rPr>
          <w:rFonts w:cs="Times New Roman"/>
        </w:rPr>
        <w:t>/d</w:t>
      </w:r>
      <w:r>
        <w:rPr>
          <w:rFonts w:cs="Times New Roman"/>
        </w:rPr>
        <w:t>），潜水含水层岩性为中粗砂，渗透系数一般</w:t>
      </w:r>
      <w:r>
        <w:rPr>
          <w:rFonts w:cs="Times New Roman"/>
        </w:rPr>
        <w:t>10m/d~25m/d</w:t>
      </w:r>
      <w:r>
        <w:rPr>
          <w:rFonts w:cs="Times New Roman"/>
        </w:rPr>
        <w:t>；新北</w:t>
      </w:r>
      <w:r>
        <w:rPr>
          <w:rFonts w:cs="Times New Roman"/>
        </w:rPr>
        <w:t>7</w:t>
      </w:r>
      <w:r>
        <w:rPr>
          <w:rFonts w:cs="Times New Roman"/>
        </w:rPr>
        <w:t>井处富水性为水量中等（</w:t>
      </w:r>
      <w:r>
        <w:rPr>
          <w:rFonts w:cs="Times New Roman"/>
        </w:rPr>
        <w:t>100m</w:t>
      </w:r>
      <w:r>
        <w:rPr>
          <w:rFonts w:cs="Times New Roman"/>
          <w:vertAlign w:val="superscript"/>
        </w:rPr>
        <w:t>3</w:t>
      </w:r>
      <w:r>
        <w:rPr>
          <w:rFonts w:cs="Times New Roman"/>
        </w:rPr>
        <w:t>/d</w:t>
      </w:r>
      <w:r>
        <w:rPr>
          <w:rFonts w:cs="Times New Roman"/>
        </w:rPr>
        <w:t>～</w:t>
      </w:r>
      <w:r>
        <w:rPr>
          <w:rFonts w:cs="Times New Roman"/>
        </w:rPr>
        <w:t>1000m</w:t>
      </w:r>
      <w:r>
        <w:rPr>
          <w:rFonts w:cs="Times New Roman"/>
          <w:vertAlign w:val="superscript"/>
        </w:rPr>
        <w:t>3</w:t>
      </w:r>
      <w:r>
        <w:rPr>
          <w:rFonts w:cs="Times New Roman"/>
        </w:rPr>
        <w:t>/d</w:t>
      </w:r>
      <w:r>
        <w:rPr>
          <w:rFonts w:cs="Times New Roman"/>
        </w:rPr>
        <w:t>），含水层岩性为中粗砂、中细砂，渗透系数</w:t>
      </w:r>
      <w:r>
        <w:rPr>
          <w:rFonts w:cs="Times New Roman"/>
        </w:rPr>
        <w:t>1.30</w:t>
      </w:r>
      <w:r>
        <w:rPr>
          <w:rFonts w:cs="Times New Roman"/>
        </w:rPr>
        <w:t>～</w:t>
      </w:r>
      <w:r>
        <w:rPr>
          <w:rFonts w:cs="Times New Roman"/>
        </w:rPr>
        <w:t>20m/d</w:t>
      </w:r>
      <w:r>
        <w:rPr>
          <w:rFonts w:cs="Times New Roman"/>
        </w:rPr>
        <w:t>之间，水位埋深</w:t>
      </w:r>
      <w:r>
        <w:rPr>
          <w:rFonts w:cs="Times New Roman"/>
        </w:rPr>
        <w:t>1.25</w:t>
      </w:r>
      <w:r>
        <w:rPr>
          <w:rFonts w:cs="Times New Roman"/>
        </w:rPr>
        <w:t>～</w:t>
      </w:r>
      <w:r>
        <w:rPr>
          <w:rFonts w:cs="Times New Roman"/>
        </w:rPr>
        <w:t>10.5m</w:t>
      </w:r>
      <w:r>
        <w:rPr>
          <w:rFonts w:cs="Times New Roman"/>
        </w:rPr>
        <w:t>，</w:t>
      </w:r>
      <w:r>
        <w:rPr>
          <w:rFonts w:cs="Times New Roman"/>
        </w:rPr>
        <w:t>含水层厚度</w:t>
      </w:r>
      <w:r>
        <w:rPr>
          <w:rFonts w:cs="Times New Roman"/>
        </w:rPr>
        <w:t>20~50m</w:t>
      </w:r>
      <w:r>
        <w:rPr>
          <w:rFonts w:cs="Times New Roman" w:hint="eastAsia"/>
        </w:rPr>
        <w:t>，</w:t>
      </w:r>
      <w:r>
        <w:rPr>
          <w:rFonts w:cs="Times New Roman"/>
        </w:rPr>
        <w:t>补给来源主要为渭干河洪积扇侧向补给，其次为渠水、田间水等入渗补给。以垂直蒸发和水平径流方式排泄。</w:t>
      </w:r>
    </w:p>
    <w:p w:rsidR="00C645C9" w:rsidRDefault="00F955D9">
      <w:pPr>
        <w:adjustRightInd w:val="0"/>
        <w:snapToGrid w:val="0"/>
        <w:spacing w:line="360" w:lineRule="auto"/>
        <w:ind w:firstLineChars="200" w:firstLine="480"/>
        <w:jc w:val="both"/>
        <w:rPr>
          <w:rFonts w:cs="Times New Roman"/>
        </w:rPr>
      </w:pPr>
      <w:r>
        <w:rPr>
          <w:rFonts w:cs="Times New Roman"/>
        </w:rPr>
        <w:t>②</w:t>
      </w:r>
      <w:r>
        <w:rPr>
          <w:rFonts w:cs="Times New Roman"/>
        </w:rPr>
        <w:t>承压水</w:t>
      </w:r>
    </w:p>
    <w:p w:rsidR="00C645C9" w:rsidRDefault="00F955D9">
      <w:pPr>
        <w:adjustRightInd w:val="0"/>
        <w:snapToGrid w:val="0"/>
        <w:spacing w:line="360" w:lineRule="auto"/>
        <w:ind w:firstLineChars="200" w:firstLine="480"/>
        <w:jc w:val="both"/>
        <w:rPr>
          <w:rFonts w:cs="Times New Roman"/>
        </w:rPr>
      </w:pPr>
      <w:r>
        <w:rPr>
          <w:rFonts w:cs="Times New Roman"/>
        </w:rPr>
        <w:t>第四系沉积厚度在调查区为</w:t>
      </w:r>
      <w:r>
        <w:rPr>
          <w:rFonts w:cs="Times New Roman"/>
        </w:rPr>
        <w:t>200m</w:t>
      </w:r>
      <w:r>
        <w:rPr>
          <w:rFonts w:cs="Times New Roman"/>
        </w:rPr>
        <w:t>～</w:t>
      </w:r>
      <w:r>
        <w:rPr>
          <w:rFonts w:cs="Times New Roman"/>
        </w:rPr>
        <w:t>300</w:t>
      </w:r>
      <w:bookmarkStart w:id="1488" w:name="OLE_LINK1480"/>
      <w:r>
        <w:rPr>
          <w:rFonts w:cs="Times New Roman"/>
        </w:rPr>
        <w:t>m</w:t>
      </w:r>
      <w:bookmarkEnd w:id="1488"/>
      <w:r>
        <w:rPr>
          <w:rFonts w:cs="Times New Roman"/>
        </w:rPr>
        <w:t>。赋存浅层、中层、深层多层结构的承压水含水层，承压水的主要补给来源为东北部地下水的侧向流入，地下水径流方向为自东北向西南。</w:t>
      </w:r>
    </w:p>
    <w:p w:rsidR="00C645C9" w:rsidRDefault="00F955D9">
      <w:pPr>
        <w:adjustRightInd w:val="0"/>
        <w:snapToGrid w:val="0"/>
        <w:spacing w:line="360" w:lineRule="auto"/>
        <w:ind w:firstLineChars="200" w:firstLine="480"/>
        <w:jc w:val="both"/>
        <w:rPr>
          <w:rFonts w:cs="Times New Roman"/>
        </w:rPr>
      </w:pPr>
      <w:r>
        <w:rPr>
          <w:rFonts w:cs="Times New Roman"/>
        </w:rPr>
        <w:t>承压水含水层岩性以细砂为主，新北</w:t>
      </w:r>
      <w:r>
        <w:rPr>
          <w:rFonts w:cs="Times New Roman"/>
        </w:rPr>
        <w:t>1X</w:t>
      </w:r>
      <w:r>
        <w:rPr>
          <w:rFonts w:cs="Times New Roman"/>
        </w:rPr>
        <w:t>井</w:t>
      </w:r>
      <w:r>
        <w:rPr>
          <w:rFonts w:cs="Times New Roman" w:hint="eastAsia"/>
        </w:rPr>
        <w:t>井</w:t>
      </w:r>
      <w:r>
        <w:rPr>
          <w:rFonts w:cs="Times New Roman"/>
        </w:rPr>
        <w:t>场地承压水含水层厚</w:t>
      </w:r>
      <w:r>
        <w:rPr>
          <w:rFonts w:cs="Times New Roman"/>
        </w:rPr>
        <w:t>20m~40</w:t>
      </w:r>
      <w:bookmarkStart w:id="1489" w:name="OLE_LINK1481"/>
      <w:r>
        <w:rPr>
          <w:rFonts w:cs="Times New Roman"/>
        </w:rPr>
        <w:t>m</w:t>
      </w:r>
      <w:bookmarkEnd w:id="1489"/>
      <w:r>
        <w:rPr>
          <w:rFonts w:cs="Times New Roman"/>
        </w:rPr>
        <w:t>，顶板埋深</w:t>
      </w:r>
      <w:r>
        <w:rPr>
          <w:rFonts w:cs="Times New Roman"/>
        </w:rPr>
        <w:t>20m~40m</w:t>
      </w:r>
      <w:r>
        <w:rPr>
          <w:rFonts w:cs="Times New Roman"/>
        </w:rPr>
        <w:t>，富水性为丰富（涌</w:t>
      </w:r>
      <w:r>
        <w:rPr>
          <w:rFonts w:cs="Times New Roman"/>
        </w:rPr>
        <w:t>水量＞</w:t>
      </w:r>
      <w:r>
        <w:rPr>
          <w:rFonts w:cs="Times New Roman"/>
        </w:rPr>
        <w:t>1000m</w:t>
      </w:r>
      <w:r>
        <w:rPr>
          <w:rFonts w:cs="Times New Roman"/>
          <w:vertAlign w:val="superscript"/>
        </w:rPr>
        <w:t>3</w:t>
      </w:r>
      <w:r>
        <w:rPr>
          <w:rFonts w:cs="Times New Roman"/>
        </w:rPr>
        <w:t>/d</w:t>
      </w:r>
      <w:r>
        <w:rPr>
          <w:rFonts w:cs="Times New Roman"/>
        </w:rPr>
        <w:t>），渗透系数一般小于</w:t>
      </w:r>
      <w:r>
        <w:rPr>
          <w:rFonts w:cs="Times New Roman"/>
        </w:rPr>
        <w:lastRenderedPageBreak/>
        <w:t>5m/d</w:t>
      </w:r>
      <w:r>
        <w:rPr>
          <w:rFonts w:cs="Times New Roman" w:hint="eastAsia"/>
        </w:rPr>
        <w:t>~</w:t>
      </w:r>
      <w:r>
        <w:rPr>
          <w:rFonts w:cs="Times New Roman"/>
        </w:rPr>
        <w:t>15m/d</w:t>
      </w:r>
      <w:r>
        <w:rPr>
          <w:rFonts w:cs="Times New Roman"/>
        </w:rPr>
        <w:t>；新北</w:t>
      </w:r>
      <w:r>
        <w:rPr>
          <w:rFonts w:cs="Times New Roman"/>
        </w:rPr>
        <w:t>7</w:t>
      </w:r>
      <w:r>
        <w:rPr>
          <w:rFonts w:cs="Times New Roman"/>
        </w:rPr>
        <w:t>井承压水含水层厚</w:t>
      </w:r>
      <w:r>
        <w:rPr>
          <w:rFonts w:cs="Times New Roman"/>
        </w:rPr>
        <w:t>约</w:t>
      </w:r>
      <w:r>
        <w:rPr>
          <w:rFonts w:cs="Times New Roman"/>
        </w:rPr>
        <w:t>20</w:t>
      </w:r>
      <w:r>
        <w:rPr>
          <w:rFonts w:cs="Times New Roman"/>
        </w:rPr>
        <w:t>m</w:t>
      </w:r>
      <w:r>
        <w:rPr>
          <w:rFonts w:cs="Times New Roman"/>
        </w:rPr>
        <w:t>，顶板埋深</w:t>
      </w:r>
      <w:r>
        <w:rPr>
          <w:rFonts w:cs="Times New Roman"/>
        </w:rPr>
        <w:t>20~30m</w:t>
      </w:r>
      <w:r>
        <w:rPr>
          <w:rFonts w:cs="Times New Roman"/>
        </w:rPr>
        <w:t>，富水性为中等（</w:t>
      </w:r>
      <w:r>
        <w:rPr>
          <w:rFonts w:cs="Times New Roman"/>
        </w:rPr>
        <w:t>100</w:t>
      </w:r>
      <w:r>
        <w:rPr>
          <w:rFonts w:cs="Times New Roman"/>
        </w:rPr>
        <w:t>～</w:t>
      </w:r>
      <w:r>
        <w:rPr>
          <w:rFonts w:cs="Times New Roman"/>
        </w:rPr>
        <w:t>1000m</w:t>
      </w:r>
      <w:r>
        <w:rPr>
          <w:rFonts w:cs="Times New Roman"/>
          <w:vertAlign w:val="superscript"/>
        </w:rPr>
        <w:t>3</w:t>
      </w:r>
      <w:r>
        <w:rPr>
          <w:rFonts w:cs="Times New Roman"/>
        </w:rPr>
        <w:t>/d</w:t>
      </w:r>
      <w:r>
        <w:rPr>
          <w:rFonts w:cs="Times New Roman"/>
        </w:rPr>
        <w:t>），含水层的渗透系数</w:t>
      </w:r>
      <w:r>
        <w:rPr>
          <w:rFonts w:cs="Times New Roman"/>
        </w:rPr>
        <w:t>1.30</w:t>
      </w:r>
      <w:r>
        <w:rPr>
          <w:rFonts w:cs="Times New Roman"/>
        </w:rPr>
        <w:t>～</w:t>
      </w:r>
      <w:r>
        <w:rPr>
          <w:rFonts w:cs="Times New Roman"/>
        </w:rPr>
        <w:t>3.71m/d</w:t>
      </w:r>
      <w:r>
        <w:rPr>
          <w:rFonts w:cs="Times New Roman"/>
        </w:rPr>
        <w:t>之间，承压水含水层的富水性为水量中等。</w:t>
      </w:r>
    </w:p>
    <w:p w:rsidR="00C645C9" w:rsidRDefault="00F955D9">
      <w:pPr>
        <w:kinsoku w:val="0"/>
        <w:autoSpaceDE w:val="0"/>
        <w:autoSpaceDN w:val="0"/>
        <w:adjustRightInd w:val="0"/>
        <w:snapToGrid w:val="0"/>
        <w:spacing w:line="360" w:lineRule="auto"/>
        <w:ind w:firstLine="480"/>
        <w:textAlignment w:val="baseline"/>
        <w:rPr>
          <w:rFonts w:cs="Times New Roman"/>
          <w:snapToGrid w:val="0"/>
          <w:spacing w:val="-4"/>
        </w:rPr>
      </w:pPr>
      <w:r>
        <w:rPr>
          <w:rFonts w:cs="Times New Roman"/>
          <w:snapToGrid w:val="0"/>
          <w:spacing w:val="-4"/>
        </w:rPr>
        <w:t>（</w:t>
      </w:r>
      <w:r>
        <w:rPr>
          <w:rFonts w:cs="Times New Roman"/>
          <w:snapToGrid w:val="0"/>
          <w:spacing w:val="-4"/>
        </w:rPr>
        <w:t>3</w:t>
      </w:r>
      <w:r>
        <w:rPr>
          <w:rFonts w:cs="Times New Roman"/>
          <w:snapToGrid w:val="0"/>
          <w:spacing w:val="-4"/>
        </w:rPr>
        <w:t>）</w:t>
      </w:r>
      <w:r>
        <w:rPr>
          <w:rFonts w:cs="Times New Roman"/>
          <w:snapToGrid w:val="0"/>
          <w:spacing w:val="-4"/>
        </w:rPr>
        <w:t>地下水的补给、径流、排泄条件</w:t>
      </w:r>
    </w:p>
    <w:p w:rsidR="00C645C9" w:rsidRDefault="00F955D9">
      <w:pPr>
        <w:kinsoku w:val="0"/>
        <w:autoSpaceDE w:val="0"/>
        <w:autoSpaceDN w:val="0"/>
        <w:adjustRightInd w:val="0"/>
        <w:snapToGrid w:val="0"/>
        <w:spacing w:line="360" w:lineRule="auto"/>
        <w:ind w:firstLine="480"/>
        <w:textAlignment w:val="baseline"/>
        <w:rPr>
          <w:rFonts w:cs="Times New Roman"/>
          <w:snapToGrid w:val="0"/>
        </w:rPr>
      </w:pPr>
      <w:r>
        <w:rPr>
          <w:rFonts w:cs="Times New Roman"/>
          <w:snapToGrid w:val="0"/>
          <w:spacing w:val="-4"/>
        </w:rPr>
        <w:t>补给：</w:t>
      </w:r>
      <w:r>
        <w:rPr>
          <w:rFonts w:cs="Times New Roman"/>
          <w:snapToGrid w:val="0"/>
          <w:spacing w:val="-4"/>
        </w:rPr>
        <w:t>评价区</w:t>
      </w:r>
      <w:r>
        <w:rPr>
          <w:rFonts w:cs="Times New Roman"/>
          <w:snapToGrid w:val="0"/>
          <w:spacing w:val="-4"/>
        </w:rPr>
        <w:t>气候干燥，降水量稀少（多年平均有效降水量</w:t>
      </w:r>
      <w:r>
        <w:rPr>
          <w:rFonts w:cs="Times New Roman"/>
          <w:snapToGrid w:val="0"/>
          <w:spacing w:val="-4"/>
        </w:rPr>
        <w:t>55.7mm</w:t>
      </w:r>
      <w:r>
        <w:rPr>
          <w:rFonts w:cs="Times New Roman"/>
          <w:snapToGrid w:val="0"/>
          <w:spacing w:val="-4"/>
        </w:rPr>
        <w:t>），地下水普遍埋藏较深，单次降雨强度又较小的情况下，大气降水主要消耗于蒸发，对地下水的补给作用不大，仅在</w:t>
      </w:r>
      <w:r>
        <w:rPr>
          <w:rFonts w:cs="Times New Roman"/>
          <w:snapToGrid w:val="0"/>
          <w:spacing w:val="-4"/>
        </w:rPr>
        <w:t>5-9</w:t>
      </w:r>
      <w:r>
        <w:rPr>
          <w:rFonts w:cs="Times New Roman"/>
          <w:snapToGrid w:val="0"/>
          <w:spacing w:val="-4"/>
        </w:rPr>
        <w:t>月降雨较集中，北侧却勒塔格山南侧暴雨形成的面流通过山洪沟汇集后流入</w:t>
      </w:r>
      <w:r>
        <w:rPr>
          <w:rFonts w:cs="Times New Roman"/>
          <w:snapToGrid w:val="0"/>
          <w:spacing w:val="-4"/>
        </w:rPr>
        <w:t>评价区</w:t>
      </w:r>
      <w:r>
        <w:rPr>
          <w:rFonts w:cs="Times New Roman"/>
          <w:snapToGrid w:val="0"/>
          <w:spacing w:val="-4"/>
        </w:rPr>
        <w:t>入渗补给地下水。所以其山前</w:t>
      </w:r>
      <w:bookmarkStart w:id="1490" w:name="OLE_LINK1329"/>
      <w:r>
        <w:rPr>
          <w:rFonts w:cs="Times New Roman"/>
          <w:snapToGrid w:val="0"/>
          <w:spacing w:val="-4"/>
        </w:rPr>
        <w:t>暴雨洪流</w:t>
      </w:r>
      <w:bookmarkEnd w:id="1490"/>
      <w:r>
        <w:rPr>
          <w:rFonts w:cs="Times New Roman"/>
          <w:snapToGrid w:val="0"/>
          <w:spacing w:val="-4"/>
        </w:rPr>
        <w:t>及大气降水对山前平原地下水的补给也十分有限。</w:t>
      </w:r>
      <w:r>
        <w:rPr>
          <w:rFonts w:cs="Times New Roman"/>
          <w:snapToGrid w:val="0"/>
          <w:spacing w:val="-1"/>
        </w:rPr>
        <w:t>综上，</w:t>
      </w:r>
      <w:r>
        <w:rPr>
          <w:rFonts w:cs="Times New Roman"/>
          <w:snapToGrid w:val="0"/>
          <w:spacing w:val="-1"/>
        </w:rPr>
        <w:t>评价区</w:t>
      </w:r>
      <w:r>
        <w:rPr>
          <w:rFonts w:cs="Times New Roman"/>
          <w:snapToGrid w:val="0"/>
          <w:spacing w:val="-1"/>
        </w:rPr>
        <w:t>地下水主要以侧向径流补给、</w:t>
      </w:r>
      <w:r>
        <w:rPr>
          <w:rFonts w:cs="Times New Roman"/>
          <w:snapToGrid w:val="0"/>
          <w:spacing w:val="-2"/>
        </w:rPr>
        <w:t>河水入渗、库水入渗、渠水入渗、表水田间灌溉及井灌回归水入渗等形式补给地下水，其次有河谷潜流、少量的降水</w:t>
      </w:r>
      <w:r>
        <w:rPr>
          <w:rFonts w:cs="Times New Roman"/>
          <w:snapToGrid w:val="0"/>
          <w:spacing w:val="-3"/>
        </w:rPr>
        <w:t>入渗补给和山前洪流入渗补给。</w:t>
      </w:r>
    </w:p>
    <w:p w:rsidR="00C645C9" w:rsidRDefault="00F955D9">
      <w:pPr>
        <w:kinsoku w:val="0"/>
        <w:autoSpaceDE w:val="0"/>
        <w:autoSpaceDN w:val="0"/>
        <w:adjustRightInd w:val="0"/>
        <w:snapToGrid w:val="0"/>
        <w:spacing w:before="31" w:line="360" w:lineRule="auto"/>
        <w:ind w:firstLine="479"/>
        <w:jc w:val="both"/>
        <w:textAlignment w:val="baseline"/>
        <w:rPr>
          <w:rFonts w:cs="Times New Roman"/>
          <w:snapToGrid w:val="0"/>
        </w:rPr>
      </w:pPr>
      <w:r>
        <w:rPr>
          <w:rFonts w:cs="Times New Roman"/>
          <w:snapToGrid w:val="0"/>
          <w:spacing w:val="-2"/>
        </w:rPr>
        <w:t>径流：</w:t>
      </w:r>
      <w:r>
        <w:rPr>
          <w:rFonts w:cs="Times New Roman"/>
          <w:snapToGrid w:val="0"/>
          <w:spacing w:val="-2"/>
        </w:rPr>
        <w:t>评价区</w:t>
      </w:r>
      <w:r>
        <w:rPr>
          <w:rFonts w:cs="Times New Roman"/>
          <w:snapToGrid w:val="0"/>
          <w:spacing w:val="-2"/>
        </w:rPr>
        <w:t>第四纪地层结构由北（东）向南（西）变化较大，地形由高到</w:t>
      </w:r>
      <w:r>
        <w:rPr>
          <w:rFonts w:cs="Times New Roman"/>
          <w:snapToGrid w:val="0"/>
          <w:spacing w:val="-3"/>
        </w:rPr>
        <w:t>低，坡降</w:t>
      </w:r>
      <w:r>
        <w:rPr>
          <w:rFonts w:cs="Times New Roman"/>
          <w:snapToGrid w:val="0"/>
          <w:spacing w:val="-2"/>
        </w:rPr>
        <w:t>逐渐变缓，岩性由粗相对变细，地下水总体流向与地面坡度一致，由北东向南西方</w:t>
      </w:r>
      <w:r>
        <w:rPr>
          <w:rFonts w:cs="Times New Roman"/>
          <w:snapToGrid w:val="0"/>
          <w:spacing w:val="-1"/>
        </w:rPr>
        <w:t>向径流，</w:t>
      </w:r>
      <w:r>
        <w:rPr>
          <w:rFonts w:cs="Times New Roman"/>
          <w:snapToGrid w:val="0"/>
          <w:spacing w:val="-2"/>
        </w:rPr>
        <w:t>上游到下游，地下水径流强度逐渐减弱，水力坡度为</w:t>
      </w:r>
      <w:r>
        <w:rPr>
          <w:rFonts w:eastAsia="Times New Roman" w:cs="Times New Roman"/>
          <w:snapToGrid w:val="0"/>
          <w:spacing w:val="-2"/>
        </w:rPr>
        <w:t>1.2</w:t>
      </w:r>
      <w:r>
        <w:rPr>
          <w:rFonts w:cs="Times New Roman"/>
          <w:snapToGrid w:val="0"/>
          <w:spacing w:val="-2"/>
        </w:rPr>
        <w:t>‰</w:t>
      </w:r>
      <w:r>
        <w:rPr>
          <w:rFonts w:cs="Times New Roman"/>
          <w:snapToGrid w:val="0"/>
          <w:spacing w:val="-2"/>
        </w:rPr>
        <w:t>～</w:t>
      </w:r>
      <w:r>
        <w:rPr>
          <w:rFonts w:eastAsia="Times New Roman" w:cs="Times New Roman"/>
          <w:snapToGrid w:val="0"/>
          <w:spacing w:val="-2"/>
        </w:rPr>
        <w:t>1.4</w:t>
      </w:r>
      <w:r>
        <w:rPr>
          <w:rFonts w:cs="Times New Roman"/>
          <w:snapToGrid w:val="0"/>
          <w:spacing w:val="-2"/>
        </w:rPr>
        <w:t>‰</w:t>
      </w:r>
      <w:r>
        <w:rPr>
          <w:rFonts w:cs="Times New Roman"/>
          <w:snapToGrid w:val="0"/>
          <w:spacing w:val="-2"/>
        </w:rPr>
        <w:t>。</w:t>
      </w:r>
    </w:p>
    <w:p w:rsidR="00C645C9" w:rsidRDefault="00F955D9">
      <w:pPr>
        <w:kinsoku w:val="0"/>
        <w:autoSpaceDE w:val="0"/>
        <w:autoSpaceDN w:val="0"/>
        <w:adjustRightInd w:val="0"/>
        <w:snapToGrid w:val="0"/>
        <w:spacing w:before="35" w:line="360" w:lineRule="auto"/>
        <w:ind w:firstLine="477"/>
        <w:jc w:val="both"/>
        <w:textAlignment w:val="baseline"/>
        <w:rPr>
          <w:rFonts w:cs="Times New Roman"/>
          <w:snapToGrid w:val="0"/>
        </w:rPr>
      </w:pPr>
      <w:r>
        <w:rPr>
          <w:rFonts w:cs="Times New Roman"/>
          <w:snapToGrid w:val="0"/>
          <w:spacing w:val="-2"/>
        </w:rPr>
        <w:t>排泄：</w:t>
      </w:r>
      <w:r>
        <w:rPr>
          <w:rFonts w:cs="Times New Roman"/>
          <w:snapToGrid w:val="0"/>
          <w:spacing w:val="-2"/>
        </w:rPr>
        <w:t>评价区</w:t>
      </w:r>
      <w:r>
        <w:rPr>
          <w:rFonts w:cs="Times New Roman"/>
          <w:snapToGrid w:val="0"/>
          <w:spacing w:val="-3"/>
        </w:rPr>
        <w:t>地下水在</w:t>
      </w:r>
      <w:r>
        <w:rPr>
          <w:rFonts w:cs="Times New Roman"/>
          <w:snapToGrid w:val="0"/>
          <w:spacing w:val="-3"/>
        </w:rPr>
        <w:t>评价区</w:t>
      </w:r>
      <w:r>
        <w:rPr>
          <w:rFonts w:cs="Times New Roman"/>
          <w:snapToGrid w:val="0"/>
          <w:spacing w:val="-1"/>
        </w:rPr>
        <w:t>西部及南部流出</w:t>
      </w:r>
      <w:r>
        <w:rPr>
          <w:rFonts w:cs="Times New Roman"/>
          <w:snapToGrid w:val="0"/>
          <w:spacing w:val="-1"/>
        </w:rPr>
        <w:t>评价区</w:t>
      </w:r>
      <w:r>
        <w:rPr>
          <w:rFonts w:cs="Times New Roman"/>
          <w:snapToGrid w:val="0"/>
          <w:spacing w:val="-1"/>
        </w:rPr>
        <w:t>，</w:t>
      </w:r>
      <w:r>
        <w:rPr>
          <w:rFonts w:cs="Times New Roman"/>
          <w:snapToGrid w:val="0"/>
          <w:spacing w:val="-2"/>
        </w:rPr>
        <w:t>地下水</w:t>
      </w:r>
      <w:r>
        <w:rPr>
          <w:rFonts w:cs="Times New Roman"/>
          <w:snapToGrid w:val="0"/>
          <w:spacing w:val="-1"/>
        </w:rPr>
        <w:t>向下游的侧向水平径流</w:t>
      </w:r>
      <w:r>
        <w:rPr>
          <w:rFonts w:cs="Times New Roman"/>
          <w:snapToGrid w:val="0"/>
          <w:spacing w:val="-1"/>
        </w:rPr>
        <w:t>、</w:t>
      </w:r>
      <w:r>
        <w:rPr>
          <w:rFonts w:cs="Times New Roman"/>
          <w:snapToGrid w:val="0"/>
          <w:spacing w:val="-1"/>
        </w:rPr>
        <w:t>开采</w:t>
      </w:r>
      <w:r>
        <w:rPr>
          <w:rFonts w:cs="Times New Roman"/>
          <w:snapToGrid w:val="0"/>
          <w:spacing w:val="-1"/>
        </w:rPr>
        <w:t>是</w:t>
      </w:r>
      <w:r>
        <w:rPr>
          <w:rFonts w:cs="Times New Roman"/>
          <w:snapToGrid w:val="0"/>
          <w:spacing w:val="-1"/>
        </w:rPr>
        <w:t>评价区</w:t>
      </w:r>
      <w:r>
        <w:rPr>
          <w:rFonts w:cs="Times New Roman"/>
          <w:snapToGrid w:val="0"/>
          <w:spacing w:val="-1"/>
        </w:rPr>
        <w:t>地下水主要排泄方式。</w:t>
      </w:r>
      <w:r>
        <w:rPr>
          <w:rFonts w:cs="Times New Roman"/>
          <w:snapToGrid w:val="0"/>
          <w:spacing w:val="-1"/>
        </w:rPr>
        <w:t>评价区</w:t>
      </w:r>
      <w:r>
        <w:rPr>
          <w:rFonts w:cs="Times New Roman"/>
          <w:snapToGrid w:val="0"/>
          <w:spacing w:val="-1"/>
        </w:rPr>
        <w:t>潜水位埋深</w:t>
      </w:r>
      <w:r>
        <w:rPr>
          <w:rFonts w:cs="Times New Roman"/>
          <w:snapToGrid w:val="0"/>
          <w:spacing w:val="-1"/>
        </w:rPr>
        <w:t>一般都</w:t>
      </w:r>
      <w:r>
        <w:rPr>
          <w:rFonts w:cs="Times New Roman"/>
          <w:snapToGrid w:val="0"/>
          <w:spacing w:val="-1"/>
        </w:rPr>
        <w:t>大于</w:t>
      </w:r>
      <w:r>
        <w:rPr>
          <w:rFonts w:eastAsia="Times New Roman" w:cs="Times New Roman"/>
          <w:snapToGrid w:val="0"/>
          <w:spacing w:val="-1"/>
        </w:rPr>
        <w:t>6m</w:t>
      </w:r>
      <w:r>
        <w:rPr>
          <w:rFonts w:cs="Times New Roman"/>
          <w:snapToGrid w:val="0"/>
          <w:spacing w:val="-1"/>
        </w:rPr>
        <w:t>（潜水蒸发的极限埋深值</w:t>
      </w:r>
      <w:r>
        <w:rPr>
          <w:rFonts w:cs="Times New Roman"/>
          <w:snapToGrid w:val="0"/>
          <w:spacing w:val="7"/>
        </w:rPr>
        <w:t>），</w:t>
      </w:r>
      <w:r>
        <w:rPr>
          <w:rFonts w:cs="Times New Roman"/>
          <w:snapToGrid w:val="0"/>
          <w:spacing w:val="-1"/>
        </w:rPr>
        <w:t>且包气带岩性主</w:t>
      </w:r>
      <w:r>
        <w:rPr>
          <w:rFonts w:cs="Times New Roman"/>
          <w:snapToGrid w:val="0"/>
          <w:spacing w:val="-7"/>
        </w:rPr>
        <w:t>要为砂性土，</w:t>
      </w:r>
      <w:r>
        <w:rPr>
          <w:rFonts w:cs="Times New Roman"/>
          <w:snapToGrid w:val="0"/>
          <w:spacing w:val="-7"/>
        </w:rPr>
        <w:t>具有</w:t>
      </w:r>
      <w:r>
        <w:rPr>
          <w:rFonts w:cs="Times New Roman"/>
          <w:snapToGrid w:val="0"/>
          <w:spacing w:val="-7"/>
        </w:rPr>
        <w:t>结构松散、大孔隙的特征，毛细水上升高度低，因此区内</w:t>
      </w:r>
      <w:r>
        <w:rPr>
          <w:rFonts w:cs="Times New Roman"/>
          <w:snapToGrid w:val="0"/>
          <w:spacing w:val="-7"/>
        </w:rPr>
        <w:t>的</w:t>
      </w:r>
      <w:r>
        <w:rPr>
          <w:rFonts w:cs="Times New Roman"/>
          <w:snapToGrid w:val="0"/>
          <w:spacing w:val="-7"/>
        </w:rPr>
        <w:t>潜水蒸</w:t>
      </w:r>
      <w:r>
        <w:rPr>
          <w:rFonts w:cs="Times New Roman"/>
          <w:snapToGrid w:val="0"/>
          <w:spacing w:val="-2"/>
        </w:rPr>
        <w:t>发</w:t>
      </w:r>
      <w:r>
        <w:rPr>
          <w:rFonts w:cs="Times New Roman"/>
          <w:snapToGrid w:val="0"/>
          <w:spacing w:val="-2"/>
        </w:rPr>
        <w:t>、</w:t>
      </w:r>
      <w:r>
        <w:rPr>
          <w:rFonts w:cs="Times New Roman"/>
          <w:snapToGrid w:val="0"/>
          <w:spacing w:val="-2"/>
        </w:rPr>
        <w:t>蒸腾方式的排泄量极小，可忽略不计。</w:t>
      </w:r>
    </w:p>
    <w:p w:rsidR="00C645C9" w:rsidRDefault="00F955D9">
      <w:pPr>
        <w:kinsoku w:val="0"/>
        <w:autoSpaceDE w:val="0"/>
        <w:autoSpaceDN w:val="0"/>
        <w:adjustRightInd w:val="0"/>
        <w:snapToGrid w:val="0"/>
        <w:spacing w:before="30" w:line="360" w:lineRule="auto"/>
        <w:ind w:firstLine="482"/>
        <w:jc w:val="both"/>
        <w:textAlignment w:val="baseline"/>
        <w:rPr>
          <w:rFonts w:cs="Times New Roman"/>
          <w:snapToGrid w:val="0"/>
        </w:rPr>
      </w:pPr>
      <w:r>
        <w:rPr>
          <w:rFonts w:cs="Times New Roman"/>
          <w:snapToGrid w:val="0"/>
          <w:spacing w:val="-7"/>
        </w:rPr>
        <w:t>综上所述，</w:t>
      </w:r>
      <w:r>
        <w:rPr>
          <w:rFonts w:cs="Times New Roman"/>
          <w:snapToGrid w:val="0"/>
          <w:spacing w:val="-7"/>
        </w:rPr>
        <w:t>评价区</w:t>
      </w:r>
      <w:r>
        <w:rPr>
          <w:rFonts w:cs="Times New Roman"/>
          <w:snapToGrid w:val="0"/>
          <w:spacing w:val="-7"/>
        </w:rPr>
        <w:t>地下水补给、径流、排泄的基本特征可归纳为以下几点：区</w:t>
      </w:r>
      <w:r>
        <w:rPr>
          <w:rFonts w:cs="Times New Roman"/>
          <w:snapToGrid w:val="0"/>
          <w:spacing w:val="-5"/>
        </w:rPr>
        <w:t>内地下水主要由河道入渗、渠系入渗及灌区农灌水及库水的垂直入</w:t>
      </w:r>
      <w:r>
        <w:rPr>
          <w:rFonts w:cs="Times New Roman"/>
          <w:snapToGrid w:val="0"/>
          <w:spacing w:val="-6"/>
        </w:rPr>
        <w:t>渗补给为主，其</w:t>
      </w:r>
      <w:r>
        <w:rPr>
          <w:rFonts w:cs="Times New Roman"/>
          <w:snapToGrid w:val="0"/>
          <w:spacing w:val="-2"/>
        </w:rPr>
        <w:t>次山前暴雨洪流入渗补给；流经</w:t>
      </w:r>
      <w:r>
        <w:rPr>
          <w:rFonts w:cs="Times New Roman"/>
          <w:snapToGrid w:val="0"/>
          <w:spacing w:val="-2"/>
        </w:rPr>
        <w:t>评价区</w:t>
      </w:r>
      <w:r>
        <w:rPr>
          <w:rFonts w:cs="Times New Roman"/>
          <w:snapToGrid w:val="0"/>
          <w:spacing w:val="-2"/>
        </w:rPr>
        <w:t>东侧的渭干河对地下水的渗漏补给，在</w:t>
      </w:r>
      <w:r>
        <w:rPr>
          <w:rFonts w:cs="Times New Roman"/>
          <w:snapToGrid w:val="0"/>
          <w:spacing w:val="-2"/>
        </w:rPr>
        <w:t>评价区</w:t>
      </w:r>
      <w:r>
        <w:rPr>
          <w:rFonts w:cs="Times New Roman"/>
          <w:snapToGrid w:val="0"/>
          <w:spacing w:val="-2"/>
        </w:rPr>
        <w:t>均为补给段；地下水总体流向与地面坡度一致，由上游到下游，地下水径流强度渐减弱；地下水的排泄</w:t>
      </w:r>
      <w:r>
        <w:rPr>
          <w:rFonts w:cs="Times New Roman"/>
          <w:snapToGrid w:val="0"/>
          <w:spacing w:val="-2"/>
        </w:rPr>
        <w:t>主要</w:t>
      </w:r>
      <w:r>
        <w:rPr>
          <w:rFonts w:cs="Times New Roman"/>
          <w:snapToGrid w:val="0"/>
          <w:spacing w:val="-2"/>
        </w:rPr>
        <w:t>为地下水的侧向流出以及人工开采。</w:t>
      </w:r>
    </w:p>
    <w:p w:rsidR="00C645C9" w:rsidRDefault="00F955D9">
      <w:pPr>
        <w:kinsoku w:val="0"/>
        <w:autoSpaceDE w:val="0"/>
        <w:autoSpaceDN w:val="0"/>
        <w:adjustRightInd w:val="0"/>
        <w:snapToGrid w:val="0"/>
        <w:spacing w:before="51" w:line="360" w:lineRule="auto"/>
        <w:ind w:firstLine="480"/>
        <w:textAlignment w:val="baseline"/>
        <w:rPr>
          <w:rFonts w:cs="Times New Roman"/>
          <w:snapToGrid w:val="0"/>
          <w:spacing w:val="-4"/>
        </w:rPr>
      </w:pPr>
      <w:r>
        <w:rPr>
          <w:rFonts w:cs="Times New Roman"/>
          <w:snapToGrid w:val="0"/>
          <w:spacing w:val="-4"/>
        </w:rPr>
        <w:t>（</w:t>
      </w:r>
      <w:r>
        <w:rPr>
          <w:rFonts w:cs="Times New Roman"/>
          <w:snapToGrid w:val="0"/>
          <w:spacing w:val="-4"/>
        </w:rPr>
        <w:t>4</w:t>
      </w:r>
      <w:r>
        <w:rPr>
          <w:rFonts w:cs="Times New Roman"/>
          <w:snapToGrid w:val="0"/>
          <w:spacing w:val="-4"/>
        </w:rPr>
        <w:t>）</w:t>
      </w:r>
      <w:r>
        <w:rPr>
          <w:rFonts w:cs="Times New Roman"/>
          <w:snapToGrid w:val="0"/>
          <w:spacing w:val="-4"/>
        </w:rPr>
        <w:t>地下水动态特征</w:t>
      </w:r>
    </w:p>
    <w:p w:rsidR="00C645C9" w:rsidRDefault="00F955D9">
      <w:pPr>
        <w:kinsoku w:val="0"/>
        <w:autoSpaceDE w:val="0"/>
        <w:autoSpaceDN w:val="0"/>
        <w:adjustRightInd w:val="0"/>
        <w:snapToGrid w:val="0"/>
        <w:spacing w:line="360" w:lineRule="auto"/>
        <w:ind w:firstLineChars="200" w:firstLine="460"/>
        <w:textAlignment w:val="baseline"/>
        <w:rPr>
          <w:rFonts w:cs="Times New Roman"/>
          <w:snapToGrid w:val="0"/>
        </w:rPr>
      </w:pPr>
      <w:r>
        <w:rPr>
          <w:rFonts w:cs="Times New Roman"/>
          <w:snapToGrid w:val="0"/>
          <w:spacing w:val="-5"/>
        </w:rPr>
        <w:t>评价区</w:t>
      </w:r>
      <w:r>
        <w:rPr>
          <w:rFonts w:cs="Times New Roman"/>
          <w:snapToGrid w:val="0"/>
          <w:spacing w:val="-5"/>
        </w:rPr>
        <w:t>地下水水位动态变化，因受其水文、</w:t>
      </w:r>
      <w:r>
        <w:rPr>
          <w:rFonts w:cs="Times New Roman"/>
          <w:snapToGrid w:val="0"/>
          <w:spacing w:val="-6"/>
        </w:rPr>
        <w:t>气象和人为因素的控制与影响</w:t>
      </w:r>
      <w:r>
        <w:rPr>
          <w:rFonts w:cs="Times New Roman"/>
          <w:snapToGrid w:val="0"/>
          <w:spacing w:val="-6"/>
        </w:rPr>
        <w:t>，</w:t>
      </w:r>
      <w:r>
        <w:rPr>
          <w:rFonts w:cs="Times New Roman"/>
          <w:snapToGrid w:val="0"/>
          <w:spacing w:val="-2"/>
        </w:rPr>
        <w:t>评价区</w:t>
      </w:r>
      <w:r>
        <w:rPr>
          <w:rFonts w:cs="Times New Roman"/>
          <w:snapToGrid w:val="0"/>
          <w:spacing w:val="-2"/>
        </w:rPr>
        <w:t>地下水年内动态特点表现为滞后和小变幅特征。其年内动态按</w:t>
      </w:r>
      <w:r>
        <w:rPr>
          <w:rFonts w:cs="Times New Roman"/>
          <w:snapToGrid w:val="0"/>
          <w:spacing w:val="-3"/>
        </w:rPr>
        <w:t>成因划分</w:t>
      </w:r>
      <w:r>
        <w:rPr>
          <w:rFonts w:cs="Times New Roman"/>
          <w:snapToGrid w:val="0"/>
          <w:spacing w:val="-17"/>
        </w:rPr>
        <w:t>为</w:t>
      </w:r>
      <w:r>
        <w:rPr>
          <w:rFonts w:cs="Times New Roman" w:hint="eastAsia"/>
          <w:snapToGrid w:val="0"/>
          <w:spacing w:val="-17"/>
        </w:rPr>
        <w:t>：</w:t>
      </w:r>
    </w:p>
    <w:p w:rsidR="00C645C9" w:rsidRDefault="00F955D9">
      <w:pPr>
        <w:kinsoku w:val="0"/>
        <w:autoSpaceDE w:val="0"/>
        <w:autoSpaceDN w:val="0"/>
        <w:adjustRightInd w:val="0"/>
        <w:snapToGrid w:val="0"/>
        <w:spacing w:line="360" w:lineRule="auto"/>
        <w:ind w:firstLineChars="200" w:firstLine="468"/>
        <w:textAlignment w:val="baseline"/>
        <w:rPr>
          <w:rFonts w:cs="Times New Roman"/>
          <w:snapToGrid w:val="0"/>
        </w:rPr>
      </w:pPr>
      <w:r>
        <w:rPr>
          <w:rFonts w:cs="Times New Roman"/>
          <w:snapToGrid w:val="0"/>
          <w:spacing w:val="-3"/>
        </w:rPr>
        <w:t>①</w:t>
      </w:r>
      <w:r>
        <w:rPr>
          <w:rFonts w:cs="Times New Roman"/>
          <w:snapToGrid w:val="0"/>
          <w:spacing w:val="-3"/>
        </w:rPr>
        <w:t>人工型</w:t>
      </w:r>
    </w:p>
    <w:p w:rsidR="00C645C9" w:rsidRDefault="00F955D9">
      <w:pPr>
        <w:kinsoku w:val="0"/>
        <w:autoSpaceDE w:val="0"/>
        <w:autoSpaceDN w:val="0"/>
        <w:adjustRightInd w:val="0"/>
        <w:snapToGrid w:val="0"/>
        <w:spacing w:line="360" w:lineRule="auto"/>
        <w:ind w:firstLineChars="200" w:firstLine="456"/>
        <w:textAlignment w:val="baseline"/>
        <w:rPr>
          <w:rFonts w:cs="Times New Roman"/>
          <w:snapToGrid w:val="0"/>
        </w:rPr>
      </w:pPr>
      <w:r>
        <w:rPr>
          <w:rFonts w:cs="Times New Roman"/>
          <w:snapToGrid w:val="0"/>
          <w:spacing w:val="-6"/>
        </w:rPr>
        <w:lastRenderedPageBreak/>
        <w:t>地下水位与人工开采地下水密切相关。</w:t>
      </w:r>
      <w:bookmarkStart w:id="1491" w:name="OLE_LINK1330"/>
      <w:r>
        <w:rPr>
          <w:rFonts w:cs="Times New Roman"/>
          <w:snapToGrid w:val="0"/>
          <w:spacing w:val="-6"/>
        </w:rPr>
        <w:t>潜水位随人工开采量的升降而降升</w:t>
      </w:r>
      <w:bookmarkEnd w:id="1491"/>
      <w:r>
        <w:rPr>
          <w:rFonts w:cs="Times New Roman"/>
          <w:snapToGrid w:val="0"/>
          <w:spacing w:val="-6"/>
        </w:rPr>
        <w:t>，动</w:t>
      </w:r>
      <w:r>
        <w:rPr>
          <w:rFonts w:cs="Times New Roman"/>
          <w:snapToGrid w:val="0"/>
          <w:spacing w:val="-5"/>
        </w:rPr>
        <w:t>态变化基本吻合。</w:t>
      </w:r>
      <w:r>
        <w:rPr>
          <w:rFonts w:cs="Times New Roman"/>
          <w:snapToGrid w:val="0"/>
          <w:spacing w:val="-5"/>
        </w:rPr>
        <w:t>评价区</w:t>
      </w:r>
      <w:r>
        <w:rPr>
          <w:rFonts w:cs="Times New Roman"/>
          <w:snapToGrid w:val="0"/>
          <w:spacing w:val="-5"/>
        </w:rPr>
        <w:t>内大部分土地为耕地，且位于上游，靠渠</w:t>
      </w:r>
      <w:r>
        <w:rPr>
          <w:rFonts w:cs="Times New Roman"/>
          <w:snapToGrid w:val="0"/>
          <w:spacing w:val="-6"/>
        </w:rPr>
        <w:t>系引地表水可以</w:t>
      </w:r>
      <w:r>
        <w:rPr>
          <w:rFonts w:cs="Times New Roman"/>
          <w:snapToGrid w:val="0"/>
          <w:spacing w:val="1"/>
        </w:rPr>
        <w:t>满足农业灌溉需要，但为了调蓄下游地区水量，沿</w:t>
      </w:r>
      <w:r>
        <w:rPr>
          <w:rFonts w:eastAsia="Times New Roman" w:cs="Times New Roman"/>
          <w:snapToGrid w:val="0"/>
          <w:spacing w:val="1"/>
        </w:rPr>
        <w:t>3</w:t>
      </w:r>
      <w:r>
        <w:rPr>
          <w:rFonts w:cs="Times New Roman"/>
          <w:snapToGrid w:val="0"/>
          <w:spacing w:val="1"/>
        </w:rPr>
        <w:t>条干渠分布有抗旱机井以及</w:t>
      </w:r>
      <w:r>
        <w:rPr>
          <w:rFonts w:cs="Times New Roman"/>
          <w:snapToGrid w:val="0"/>
          <w:spacing w:val="-1"/>
        </w:rPr>
        <w:t>区内灌溉井</w:t>
      </w:r>
      <w:r>
        <w:rPr>
          <w:rFonts w:cs="Times New Roman"/>
          <w:snapToGrid w:val="0"/>
          <w:spacing w:val="-1"/>
        </w:rPr>
        <w:t>等</w:t>
      </w:r>
      <w:r>
        <w:rPr>
          <w:rFonts w:cs="Times New Roman"/>
          <w:snapToGrid w:val="0"/>
          <w:spacing w:val="-1"/>
        </w:rPr>
        <w:t>，地下水开采量相对较大。每年</w:t>
      </w:r>
      <w:r>
        <w:rPr>
          <w:rFonts w:eastAsia="Times New Roman" w:cs="Times New Roman"/>
          <w:snapToGrid w:val="0"/>
          <w:spacing w:val="-1"/>
        </w:rPr>
        <w:t>3</w:t>
      </w:r>
      <w:r>
        <w:rPr>
          <w:rFonts w:cs="Times New Roman"/>
          <w:snapToGrid w:val="0"/>
          <w:spacing w:val="-1"/>
        </w:rPr>
        <w:t>～</w:t>
      </w:r>
      <w:r>
        <w:rPr>
          <w:rFonts w:eastAsia="Times New Roman" w:cs="Times New Roman"/>
          <w:snapToGrid w:val="0"/>
          <w:spacing w:val="-1"/>
        </w:rPr>
        <w:t>4</w:t>
      </w:r>
      <w:r>
        <w:rPr>
          <w:rFonts w:cs="Times New Roman"/>
          <w:snapToGrid w:val="0"/>
          <w:spacing w:val="-1"/>
        </w:rPr>
        <w:t>月农</w:t>
      </w:r>
      <w:r>
        <w:rPr>
          <w:rFonts w:cs="Times New Roman"/>
          <w:snapToGrid w:val="0"/>
          <w:spacing w:val="-2"/>
        </w:rPr>
        <w:t>灌井开始开采地下水，区内地下水水位逐渐下降，</w:t>
      </w:r>
      <w:r>
        <w:rPr>
          <w:rFonts w:eastAsia="Times New Roman" w:cs="Times New Roman"/>
          <w:snapToGrid w:val="0"/>
          <w:spacing w:val="-2"/>
        </w:rPr>
        <w:t>7</w:t>
      </w:r>
      <w:r>
        <w:rPr>
          <w:rFonts w:cs="Times New Roman"/>
          <w:snapToGrid w:val="0"/>
          <w:spacing w:val="-2"/>
        </w:rPr>
        <w:t>月份开采量达到峰值，地下水水位降到最低，在纯井灌区地下水水位较周边明显下降。每年</w:t>
      </w:r>
      <w:r>
        <w:rPr>
          <w:rFonts w:eastAsia="Times New Roman" w:cs="Times New Roman"/>
          <w:snapToGrid w:val="0"/>
          <w:spacing w:val="-2"/>
        </w:rPr>
        <w:t>12</w:t>
      </w:r>
      <w:r>
        <w:rPr>
          <w:rFonts w:cs="Times New Roman"/>
          <w:snapToGrid w:val="0"/>
          <w:spacing w:val="-3"/>
        </w:rPr>
        <w:t>月～次年</w:t>
      </w:r>
      <w:r>
        <w:rPr>
          <w:rFonts w:eastAsia="Times New Roman" w:cs="Times New Roman"/>
          <w:snapToGrid w:val="0"/>
          <w:spacing w:val="-3"/>
        </w:rPr>
        <w:t>1</w:t>
      </w:r>
      <w:r>
        <w:rPr>
          <w:rFonts w:cs="Times New Roman"/>
          <w:snapToGrid w:val="0"/>
          <w:spacing w:val="-3"/>
        </w:rPr>
        <w:t>月随</w:t>
      </w:r>
      <w:r>
        <w:rPr>
          <w:rFonts w:cs="Times New Roman"/>
          <w:snapToGrid w:val="0"/>
          <w:spacing w:val="-2"/>
        </w:rPr>
        <w:t>着冬灌结束，地下水水位逐渐回升。最高水位在</w:t>
      </w:r>
      <w:r>
        <w:rPr>
          <w:rFonts w:eastAsia="Times New Roman" w:cs="Times New Roman"/>
          <w:snapToGrid w:val="0"/>
          <w:spacing w:val="-2"/>
        </w:rPr>
        <w:t>3</w:t>
      </w:r>
      <w:r>
        <w:rPr>
          <w:rFonts w:cs="Times New Roman"/>
          <w:snapToGrid w:val="0"/>
          <w:spacing w:val="-2"/>
        </w:rPr>
        <w:t>月～</w:t>
      </w:r>
      <w:r>
        <w:rPr>
          <w:rFonts w:eastAsia="Times New Roman" w:cs="Times New Roman"/>
          <w:snapToGrid w:val="0"/>
          <w:spacing w:val="-2"/>
        </w:rPr>
        <w:t>4</w:t>
      </w:r>
      <w:r>
        <w:rPr>
          <w:rFonts w:cs="Times New Roman"/>
          <w:snapToGrid w:val="0"/>
          <w:spacing w:val="-2"/>
        </w:rPr>
        <w:t>月，最低</w:t>
      </w:r>
      <w:r>
        <w:rPr>
          <w:rFonts w:cs="Times New Roman"/>
          <w:snapToGrid w:val="0"/>
          <w:spacing w:val="-3"/>
        </w:rPr>
        <w:t>水位在</w:t>
      </w:r>
      <w:r>
        <w:rPr>
          <w:rFonts w:eastAsia="Times New Roman" w:cs="Times New Roman"/>
          <w:snapToGrid w:val="0"/>
          <w:spacing w:val="-3"/>
        </w:rPr>
        <w:t>5</w:t>
      </w:r>
      <w:r>
        <w:rPr>
          <w:rFonts w:cs="Times New Roman"/>
          <w:snapToGrid w:val="0"/>
          <w:spacing w:val="-3"/>
        </w:rPr>
        <w:t>～</w:t>
      </w:r>
      <w:r>
        <w:rPr>
          <w:rFonts w:eastAsia="Times New Roman" w:cs="Times New Roman"/>
          <w:snapToGrid w:val="0"/>
          <w:spacing w:val="-3"/>
        </w:rPr>
        <w:t>9</w:t>
      </w:r>
      <w:r>
        <w:rPr>
          <w:rFonts w:cs="Times New Roman"/>
          <w:snapToGrid w:val="0"/>
          <w:spacing w:val="-3"/>
        </w:rPr>
        <w:t>月</w:t>
      </w:r>
      <w:r>
        <w:rPr>
          <w:rFonts w:cs="Times New Roman"/>
          <w:snapToGrid w:val="0"/>
          <w:spacing w:val="-2"/>
        </w:rPr>
        <w:t>的灌溉期，水位年内变幅一般</w:t>
      </w:r>
      <w:r>
        <w:rPr>
          <w:rFonts w:eastAsia="Times New Roman" w:cs="Times New Roman"/>
          <w:snapToGrid w:val="0"/>
          <w:spacing w:val="-2"/>
        </w:rPr>
        <w:t>2m</w:t>
      </w:r>
      <w:r>
        <w:rPr>
          <w:rFonts w:cs="Times New Roman"/>
          <w:snapToGrid w:val="0"/>
          <w:spacing w:val="-2"/>
        </w:rPr>
        <w:t>～</w:t>
      </w:r>
      <w:r>
        <w:rPr>
          <w:rFonts w:eastAsia="Times New Roman" w:cs="Times New Roman"/>
          <w:snapToGrid w:val="0"/>
          <w:spacing w:val="-2"/>
        </w:rPr>
        <w:t>5</w:t>
      </w:r>
      <w:bookmarkStart w:id="1492" w:name="OLE_LINK1482"/>
      <w:r>
        <w:rPr>
          <w:rFonts w:eastAsia="Times New Roman" w:cs="Times New Roman"/>
          <w:snapToGrid w:val="0"/>
          <w:spacing w:val="-2"/>
        </w:rPr>
        <w:t>m</w:t>
      </w:r>
      <w:bookmarkEnd w:id="1492"/>
      <w:r>
        <w:rPr>
          <w:rFonts w:cs="Times New Roman"/>
          <w:snapToGrid w:val="0"/>
          <w:spacing w:val="-2"/>
        </w:rPr>
        <w:t>之间。</w:t>
      </w:r>
    </w:p>
    <w:p w:rsidR="00C645C9" w:rsidRDefault="00F955D9">
      <w:pPr>
        <w:kinsoku w:val="0"/>
        <w:autoSpaceDE w:val="0"/>
        <w:autoSpaceDN w:val="0"/>
        <w:adjustRightInd w:val="0"/>
        <w:snapToGrid w:val="0"/>
        <w:spacing w:line="360" w:lineRule="auto"/>
        <w:ind w:firstLineChars="200" w:firstLine="476"/>
        <w:jc w:val="both"/>
        <w:textAlignment w:val="baseline"/>
        <w:rPr>
          <w:rFonts w:cs="Times New Roman"/>
          <w:snapToGrid w:val="0"/>
        </w:rPr>
      </w:pPr>
      <w:r>
        <w:rPr>
          <w:rFonts w:cs="Times New Roman"/>
          <w:snapToGrid w:val="0"/>
          <w:spacing w:val="-1"/>
        </w:rPr>
        <w:t>②</w:t>
      </w:r>
      <w:r>
        <w:rPr>
          <w:rFonts w:cs="Times New Roman"/>
          <w:snapToGrid w:val="0"/>
          <w:spacing w:val="-1"/>
        </w:rPr>
        <w:t>入渗蒸发型动态</w:t>
      </w:r>
    </w:p>
    <w:p w:rsidR="00C645C9" w:rsidRDefault="00F955D9">
      <w:pPr>
        <w:kinsoku w:val="0"/>
        <w:autoSpaceDE w:val="0"/>
        <w:autoSpaceDN w:val="0"/>
        <w:adjustRightInd w:val="0"/>
        <w:snapToGrid w:val="0"/>
        <w:spacing w:line="360" w:lineRule="auto"/>
        <w:ind w:firstLineChars="200" w:firstLine="448"/>
        <w:jc w:val="both"/>
        <w:textAlignment w:val="baseline"/>
        <w:rPr>
          <w:rFonts w:cs="Times New Roman"/>
          <w:snapToGrid w:val="0"/>
          <w:spacing w:val="-2"/>
        </w:rPr>
      </w:pPr>
      <w:r>
        <w:rPr>
          <w:rFonts w:cs="Times New Roman"/>
          <w:snapToGrid w:val="0"/>
          <w:spacing w:val="-8"/>
        </w:rPr>
        <w:t>动态曲线峰值往往不明显，时有单峰出现，变化</w:t>
      </w:r>
      <w:r>
        <w:rPr>
          <w:rFonts w:cs="Times New Roman"/>
          <w:snapToGrid w:val="0"/>
          <w:spacing w:val="-9"/>
        </w:rPr>
        <w:t>较平稳。枯水期亦出现在</w:t>
      </w:r>
      <w:r>
        <w:rPr>
          <w:rFonts w:eastAsia="Times New Roman" w:cs="Times New Roman"/>
          <w:snapToGrid w:val="0"/>
          <w:spacing w:val="-9"/>
        </w:rPr>
        <w:t>2</w:t>
      </w:r>
      <w:r>
        <w:rPr>
          <w:rFonts w:cs="Times New Roman"/>
          <w:snapToGrid w:val="0"/>
          <w:spacing w:val="-9"/>
        </w:rPr>
        <w:t>月，</w:t>
      </w:r>
      <w:r>
        <w:rPr>
          <w:rFonts w:cs="Times New Roman"/>
          <w:snapToGrid w:val="0"/>
          <w:spacing w:val="-2"/>
        </w:rPr>
        <w:t>继渠系及农灌引水，使水位因受下渗水的补给而上升；由于距渠系远近及渠系级别</w:t>
      </w:r>
      <w:r>
        <w:rPr>
          <w:rFonts w:cs="Times New Roman"/>
          <w:snapToGrid w:val="0"/>
          <w:spacing w:val="-6"/>
        </w:rPr>
        <w:t>的不同，而使出现时间和持续时间有所差异或出现峰值。此后，</w:t>
      </w:r>
      <w:r>
        <w:rPr>
          <w:rFonts w:cs="Times New Roman"/>
          <w:snapToGrid w:val="0"/>
          <w:spacing w:val="-7"/>
        </w:rPr>
        <w:t>由于蒸发量的增大</w:t>
      </w:r>
      <w:r>
        <w:rPr>
          <w:rFonts w:cs="Times New Roman"/>
          <w:snapToGrid w:val="0"/>
          <w:spacing w:val="-2"/>
        </w:rPr>
        <w:t>和间歇性的农灌，使水位呈较平稳的波动性变化，至</w:t>
      </w:r>
      <w:r>
        <w:rPr>
          <w:rFonts w:cs="Times New Roman"/>
          <w:snapToGrid w:val="0"/>
          <w:spacing w:val="-2"/>
        </w:rPr>
        <w:t>11</w:t>
      </w:r>
      <w:r>
        <w:rPr>
          <w:rFonts w:cs="Times New Roman"/>
          <w:snapToGrid w:val="0"/>
          <w:spacing w:val="-2"/>
        </w:rPr>
        <w:t>～</w:t>
      </w:r>
      <w:r>
        <w:rPr>
          <w:rFonts w:cs="Times New Roman"/>
          <w:snapToGrid w:val="0"/>
          <w:spacing w:val="-2"/>
        </w:rPr>
        <w:t>12</w:t>
      </w:r>
      <w:r>
        <w:rPr>
          <w:rFonts w:cs="Times New Roman"/>
          <w:snapToGrid w:val="0"/>
          <w:spacing w:val="-2"/>
        </w:rPr>
        <w:t>月因蒸发的减弱，水位又略有回升。水位年变幅</w:t>
      </w:r>
      <w:r>
        <w:rPr>
          <w:rFonts w:cs="Times New Roman"/>
          <w:snapToGrid w:val="0"/>
          <w:spacing w:val="-2"/>
        </w:rPr>
        <w:t>0.5m</w:t>
      </w:r>
      <w:r>
        <w:rPr>
          <w:rFonts w:cs="Times New Roman"/>
          <w:snapToGrid w:val="0"/>
          <w:spacing w:val="-2"/>
        </w:rPr>
        <w:t>～</w:t>
      </w:r>
      <w:r>
        <w:rPr>
          <w:rFonts w:cs="Times New Roman"/>
          <w:snapToGrid w:val="0"/>
          <w:spacing w:val="-2"/>
        </w:rPr>
        <w:t>1.5</w:t>
      </w:r>
      <w:bookmarkStart w:id="1493" w:name="OLE_LINK1483"/>
      <w:r>
        <w:rPr>
          <w:rFonts w:cs="Times New Roman"/>
          <w:snapToGrid w:val="0"/>
          <w:spacing w:val="-2"/>
        </w:rPr>
        <w:t>m</w:t>
      </w:r>
      <w:bookmarkEnd w:id="1493"/>
      <w:r>
        <w:rPr>
          <w:rFonts w:cs="Times New Roman"/>
          <w:snapToGrid w:val="0"/>
          <w:spacing w:val="-2"/>
        </w:rPr>
        <w:t>。</w:t>
      </w:r>
    </w:p>
    <w:p w:rsidR="00C645C9" w:rsidRDefault="00F955D9">
      <w:pPr>
        <w:kinsoku w:val="0"/>
        <w:autoSpaceDE w:val="0"/>
        <w:autoSpaceDN w:val="0"/>
        <w:adjustRightInd w:val="0"/>
        <w:snapToGrid w:val="0"/>
        <w:spacing w:line="360" w:lineRule="auto"/>
        <w:ind w:firstLineChars="200" w:firstLine="480"/>
        <w:textAlignment w:val="baseline"/>
        <w:rPr>
          <w:rFonts w:cs="Times New Roman"/>
        </w:rPr>
      </w:pPr>
      <w:bookmarkStart w:id="1494" w:name="OLE_LINK1559"/>
      <w:r>
        <w:rPr>
          <w:rFonts w:cs="Times New Roman"/>
        </w:rPr>
        <w:t>（</w:t>
      </w:r>
      <w:r>
        <w:rPr>
          <w:rFonts w:cs="Times New Roman"/>
        </w:rPr>
        <w:t>5</w:t>
      </w:r>
      <w:r>
        <w:rPr>
          <w:rFonts w:cs="Times New Roman"/>
        </w:rPr>
        <w:t>）</w:t>
      </w:r>
      <w:r>
        <w:rPr>
          <w:rFonts w:cs="Times New Roman"/>
        </w:rPr>
        <w:t>地下水水化学特征</w:t>
      </w:r>
    </w:p>
    <w:p w:rsidR="00C645C9" w:rsidRDefault="00F955D9">
      <w:pPr>
        <w:adjustRightInd w:val="0"/>
        <w:snapToGrid w:val="0"/>
        <w:spacing w:line="360" w:lineRule="auto"/>
        <w:ind w:firstLineChars="200" w:firstLine="472"/>
        <w:rPr>
          <w:rFonts w:cs="Times New Roman"/>
        </w:rPr>
      </w:pPr>
      <w:r>
        <w:rPr>
          <w:rFonts w:cs="Times New Roman"/>
          <w:snapToGrid w:val="0"/>
          <w:spacing w:val="-2"/>
        </w:rPr>
        <w:t>评价区</w:t>
      </w:r>
      <w:r>
        <w:rPr>
          <w:rFonts w:cs="Times New Roman"/>
          <w:snapToGrid w:val="0"/>
          <w:spacing w:val="-2"/>
        </w:rPr>
        <w:t>位于新和</w:t>
      </w:r>
      <w:r>
        <w:rPr>
          <w:rFonts w:cs="Times New Roman"/>
          <w:snapToGrid w:val="0"/>
          <w:spacing w:val="-5"/>
        </w:rPr>
        <w:t>县山前平原区，受地质、水</w:t>
      </w:r>
      <w:r>
        <w:rPr>
          <w:rFonts w:cs="Times New Roman"/>
          <w:snapToGrid w:val="0"/>
          <w:spacing w:val="-6"/>
        </w:rPr>
        <w:t>文地质条件的影响，地下水在蒸发</w:t>
      </w:r>
      <w:r>
        <w:rPr>
          <w:rFonts w:cs="Times New Roman"/>
          <w:snapToGrid w:val="0"/>
          <w:spacing w:val="-5"/>
        </w:rPr>
        <w:t>浓缩、阳离子交换等水文地球化学屏障的作用下，使地下水水化学</w:t>
      </w:r>
      <w:r>
        <w:rPr>
          <w:rFonts w:cs="Times New Roman"/>
          <w:snapToGrid w:val="0"/>
          <w:spacing w:val="-6"/>
        </w:rPr>
        <w:t>在水平方向上自</w:t>
      </w:r>
      <w:r>
        <w:rPr>
          <w:rFonts w:cs="Times New Roman"/>
          <w:snapToGrid w:val="0"/>
          <w:spacing w:val="-7"/>
        </w:rPr>
        <w:t>北而南</w:t>
      </w:r>
      <w:r>
        <w:rPr>
          <w:rFonts w:cs="Times New Roman" w:hint="eastAsia"/>
          <w:snapToGrid w:val="0"/>
          <w:spacing w:val="-7"/>
        </w:rPr>
        <w:t>，</w:t>
      </w:r>
      <w:r>
        <w:rPr>
          <w:rFonts w:cs="Times New Roman"/>
          <w:snapToGrid w:val="0"/>
          <w:spacing w:val="-7"/>
        </w:rPr>
        <w:t>而西南由</w:t>
      </w:r>
      <w:r>
        <w:rPr>
          <w:rFonts w:eastAsia="Times New Roman" w:cs="Times New Roman"/>
          <w:snapToGrid w:val="0"/>
          <w:spacing w:val="-7"/>
        </w:rPr>
        <w:t>SO</w:t>
      </w:r>
      <w:r>
        <w:rPr>
          <w:rFonts w:eastAsia="Times New Roman" w:cs="Times New Roman"/>
          <w:snapToGrid w:val="0"/>
          <w:spacing w:val="-7"/>
          <w:sz w:val="15"/>
          <w:szCs w:val="15"/>
        </w:rPr>
        <w:t>4</w:t>
      </w:r>
      <w:r>
        <w:rPr>
          <w:rFonts w:eastAsia="Times New Roman" w:cs="Times New Roman"/>
          <w:snapToGrid w:val="0"/>
          <w:spacing w:val="-7"/>
        </w:rPr>
        <w:t>·Cl</w:t>
      </w:r>
      <w:r>
        <w:rPr>
          <w:rFonts w:cs="Times New Roman"/>
          <w:snapToGrid w:val="0"/>
          <w:spacing w:val="-14"/>
        </w:rPr>
        <w:t>（</w:t>
      </w:r>
      <w:r>
        <w:rPr>
          <w:rFonts w:eastAsia="Times New Roman" w:cs="Times New Roman"/>
          <w:snapToGrid w:val="0"/>
          <w:spacing w:val="-14"/>
        </w:rPr>
        <w:t>HCO</w:t>
      </w:r>
      <w:r>
        <w:rPr>
          <w:rFonts w:eastAsia="Times New Roman" w:cs="Times New Roman"/>
          <w:snapToGrid w:val="0"/>
          <w:spacing w:val="5"/>
          <w:sz w:val="15"/>
          <w:szCs w:val="15"/>
        </w:rPr>
        <w:t>3</w:t>
      </w:r>
      <w:r>
        <w:rPr>
          <w:rFonts w:cs="Times New Roman"/>
          <w:snapToGrid w:val="0"/>
          <w:spacing w:val="-11"/>
        </w:rPr>
        <w:t>）</w:t>
      </w:r>
      <w:r>
        <w:rPr>
          <w:rFonts w:cs="Times New Roman"/>
          <w:snapToGrid w:val="0"/>
          <w:spacing w:val="-11"/>
        </w:rPr>
        <w:t>—</w:t>
      </w:r>
      <w:r>
        <w:rPr>
          <w:rFonts w:eastAsia="Times New Roman" w:cs="Times New Roman"/>
          <w:snapToGrid w:val="0"/>
          <w:spacing w:val="-11"/>
        </w:rPr>
        <w:t>Na·Ca</w:t>
      </w:r>
      <w:r>
        <w:rPr>
          <w:rFonts w:cs="Times New Roman"/>
          <w:snapToGrid w:val="0"/>
          <w:spacing w:val="-11"/>
        </w:rPr>
        <w:t>（</w:t>
      </w:r>
      <w:r>
        <w:rPr>
          <w:rFonts w:eastAsia="Times New Roman" w:cs="Times New Roman"/>
          <w:snapToGrid w:val="0"/>
          <w:spacing w:val="-11"/>
        </w:rPr>
        <w:t>Mg</w:t>
      </w:r>
      <w:r>
        <w:rPr>
          <w:rFonts w:cs="Times New Roman"/>
          <w:snapToGrid w:val="0"/>
          <w:spacing w:val="-11"/>
        </w:rPr>
        <w:t>）型水变化为</w:t>
      </w:r>
      <w:r>
        <w:rPr>
          <w:rFonts w:eastAsia="Times New Roman" w:cs="Times New Roman"/>
          <w:snapToGrid w:val="0"/>
          <w:spacing w:val="-11"/>
        </w:rPr>
        <w:t>HCO</w:t>
      </w:r>
      <w:r>
        <w:rPr>
          <w:rFonts w:eastAsia="Times New Roman" w:cs="Times New Roman"/>
          <w:snapToGrid w:val="0"/>
          <w:spacing w:val="3"/>
          <w:sz w:val="15"/>
          <w:szCs w:val="15"/>
        </w:rPr>
        <w:t>3</w:t>
      </w:r>
      <w:r>
        <w:rPr>
          <w:rFonts w:eastAsia="Times New Roman" w:cs="Times New Roman"/>
          <w:snapToGrid w:val="0"/>
          <w:spacing w:val="3"/>
        </w:rPr>
        <w:t>·</w:t>
      </w:r>
      <w:r>
        <w:rPr>
          <w:rFonts w:eastAsia="Times New Roman" w:cs="Times New Roman"/>
          <w:snapToGrid w:val="0"/>
        </w:rPr>
        <w:t>Cl</w:t>
      </w:r>
      <w:r>
        <w:rPr>
          <w:rFonts w:eastAsia="Times New Roman" w:cs="Times New Roman"/>
          <w:snapToGrid w:val="0"/>
          <w:spacing w:val="3"/>
        </w:rPr>
        <w:t>·</w:t>
      </w:r>
      <w:r>
        <w:rPr>
          <w:rFonts w:eastAsia="Times New Roman" w:cs="Times New Roman"/>
          <w:snapToGrid w:val="0"/>
        </w:rPr>
        <w:t>SO</w:t>
      </w:r>
      <w:r>
        <w:rPr>
          <w:rFonts w:eastAsia="Times New Roman" w:cs="Times New Roman"/>
          <w:snapToGrid w:val="0"/>
          <w:spacing w:val="3"/>
          <w:sz w:val="15"/>
          <w:szCs w:val="15"/>
        </w:rPr>
        <w:t>4</w:t>
      </w:r>
      <w:r>
        <w:rPr>
          <w:rFonts w:eastAsia="Times New Roman" w:cs="Times New Roman"/>
          <w:snapToGrid w:val="0"/>
          <w:spacing w:val="3"/>
        </w:rPr>
        <w:t>—</w:t>
      </w:r>
      <w:r>
        <w:rPr>
          <w:rFonts w:eastAsia="Times New Roman" w:cs="Times New Roman"/>
          <w:snapToGrid w:val="0"/>
        </w:rPr>
        <w:t>Ca</w:t>
      </w:r>
      <w:r>
        <w:rPr>
          <w:rFonts w:eastAsia="Times New Roman" w:cs="Times New Roman"/>
          <w:snapToGrid w:val="0"/>
          <w:spacing w:val="3"/>
        </w:rPr>
        <w:t>·</w:t>
      </w:r>
      <w:r>
        <w:rPr>
          <w:rFonts w:eastAsia="Times New Roman" w:cs="Times New Roman"/>
          <w:snapToGrid w:val="0"/>
        </w:rPr>
        <w:t>Na</w:t>
      </w:r>
      <w:r>
        <w:rPr>
          <w:rFonts w:cs="Times New Roman"/>
          <w:snapToGrid w:val="0"/>
          <w:spacing w:val="-5"/>
        </w:rPr>
        <w:t>（</w:t>
      </w:r>
      <w:r>
        <w:rPr>
          <w:rFonts w:eastAsia="Times New Roman" w:cs="Times New Roman"/>
          <w:snapToGrid w:val="0"/>
          <w:spacing w:val="-5"/>
        </w:rPr>
        <w:t>Mg</w:t>
      </w:r>
      <w:r>
        <w:rPr>
          <w:rFonts w:cs="Times New Roman"/>
          <w:snapToGrid w:val="0"/>
          <w:spacing w:val="-5"/>
        </w:rPr>
        <w:t>）型水。在平面分布上，</w:t>
      </w:r>
      <w:r>
        <w:rPr>
          <w:rFonts w:cs="Times New Roman"/>
          <w:snapToGrid w:val="0"/>
          <w:spacing w:val="-5"/>
        </w:rPr>
        <w:t>评价区</w:t>
      </w:r>
      <w:r>
        <w:rPr>
          <w:rFonts w:cs="Times New Roman"/>
          <w:snapToGrid w:val="0"/>
          <w:spacing w:val="-5"/>
        </w:rPr>
        <w:t>地下水矿化度由东向西逐</w:t>
      </w:r>
      <w:r>
        <w:rPr>
          <w:rFonts w:cs="Times New Roman"/>
          <w:snapToGrid w:val="0"/>
          <w:spacing w:val="-6"/>
        </w:rPr>
        <w:t>渐由小于</w:t>
      </w:r>
      <w:r>
        <w:rPr>
          <w:rFonts w:cs="Times New Roman"/>
          <w:snapToGrid w:val="0"/>
          <w:spacing w:val="-6"/>
        </w:rPr>
        <w:t>1</w:t>
      </w:r>
      <w:r>
        <w:rPr>
          <w:rFonts w:cs="Times New Roman"/>
          <w:snapToGrid w:val="0"/>
          <w:spacing w:val="-6"/>
        </w:rPr>
        <w:t>g/L</w:t>
      </w:r>
      <w:r>
        <w:rPr>
          <w:rFonts w:cs="Times New Roman"/>
          <w:snapToGrid w:val="0"/>
          <w:spacing w:val="-6"/>
        </w:rPr>
        <w:t>变大</w:t>
      </w:r>
      <w:r>
        <w:rPr>
          <w:rFonts w:cs="Times New Roman"/>
          <w:snapToGrid w:val="0"/>
          <w:spacing w:val="-2"/>
        </w:rPr>
        <w:t>至</w:t>
      </w:r>
      <w:r>
        <w:rPr>
          <w:rFonts w:eastAsia="Times New Roman" w:cs="Times New Roman"/>
          <w:snapToGrid w:val="0"/>
          <w:spacing w:val="-2"/>
        </w:rPr>
        <w:t>1</w:t>
      </w:r>
      <w:r>
        <w:rPr>
          <w:rFonts w:cs="Times New Roman"/>
          <w:snapToGrid w:val="0"/>
          <w:spacing w:val="-2"/>
        </w:rPr>
        <w:t>g/L</w:t>
      </w:r>
      <w:r>
        <w:rPr>
          <w:rFonts w:cs="Times New Roman"/>
          <w:snapToGrid w:val="0"/>
          <w:spacing w:val="-2"/>
        </w:rPr>
        <w:t>。</w:t>
      </w:r>
      <w:r>
        <w:rPr>
          <w:rFonts w:cs="Times New Roman"/>
        </w:rPr>
        <w:t>评价区内的潜水水质差，溶解性总固体含量在</w:t>
      </w:r>
      <w:r>
        <w:rPr>
          <w:rFonts w:cs="Times New Roman"/>
        </w:rPr>
        <w:t>1g/L</w:t>
      </w:r>
      <w:r>
        <w:rPr>
          <w:rFonts w:cs="Times New Roman"/>
        </w:rPr>
        <w:t>以上，多为</w:t>
      </w:r>
      <w:r>
        <w:rPr>
          <w:rFonts w:cs="Times New Roman"/>
        </w:rPr>
        <w:t>Cl•SO</w:t>
      </w:r>
      <w:r>
        <w:rPr>
          <w:rFonts w:cs="Times New Roman"/>
          <w:vertAlign w:val="subscript"/>
        </w:rPr>
        <w:t>4</w:t>
      </w:r>
      <w:r>
        <w:rPr>
          <w:rFonts w:cs="Times New Roman"/>
        </w:rPr>
        <w:t>－</w:t>
      </w:r>
      <w:r>
        <w:rPr>
          <w:rFonts w:cs="Times New Roman"/>
        </w:rPr>
        <w:t>Na</w:t>
      </w:r>
      <w:r>
        <w:rPr>
          <w:rFonts w:cs="Times New Roman"/>
        </w:rPr>
        <w:t>、</w:t>
      </w:r>
      <w:r>
        <w:rPr>
          <w:rFonts w:cs="Times New Roman"/>
        </w:rPr>
        <w:t>Cl</w:t>
      </w:r>
      <w:r>
        <w:rPr>
          <w:rFonts w:cs="Times New Roman"/>
        </w:rPr>
        <w:t>－</w:t>
      </w:r>
      <w:r>
        <w:rPr>
          <w:rFonts w:cs="Times New Roman"/>
        </w:rPr>
        <w:t>Na</w:t>
      </w:r>
      <w:r>
        <w:rPr>
          <w:rFonts w:cs="Times New Roman"/>
        </w:rPr>
        <w:t>型咸水，不适合</w:t>
      </w:r>
      <w:r>
        <w:rPr>
          <w:rFonts w:ascii="宋体" w:hAnsi="宋体" w:hint="eastAsia"/>
        </w:rPr>
        <w:t>生活用水</w:t>
      </w:r>
      <w:r>
        <w:rPr>
          <w:rFonts w:cs="Times New Roman" w:hint="eastAsia"/>
        </w:rPr>
        <w:t>。</w:t>
      </w:r>
    </w:p>
    <w:p w:rsidR="00C645C9" w:rsidRDefault="00C645C9">
      <w:pPr>
        <w:adjustRightInd w:val="0"/>
        <w:snapToGrid w:val="0"/>
        <w:jc w:val="center"/>
        <w:rPr>
          <w:rFonts w:cs="Times New Roman"/>
        </w:rPr>
      </w:pP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lang w:val="en-US"/>
        </w:rPr>
      </w:pPr>
      <w:r>
        <w:rPr>
          <w:rFonts w:eastAsia="黑体" w:cs="Times New Roman"/>
          <w:b w:val="0"/>
          <w:bCs/>
          <w:color w:val="auto"/>
          <w:kern w:val="2"/>
          <w:szCs w:val="21"/>
          <w:lang w:val="en-US"/>
        </w:rPr>
        <w:t>图</w:t>
      </w:r>
      <w:r>
        <w:rPr>
          <w:rFonts w:eastAsia="黑体" w:cs="Times New Roman"/>
          <w:b w:val="0"/>
          <w:bCs/>
          <w:color w:val="auto"/>
          <w:kern w:val="2"/>
          <w:szCs w:val="21"/>
          <w:lang w:val="en-US"/>
        </w:rPr>
        <w:t>5.2-</w:t>
      </w:r>
      <w:r>
        <w:rPr>
          <w:rFonts w:eastAsia="黑体" w:cs="Times New Roman" w:hint="eastAsia"/>
          <w:b w:val="0"/>
          <w:bCs/>
          <w:color w:val="auto"/>
          <w:kern w:val="2"/>
          <w:szCs w:val="21"/>
          <w:lang w:val="en-US"/>
        </w:rPr>
        <w:t>1</w:t>
      </w:r>
      <w:r>
        <w:rPr>
          <w:rFonts w:eastAsia="黑体" w:cs="Times New Roman"/>
          <w:b w:val="0"/>
          <w:bCs/>
          <w:color w:val="auto"/>
          <w:kern w:val="2"/>
          <w:szCs w:val="21"/>
          <w:lang w:val="en-US"/>
        </w:rPr>
        <w:t xml:space="preserve">   </w:t>
      </w:r>
      <w:r>
        <w:rPr>
          <w:rFonts w:eastAsia="黑体" w:cs="Times New Roman" w:hint="eastAsia"/>
          <w:b w:val="0"/>
          <w:bCs/>
          <w:color w:val="auto"/>
          <w:kern w:val="2"/>
          <w:szCs w:val="21"/>
          <w:lang w:val="en-US"/>
        </w:rPr>
        <w:t>评价区域水文地质</w:t>
      </w:r>
      <w:r>
        <w:rPr>
          <w:rFonts w:eastAsia="黑体" w:cs="Times New Roman"/>
          <w:b w:val="0"/>
          <w:bCs/>
          <w:color w:val="auto"/>
          <w:kern w:val="2"/>
          <w:szCs w:val="21"/>
          <w:lang w:val="en-US"/>
        </w:rPr>
        <w:t>图</w:t>
      </w:r>
    </w:p>
    <w:bookmarkEnd w:id="1483"/>
    <w:bookmarkEnd w:id="1484"/>
    <w:bookmarkEnd w:id="1485"/>
    <w:p w:rsidR="00C645C9" w:rsidRDefault="00F955D9">
      <w:pPr>
        <w:pStyle w:val="afffb"/>
        <w:rPr>
          <w:lang w:eastAsia="zh-CN"/>
        </w:rPr>
      </w:pPr>
      <w:r>
        <w:rPr>
          <w:lang w:eastAsia="zh-CN"/>
        </w:rPr>
        <w:t>5.</w:t>
      </w:r>
      <w:r>
        <w:rPr>
          <w:rFonts w:hint="eastAsia"/>
          <w:lang w:eastAsia="zh-CN"/>
        </w:rPr>
        <w:t>2</w:t>
      </w:r>
      <w:r>
        <w:rPr>
          <w:lang w:eastAsia="zh-CN"/>
        </w:rPr>
        <w:t>.2</w:t>
      </w:r>
      <w:r>
        <w:rPr>
          <w:lang w:eastAsia="zh-CN"/>
        </w:rPr>
        <w:t>施工期地下水环境影响分析</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1</w:t>
      </w:r>
      <w:r>
        <w:rPr>
          <w:rFonts w:cs="Times New Roman"/>
          <w:kern w:val="2"/>
          <w:szCs w:val="20"/>
        </w:rPr>
        <w:t>）施工期间废水对地下水影响分析</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根据工程分析，施工期</w:t>
      </w:r>
      <w:r>
        <w:rPr>
          <w:rFonts w:cs="Times New Roman"/>
          <w:kern w:val="2"/>
          <w:szCs w:val="20"/>
        </w:rPr>
        <w:t>各类</w:t>
      </w:r>
      <w:r>
        <w:rPr>
          <w:rFonts w:cs="Times New Roman"/>
          <w:kern w:val="2"/>
          <w:szCs w:val="20"/>
        </w:rPr>
        <w:t>废水、生活污水</w:t>
      </w:r>
      <w:r>
        <w:rPr>
          <w:rFonts w:cs="Times New Roman"/>
          <w:kern w:val="2"/>
          <w:szCs w:val="20"/>
        </w:rPr>
        <w:t>均</w:t>
      </w:r>
      <w:r>
        <w:rPr>
          <w:rFonts w:cs="Times New Roman"/>
          <w:kern w:val="2"/>
          <w:szCs w:val="20"/>
        </w:rPr>
        <w:t>不外排，对地下水环境影响很小。</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2</w:t>
      </w:r>
      <w:r>
        <w:rPr>
          <w:rFonts w:cs="Times New Roman"/>
          <w:kern w:val="2"/>
          <w:szCs w:val="20"/>
        </w:rPr>
        <w:t>）钻井过程对地下水影响分析</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本工程</w:t>
      </w:r>
      <w:r>
        <w:rPr>
          <w:rFonts w:cs="Times New Roman"/>
          <w:kern w:val="2"/>
          <w:szCs w:val="20"/>
        </w:rPr>
        <w:t>钻井过程中采用套管与土壤隔离，并在套管与地层之间注入水泥进行固井，水泥浆返至地面，封隔疏松地层和水层；</w:t>
      </w:r>
      <w:r>
        <w:rPr>
          <w:rFonts w:cs="Times New Roman" w:hint="eastAsia"/>
          <w:kern w:val="2"/>
          <w:szCs w:val="20"/>
        </w:rPr>
        <w:t>本工程</w:t>
      </w:r>
      <w:r>
        <w:rPr>
          <w:rFonts w:cs="Times New Roman"/>
          <w:kern w:val="2"/>
          <w:szCs w:val="20"/>
        </w:rPr>
        <w:t>井身的表层套管的下入深</w:t>
      </w:r>
      <w:r>
        <w:rPr>
          <w:rFonts w:cs="Times New Roman"/>
          <w:kern w:val="2"/>
          <w:szCs w:val="20"/>
        </w:rPr>
        <w:lastRenderedPageBreak/>
        <w:t>度</w:t>
      </w:r>
      <w:r>
        <w:rPr>
          <w:rFonts w:cs="Times New Roman" w:hint="eastAsia"/>
          <w:kern w:val="2"/>
          <w:szCs w:val="20"/>
        </w:rPr>
        <w:t>150</w:t>
      </w:r>
      <w:r>
        <w:rPr>
          <w:rFonts w:cs="Times New Roman"/>
          <w:kern w:val="2"/>
          <w:szCs w:val="20"/>
        </w:rPr>
        <w:t>m</w:t>
      </w:r>
      <w:r>
        <w:rPr>
          <w:rFonts w:cs="Times New Roman"/>
          <w:kern w:val="2"/>
          <w:szCs w:val="20"/>
        </w:rPr>
        <w:t>，采用水泥浆进行固井，水泥浆返至地面，可满足</w:t>
      </w:r>
      <w:r>
        <w:rPr>
          <w:rFonts w:cs="Times New Roman" w:hint="eastAsia"/>
          <w:kern w:val="2"/>
          <w:szCs w:val="20"/>
        </w:rPr>
        <w:t>本工程</w:t>
      </w:r>
      <w:r>
        <w:rPr>
          <w:rFonts w:cs="Times New Roman"/>
          <w:kern w:val="2"/>
          <w:szCs w:val="20"/>
        </w:rPr>
        <w:t>的地下水保护需要，可</w:t>
      </w:r>
      <w:r>
        <w:rPr>
          <w:rFonts w:cs="Times New Roman" w:hint="eastAsia"/>
          <w:kern w:val="2"/>
          <w:szCs w:val="20"/>
        </w:rPr>
        <w:t>有效地</w:t>
      </w:r>
      <w:r>
        <w:rPr>
          <w:rFonts w:cs="Times New Roman"/>
          <w:kern w:val="2"/>
          <w:szCs w:val="20"/>
        </w:rPr>
        <w:t>保护地下水环境不受污染。</w:t>
      </w:r>
      <w:r>
        <w:rPr>
          <w:rFonts w:cs="Times New Roman" w:hint="eastAsia"/>
          <w:kern w:val="2"/>
          <w:szCs w:val="20"/>
        </w:rPr>
        <w:t>本工程</w:t>
      </w:r>
      <w:r>
        <w:rPr>
          <w:rFonts w:cs="Times New Roman"/>
          <w:kern w:val="2"/>
          <w:szCs w:val="20"/>
        </w:rPr>
        <w:t>使用水基钻井液，钻井过程中，严格要求套管下入深度等措施，可以有效控制钻井液在地层中的漏失，减轻对地下水环境的影响。由于</w:t>
      </w:r>
      <w:r>
        <w:rPr>
          <w:rFonts w:cs="Times New Roman" w:hint="eastAsia"/>
          <w:kern w:val="2"/>
          <w:szCs w:val="20"/>
        </w:rPr>
        <w:t>本工程</w:t>
      </w:r>
      <w:r>
        <w:rPr>
          <w:rFonts w:cs="Times New Roman"/>
          <w:kern w:val="2"/>
          <w:szCs w:val="20"/>
        </w:rPr>
        <w:t>油藏目的层与地下水处于不同层系，远远超出本区域地下水含水层深度，在施工过程中采用下套管注水泥固井、完井方</w:t>
      </w:r>
      <w:r>
        <w:rPr>
          <w:rFonts w:cs="Times New Roman"/>
          <w:kern w:val="2"/>
          <w:szCs w:val="20"/>
        </w:rPr>
        <w:t>式进行水泥固井，对含水层进行了固封处理，有效保护地下水层。项目在钻井过程中产生的废水不与当地水体发生水力联系，同时对产生的废水排放进行严格管理，因此基本不会对所在区域水环境产生影响。</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施工期间钻井井场内的钻井平台、泥浆不落地系统、发电机房、材料堆场等均铺设</w:t>
      </w:r>
      <w:r>
        <w:rPr>
          <w:rFonts w:cs="Times New Roman"/>
          <w:kern w:val="2"/>
          <w:szCs w:val="20"/>
        </w:rPr>
        <w:t>HDPE</w:t>
      </w:r>
      <w:r>
        <w:rPr>
          <w:rFonts w:cs="Times New Roman"/>
          <w:kern w:val="2"/>
          <w:szCs w:val="20"/>
        </w:rPr>
        <w:t>防渗膜，可对土壤及包气带起到良好的防护。</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综上，本工程施工期间无废水外排，施工过程中产生的废水和固体废物均得到妥善处理。故施工期对地下水环境的影响很小。在严格执行环境保护措施的前提下，</w:t>
      </w:r>
      <w:r>
        <w:rPr>
          <w:rFonts w:cs="Times New Roman" w:hint="eastAsia"/>
          <w:kern w:val="2"/>
          <w:szCs w:val="20"/>
        </w:rPr>
        <w:t>本工程</w:t>
      </w:r>
      <w:r>
        <w:rPr>
          <w:rFonts w:cs="Times New Roman"/>
          <w:kern w:val="2"/>
          <w:szCs w:val="20"/>
        </w:rPr>
        <w:t>施工期废水不会对周围地下水环境产生明显影响。</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hint="eastAsia"/>
          <w:kern w:val="2"/>
          <w:szCs w:val="20"/>
        </w:rPr>
        <w:t>3</w:t>
      </w:r>
      <w:r>
        <w:rPr>
          <w:rFonts w:cs="Times New Roman"/>
          <w:kern w:val="2"/>
          <w:szCs w:val="20"/>
        </w:rPr>
        <w:t>）钻井过程井漏事故泥浆对地下水的影响评价</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井漏事故对地下水的污染是指在钻井过程中，钻井废水、泥浆漏失于地下水含水层中，造成地下含水层水质污染。就钻井源漏失而言，发生在局部且持续时间较短。</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本工程</w:t>
      </w:r>
      <w:r>
        <w:rPr>
          <w:rFonts w:cs="Times New Roman"/>
          <w:kern w:val="2"/>
          <w:szCs w:val="20"/>
        </w:rPr>
        <w:t>一开钻井泥浆主要成分为膨润土浆，不含有毒有害物质，一开基本涵盖了可能具有使用功能的地下水，因此</w:t>
      </w:r>
      <w:r>
        <w:rPr>
          <w:rFonts w:cs="Times New Roman" w:hint="eastAsia"/>
          <w:kern w:val="2"/>
          <w:szCs w:val="20"/>
        </w:rPr>
        <w:t>本工程</w:t>
      </w:r>
      <w:r>
        <w:rPr>
          <w:rFonts w:cs="Times New Roman"/>
          <w:kern w:val="2"/>
          <w:szCs w:val="20"/>
        </w:rPr>
        <w:t>一开钻井过程不会对可能具备使用功能的地下水造成影响。二开以下井段的施工时，表层套管已完成固井，因此钻井泥浆不会在表层套管范围内漏失，漏失发生在表层套管以下的二开以下井段的范围内，二开以下井段范围内的地层地下水埋深较深，</w:t>
      </w:r>
      <w:r>
        <w:rPr>
          <w:rFonts w:cs="Times New Roman"/>
          <w:kern w:val="2"/>
          <w:szCs w:val="20"/>
        </w:rPr>
        <w:t>不具备使用功能。</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井漏主要发生于具有特殊地质结构的油藏区，如具有溶洞、裂隙等不稳定的地层构造区域。施工单位针对井漏制定有完善的应对措施，钻井过程中一旦发现异常，施工单位将立即停钻采取添加桥堵剂、打水泥塞等措施，防止井漏事故的发生，可有效减轻井漏对地下水的影响。井漏事故发生概率较低，</w:t>
      </w:r>
      <w:r>
        <w:rPr>
          <w:rFonts w:cs="Times New Roman" w:hint="eastAsia"/>
          <w:kern w:val="2"/>
          <w:szCs w:val="20"/>
        </w:rPr>
        <w:t>本工程</w:t>
      </w:r>
      <w:r>
        <w:rPr>
          <w:rFonts w:cs="Times New Roman"/>
          <w:kern w:val="2"/>
          <w:szCs w:val="20"/>
        </w:rPr>
        <w:t>钻井液采用无毒泥浆，不含重金属等有毒物质，且</w:t>
      </w:r>
      <w:r>
        <w:rPr>
          <w:rFonts w:cs="Times New Roman" w:hint="eastAsia"/>
          <w:kern w:val="2"/>
          <w:szCs w:val="20"/>
        </w:rPr>
        <w:t>本工程</w:t>
      </w:r>
      <w:r>
        <w:rPr>
          <w:rFonts w:cs="Times New Roman"/>
          <w:kern w:val="2"/>
          <w:szCs w:val="20"/>
        </w:rPr>
        <w:t>开发区域地下水不具备饮用水功能。</w:t>
      </w:r>
    </w:p>
    <w:p w:rsidR="00C645C9" w:rsidRDefault="00F955D9">
      <w:pPr>
        <w:pStyle w:val="afffb"/>
        <w:rPr>
          <w:lang w:eastAsia="zh-CN"/>
        </w:rPr>
      </w:pPr>
      <w:r>
        <w:rPr>
          <w:lang w:eastAsia="zh-CN"/>
        </w:rPr>
        <w:lastRenderedPageBreak/>
        <w:t>5.</w:t>
      </w:r>
      <w:bookmarkStart w:id="1495" w:name="OLE_LINK994"/>
      <w:r>
        <w:rPr>
          <w:rFonts w:hint="eastAsia"/>
          <w:lang w:eastAsia="zh-CN"/>
        </w:rPr>
        <w:t>2</w:t>
      </w:r>
      <w:r>
        <w:rPr>
          <w:lang w:eastAsia="zh-CN"/>
        </w:rPr>
        <w:t>.3</w:t>
      </w:r>
      <w:bookmarkEnd w:id="1495"/>
      <w:r>
        <w:rPr>
          <w:lang w:eastAsia="zh-CN"/>
        </w:rPr>
        <w:t>运营期地下水环境影响</w:t>
      </w:r>
      <w:r>
        <w:rPr>
          <w:rFonts w:hint="eastAsia"/>
          <w:lang w:eastAsia="zh-CN"/>
        </w:rPr>
        <w:t>评价</w:t>
      </w:r>
    </w:p>
    <w:p w:rsidR="00C645C9" w:rsidRDefault="00F955D9">
      <w:pPr>
        <w:keepLines/>
        <w:adjustRightInd w:val="0"/>
        <w:snapToGrid w:val="0"/>
        <w:spacing w:line="360" w:lineRule="auto"/>
        <w:outlineLvl w:val="3"/>
        <w:rPr>
          <w:rFonts w:cs="Times New Roman"/>
          <w:b/>
        </w:rPr>
      </w:pPr>
      <w:r>
        <w:rPr>
          <w:rFonts w:cs="Times New Roman"/>
          <w:b/>
        </w:rPr>
        <w:t>5.2.3.1</w:t>
      </w:r>
      <w:r>
        <w:rPr>
          <w:rFonts w:cs="Times New Roman"/>
          <w:b/>
        </w:rPr>
        <w:t>正常状况下地下水环境影响分析</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1</w:t>
      </w:r>
      <w:r>
        <w:rPr>
          <w:rFonts w:cs="Times New Roman"/>
          <w:kern w:val="2"/>
          <w:szCs w:val="20"/>
        </w:rPr>
        <w:t>）废水</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根据工程分析，</w:t>
      </w:r>
      <w:r>
        <w:rPr>
          <w:rFonts w:cs="Times New Roman" w:hint="eastAsia"/>
          <w:kern w:val="2"/>
          <w:szCs w:val="20"/>
        </w:rPr>
        <w:t>本工程</w:t>
      </w:r>
      <w:r>
        <w:rPr>
          <w:rFonts w:cs="Times New Roman"/>
          <w:kern w:val="2"/>
          <w:szCs w:val="20"/>
        </w:rPr>
        <w:t>产生的各类废水不外排，正常情况下不会对地下水产生污染影响。另外，</w:t>
      </w:r>
      <w:r>
        <w:rPr>
          <w:rFonts w:cs="Times New Roman" w:hint="eastAsia"/>
          <w:kern w:val="2"/>
          <w:szCs w:val="20"/>
        </w:rPr>
        <w:t>本工程</w:t>
      </w:r>
      <w:r>
        <w:rPr>
          <w:rFonts w:cs="Times New Roman"/>
          <w:kern w:val="2"/>
          <w:szCs w:val="20"/>
        </w:rPr>
        <w:t>采出水及井下作业废液经处理达标后</w:t>
      </w:r>
      <w:r>
        <w:rPr>
          <w:rFonts w:cs="Times New Roman"/>
          <w:kern w:val="2"/>
          <w:szCs w:val="20"/>
        </w:rPr>
        <w:t>综合利用</w:t>
      </w:r>
      <w:r>
        <w:rPr>
          <w:rFonts w:cs="Times New Roman"/>
          <w:kern w:val="2"/>
          <w:szCs w:val="20"/>
        </w:rPr>
        <w:t>，一般不会对区内地下水环境产生影响。</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2</w:t>
      </w:r>
      <w:r>
        <w:rPr>
          <w:rFonts w:cs="Times New Roman"/>
          <w:kern w:val="2"/>
          <w:szCs w:val="20"/>
        </w:rPr>
        <w:t>）落地油</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本工程</w:t>
      </w:r>
      <w:r>
        <w:rPr>
          <w:rFonts w:cs="Times New Roman"/>
          <w:kern w:val="2"/>
          <w:szCs w:val="20"/>
        </w:rPr>
        <w:t>在修井及采</w:t>
      </w:r>
      <w:r>
        <w:rPr>
          <w:rFonts w:cs="Times New Roman" w:hint="eastAsia"/>
          <w:kern w:val="2"/>
          <w:szCs w:val="20"/>
        </w:rPr>
        <w:t>气</w:t>
      </w:r>
      <w:r>
        <w:rPr>
          <w:rFonts w:cs="Times New Roman"/>
          <w:kern w:val="2"/>
          <w:szCs w:val="20"/>
        </w:rPr>
        <w:t>等过程中都可能产生</w:t>
      </w:r>
      <w:bookmarkStart w:id="1496" w:name="OLE_LINK1484"/>
      <w:r>
        <w:rPr>
          <w:rFonts w:cs="Times New Roman"/>
          <w:kern w:val="2"/>
          <w:szCs w:val="20"/>
        </w:rPr>
        <w:t>落地油</w:t>
      </w:r>
      <w:bookmarkEnd w:id="1496"/>
      <w:r>
        <w:rPr>
          <w:rFonts w:cs="Times New Roman"/>
          <w:kern w:val="2"/>
          <w:szCs w:val="20"/>
        </w:rPr>
        <w:t>。根据</w:t>
      </w:r>
      <w:r>
        <w:rPr>
          <w:rFonts w:cs="Times New Roman" w:hint="eastAsia"/>
          <w:kern w:val="2"/>
          <w:szCs w:val="20"/>
        </w:rPr>
        <w:t>西北油田分公司的</w:t>
      </w:r>
      <w:r>
        <w:rPr>
          <w:rFonts w:cs="Times New Roman"/>
          <w:kern w:val="2"/>
          <w:szCs w:val="20"/>
        </w:rPr>
        <w:t>要求，各作业队伍在作业过程中尽可能避免落地油的产生，井下作业必须采用带罐进行，落地油一旦产生须及时、彻底进行回收，井口排出物全部进罐，故基本无落地油产生。在措施落实、管理到位的前提下，可最大限度减少落地油量，故落地油对开发区域地下水的影响很小。</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3</w:t>
      </w:r>
      <w:r>
        <w:rPr>
          <w:rFonts w:cs="Times New Roman"/>
          <w:kern w:val="2"/>
          <w:szCs w:val="20"/>
        </w:rPr>
        <w:t>）</w:t>
      </w:r>
      <w:bookmarkStart w:id="1497" w:name="OLE_LINK1485"/>
      <w:r>
        <w:rPr>
          <w:rFonts w:cs="Times New Roman" w:hint="eastAsia"/>
          <w:kern w:val="2"/>
          <w:szCs w:val="20"/>
        </w:rPr>
        <w:t>站内管网</w:t>
      </w:r>
      <w:bookmarkEnd w:id="1497"/>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本工程</w:t>
      </w:r>
      <w:r>
        <w:rPr>
          <w:rFonts w:cs="Times New Roman" w:hint="eastAsia"/>
          <w:kern w:val="2"/>
          <w:szCs w:val="20"/>
        </w:rPr>
        <w:t>站内管网</w:t>
      </w:r>
      <w:r>
        <w:rPr>
          <w:rFonts w:cs="Times New Roman"/>
          <w:kern w:val="2"/>
          <w:szCs w:val="20"/>
        </w:rPr>
        <w:t>均是全封闭</w:t>
      </w:r>
      <w:r>
        <w:rPr>
          <w:rFonts w:cs="Times New Roman"/>
          <w:kern w:val="2"/>
          <w:szCs w:val="20"/>
        </w:rPr>
        <w:t>系统，管线采用柔性复合管及无缝钢管，采取严格的防腐防渗措施。正常状况下，输送、储存的介质不会与地下水水体之间发生联系，不会对区域地下水环境产生污染影响。</w:t>
      </w:r>
    </w:p>
    <w:p w:rsidR="00C645C9" w:rsidRDefault="00F955D9">
      <w:pPr>
        <w:widowControl w:val="0"/>
        <w:adjustRightInd w:val="0"/>
        <w:snapToGrid w:val="0"/>
        <w:spacing w:line="360" w:lineRule="auto"/>
        <w:ind w:firstLineChars="200" w:firstLine="480"/>
        <w:jc w:val="both"/>
        <w:rPr>
          <w:rFonts w:cs="Times New Roman"/>
          <w:kern w:val="2"/>
        </w:rPr>
      </w:pPr>
      <w:bookmarkStart w:id="1498" w:name="_Hlk112856379"/>
      <w:r>
        <w:rPr>
          <w:rFonts w:cs="Times New Roman"/>
          <w:kern w:val="2"/>
        </w:rPr>
        <w:t>综上，正常情况下，</w:t>
      </w:r>
      <w:r>
        <w:rPr>
          <w:rFonts w:cs="Times New Roman" w:hint="eastAsia"/>
          <w:kern w:val="2"/>
        </w:rPr>
        <w:t>本工程</w:t>
      </w:r>
      <w:r>
        <w:rPr>
          <w:rFonts w:cs="Times New Roman"/>
          <w:kern w:val="2"/>
        </w:rPr>
        <w:t>的实施对地下水的影响较小。</w:t>
      </w:r>
      <w:bookmarkEnd w:id="1498"/>
    </w:p>
    <w:p w:rsidR="00C645C9" w:rsidRDefault="00F955D9">
      <w:pPr>
        <w:keepLines/>
        <w:adjustRightInd w:val="0"/>
        <w:snapToGrid w:val="0"/>
        <w:spacing w:line="360" w:lineRule="auto"/>
        <w:outlineLvl w:val="3"/>
        <w:rPr>
          <w:rFonts w:cs="Times New Roman"/>
          <w:b/>
        </w:rPr>
      </w:pPr>
      <w:r>
        <w:rPr>
          <w:rFonts w:cs="Times New Roman"/>
          <w:b/>
        </w:rPr>
        <w:t>5.2.3.</w:t>
      </w:r>
      <w:r>
        <w:rPr>
          <w:rFonts w:cs="Times New Roman"/>
          <w:b/>
        </w:rPr>
        <w:t>2</w:t>
      </w:r>
      <w:r>
        <w:rPr>
          <w:rFonts w:cs="Times New Roman"/>
          <w:b/>
        </w:rPr>
        <w:t>非</w:t>
      </w:r>
      <w:r>
        <w:rPr>
          <w:rFonts w:cs="Times New Roman"/>
          <w:b/>
        </w:rPr>
        <w:t>正常状况下地下水环境影响分析</w:t>
      </w:r>
    </w:p>
    <w:p w:rsidR="00C645C9" w:rsidRDefault="00F955D9">
      <w:pPr>
        <w:widowControl w:val="0"/>
        <w:adjustRightInd w:val="0"/>
        <w:snapToGrid w:val="0"/>
        <w:spacing w:line="480" w:lineRule="exact"/>
        <w:ind w:firstLineChars="200" w:firstLine="480"/>
        <w:jc w:val="both"/>
        <w:rPr>
          <w:rFonts w:cs="Times New Roman"/>
          <w:kern w:val="2"/>
          <w:szCs w:val="20"/>
        </w:rPr>
      </w:pPr>
      <w:r>
        <w:rPr>
          <w:rFonts w:cs="Times New Roman"/>
          <w:kern w:val="2"/>
          <w:szCs w:val="20"/>
        </w:rPr>
        <w:t>油田工程生产过程中，</w:t>
      </w:r>
      <w:r>
        <w:rPr>
          <w:rFonts w:cs="Times New Roman" w:hint="eastAsia"/>
          <w:kern w:val="2"/>
          <w:szCs w:val="20"/>
        </w:rPr>
        <w:t>各个环节</w:t>
      </w:r>
      <w:r>
        <w:rPr>
          <w:rFonts w:cs="Times New Roman"/>
          <w:kern w:val="2"/>
          <w:szCs w:val="20"/>
        </w:rPr>
        <w:t>都存在着易燃、易爆、有害物质，除危害工程本身安全外，同时对地下水也构成污染的危险。主要表现因操作失误或处理措施不当而发生的井喷或井漏等工程事故；自然灾害引起的油田污染事故；管线、阀组运行过程中，管线腐蚀穿孔，误操作及人为破坏等原因造成的管线破裂使油品泄漏。无论是人为因素还是自然因素所造成的事故，对</w:t>
      </w:r>
      <w:r>
        <w:rPr>
          <w:rFonts w:cs="Times New Roman"/>
          <w:kern w:val="2"/>
          <w:szCs w:val="20"/>
        </w:rPr>
        <w:t>评价区</w:t>
      </w:r>
      <w:r>
        <w:rPr>
          <w:rFonts w:cs="Times New Roman"/>
          <w:kern w:val="2"/>
          <w:szCs w:val="20"/>
        </w:rPr>
        <w:t>地下水体均可能产生污染的风险。</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本工程</w:t>
      </w:r>
      <w:r>
        <w:rPr>
          <w:rFonts w:cs="Times New Roman"/>
          <w:kern w:val="2"/>
          <w:szCs w:val="20"/>
        </w:rPr>
        <w:t>开</w:t>
      </w:r>
      <w:r>
        <w:rPr>
          <w:rFonts w:cs="Times New Roman"/>
          <w:kern w:val="2"/>
          <w:szCs w:val="20"/>
        </w:rPr>
        <w:t>发对地下水产生污染的途径主要有两种方式，即渗透污染和穿透污染途径。</w:t>
      </w:r>
    </w:p>
    <w:p w:rsidR="00C645C9" w:rsidRDefault="00F955D9">
      <w:pPr>
        <w:widowControl w:val="0"/>
        <w:spacing w:line="360" w:lineRule="auto"/>
        <w:ind w:firstLineChars="200" w:firstLine="480"/>
        <w:jc w:val="both"/>
        <w:rPr>
          <w:rFonts w:cs="Times New Roman"/>
          <w:kern w:val="2"/>
          <w:szCs w:val="20"/>
        </w:rPr>
      </w:pPr>
      <w:r>
        <w:rPr>
          <w:rFonts w:cs="Times New Roman"/>
          <w:szCs w:val="21"/>
        </w:rPr>
        <w:t>穿透污染：</w:t>
      </w:r>
      <w:r>
        <w:rPr>
          <w:rFonts w:cs="Times New Roman" w:hint="eastAsia"/>
          <w:szCs w:val="21"/>
        </w:rPr>
        <w:t>本工程</w:t>
      </w:r>
      <w:r>
        <w:rPr>
          <w:rFonts w:cs="Times New Roman"/>
          <w:szCs w:val="21"/>
        </w:rPr>
        <w:t>共部署</w:t>
      </w:r>
      <w:r>
        <w:rPr>
          <w:rFonts w:cs="Times New Roman" w:hint="eastAsia"/>
          <w:szCs w:val="21"/>
        </w:rPr>
        <w:t>2</w:t>
      </w:r>
      <w:r>
        <w:rPr>
          <w:rFonts w:cs="Times New Roman"/>
          <w:szCs w:val="21"/>
        </w:rPr>
        <w:t>口井</w:t>
      </w:r>
      <w:r>
        <w:rPr>
          <w:rFonts w:cs="Times New Roman"/>
          <w:szCs w:val="21"/>
        </w:rPr>
        <w:t>。在</w:t>
      </w:r>
      <w:r>
        <w:rPr>
          <w:rFonts w:cs="Times New Roman" w:hint="eastAsia"/>
          <w:szCs w:val="21"/>
        </w:rPr>
        <w:t>采气</w:t>
      </w:r>
      <w:r>
        <w:rPr>
          <w:rFonts w:cs="Times New Roman"/>
          <w:szCs w:val="21"/>
        </w:rPr>
        <w:t>过程中，</w:t>
      </w:r>
      <w:r>
        <w:rPr>
          <w:rFonts w:cs="Times New Roman"/>
          <w:kern w:val="2"/>
          <w:szCs w:val="20"/>
        </w:rPr>
        <w:t>污染物沿着裂隙或孔隙直接到达含水层从而污染地下水的方式称为穿透污染</w:t>
      </w:r>
      <w:r>
        <w:rPr>
          <w:rFonts w:cs="Times New Roman"/>
          <w:kern w:val="2"/>
          <w:szCs w:val="20"/>
        </w:rPr>
        <w:t>（</w:t>
      </w:r>
      <w:r>
        <w:rPr>
          <w:rFonts w:cs="Times New Roman"/>
          <w:kern w:val="2"/>
          <w:szCs w:val="20"/>
        </w:rPr>
        <w:t>窜层</w:t>
      </w:r>
      <w:r>
        <w:rPr>
          <w:rFonts w:cs="Times New Roman"/>
          <w:kern w:val="2"/>
          <w:szCs w:val="20"/>
        </w:rPr>
        <w:t>）</w:t>
      </w:r>
      <w:r>
        <w:rPr>
          <w:rFonts w:cs="Times New Roman"/>
          <w:kern w:val="2"/>
          <w:szCs w:val="20"/>
        </w:rPr>
        <w:t>。以该种方式污染地</w:t>
      </w:r>
      <w:r>
        <w:rPr>
          <w:rFonts w:cs="Times New Roman"/>
          <w:kern w:val="2"/>
          <w:szCs w:val="20"/>
        </w:rPr>
        <w:lastRenderedPageBreak/>
        <w:t>下水的主要是固井</w:t>
      </w:r>
      <w:r>
        <w:rPr>
          <w:rFonts w:cs="Times New Roman"/>
          <w:kern w:val="2"/>
          <w:szCs w:val="20"/>
        </w:rPr>
        <w:t>效果差或套管破损、</w:t>
      </w:r>
      <w:r>
        <w:rPr>
          <w:rFonts w:cs="Times New Roman"/>
          <w:kern w:val="2"/>
          <w:szCs w:val="20"/>
        </w:rPr>
        <w:t>井壁</w:t>
      </w:r>
      <w:r>
        <w:rPr>
          <w:rFonts w:cs="Times New Roman"/>
          <w:kern w:val="2"/>
          <w:szCs w:val="20"/>
        </w:rPr>
        <w:t>侧漏等导致生产</w:t>
      </w:r>
      <w:r>
        <w:rPr>
          <w:rFonts w:cs="Times New Roman"/>
          <w:kern w:val="2"/>
          <w:szCs w:val="20"/>
        </w:rPr>
        <w:t>过程中</w:t>
      </w:r>
      <w:r>
        <w:rPr>
          <w:rFonts w:cs="Times New Roman"/>
          <w:kern w:val="2"/>
          <w:szCs w:val="20"/>
        </w:rPr>
        <w:t>发生</w:t>
      </w:r>
      <w:r>
        <w:rPr>
          <w:rFonts w:cs="Times New Roman"/>
          <w:kern w:val="2"/>
          <w:szCs w:val="20"/>
        </w:rPr>
        <w:t>套外返水，采出液在水头压力差的作用下，可能直接进入含水层，发生油水窜层，并在含水层中扩散迁移，污染地下水。由废弃井、套管被腐蚀破坏而污染到地下水的现象，在前期不会发生，待</w:t>
      </w:r>
      <w:r>
        <w:rPr>
          <w:rFonts w:cs="Times New Roman"/>
          <w:kern w:val="2"/>
          <w:szCs w:val="20"/>
        </w:rPr>
        <w:t>油田</w:t>
      </w:r>
      <w:r>
        <w:rPr>
          <w:rFonts w:cs="Times New Roman"/>
          <w:kern w:val="2"/>
          <w:szCs w:val="20"/>
        </w:rPr>
        <w:t>开发到中后期时，废弃井、套管被腐蚀破坏，才可能会对地下水有影响：废弃井在长期闲置过程中，在地下各种复合作用下，固井水泥被腐蚀，套管被腐蚀穿孔，加上只封死井口，油气物质失去了释放通道，会通过</w:t>
      </w:r>
      <w:bookmarkStart w:id="1499" w:name="OLE_LINK1331"/>
      <w:r>
        <w:rPr>
          <w:rFonts w:cs="Times New Roman"/>
          <w:kern w:val="2"/>
          <w:szCs w:val="20"/>
        </w:rPr>
        <w:t>越流</w:t>
      </w:r>
      <w:bookmarkEnd w:id="1499"/>
      <w:r>
        <w:rPr>
          <w:rFonts w:cs="Times New Roman"/>
          <w:kern w:val="2"/>
          <w:szCs w:val="20"/>
        </w:rPr>
        <w:t>进入潜水含水层，参与地下水循环。虽然此时油层几乎没有多少压力，凝析油不大可能进入到含水层污染地下水，但这一现象仍应引起重视。</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渗透污染：</w:t>
      </w:r>
      <w:r>
        <w:rPr>
          <w:rFonts w:cs="Times New Roman"/>
          <w:kern w:val="2"/>
          <w:szCs w:val="20"/>
        </w:rPr>
        <w:t>地面及包气带污染物沿着松散的孔隙下渗至含水层致使地下水污染的方式称渗透污染。</w:t>
      </w:r>
      <w:r>
        <w:rPr>
          <w:rFonts w:cs="Times New Roman" w:hint="eastAsia"/>
          <w:kern w:val="2"/>
          <w:szCs w:val="20"/>
        </w:rPr>
        <w:t>本工程</w:t>
      </w:r>
      <w:r>
        <w:rPr>
          <w:rFonts w:cs="Times New Roman"/>
          <w:kern w:val="2"/>
          <w:szCs w:val="20"/>
        </w:rPr>
        <w:t>可能产生的渗透污染主要是井喷、管线</w:t>
      </w:r>
      <w:r>
        <w:rPr>
          <w:rFonts w:cs="Times New Roman" w:hint="eastAsia"/>
          <w:kern w:val="2"/>
          <w:szCs w:val="20"/>
        </w:rPr>
        <w:t>泄漏</w:t>
      </w:r>
      <w:r>
        <w:rPr>
          <w:rFonts w:cs="Times New Roman"/>
          <w:kern w:val="2"/>
          <w:szCs w:val="20"/>
        </w:rPr>
        <w:t>、落地油渗漏等，都是通过包气带渗透到潜水含水层而污染地下水的。包</w:t>
      </w:r>
      <w:r>
        <w:rPr>
          <w:rFonts w:cs="Times New Roman"/>
          <w:kern w:val="2"/>
          <w:szCs w:val="20"/>
        </w:rPr>
        <w:t>气带厚度愈薄，透水性愈好，就愈造成潜水污染，反之，包气带愈厚、透水性愈差，则其隔污能力就愈强，则潜水污染就愈轻。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通常泄漏事故对地下水环境的影响程度主要取决于凝析油的物理性质、泄漏方式、多孔介质特征及地下水位埋深等多种因素。由于管线泄漏事故为短期大量排放，污染物的泄漏以地表</w:t>
      </w:r>
      <w:r>
        <w:rPr>
          <w:rFonts w:cs="Times New Roman"/>
          <w:kern w:val="2"/>
          <w:szCs w:val="20"/>
        </w:rPr>
        <w:t>扩展为主，一般能及时发现，并可很快加以控制，石油烃等污染物在其中迁移的阻滞作用较强，迁移及衰减速度较慢，其影响范围不大，对地下水环境一般不易产生不利影响。</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污染物进入地下后，污染物向地下水系统的迁移途径为：</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入渗污染物</w:t>
      </w:r>
      <w:r>
        <w:rPr>
          <w:rFonts w:cs="Times New Roman"/>
          <w:kern w:val="2"/>
          <w:szCs w:val="20"/>
        </w:rPr>
        <w:t>→</w:t>
      </w:r>
      <w:r>
        <w:rPr>
          <w:rFonts w:cs="Times New Roman"/>
          <w:kern w:val="2"/>
          <w:szCs w:val="20"/>
        </w:rPr>
        <w:t>表土层</w:t>
      </w:r>
      <w:r>
        <w:rPr>
          <w:rFonts w:cs="Times New Roman"/>
          <w:kern w:val="2"/>
          <w:szCs w:val="20"/>
        </w:rPr>
        <w:t>→</w:t>
      </w:r>
      <w:r>
        <w:rPr>
          <w:rFonts w:cs="Times New Roman"/>
          <w:kern w:val="2"/>
          <w:szCs w:val="20"/>
        </w:rPr>
        <w:t>包气带</w:t>
      </w:r>
      <w:r>
        <w:rPr>
          <w:rFonts w:cs="Times New Roman"/>
          <w:kern w:val="2"/>
          <w:szCs w:val="20"/>
        </w:rPr>
        <w:t>→</w:t>
      </w:r>
      <w:r>
        <w:rPr>
          <w:rFonts w:cs="Times New Roman"/>
          <w:kern w:val="2"/>
          <w:szCs w:val="20"/>
        </w:rPr>
        <w:t>含水层</w:t>
      </w:r>
      <w:r>
        <w:rPr>
          <w:rFonts w:cs="Times New Roman"/>
          <w:kern w:val="2"/>
          <w:szCs w:val="20"/>
        </w:rPr>
        <w:t>→</w:t>
      </w:r>
      <w:r>
        <w:rPr>
          <w:rFonts w:cs="Times New Roman"/>
          <w:kern w:val="2"/>
          <w:szCs w:val="20"/>
        </w:rPr>
        <w:t>迁移</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为了评价污染物入渗对评价区内地下水水质的影响，故本次地下水环境影响预测采用解析法，针对石油类污染物进入含水层后的运移进行重点预测、评价。</w:t>
      </w:r>
    </w:p>
    <w:p w:rsidR="00C645C9" w:rsidRDefault="00F955D9" w:rsidP="005718BB">
      <w:pPr>
        <w:widowControl w:val="0"/>
        <w:spacing w:line="360" w:lineRule="auto"/>
        <w:ind w:leftChars="200" w:left="480"/>
        <w:jc w:val="both"/>
        <w:rPr>
          <w:rFonts w:cs="Times New Roman"/>
          <w:kern w:val="2"/>
          <w:szCs w:val="20"/>
        </w:rPr>
      </w:pPr>
      <w:r>
        <w:rPr>
          <w:rFonts w:cs="Times New Roman"/>
          <w:kern w:val="2"/>
          <w:szCs w:val="20"/>
        </w:rPr>
        <w:t>结合上述分析，本次评价对非正常状况下的预测情景设置及预测内容如下：</w:t>
      </w:r>
    </w:p>
    <w:p w:rsidR="00C645C9" w:rsidRDefault="00F955D9">
      <w:pPr>
        <w:widowControl w:val="0"/>
        <w:spacing w:line="360" w:lineRule="auto"/>
        <w:ind w:firstLineChars="200" w:firstLine="482"/>
        <w:jc w:val="both"/>
        <w:rPr>
          <w:rFonts w:cs="Times New Roman"/>
          <w:b/>
          <w:bCs/>
          <w:kern w:val="2"/>
          <w:szCs w:val="20"/>
        </w:rPr>
      </w:pPr>
      <w:r>
        <w:rPr>
          <w:rFonts w:cs="Times New Roman"/>
          <w:b/>
          <w:bCs/>
          <w:kern w:val="2"/>
          <w:szCs w:val="20"/>
        </w:rPr>
        <w:t>（</w:t>
      </w:r>
      <w:r>
        <w:rPr>
          <w:rFonts w:cs="Times New Roman"/>
          <w:b/>
          <w:bCs/>
          <w:kern w:val="2"/>
          <w:szCs w:val="20"/>
        </w:rPr>
        <w:t>1</w:t>
      </w:r>
      <w:r>
        <w:rPr>
          <w:rFonts w:cs="Times New Roman"/>
          <w:b/>
          <w:bCs/>
          <w:kern w:val="2"/>
          <w:szCs w:val="20"/>
        </w:rPr>
        <w:t>）情景</w:t>
      </w:r>
      <w:r>
        <w:rPr>
          <w:rFonts w:cs="Times New Roman"/>
          <w:b/>
          <w:bCs/>
          <w:kern w:val="2"/>
          <w:szCs w:val="20"/>
        </w:rPr>
        <w:t>1</w:t>
      </w:r>
      <w:r>
        <w:rPr>
          <w:rFonts w:cs="Times New Roman"/>
          <w:b/>
          <w:bCs/>
          <w:kern w:val="2"/>
          <w:szCs w:val="20"/>
        </w:rPr>
        <w:t>：穿透污染（窜层</w:t>
      </w:r>
      <w:r>
        <w:rPr>
          <w:rFonts w:cs="Times New Roman"/>
          <w:b/>
          <w:bCs/>
          <w:kern w:val="2"/>
          <w:szCs w:val="20"/>
        </w:rPr>
        <w:t>污染</w:t>
      </w:r>
      <w:r>
        <w:rPr>
          <w:rFonts w:cs="Times New Roman"/>
          <w:b/>
          <w:bCs/>
          <w:kern w:val="2"/>
          <w:szCs w:val="20"/>
        </w:rPr>
        <w:t>）</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①</w:t>
      </w:r>
      <w:r>
        <w:rPr>
          <w:rFonts w:cs="Times New Roman"/>
          <w:kern w:val="2"/>
          <w:szCs w:val="20"/>
        </w:rPr>
        <w:t>预测情景</w:t>
      </w:r>
    </w:p>
    <w:p w:rsidR="00C645C9" w:rsidRDefault="00F955D9">
      <w:pPr>
        <w:widowControl w:val="0"/>
        <w:spacing w:line="360" w:lineRule="auto"/>
        <w:ind w:firstLineChars="200" w:firstLine="480"/>
        <w:jc w:val="both"/>
        <w:rPr>
          <w:rFonts w:cs="Times New Roman"/>
        </w:rPr>
      </w:pPr>
      <w:r>
        <w:rPr>
          <w:rFonts w:cs="Times New Roman"/>
          <w:kern w:val="2"/>
          <w:szCs w:val="20"/>
        </w:rPr>
        <w:lastRenderedPageBreak/>
        <w:t>本次地下</w:t>
      </w:r>
      <w:r>
        <w:rPr>
          <w:rFonts w:cs="Times New Roman"/>
          <w:kern w:val="2"/>
          <w:szCs w:val="20"/>
        </w:rPr>
        <w:t>水环境影响评价主要考虑最不利的极端情况下，</w:t>
      </w:r>
      <w:r>
        <w:rPr>
          <w:rFonts w:cs="Times New Roman"/>
          <w:kern w:val="2"/>
          <w:szCs w:val="20"/>
        </w:rPr>
        <w:t>排</w:t>
      </w:r>
      <w:r>
        <w:rPr>
          <w:rFonts w:cs="Times New Roman"/>
          <w:kern w:val="2"/>
          <w:szCs w:val="20"/>
        </w:rPr>
        <w:t>61</w:t>
      </w:r>
      <w:r>
        <w:rPr>
          <w:rFonts w:cs="Times New Roman"/>
          <w:kern w:val="2"/>
          <w:szCs w:val="20"/>
        </w:rPr>
        <w:t>块</w:t>
      </w:r>
      <w:r>
        <w:rPr>
          <w:rFonts w:cs="Times New Roman"/>
          <w:kern w:val="2"/>
          <w:szCs w:val="20"/>
        </w:rPr>
        <w:t>油水窜层后对第四系含水层水质的影响，针对污染物进入第四系孔隙水含水层后的运移进行重点预测、评价</w:t>
      </w:r>
      <w:r>
        <w:rPr>
          <w:rFonts w:cs="Times New Roman"/>
          <w:kern w:val="2"/>
          <w:szCs w:val="20"/>
        </w:rPr>
        <w:t>，</w:t>
      </w:r>
      <w:r>
        <w:rPr>
          <w:rFonts w:cs="Times New Roman"/>
        </w:rPr>
        <w:t>考虑</w:t>
      </w:r>
      <w:r>
        <w:rPr>
          <w:rFonts w:cs="Times New Roman" w:hint="eastAsia"/>
        </w:rPr>
        <w:t>采气</w:t>
      </w:r>
      <w:r>
        <w:rPr>
          <w:rFonts w:cs="Times New Roman"/>
        </w:rPr>
        <w:t>时发生</w:t>
      </w:r>
      <w:r>
        <w:rPr>
          <w:rFonts w:cs="Times New Roman" w:hint="eastAsia"/>
        </w:rPr>
        <w:t>泄漏</w:t>
      </w:r>
      <w:r>
        <w:rPr>
          <w:rFonts w:cs="Times New Roman"/>
        </w:rPr>
        <w:t>，污染物泄漏为连续排放，发生窜层后，</w:t>
      </w:r>
      <w:r>
        <w:rPr>
          <w:rFonts w:cs="Times New Roman"/>
        </w:rPr>
        <w:t>若未及时发现，</w:t>
      </w:r>
      <w:r>
        <w:rPr>
          <w:rFonts w:cs="Times New Roman"/>
        </w:rPr>
        <w:t>工程区内的污染物通过</w:t>
      </w:r>
      <w:r>
        <w:rPr>
          <w:rFonts w:cs="Times New Roman"/>
        </w:rPr>
        <w:t>空隙</w:t>
      </w:r>
      <w:r>
        <w:rPr>
          <w:rFonts w:cs="Times New Roman"/>
        </w:rPr>
        <w:t>径流至下游第四系含水层的水质。因此污染物在含水层中的迁移，可将预测情形概化为一维连续</w:t>
      </w:r>
      <w:r>
        <w:rPr>
          <w:rFonts w:cs="Times New Roman" w:hint="eastAsia"/>
        </w:rPr>
        <w:t>泄漏点源</w:t>
      </w:r>
      <w:r>
        <w:rPr>
          <w:rFonts w:cs="Times New Roman"/>
        </w:rPr>
        <w:t>的水动力弥散问题。</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②</w:t>
      </w:r>
      <w:r>
        <w:rPr>
          <w:rFonts w:cs="Times New Roman"/>
          <w:kern w:val="2"/>
          <w:szCs w:val="20"/>
        </w:rPr>
        <w:t>预测方法</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按照《</w:t>
      </w:r>
      <w:bookmarkStart w:id="1500" w:name="OLE_LINK1486"/>
      <w:r>
        <w:rPr>
          <w:rFonts w:cs="Times New Roman"/>
          <w:kern w:val="2"/>
          <w:szCs w:val="20"/>
        </w:rPr>
        <w:t>环境影响评价技术导则</w:t>
      </w:r>
      <w:r>
        <w:rPr>
          <w:rFonts w:cs="Times New Roman" w:hint="eastAsia"/>
          <w:kern w:val="2"/>
          <w:szCs w:val="20"/>
        </w:rPr>
        <w:t xml:space="preserve"> </w:t>
      </w:r>
      <w:r>
        <w:rPr>
          <w:rFonts w:cs="Times New Roman"/>
          <w:kern w:val="2"/>
          <w:szCs w:val="20"/>
        </w:rPr>
        <w:t>地下水环境</w:t>
      </w:r>
      <w:bookmarkEnd w:id="1500"/>
      <w:r>
        <w:rPr>
          <w:rFonts w:cs="Times New Roman"/>
          <w:kern w:val="2"/>
          <w:szCs w:val="20"/>
        </w:rPr>
        <w:t>》</w:t>
      </w:r>
      <w:r>
        <w:rPr>
          <w:rFonts w:cs="Times New Roman" w:hint="eastAsia"/>
          <w:kern w:val="2"/>
          <w:szCs w:val="20"/>
        </w:rPr>
        <w:t>（</w:t>
      </w:r>
      <w:r>
        <w:rPr>
          <w:rFonts w:cs="Times New Roman"/>
          <w:kern w:val="2"/>
          <w:szCs w:val="20"/>
        </w:rPr>
        <w:t>HJ610-2016</w:t>
      </w:r>
      <w:r>
        <w:rPr>
          <w:rFonts w:cs="Times New Roman" w:hint="eastAsia"/>
          <w:kern w:val="2"/>
          <w:szCs w:val="20"/>
        </w:rPr>
        <w:t>），</w:t>
      </w:r>
      <w:r>
        <w:rPr>
          <w:rFonts w:cs="Times New Roman"/>
          <w:kern w:val="2"/>
          <w:szCs w:val="20"/>
        </w:rPr>
        <w:t>评价区水文地质条件较简单、评价区内含水层的基本参数变化很小、污染物的排放对地下水流场没有明显的影响，本报告采用解析法对地下水环境影响进行预测。</w:t>
      </w:r>
    </w:p>
    <w:p w:rsidR="00C645C9" w:rsidRDefault="00F955D9">
      <w:pPr>
        <w:pStyle w:val="WPSOffice1"/>
        <w:spacing w:line="360" w:lineRule="auto"/>
        <w:ind w:firstLine="480"/>
        <w:rPr>
          <w:kern w:val="2"/>
          <w:sz w:val="24"/>
        </w:rPr>
      </w:pPr>
      <w:r>
        <w:rPr>
          <w:rFonts w:hint="eastAsia"/>
          <w:kern w:val="2"/>
          <w:sz w:val="24"/>
        </w:rPr>
        <w:t>③预测范围及时间</w:t>
      </w:r>
    </w:p>
    <w:p w:rsidR="00C645C9" w:rsidRDefault="00F955D9">
      <w:pPr>
        <w:pStyle w:val="WPSOffice1"/>
        <w:spacing w:line="360" w:lineRule="auto"/>
        <w:ind w:firstLine="480"/>
        <w:rPr>
          <w:kern w:val="2"/>
          <w:sz w:val="24"/>
        </w:rPr>
      </w:pPr>
      <w:r>
        <w:rPr>
          <w:rFonts w:hint="eastAsia"/>
          <w:kern w:val="2"/>
          <w:sz w:val="24"/>
        </w:rPr>
        <w:t>本次影响预测范围与调查评价范围一致，预测层位为第四系含水层。</w:t>
      </w:r>
    </w:p>
    <w:p w:rsidR="00C645C9" w:rsidRDefault="00F955D9">
      <w:pPr>
        <w:spacing w:line="360" w:lineRule="auto"/>
        <w:ind w:firstLineChars="200" w:firstLine="480"/>
        <w:rPr>
          <w:rFonts w:cs="Times New Roman"/>
          <w:kern w:val="2"/>
          <w:szCs w:val="20"/>
        </w:rPr>
      </w:pPr>
      <w:r>
        <w:rPr>
          <w:rFonts w:hint="eastAsia"/>
          <w:szCs w:val="22"/>
        </w:rPr>
        <w:t>根据</w:t>
      </w:r>
      <w:r>
        <w:rPr>
          <w:rFonts w:hint="eastAsia"/>
          <w:szCs w:val="22"/>
        </w:rPr>
        <w:t>本工程</w:t>
      </w:r>
      <w:r>
        <w:rPr>
          <w:rFonts w:hint="eastAsia"/>
          <w:szCs w:val="22"/>
        </w:rPr>
        <w:t>特点，预测时段</w:t>
      </w:r>
      <w:r>
        <w:rPr>
          <w:rFonts w:hint="eastAsia"/>
          <w:szCs w:val="22"/>
        </w:rPr>
        <w:t>选取</w:t>
      </w:r>
      <w:r>
        <w:rPr>
          <w:rFonts w:hint="eastAsia"/>
          <w:szCs w:val="22"/>
        </w:rPr>
        <w:t>污染发生后</w:t>
      </w:r>
      <w:r>
        <w:rPr>
          <w:rFonts w:hint="eastAsia"/>
          <w:szCs w:val="22"/>
        </w:rPr>
        <w:t>1d</w:t>
      </w:r>
      <w:r>
        <w:rPr>
          <w:rFonts w:hint="eastAsia"/>
          <w:szCs w:val="22"/>
        </w:rPr>
        <w:t>、</w:t>
      </w:r>
      <w:r>
        <w:rPr>
          <w:szCs w:val="22"/>
        </w:rPr>
        <w:t>100d</w:t>
      </w:r>
      <w:r>
        <w:rPr>
          <w:rFonts w:hint="eastAsia"/>
          <w:szCs w:val="22"/>
        </w:rPr>
        <w:t>、</w:t>
      </w:r>
      <w:r>
        <w:rPr>
          <w:szCs w:val="22"/>
        </w:rPr>
        <w:t>1000d</w:t>
      </w:r>
      <w:r>
        <w:rPr>
          <w:rFonts w:hint="eastAsia"/>
          <w:szCs w:val="22"/>
        </w:rPr>
        <w:t>，</w:t>
      </w:r>
      <w:r>
        <w:rPr>
          <w:rFonts w:hint="eastAsia"/>
          <w:szCs w:val="22"/>
        </w:rPr>
        <w:t>1825</w:t>
      </w:r>
      <w:r>
        <w:rPr>
          <w:rFonts w:hint="eastAsia"/>
          <w:szCs w:val="22"/>
        </w:rPr>
        <w:t>d</w:t>
      </w:r>
      <w:r>
        <w:rPr>
          <w:rFonts w:hint="eastAsia"/>
          <w:szCs w:val="22"/>
        </w:rPr>
        <w:t>（</w:t>
      </w:r>
      <w:r>
        <w:rPr>
          <w:rFonts w:hint="eastAsia"/>
          <w:szCs w:val="22"/>
        </w:rPr>
        <w:t>5</w:t>
      </w:r>
      <w:r>
        <w:rPr>
          <w:rFonts w:hint="eastAsia"/>
          <w:szCs w:val="22"/>
        </w:rPr>
        <w:t>年</w:t>
      </w:r>
      <w:r>
        <w:rPr>
          <w:rFonts w:hint="eastAsia"/>
          <w:szCs w:val="22"/>
        </w:rPr>
        <w:t>）</w:t>
      </w:r>
      <w:r>
        <w:rPr>
          <w:rFonts w:hint="eastAsia"/>
          <w:szCs w:val="22"/>
        </w:rPr>
        <w:t>。</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④</w:t>
      </w:r>
      <w:r>
        <w:rPr>
          <w:rFonts w:cs="Times New Roman"/>
          <w:kern w:val="2"/>
          <w:szCs w:val="20"/>
        </w:rPr>
        <w:t>预测因子</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套管发生泄漏，污染物主要有石油类</w:t>
      </w:r>
      <w:r>
        <w:rPr>
          <w:rFonts w:cs="Times New Roman"/>
          <w:kern w:val="2"/>
          <w:szCs w:val="20"/>
        </w:rPr>
        <w:t>、</w:t>
      </w:r>
      <w:r>
        <w:rPr>
          <w:rFonts w:cs="Times New Roman"/>
          <w:kern w:val="2"/>
          <w:szCs w:val="20"/>
        </w:rPr>
        <w:t>耗氧量、氨氮、盐分</w:t>
      </w:r>
      <w:r>
        <w:rPr>
          <w:rFonts w:cs="Times New Roman"/>
          <w:kern w:val="2"/>
          <w:szCs w:val="20"/>
        </w:rPr>
        <w:t>等污染物。根据《环境影响评价技术导则</w:t>
      </w:r>
      <w:r>
        <w:rPr>
          <w:rFonts w:cs="Times New Roman" w:hint="eastAsia"/>
          <w:kern w:val="2"/>
          <w:szCs w:val="20"/>
        </w:rPr>
        <w:t xml:space="preserve"> </w:t>
      </w:r>
      <w:r>
        <w:rPr>
          <w:rFonts w:cs="Times New Roman"/>
          <w:kern w:val="2"/>
          <w:szCs w:val="20"/>
        </w:rPr>
        <w:t>地下水环境》（</w:t>
      </w:r>
      <w:r>
        <w:rPr>
          <w:rFonts w:cs="Times New Roman"/>
          <w:kern w:val="2"/>
          <w:szCs w:val="20"/>
        </w:rPr>
        <w:t>HJ610-2016</w:t>
      </w:r>
      <w:r>
        <w:rPr>
          <w:rFonts w:cs="Times New Roman"/>
          <w:kern w:val="2"/>
          <w:szCs w:val="20"/>
        </w:rPr>
        <w:t>）中情景设置预测因子相关要求，对每一类别中的各项因子采取标准指数法进行排序，分别取标准指数较大的因子作为预测因子。根据</w:t>
      </w:r>
      <w:r>
        <w:rPr>
          <w:rFonts w:cs="Times New Roman"/>
          <w:kern w:val="2"/>
          <w:szCs w:val="20"/>
        </w:rPr>
        <w:t>采出液</w:t>
      </w:r>
      <w:r>
        <w:rPr>
          <w:rFonts w:cs="Times New Roman"/>
          <w:kern w:val="2"/>
          <w:szCs w:val="20"/>
        </w:rPr>
        <w:t>污染物特征，本次选取石油类作为预测特征因子。</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⑤</w:t>
      </w:r>
      <w:r>
        <w:rPr>
          <w:rFonts w:cs="Times New Roman"/>
          <w:kern w:val="2"/>
          <w:szCs w:val="20"/>
        </w:rPr>
        <w:t>预测模型</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本次地下水污染模拟仅考虑污染物随地下水发生对流、弥散作用，对污染物与液体介质</w:t>
      </w:r>
      <w:r>
        <w:rPr>
          <w:rFonts w:cs="Times New Roman" w:hint="eastAsia"/>
          <w:kern w:val="2"/>
          <w:szCs w:val="20"/>
        </w:rPr>
        <w:t>（</w:t>
      </w:r>
      <w:r>
        <w:rPr>
          <w:rFonts w:cs="Times New Roman"/>
          <w:kern w:val="2"/>
          <w:szCs w:val="20"/>
        </w:rPr>
        <w:t>地下水</w:t>
      </w:r>
      <w:r>
        <w:rPr>
          <w:rFonts w:cs="Times New Roman" w:hint="eastAsia"/>
          <w:kern w:val="2"/>
          <w:szCs w:val="20"/>
        </w:rPr>
        <w:t>）</w:t>
      </w:r>
      <w:r>
        <w:rPr>
          <w:rFonts w:cs="Times New Roman"/>
          <w:kern w:val="2"/>
          <w:szCs w:val="20"/>
        </w:rPr>
        <w:t>、固体介质</w:t>
      </w:r>
      <w:r>
        <w:rPr>
          <w:rFonts w:cs="Times New Roman" w:hint="eastAsia"/>
          <w:kern w:val="2"/>
          <w:szCs w:val="20"/>
        </w:rPr>
        <w:t>（</w:t>
      </w:r>
      <w:r>
        <w:rPr>
          <w:rFonts w:cs="Times New Roman"/>
          <w:kern w:val="2"/>
          <w:szCs w:val="20"/>
        </w:rPr>
        <w:t>包气带介质和地下水含水介质</w:t>
      </w:r>
      <w:r>
        <w:rPr>
          <w:rFonts w:cs="Times New Roman" w:hint="eastAsia"/>
          <w:kern w:val="2"/>
          <w:szCs w:val="20"/>
        </w:rPr>
        <w:t>）</w:t>
      </w:r>
      <w:r>
        <w:rPr>
          <w:rFonts w:cs="Times New Roman"/>
          <w:kern w:val="2"/>
          <w:szCs w:val="20"/>
        </w:rPr>
        <w:t>等的化学反应</w:t>
      </w:r>
      <w:r>
        <w:rPr>
          <w:rFonts w:cs="Times New Roman" w:hint="eastAsia"/>
          <w:kern w:val="2"/>
          <w:szCs w:val="20"/>
        </w:rPr>
        <w:t>（</w:t>
      </w:r>
      <w:r>
        <w:rPr>
          <w:rFonts w:cs="Times New Roman"/>
          <w:kern w:val="2"/>
          <w:szCs w:val="20"/>
        </w:rPr>
        <w:t>如酸碱反应、氧化还原反应、吸附、交换、挥发及生物化学反应</w:t>
      </w:r>
      <w:r>
        <w:rPr>
          <w:rFonts w:cs="Times New Roman" w:hint="eastAsia"/>
          <w:kern w:val="2"/>
          <w:szCs w:val="20"/>
        </w:rPr>
        <w:t>）</w:t>
      </w:r>
      <w:r>
        <w:rPr>
          <w:rFonts w:cs="Times New Roman"/>
          <w:kern w:val="2"/>
          <w:szCs w:val="20"/>
        </w:rPr>
        <w:t>等可能存在的环境消减因素做保守考虑。这样选择的理由是：</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1</w:t>
      </w:r>
      <w:r>
        <w:rPr>
          <w:rFonts w:cs="Times New Roman"/>
          <w:kern w:val="2"/>
          <w:szCs w:val="20"/>
        </w:rPr>
        <w:t>）对于长期持续的污染事件，环境自净作用属</w:t>
      </w:r>
      <w:r>
        <w:rPr>
          <w:rFonts w:cs="Times New Roman"/>
          <w:kern w:val="2"/>
          <w:szCs w:val="20"/>
        </w:rPr>
        <w:t>于次要因素，而水体的对流、弥散作用是污染物</w:t>
      </w:r>
      <w:bookmarkStart w:id="1501" w:name="OLE_LINK1332"/>
      <w:r>
        <w:rPr>
          <w:rFonts w:cs="Times New Roman"/>
          <w:kern w:val="2"/>
          <w:szCs w:val="20"/>
        </w:rPr>
        <w:t>运移</w:t>
      </w:r>
      <w:bookmarkEnd w:id="1501"/>
      <w:r>
        <w:rPr>
          <w:rFonts w:cs="Times New Roman"/>
          <w:kern w:val="2"/>
          <w:szCs w:val="20"/>
        </w:rPr>
        <w:t>的主要因素。</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2</w:t>
      </w:r>
      <w:r>
        <w:rPr>
          <w:rFonts w:cs="Times New Roman"/>
          <w:kern w:val="2"/>
          <w:szCs w:val="20"/>
        </w:rPr>
        <w:t>）污染物在地下水中的反应运移非常复杂，物理、化学、微生物等环境自</w:t>
      </w:r>
      <w:r>
        <w:rPr>
          <w:rFonts w:cs="Times New Roman"/>
          <w:kern w:val="2"/>
          <w:szCs w:val="20"/>
        </w:rPr>
        <w:lastRenderedPageBreak/>
        <w:t>净作用往往会使污染浓度衰减。忽略这些环境自净因素可以模拟出污染的最大</w:t>
      </w:r>
      <w:r>
        <w:rPr>
          <w:rFonts w:cs="Times New Roman" w:hint="eastAsia"/>
          <w:kern w:val="2"/>
          <w:szCs w:val="20"/>
        </w:rPr>
        <w:t>（</w:t>
      </w:r>
      <w:r>
        <w:rPr>
          <w:rFonts w:cs="Times New Roman"/>
          <w:kern w:val="2"/>
          <w:szCs w:val="20"/>
        </w:rPr>
        <w:t>或潜在</w:t>
      </w:r>
      <w:r>
        <w:rPr>
          <w:rFonts w:cs="Times New Roman" w:hint="eastAsia"/>
          <w:kern w:val="2"/>
          <w:szCs w:val="20"/>
        </w:rPr>
        <w:t>）</w:t>
      </w:r>
      <w:r>
        <w:rPr>
          <w:rFonts w:cs="Times New Roman"/>
          <w:kern w:val="2"/>
          <w:szCs w:val="20"/>
        </w:rPr>
        <w:t>影响范围，符合保守性评价原则。</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3</w:t>
      </w:r>
      <w:r>
        <w:rPr>
          <w:rFonts w:cs="Times New Roman"/>
          <w:kern w:val="2"/>
          <w:szCs w:val="20"/>
        </w:rPr>
        <w:t>）对这些化学、生物化学作用进行精确模拟还属于国际性难题，一些模拟参数还存在很大争议，精确的模拟还需要大量的实验支持。</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4</w:t>
      </w:r>
      <w:r>
        <w:rPr>
          <w:rFonts w:cs="Times New Roman"/>
          <w:kern w:val="2"/>
          <w:szCs w:val="20"/>
        </w:rPr>
        <w:t>）在国际上有很多用保守型污染物作为模拟因子的环境质量评价的实例，保守型考虑符合环境评价的思想。</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污染物在含水层中的迁移，特别是</w:t>
      </w:r>
      <w:r>
        <w:rPr>
          <w:rFonts w:cs="Times New Roman" w:hint="eastAsia"/>
          <w:kern w:val="2"/>
          <w:szCs w:val="20"/>
        </w:rPr>
        <w:t>泄漏</w:t>
      </w:r>
      <w:r>
        <w:rPr>
          <w:rFonts w:cs="Times New Roman"/>
          <w:kern w:val="2"/>
          <w:szCs w:val="20"/>
        </w:rPr>
        <w:t>点的连续泄漏，造成的水环境污染会更加严重。本次按照《环境影响评价技术导则</w:t>
      </w:r>
      <w:r>
        <w:rPr>
          <w:rFonts w:cs="Times New Roman"/>
          <w:kern w:val="2"/>
          <w:szCs w:val="20"/>
        </w:rPr>
        <w:t xml:space="preserve"> </w:t>
      </w:r>
      <w:r>
        <w:rPr>
          <w:rFonts w:cs="Times New Roman"/>
          <w:kern w:val="2"/>
          <w:szCs w:val="20"/>
        </w:rPr>
        <w:t>地下水环境》（</w:t>
      </w:r>
      <w:r>
        <w:rPr>
          <w:rFonts w:cs="Times New Roman"/>
          <w:kern w:val="2"/>
          <w:szCs w:val="20"/>
        </w:rPr>
        <w:t>HJ610-2016</w:t>
      </w:r>
      <w:r>
        <w:rPr>
          <w:rFonts w:cs="Times New Roman"/>
          <w:kern w:val="2"/>
          <w:szCs w:val="20"/>
        </w:rPr>
        <w:t>）附录</w:t>
      </w:r>
      <w:r>
        <w:rPr>
          <w:rFonts w:cs="Times New Roman"/>
          <w:kern w:val="2"/>
          <w:szCs w:val="20"/>
        </w:rPr>
        <w:t>D</w:t>
      </w:r>
      <w:r>
        <w:rPr>
          <w:rFonts w:cs="Times New Roman"/>
          <w:kern w:val="2"/>
          <w:szCs w:val="20"/>
        </w:rPr>
        <w:t>中一维无限长多孔介质柱体，一端为定浓度边界预测模型进行预测，计算公式如下：</w:t>
      </w:r>
    </w:p>
    <w:p w:rsidR="00C645C9" w:rsidRDefault="00F955D9">
      <w:pPr>
        <w:widowControl w:val="0"/>
        <w:spacing w:line="360" w:lineRule="auto"/>
        <w:ind w:firstLineChars="200" w:firstLine="480"/>
        <w:jc w:val="center"/>
        <w:rPr>
          <w:rFonts w:cs="Times New Roman"/>
          <w:kern w:val="2"/>
          <w:szCs w:val="20"/>
        </w:rPr>
      </w:pPr>
      <w:r>
        <w:rPr>
          <w:rFonts w:cs="Times New Roman"/>
          <w:noProof/>
          <w:kern w:val="2"/>
          <w:szCs w:val="20"/>
        </w:rPr>
        <w:drawing>
          <wp:inline distT="0" distB="0" distL="114300" distR="114300">
            <wp:extent cx="2966085" cy="588645"/>
            <wp:effectExtent l="0" t="0" r="5715"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9"/>
                    <a:stretch>
                      <a:fillRect/>
                    </a:stretch>
                  </pic:blipFill>
                  <pic:spPr>
                    <a:xfrm>
                      <a:off x="0" y="0"/>
                      <a:ext cx="2966085" cy="588645"/>
                    </a:xfrm>
                    <a:prstGeom prst="rect">
                      <a:avLst/>
                    </a:prstGeom>
                    <a:noFill/>
                    <a:ln>
                      <a:noFill/>
                    </a:ln>
                  </pic:spPr>
                </pic:pic>
              </a:graphicData>
            </a:graphic>
          </wp:inline>
        </w:drawing>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以上式中：</w:t>
      </w:r>
      <w:r>
        <w:rPr>
          <w:rFonts w:cs="Times New Roman"/>
          <w:i/>
          <w:kern w:val="2"/>
          <w:szCs w:val="20"/>
        </w:rPr>
        <w:t>x</w:t>
      </w:r>
      <w:r>
        <w:rPr>
          <w:rFonts w:cs="Times New Roman"/>
          <w:szCs w:val="20"/>
        </w:rPr>
        <w:t>——</w:t>
      </w:r>
      <w:r>
        <w:rPr>
          <w:rFonts w:cs="Times New Roman"/>
          <w:kern w:val="2"/>
          <w:szCs w:val="20"/>
        </w:rPr>
        <w:t>距注入点的距离，</w:t>
      </w:r>
      <w:r>
        <w:rPr>
          <w:rFonts w:cs="Times New Roman"/>
          <w:kern w:val="2"/>
          <w:szCs w:val="20"/>
        </w:rPr>
        <w:t>m</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t</w:t>
      </w:r>
      <w:r>
        <w:rPr>
          <w:rFonts w:cs="Times New Roman"/>
          <w:szCs w:val="20"/>
        </w:rPr>
        <w:t>——</w:t>
      </w:r>
      <w:r>
        <w:rPr>
          <w:rFonts w:cs="Times New Roman"/>
          <w:kern w:val="2"/>
          <w:szCs w:val="20"/>
        </w:rPr>
        <w:t>时间，</w:t>
      </w:r>
      <w:r>
        <w:rPr>
          <w:rFonts w:cs="Times New Roman"/>
          <w:kern w:val="2"/>
          <w:szCs w:val="20"/>
        </w:rPr>
        <w:t>d</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C</w:t>
      </w:r>
      <w:r>
        <w:rPr>
          <w:rFonts w:cs="Times New Roman"/>
          <w:i/>
          <w:kern w:val="2"/>
          <w:szCs w:val="20"/>
        </w:rPr>
        <w:t>（</w:t>
      </w:r>
      <w:r>
        <w:rPr>
          <w:rFonts w:cs="Times New Roman"/>
          <w:i/>
          <w:kern w:val="2"/>
          <w:szCs w:val="20"/>
        </w:rPr>
        <w:t>x</w:t>
      </w:r>
      <w:r>
        <w:rPr>
          <w:rFonts w:cs="Times New Roman"/>
          <w:i/>
          <w:kern w:val="2"/>
          <w:szCs w:val="20"/>
        </w:rPr>
        <w:t>，</w:t>
      </w:r>
      <w:r>
        <w:rPr>
          <w:rFonts w:cs="Times New Roman"/>
          <w:i/>
          <w:kern w:val="2"/>
          <w:szCs w:val="20"/>
        </w:rPr>
        <w:t>t</w:t>
      </w:r>
      <w:r>
        <w:rPr>
          <w:rFonts w:cs="Times New Roman"/>
          <w:i/>
          <w:kern w:val="2"/>
          <w:szCs w:val="20"/>
        </w:rPr>
        <w:t>）</w:t>
      </w:r>
      <w:r>
        <w:rPr>
          <w:rFonts w:cs="Times New Roman"/>
          <w:szCs w:val="20"/>
        </w:rPr>
        <w:t>——</w:t>
      </w:r>
      <w:r>
        <w:rPr>
          <w:rFonts w:cs="Times New Roman"/>
          <w:i/>
          <w:kern w:val="2"/>
          <w:szCs w:val="20"/>
        </w:rPr>
        <w:t>t</w:t>
      </w:r>
      <w:r>
        <w:rPr>
          <w:rFonts w:cs="Times New Roman"/>
          <w:kern w:val="2"/>
          <w:szCs w:val="20"/>
        </w:rPr>
        <w:t>时刻</w:t>
      </w:r>
      <w:r>
        <w:rPr>
          <w:rFonts w:cs="Times New Roman"/>
          <w:i/>
          <w:kern w:val="2"/>
          <w:szCs w:val="20"/>
        </w:rPr>
        <w:t>x</w:t>
      </w:r>
      <w:r>
        <w:rPr>
          <w:rFonts w:cs="Times New Roman"/>
          <w:kern w:val="2"/>
          <w:szCs w:val="20"/>
        </w:rPr>
        <w:t>处的示踪剂浓度，</w:t>
      </w:r>
      <w:r>
        <w:rPr>
          <w:rFonts w:cs="Times New Roman"/>
          <w:kern w:val="2"/>
          <w:szCs w:val="20"/>
        </w:rPr>
        <w:t>g/l</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C</w:t>
      </w:r>
      <w:r>
        <w:rPr>
          <w:rFonts w:cs="Times New Roman"/>
          <w:i/>
          <w:kern w:val="2"/>
          <w:szCs w:val="20"/>
          <w:vertAlign w:val="subscript"/>
        </w:rPr>
        <w:t>0</w:t>
      </w:r>
      <w:r>
        <w:rPr>
          <w:rFonts w:cs="Times New Roman"/>
          <w:szCs w:val="20"/>
        </w:rPr>
        <w:t>——</w:t>
      </w:r>
      <w:r>
        <w:rPr>
          <w:rFonts w:cs="Times New Roman"/>
          <w:kern w:val="2"/>
          <w:szCs w:val="20"/>
        </w:rPr>
        <w:t>注入的示踪剂浓度，</w:t>
      </w:r>
      <w:r>
        <w:rPr>
          <w:rFonts w:cs="Times New Roman"/>
          <w:kern w:val="2"/>
          <w:szCs w:val="20"/>
        </w:rPr>
        <w:t>g/l</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u</w:t>
      </w:r>
      <w:r>
        <w:rPr>
          <w:rFonts w:cs="Times New Roman"/>
          <w:szCs w:val="20"/>
        </w:rPr>
        <w:t>——</w:t>
      </w:r>
      <w:r>
        <w:rPr>
          <w:rFonts w:cs="Times New Roman"/>
          <w:kern w:val="2"/>
          <w:szCs w:val="20"/>
        </w:rPr>
        <w:t>水流速度，</w:t>
      </w:r>
      <w:r>
        <w:rPr>
          <w:rFonts w:cs="Times New Roman"/>
          <w:kern w:val="2"/>
          <w:szCs w:val="20"/>
        </w:rPr>
        <w:t>m/d</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n</w:t>
      </w:r>
      <w:r>
        <w:rPr>
          <w:rFonts w:cs="Times New Roman"/>
          <w:szCs w:val="20"/>
        </w:rPr>
        <w:t>——</w:t>
      </w:r>
      <w:r>
        <w:rPr>
          <w:rFonts w:cs="Times New Roman"/>
          <w:kern w:val="2"/>
          <w:szCs w:val="20"/>
        </w:rPr>
        <w:t>有效孔隙度，无量纲；</w:t>
      </w:r>
      <w:r>
        <w:rPr>
          <w:rFonts w:cs="Times New Roman"/>
          <w:kern w:val="2"/>
          <w:szCs w:val="20"/>
        </w:rPr>
        <w:t xml:space="preserve"> </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D</w:t>
      </w:r>
      <w:r>
        <w:rPr>
          <w:rFonts w:cs="Times New Roman"/>
          <w:i/>
          <w:kern w:val="2"/>
          <w:szCs w:val="20"/>
          <w:vertAlign w:val="subscript"/>
        </w:rPr>
        <w:t>L</w:t>
      </w:r>
      <w:r>
        <w:rPr>
          <w:rFonts w:cs="Times New Roman"/>
          <w:szCs w:val="20"/>
        </w:rPr>
        <w:t>——</w:t>
      </w:r>
      <w:r>
        <w:rPr>
          <w:rFonts w:cs="Times New Roman"/>
          <w:kern w:val="2"/>
          <w:szCs w:val="20"/>
        </w:rPr>
        <w:t>纵向弥散系数，</w:t>
      </w:r>
      <w:r>
        <w:rPr>
          <w:rFonts w:cs="Times New Roman"/>
          <w:kern w:val="2"/>
          <w:szCs w:val="20"/>
        </w:rPr>
        <w:t>m</w:t>
      </w:r>
      <w:r>
        <w:rPr>
          <w:rFonts w:cs="Times New Roman"/>
          <w:kern w:val="2"/>
          <w:szCs w:val="20"/>
          <w:vertAlign w:val="superscript"/>
        </w:rPr>
        <w:t>2</w:t>
      </w:r>
      <w:r>
        <w:rPr>
          <w:rFonts w:cs="Times New Roman"/>
          <w:kern w:val="2"/>
          <w:szCs w:val="20"/>
        </w:rPr>
        <w:t>/d</w:t>
      </w:r>
      <w:r>
        <w:rPr>
          <w:rFonts w:cs="Times New Roman"/>
          <w:kern w:val="2"/>
          <w:szCs w:val="20"/>
        </w:rPr>
        <w:t>；</w:t>
      </w:r>
    </w:p>
    <w:p w:rsidR="00C645C9" w:rsidRDefault="00F955D9">
      <w:pPr>
        <w:widowControl w:val="0"/>
        <w:spacing w:line="360" w:lineRule="auto"/>
        <w:ind w:firstLineChars="700" w:firstLine="1680"/>
        <w:jc w:val="both"/>
        <w:rPr>
          <w:rFonts w:cs="Times New Roman"/>
          <w:kern w:val="2"/>
          <w:szCs w:val="20"/>
        </w:rPr>
      </w:pPr>
      <w:r>
        <w:rPr>
          <w:rFonts w:cs="Times New Roman"/>
          <w:i/>
          <w:kern w:val="2"/>
          <w:szCs w:val="20"/>
        </w:rPr>
        <w:t>erf</w:t>
      </w:r>
      <w:r>
        <w:rPr>
          <w:rFonts w:cs="Times New Roman"/>
          <w:kern w:val="2"/>
          <w:szCs w:val="20"/>
        </w:rPr>
        <w:t>c</w:t>
      </w:r>
      <w:r>
        <w:rPr>
          <w:rFonts w:cs="Times New Roman" w:hint="eastAsia"/>
          <w:kern w:val="2"/>
          <w:szCs w:val="20"/>
        </w:rPr>
        <w:t>（</w:t>
      </w:r>
      <w:r>
        <w:rPr>
          <w:rFonts w:cs="Times New Roman"/>
          <w:kern w:val="2"/>
          <w:szCs w:val="20"/>
        </w:rPr>
        <w:t xml:space="preserve">  </w:t>
      </w:r>
      <w:r>
        <w:rPr>
          <w:rFonts w:cs="Times New Roman" w:hint="eastAsia"/>
          <w:kern w:val="2"/>
          <w:szCs w:val="20"/>
        </w:rPr>
        <w:t>）</w:t>
      </w:r>
      <w:r>
        <w:rPr>
          <w:rFonts w:cs="Times New Roman"/>
          <w:szCs w:val="20"/>
        </w:rPr>
        <w:t>——</w:t>
      </w:r>
      <w:r>
        <w:rPr>
          <w:rFonts w:cs="Times New Roman"/>
          <w:kern w:val="2"/>
          <w:szCs w:val="20"/>
        </w:rPr>
        <w:t>余误差函数。</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⑥</w:t>
      </w:r>
      <w:r>
        <w:rPr>
          <w:rFonts w:cs="Times New Roman"/>
          <w:kern w:val="2"/>
          <w:szCs w:val="20"/>
        </w:rPr>
        <w:t>预测参数</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根据区域水文地质条件，评价区内第四系含水层岩性主要为砂。本次评价水文地质参数主要通过</w:t>
      </w:r>
      <w:r>
        <w:rPr>
          <w:rFonts w:cs="Times New Roman"/>
          <w:kern w:val="2"/>
          <w:szCs w:val="20"/>
        </w:rPr>
        <w:t>区域的水文地质</w:t>
      </w:r>
      <w:r>
        <w:rPr>
          <w:rFonts w:cs="Times New Roman"/>
          <w:kern w:val="2"/>
          <w:szCs w:val="20"/>
        </w:rPr>
        <w:t>勘察资料确定。模型中所需参数及来源见表</w:t>
      </w:r>
      <w:r>
        <w:rPr>
          <w:rFonts w:cs="Times New Roman"/>
          <w:kern w:val="2"/>
          <w:szCs w:val="20"/>
        </w:rPr>
        <w:t>5.2</w:t>
      </w:r>
      <w:r>
        <w:rPr>
          <w:rFonts w:cs="Times New Roman"/>
          <w:kern w:val="2"/>
          <w:szCs w:val="20"/>
        </w:rPr>
        <w:t>-</w:t>
      </w:r>
      <w:r>
        <w:rPr>
          <w:rFonts w:cs="Times New Roman"/>
          <w:kern w:val="2"/>
          <w:szCs w:val="20"/>
        </w:rPr>
        <w:t>1</w:t>
      </w:r>
      <w:r>
        <w:rPr>
          <w:rFonts w:cs="Times New Roman"/>
          <w:kern w:val="2"/>
          <w:szCs w:val="20"/>
        </w:rPr>
        <w:t>。</w:t>
      </w: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lang w:val="en-US"/>
        </w:rPr>
      </w:pPr>
      <w:r>
        <w:rPr>
          <w:rFonts w:eastAsia="黑体" w:cs="Times New Roman"/>
          <w:b w:val="0"/>
          <w:bCs/>
          <w:color w:val="auto"/>
          <w:kern w:val="2"/>
          <w:szCs w:val="21"/>
        </w:rPr>
        <w:t>表</w:t>
      </w:r>
      <w:r>
        <w:rPr>
          <w:rFonts w:eastAsia="黑体" w:cs="Times New Roman"/>
          <w:b w:val="0"/>
          <w:bCs/>
          <w:color w:val="auto"/>
          <w:kern w:val="2"/>
          <w:szCs w:val="21"/>
          <w:lang w:val="en-US"/>
        </w:rPr>
        <w:t xml:space="preserve">5.2-1   </w:t>
      </w:r>
      <w:r>
        <w:rPr>
          <w:rFonts w:eastAsia="黑体" w:cs="Times New Roman"/>
          <w:b w:val="0"/>
          <w:bCs/>
          <w:color w:val="auto"/>
          <w:kern w:val="2"/>
          <w:szCs w:val="21"/>
        </w:rPr>
        <w:t>水质预测模型所需参数一览表</w:t>
      </w:r>
      <w:r>
        <w:rPr>
          <w:rFonts w:eastAsia="黑体" w:cs="Times New Roman"/>
          <w:b w:val="0"/>
          <w:bCs/>
          <w:color w:val="auto"/>
          <w:kern w:val="2"/>
          <w:szCs w:val="21"/>
        </w:rPr>
        <w:t>（</w:t>
      </w:r>
      <w:r>
        <w:rPr>
          <w:rFonts w:eastAsia="黑体" w:cs="Times New Roman"/>
          <w:b w:val="0"/>
          <w:bCs/>
          <w:color w:val="auto"/>
          <w:kern w:val="2"/>
          <w:szCs w:val="21"/>
          <w:lang w:val="en-US"/>
        </w:rPr>
        <w:t>情景</w:t>
      </w:r>
      <w:r>
        <w:rPr>
          <w:rFonts w:eastAsia="黑体" w:cs="Times New Roman"/>
          <w:b w:val="0"/>
          <w:bCs/>
          <w:color w:val="auto"/>
          <w:kern w:val="2"/>
          <w:szCs w:val="21"/>
          <w:lang w:val="en-US"/>
        </w:rPr>
        <w:t>1</w:t>
      </w:r>
      <w:r>
        <w:rPr>
          <w:rFonts w:eastAsia="黑体" w:cs="Times New Roman"/>
          <w:b w:val="0"/>
          <w:bCs/>
          <w:color w:val="auto"/>
          <w:kern w:val="2"/>
          <w:szCs w:val="21"/>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664"/>
        <w:gridCol w:w="1351"/>
        <w:gridCol w:w="950"/>
        <w:gridCol w:w="5072"/>
      </w:tblGrid>
      <w:tr w:rsidR="00C645C9">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序号</w:t>
            </w:r>
          </w:p>
        </w:tc>
        <w:tc>
          <w:tcPr>
            <w:tcW w:w="664"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参数符号</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参数名称</w:t>
            </w:r>
          </w:p>
        </w:tc>
        <w:tc>
          <w:tcPr>
            <w:tcW w:w="950"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参数</w:t>
            </w:r>
          </w:p>
          <w:p w:rsidR="00C645C9" w:rsidRDefault="00F955D9">
            <w:pPr>
              <w:adjustRightInd w:val="0"/>
              <w:snapToGrid w:val="0"/>
              <w:jc w:val="center"/>
              <w:rPr>
                <w:rFonts w:cs="Times New Roman"/>
                <w:sz w:val="21"/>
                <w:szCs w:val="21"/>
              </w:rPr>
            </w:pPr>
            <w:r>
              <w:rPr>
                <w:rFonts w:cs="Times New Roman"/>
                <w:sz w:val="21"/>
                <w:szCs w:val="21"/>
              </w:rPr>
              <w:t>数值</w:t>
            </w:r>
          </w:p>
        </w:tc>
        <w:tc>
          <w:tcPr>
            <w:tcW w:w="5072"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数值来源</w:t>
            </w:r>
          </w:p>
        </w:tc>
      </w:tr>
      <w:tr w:rsidR="00C645C9">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1</w:t>
            </w:r>
          </w:p>
        </w:tc>
        <w:tc>
          <w:tcPr>
            <w:tcW w:w="664" w:type="dxa"/>
            <w:tcBorders>
              <w:tl2br w:val="nil"/>
              <w:tr2bl w:val="nil"/>
            </w:tcBorders>
            <w:vAlign w:val="center"/>
          </w:tcPr>
          <w:p w:rsidR="00C645C9" w:rsidRDefault="00F955D9">
            <w:pPr>
              <w:adjustRightInd w:val="0"/>
              <w:snapToGrid w:val="0"/>
              <w:jc w:val="center"/>
              <w:rPr>
                <w:rFonts w:cs="Times New Roman"/>
                <w:i/>
                <w:iCs/>
                <w:sz w:val="21"/>
                <w:szCs w:val="21"/>
              </w:rPr>
            </w:pPr>
            <w:r>
              <w:rPr>
                <w:rFonts w:cs="Times New Roman"/>
                <w:i/>
                <w:iCs/>
                <w:sz w:val="21"/>
                <w:szCs w:val="21"/>
              </w:rPr>
              <w:t>u</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水流速度</w:t>
            </w:r>
          </w:p>
        </w:tc>
        <w:tc>
          <w:tcPr>
            <w:tcW w:w="950"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sz w:val="21"/>
                <w:szCs w:val="21"/>
                <w:lang w:val="zh-CN" w:bidi="zh-CN"/>
              </w:rPr>
              <w:t>0.</w:t>
            </w:r>
            <w:r>
              <w:rPr>
                <w:rFonts w:cs="Times New Roman"/>
                <w:sz w:val="21"/>
                <w:szCs w:val="21"/>
                <w:lang w:bidi="zh-CN"/>
              </w:rPr>
              <w:t>11</w:t>
            </w:r>
            <w:r>
              <w:rPr>
                <w:rFonts w:cs="Times New Roman"/>
                <w:sz w:val="21"/>
                <w:szCs w:val="21"/>
                <w:lang w:val="zh-CN" w:bidi="zh-CN"/>
              </w:rPr>
              <w:t>m/d</w:t>
            </w:r>
          </w:p>
        </w:tc>
        <w:tc>
          <w:tcPr>
            <w:tcW w:w="5072"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bCs/>
                <w:sz w:val="21"/>
                <w:szCs w:val="21"/>
              </w:rPr>
              <w:t>地下水的平均实际流速</w:t>
            </w:r>
            <w:r>
              <w:rPr>
                <w:rFonts w:cs="Times New Roman"/>
                <w:bCs/>
                <w:sz w:val="21"/>
                <w:szCs w:val="21"/>
              </w:rPr>
              <w:t>u=KI/n</w:t>
            </w:r>
            <w:r>
              <w:rPr>
                <w:rFonts w:cs="Times New Roman"/>
                <w:bCs/>
                <w:sz w:val="21"/>
                <w:szCs w:val="21"/>
              </w:rPr>
              <w:t>，</w:t>
            </w:r>
            <w:r>
              <w:rPr>
                <w:rFonts w:cs="Times New Roman"/>
                <w:bCs/>
                <w:sz w:val="21"/>
                <w:szCs w:val="21"/>
              </w:rPr>
              <w:t>根据评价区水文地质条件，含水层岩性主要以砂为主，</w:t>
            </w:r>
            <w:r>
              <w:rPr>
                <w:rFonts w:cs="Times New Roman"/>
                <w:bCs/>
                <w:sz w:val="21"/>
                <w:szCs w:val="21"/>
              </w:rPr>
              <w:t>各含水层</w:t>
            </w:r>
            <w:r>
              <w:rPr>
                <w:rFonts w:cs="Times New Roman"/>
                <w:bCs/>
                <w:sz w:val="21"/>
                <w:szCs w:val="21"/>
              </w:rPr>
              <w:t>渗透系数</w:t>
            </w:r>
            <w:r>
              <w:rPr>
                <w:rFonts w:cs="Times New Roman"/>
                <w:bCs/>
                <w:sz w:val="21"/>
                <w:szCs w:val="21"/>
              </w:rPr>
              <w:t>最大者为新北</w:t>
            </w:r>
            <w:r>
              <w:rPr>
                <w:rFonts w:cs="Times New Roman"/>
                <w:bCs/>
                <w:sz w:val="21"/>
                <w:szCs w:val="21"/>
              </w:rPr>
              <w:t>1X</w:t>
            </w:r>
            <w:r>
              <w:rPr>
                <w:rFonts w:cs="Times New Roman"/>
                <w:bCs/>
                <w:sz w:val="21"/>
                <w:szCs w:val="21"/>
              </w:rPr>
              <w:t>井处潜水含水层，渗透系数取</w:t>
            </w:r>
            <w:r>
              <w:rPr>
                <w:rFonts w:cs="Times New Roman"/>
                <w:bCs/>
                <w:sz w:val="21"/>
                <w:szCs w:val="21"/>
              </w:rPr>
              <w:t>25</w:t>
            </w:r>
            <w:r>
              <w:rPr>
                <w:rFonts w:cs="Times New Roman"/>
                <w:bCs/>
                <w:sz w:val="21"/>
                <w:szCs w:val="21"/>
              </w:rPr>
              <w:t>m/d</w:t>
            </w:r>
            <w:r>
              <w:rPr>
                <w:rFonts w:cs="Times New Roman"/>
                <w:bCs/>
                <w:sz w:val="21"/>
                <w:szCs w:val="21"/>
              </w:rPr>
              <w:t>，</w:t>
            </w:r>
            <w:r>
              <w:rPr>
                <w:rFonts w:cs="Times New Roman"/>
                <w:bCs/>
                <w:sz w:val="21"/>
                <w:szCs w:val="21"/>
              </w:rPr>
              <w:t>水力坡度取</w:t>
            </w:r>
            <w:r>
              <w:rPr>
                <w:rFonts w:cs="Times New Roman"/>
                <w:bCs/>
                <w:sz w:val="21"/>
                <w:szCs w:val="21"/>
              </w:rPr>
              <w:t>1.4‰</w:t>
            </w:r>
            <w:r>
              <w:rPr>
                <w:rFonts w:cs="Times New Roman"/>
                <w:bCs/>
                <w:sz w:val="21"/>
                <w:szCs w:val="21"/>
              </w:rPr>
              <w:t>。</w:t>
            </w:r>
          </w:p>
        </w:tc>
      </w:tr>
      <w:tr w:rsidR="00C645C9">
        <w:trPr>
          <w:trHeight w:val="90"/>
        </w:trPr>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2</w:t>
            </w:r>
          </w:p>
        </w:tc>
        <w:tc>
          <w:tcPr>
            <w:tcW w:w="664" w:type="dxa"/>
            <w:tcBorders>
              <w:tl2br w:val="nil"/>
              <w:tr2bl w:val="nil"/>
            </w:tcBorders>
            <w:vAlign w:val="center"/>
          </w:tcPr>
          <w:p w:rsidR="00C645C9" w:rsidRDefault="00F955D9">
            <w:pPr>
              <w:adjustRightInd w:val="0"/>
              <w:snapToGrid w:val="0"/>
              <w:jc w:val="center"/>
              <w:rPr>
                <w:rFonts w:cs="Times New Roman"/>
                <w:i/>
                <w:iCs/>
                <w:sz w:val="21"/>
                <w:szCs w:val="21"/>
              </w:rPr>
            </w:pPr>
            <w:r>
              <w:rPr>
                <w:rFonts w:cs="Times New Roman"/>
                <w:i/>
                <w:iCs/>
                <w:sz w:val="21"/>
                <w:szCs w:val="21"/>
              </w:rPr>
              <w:t>D</w:t>
            </w:r>
            <w:r>
              <w:rPr>
                <w:rFonts w:cs="Times New Roman"/>
                <w:i/>
                <w:iCs/>
                <w:sz w:val="21"/>
                <w:szCs w:val="21"/>
                <w:vertAlign w:val="subscript"/>
              </w:rPr>
              <w:t>L</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纵向弥散系</w:t>
            </w:r>
            <w:r>
              <w:rPr>
                <w:rFonts w:cs="Times New Roman"/>
                <w:sz w:val="21"/>
                <w:szCs w:val="21"/>
              </w:rPr>
              <w:lastRenderedPageBreak/>
              <w:t>数</w:t>
            </w:r>
          </w:p>
        </w:tc>
        <w:tc>
          <w:tcPr>
            <w:tcW w:w="950"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sz w:val="21"/>
                <w:szCs w:val="21"/>
                <w:lang w:bidi="zh-CN"/>
              </w:rPr>
              <w:lastRenderedPageBreak/>
              <w:t>1.1</w:t>
            </w:r>
            <w:r>
              <w:rPr>
                <w:rFonts w:cs="Times New Roman"/>
                <w:sz w:val="21"/>
                <w:szCs w:val="21"/>
                <w:lang w:val="zh-CN" w:bidi="zh-CN"/>
              </w:rPr>
              <w:t>m</w:t>
            </w:r>
            <w:r>
              <w:rPr>
                <w:rFonts w:cs="Times New Roman"/>
                <w:sz w:val="21"/>
                <w:szCs w:val="21"/>
                <w:vertAlign w:val="superscript"/>
                <w:lang w:val="zh-CN" w:bidi="zh-CN"/>
              </w:rPr>
              <w:t>2</w:t>
            </w:r>
            <w:r>
              <w:rPr>
                <w:rFonts w:cs="Times New Roman"/>
                <w:sz w:val="21"/>
                <w:szCs w:val="21"/>
                <w:lang w:val="zh-CN" w:bidi="zh-CN"/>
              </w:rPr>
              <w:t>/d</w:t>
            </w:r>
          </w:p>
        </w:tc>
        <w:tc>
          <w:tcPr>
            <w:tcW w:w="5072"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sz w:val="21"/>
                <w:szCs w:val="21"/>
                <w:lang w:val="zh-CN" w:bidi="zh-CN"/>
              </w:rPr>
              <w:t>D</w:t>
            </w:r>
            <w:r>
              <w:rPr>
                <w:rFonts w:cs="Times New Roman"/>
                <w:sz w:val="21"/>
                <w:szCs w:val="21"/>
                <w:vertAlign w:val="subscript"/>
                <w:lang w:val="zh-CN" w:bidi="zh-CN"/>
              </w:rPr>
              <w:t>L</w:t>
            </w:r>
            <w:r>
              <w:rPr>
                <w:rFonts w:cs="Times New Roman"/>
                <w:sz w:val="21"/>
                <w:szCs w:val="21"/>
                <w:lang w:val="zh-CN" w:bidi="zh-CN"/>
              </w:rPr>
              <w:t>=αLu</w:t>
            </w:r>
            <w:r>
              <w:rPr>
                <w:rFonts w:cs="Times New Roman"/>
                <w:sz w:val="21"/>
                <w:szCs w:val="21"/>
                <w:lang w:val="zh-CN" w:bidi="zh-CN"/>
              </w:rPr>
              <w:t>，</w:t>
            </w:r>
            <w:r>
              <w:rPr>
                <w:rFonts w:cs="Times New Roman"/>
                <w:sz w:val="21"/>
                <w:szCs w:val="21"/>
                <w:lang w:val="zh-CN" w:bidi="zh-CN"/>
              </w:rPr>
              <w:t>aL</w:t>
            </w:r>
            <w:r>
              <w:rPr>
                <w:rFonts w:cs="Times New Roman"/>
                <w:sz w:val="21"/>
                <w:szCs w:val="21"/>
                <w:lang w:val="zh-CN" w:bidi="zh-CN"/>
              </w:rPr>
              <w:t>为纵向弥散度。参考前人的研究成果，结</w:t>
            </w:r>
            <w:r>
              <w:rPr>
                <w:rFonts w:cs="Times New Roman"/>
                <w:sz w:val="21"/>
                <w:szCs w:val="21"/>
                <w:lang w:val="zh-CN" w:bidi="zh-CN"/>
              </w:rPr>
              <w:lastRenderedPageBreak/>
              <w:t>合项目区水文地质条件，弥散度应介于</w:t>
            </w:r>
            <w:r>
              <w:rPr>
                <w:rFonts w:cs="Times New Roman"/>
                <w:sz w:val="21"/>
                <w:szCs w:val="21"/>
                <w:lang w:val="zh-CN" w:bidi="zh-CN"/>
              </w:rPr>
              <w:t>1</w:t>
            </w:r>
            <w:r>
              <w:rPr>
                <w:rFonts w:cs="Times New Roman"/>
                <w:sz w:val="21"/>
                <w:szCs w:val="21"/>
                <w:lang w:val="zh-CN" w:bidi="zh-CN"/>
              </w:rPr>
              <w:t>～</w:t>
            </w:r>
            <w:r>
              <w:rPr>
                <w:rFonts w:cs="Times New Roman"/>
                <w:sz w:val="21"/>
                <w:szCs w:val="21"/>
                <w:lang w:val="zh-CN" w:bidi="zh-CN"/>
              </w:rPr>
              <w:t>10</w:t>
            </w:r>
            <w:r>
              <w:rPr>
                <w:rFonts w:cs="Times New Roman"/>
                <w:sz w:val="21"/>
                <w:szCs w:val="21"/>
                <w:lang w:val="zh-CN" w:bidi="zh-CN"/>
              </w:rPr>
              <w:t>之间，按照最不利的评价原则，本次模拟取弥散度参数值取</w:t>
            </w:r>
            <w:r>
              <w:rPr>
                <w:rFonts w:cs="Times New Roman"/>
                <w:sz w:val="21"/>
                <w:szCs w:val="21"/>
                <w:lang w:val="zh-CN" w:bidi="zh-CN"/>
              </w:rPr>
              <w:t>10</w:t>
            </w:r>
            <w:r>
              <w:rPr>
                <w:rFonts w:cs="Times New Roman"/>
                <w:sz w:val="21"/>
                <w:szCs w:val="21"/>
                <w:lang w:val="zh-CN" w:bidi="zh-CN"/>
              </w:rPr>
              <w:t>。</w:t>
            </w:r>
          </w:p>
        </w:tc>
      </w:tr>
      <w:tr w:rsidR="00C645C9">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lastRenderedPageBreak/>
              <w:t>3</w:t>
            </w:r>
          </w:p>
        </w:tc>
        <w:tc>
          <w:tcPr>
            <w:tcW w:w="664" w:type="dxa"/>
            <w:tcBorders>
              <w:tl2br w:val="nil"/>
              <w:tr2bl w:val="nil"/>
            </w:tcBorders>
            <w:vAlign w:val="center"/>
          </w:tcPr>
          <w:p w:rsidR="00C645C9" w:rsidRDefault="00F955D9">
            <w:pPr>
              <w:adjustRightInd w:val="0"/>
              <w:snapToGrid w:val="0"/>
              <w:jc w:val="center"/>
              <w:rPr>
                <w:rFonts w:cs="Times New Roman"/>
                <w:i/>
                <w:iCs/>
                <w:sz w:val="21"/>
                <w:szCs w:val="21"/>
              </w:rPr>
            </w:pPr>
            <w:r>
              <w:rPr>
                <w:rFonts w:cs="Times New Roman"/>
                <w:i/>
                <w:iCs/>
                <w:sz w:val="21"/>
                <w:szCs w:val="21"/>
              </w:rPr>
              <w:t>n</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有效孔隙度</w:t>
            </w:r>
          </w:p>
        </w:tc>
        <w:tc>
          <w:tcPr>
            <w:tcW w:w="950"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sz w:val="21"/>
                <w:szCs w:val="21"/>
                <w:lang w:bidi="zh-CN"/>
              </w:rPr>
              <w:t>32%</w:t>
            </w:r>
          </w:p>
        </w:tc>
        <w:tc>
          <w:tcPr>
            <w:tcW w:w="5072" w:type="dxa"/>
            <w:tcBorders>
              <w:tl2br w:val="nil"/>
              <w:tr2bl w:val="nil"/>
            </w:tcBorders>
            <w:vAlign w:val="center"/>
          </w:tcPr>
          <w:p w:rsidR="00C645C9" w:rsidRDefault="00F955D9">
            <w:pPr>
              <w:widowControl w:val="0"/>
              <w:autoSpaceDE w:val="0"/>
              <w:autoSpaceDN w:val="0"/>
              <w:adjustRightInd w:val="0"/>
              <w:snapToGrid w:val="0"/>
              <w:jc w:val="center"/>
              <w:rPr>
                <w:rFonts w:cs="Times New Roman"/>
                <w:sz w:val="21"/>
                <w:szCs w:val="21"/>
              </w:rPr>
            </w:pPr>
            <w:r>
              <w:rPr>
                <w:rFonts w:cs="Times New Roman"/>
                <w:sz w:val="21"/>
                <w:szCs w:val="21"/>
              </w:rPr>
              <w:t>依据《水文地质手册》（第二版），砂的孔隙度为</w:t>
            </w:r>
            <w:r>
              <w:rPr>
                <w:rFonts w:cs="Times New Roman"/>
                <w:sz w:val="21"/>
                <w:szCs w:val="21"/>
              </w:rPr>
              <w:t>0.4~0.42</w:t>
            </w:r>
            <w:r>
              <w:rPr>
                <w:rFonts w:cs="Times New Roman"/>
                <w:sz w:val="21"/>
                <w:szCs w:val="21"/>
              </w:rPr>
              <w:t>，而根据以往</w:t>
            </w:r>
            <w:r>
              <w:rPr>
                <w:rFonts w:cs="Times New Roman"/>
                <w:sz w:val="21"/>
                <w:szCs w:val="21"/>
              </w:rPr>
              <w:t>生产</w:t>
            </w:r>
            <w:r>
              <w:rPr>
                <w:rFonts w:cs="Times New Roman"/>
                <w:sz w:val="21"/>
                <w:szCs w:val="21"/>
              </w:rPr>
              <w:t>经验，有效孔隙度一般比孔隙度小</w:t>
            </w:r>
            <w:r>
              <w:rPr>
                <w:rFonts w:cs="Times New Roman"/>
                <w:sz w:val="21"/>
                <w:szCs w:val="21"/>
              </w:rPr>
              <w:t>10%</w:t>
            </w:r>
            <w:r>
              <w:rPr>
                <w:rFonts w:cs="Times New Roman"/>
                <w:sz w:val="21"/>
                <w:szCs w:val="21"/>
              </w:rPr>
              <w:t>～</w:t>
            </w:r>
            <w:r>
              <w:rPr>
                <w:rFonts w:cs="Times New Roman"/>
                <w:sz w:val="21"/>
                <w:szCs w:val="21"/>
              </w:rPr>
              <w:t>20%</w:t>
            </w:r>
            <w:r>
              <w:rPr>
                <w:rFonts w:cs="Times New Roman"/>
                <w:sz w:val="21"/>
                <w:szCs w:val="21"/>
              </w:rPr>
              <w:t>，因此本次取</w:t>
            </w:r>
            <w:r>
              <w:rPr>
                <w:rFonts w:cs="Times New Roman"/>
                <w:sz w:val="21"/>
                <w:szCs w:val="21"/>
              </w:rPr>
              <w:t>相对</w:t>
            </w:r>
            <w:r>
              <w:rPr>
                <w:rFonts w:cs="Times New Roman"/>
                <w:sz w:val="21"/>
                <w:szCs w:val="21"/>
              </w:rPr>
              <w:t>最小有效孔隙度</w:t>
            </w:r>
            <w:r>
              <w:rPr>
                <w:rFonts w:cs="Times New Roman"/>
                <w:sz w:val="21"/>
                <w:szCs w:val="21"/>
              </w:rPr>
              <w:t>n=0.4×0.8=0.32</w:t>
            </w:r>
            <w:r>
              <w:rPr>
                <w:rFonts w:cs="Times New Roman"/>
                <w:sz w:val="21"/>
                <w:szCs w:val="21"/>
              </w:rPr>
              <w:t>。</w:t>
            </w:r>
          </w:p>
        </w:tc>
      </w:tr>
      <w:tr w:rsidR="00C645C9">
        <w:trPr>
          <w:trHeight w:val="90"/>
        </w:trPr>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664" w:type="dxa"/>
            <w:tcBorders>
              <w:tl2br w:val="nil"/>
              <w:tr2bl w:val="nil"/>
            </w:tcBorders>
            <w:vAlign w:val="center"/>
          </w:tcPr>
          <w:p w:rsidR="00C645C9" w:rsidRDefault="00F955D9">
            <w:pPr>
              <w:adjustRightInd w:val="0"/>
              <w:snapToGrid w:val="0"/>
              <w:jc w:val="center"/>
              <w:rPr>
                <w:rFonts w:cs="Times New Roman"/>
                <w:i/>
                <w:iCs/>
                <w:sz w:val="21"/>
                <w:szCs w:val="21"/>
              </w:rPr>
            </w:pPr>
            <w:r>
              <w:rPr>
                <w:rFonts w:cs="Times New Roman"/>
                <w:i/>
                <w:iCs/>
                <w:sz w:val="21"/>
                <w:szCs w:val="21"/>
              </w:rPr>
              <w:t>t</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时间</w:t>
            </w:r>
          </w:p>
        </w:tc>
        <w:tc>
          <w:tcPr>
            <w:tcW w:w="6022" w:type="dxa"/>
            <w:gridSpan w:val="2"/>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计算发生渗漏后</w:t>
            </w:r>
            <w:r>
              <w:rPr>
                <w:rFonts w:cs="Times New Roman"/>
                <w:sz w:val="21"/>
                <w:szCs w:val="21"/>
              </w:rPr>
              <w:t>1d</w:t>
            </w:r>
            <w:r>
              <w:rPr>
                <w:rFonts w:cs="Times New Roman"/>
                <w:sz w:val="21"/>
                <w:szCs w:val="21"/>
              </w:rPr>
              <w:t>、</w:t>
            </w:r>
            <w:r>
              <w:rPr>
                <w:rFonts w:cs="Times New Roman"/>
                <w:sz w:val="21"/>
                <w:szCs w:val="21"/>
              </w:rPr>
              <w:t>100d</w:t>
            </w:r>
            <w:r>
              <w:rPr>
                <w:rFonts w:cs="Times New Roman"/>
                <w:sz w:val="21"/>
                <w:szCs w:val="21"/>
              </w:rPr>
              <w:t>、</w:t>
            </w:r>
            <w:r>
              <w:rPr>
                <w:rFonts w:cs="Times New Roman"/>
                <w:sz w:val="21"/>
                <w:szCs w:val="21"/>
              </w:rPr>
              <w:t>10</w:t>
            </w:r>
            <w:r>
              <w:rPr>
                <w:rFonts w:cs="Times New Roman"/>
                <w:sz w:val="21"/>
                <w:szCs w:val="21"/>
              </w:rPr>
              <w:t>00</w:t>
            </w:r>
            <w:r>
              <w:rPr>
                <w:rFonts w:cs="Times New Roman"/>
                <w:sz w:val="21"/>
                <w:szCs w:val="21"/>
              </w:rPr>
              <w:t>d</w:t>
            </w:r>
            <w:r>
              <w:rPr>
                <w:rFonts w:cs="Times New Roman"/>
                <w:sz w:val="21"/>
                <w:szCs w:val="21"/>
              </w:rPr>
              <w:t>、</w:t>
            </w:r>
            <w:r>
              <w:rPr>
                <w:rFonts w:cs="Times New Roman"/>
                <w:sz w:val="21"/>
                <w:szCs w:val="21"/>
              </w:rPr>
              <w:t>1825d</w:t>
            </w:r>
            <w:r>
              <w:rPr>
                <w:rFonts w:cs="Times New Roman"/>
                <w:sz w:val="21"/>
                <w:szCs w:val="21"/>
              </w:rPr>
              <w:t>（</w:t>
            </w:r>
            <w:r>
              <w:rPr>
                <w:rFonts w:cs="Times New Roman"/>
                <w:sz w:val="21"/>
                <w:szCs w:val="21"/>
              </w:rPr>
              <w:t>5a</w:t>
            </w:r>
            <w:r>
              <w:rPr>
                <w:rFonts w:cs="Times New Roman"/>
                <w:sz w:val="21"/>
                <w:szCs w:val="21"/>
              </w:rPr>
              <w:t>）后各预测点的浓度</w:t>
            </w:r>
          </w:p>
        </w:tc>
      </w:tr>
      <w:tr w:rsidR="00C645C9">
        <w:tc>
          <w:tcPr>
            <w:tcW w:w="465"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5</w:t>
            </w:r>
          </w:p>
        </w:tc>
        <w:tc>
          <w:tcPr>
            <w:tcW w:w="664" w:type="dxa"/>
            <w:tcBorders>
              <w:tl2br w:val="nil"/>
              <w:tr2bl w:val="nil"/>
            </w:tcBorders>
            <w:vAlign w:val="center"/>
          </w:tcPr>
          <w:p w:rsidR="00C645C9" w:rsidRDefault="00F955D9">
            <w:pPr>
              <w:adjustRightInd w:val="0"/>
              <w:snapToGrid w:val="0"/>
              <w:jc w:val="center"/>
              <w:rPr>
                <w:rFonts w:cs="Times New Roman"/>
                <w:i/>
                <w:iCs/>
                <w:sz w:val="21"/>
                <w:szCs w:val="21"/>
              </w:rPr>
            </w:pPr>
            <w:r>
              <w:rPr>
                <w:rFonts w:cs="Times New Roman"/>
                <w:i/>
                <w:iCs/>
                <w:sz w:val="21"/>
                <w:szCs w:val="21"/>
              </w:rPr>
              <w:t>C</w:t>
            </w:r>
            <w:r>
              <w:rPr>
                <w:rFonts w:cs="Times New Roman"/>
                <w:i/>
                <w:iCs/>
                <w:sz w:val="21"/>
                <w:szCs w:val="21"/>
                <w:vertAlign w:val="subscript"/>
              </w:rPr>
              <w:t>0</w:t>
            </w:r>
          </w:p>
        </w:tc>
        <w:tc>
          <w:tcPr>
            <w:tcW w:w="1351" w:type="dxa"/>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污染物浓度</w:t>
            </w:r>
          </w:p>
        </w:tc>
        <w:tc>
          <w:tcPr>
            <w:tcW w:w="6022" w:type="dxa"/>
            <w:gridSpan w:val="2"/>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石油类如前文所述，取其溶解度</w:t>
            </w:r>
            <w:r>
              <w:rPr>
                <w:rFonts w:cs="Times New Roman"/>
                <w:sz w:val="21"/>
                <w:szCs w:val="21"/>
              </w:rPr>
              <w:t>18mg/L</w:t>
            </w:r>
            <w:r>
              <w:rPr>
                <w:rFonts w:cs="Times New Roman"/>
                <w:sz w:val="21"/>
                <w:szCs w:val="21"/>
              </w:rPr>
              <w:t>作为污染物进入含水层中的浓度。</w:t>
            </w:r>
          </w:p>
        </w:tc>
      </w:tr>
    </w:tbl>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⑦</w:t>
      </w:r>
      <w:r>
        <w:rPr>
          <w:rFonts w:cs="Times New Roman"/>
          <w:kern w:val="2"/>
          <w:szCs w:val="20"/>
        </w:rPr>
        <w:t>预测结果与分析</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将以上确定的参数代入模型，便可以求出不同时段，在预测情景下，</w:t>
      </w:r>
      <w:r>
        <w:rPr>
          <w:rFonts w:cs="Times New Roman"/>
          <w:kern w:val="2"/>
          <w:szCs w:val="20"/>
        </w:rPr>
        <w:t>泄漏</w:t>
      </w:r>
      <w:r>
        <w:rPr>
          <w:rFonts w:cs="Times New Roman"/>
          <w:kern w:val="2"/>
          <w:szCs w:val="20"/>
        </w:rPr>
        <w:t>了不同天数（</w:t>
      </w:r>
      <w:r>
        <w:rPr>
          <w:rFonts w:cs="Times New Roman"/>
          <w:kern w:val="2"/>
          <w:szCs w:val="20"/>
        </w:rPr>
        <w:t>1</w:t>
      </w:r>
      <w:r>
        <w:rPr>
          <w:rFonts w:cs="Times New Roman"/>
          <w:kern w:val="2"/>
          <w:szCs w:val="20"/>
        </w:rPr>
        <w:t>天、</w:t>
      </w:r>
      <w:r>
        <w:rPr>
          <w:rFonts w:cs="Times New Roman"/>
          <w:kern w:val="2"/>
          <w:szCs w:val="20"/>
        </w:rPr>
        <w:t>100</w:t>
      </w:r>
      <w:r>
        <w:rPr>
          <w:rFonts w:cs="Times New Roman"/>
          <w:kern w:val="2"/>
          <w:szCs w:val="20"/>
        </w:rPr>
        <w:t>天、</w:t>
      </w:r>
      <w:r>
        <w:rPr>
          <w:rFonts w:cs="Times New Roman"/>
          <w:kern w:val="2"/>
          <w:szCs w:val="20"/>
        </w:rPr>
        <w:t>1000</w:t>
      </w:r>
      <w:r>
        <w:rPr>
          <w:rFonts w:cs="Times New Roman"/>
          <w:kern w:val="2"/>
          <w:szCs w:val="20"/>
        </w:rPr>
        <w:t>天、</w:t>
      </w:r>
      <w:r>
        <w:rPr>
          <w:rFonts w:cs="Times New Roman"/>
          <w:kern w:val="2"/>
          <w:szCs w:val="20"/>
        </w:rPr>
        <w:t>1825</w:t>
      </w:r>
      <w:r>
        <w:rPr>
          <w:rFonts w:cs="Times New Roman"/>
          <w:kern w:val="2"/>
          <w:szCs w:val="20"/>
        </w:rPr>
        <w:t>天）时，污染物在含水层不同位置的浓度分布情况。具体见表</w:t>
      </w:r>
      <w:r>
        <w:rPr>
          <w:rFonts w:cs="Times New Roman"/>
          <w:kern w:val="2"/>
          <w:szCs w:val="20"/>
        </w:rPr>
        <w:t>5.2-</w:t>
      </w:r>
      <w:r>
        <w:rPr>
          <w:rFonts w:cs="Times New Roman"/>
          <w:kern w:val="2"/>
          <w:szCs w:val="20"/>
        </w:rPr>
        <w:t>2</w:t>
      </w:r>
      <w:r>
        <w:rPr>
          <w:rFonts w:cs="Times New Roman"/>
          <w:kern w:val="2"/>
          <w:szCs w:val="20"/>
        </w:rPr>
        <w:t>、表</w:t>
      </w:r>
      <w:r>
        <w:rPr>
          <w:rFonts w:cs="Times New Roman"/>
          <w:kern w:val="2"/>
          <w:szCs w:val="20"/>
        </w:rPr>
        <w:t>5.2-</w:t>
      </w:r>
      <w:r>
        <w:rPr>
          <w:rFonts w:cs="Times New Roman"/>
          <w:kern w:val="2"/>
          <w:szCs w:val="20"/>
        </w:rPr>
        <w:t>3</w:t>
      </w:r>
      <w:r>
        <w:rPr>
          <w:rFonts w:cs="Times New Roman"/>
          <w:kern w:val="2"/>
          <w:szCs w:val="20"/>
        </w:rPr>
        <w:t>，图</w:t>
      </w:r>
      <w:r>
        <w:rPr>
          <w:rFonts w:cs="Times New Roman"/>
          <w:kern w:val="2"/>
          <w:szCs w:val="20"/>
        </w:rPr>
        <w:t>5.2</w:t>
      </w:r>
      <w:r>
        <w:rPr>
          <w:rFonts w:cs="Times New Roman"/>
          <w:kern w:val="2"/>
          <w:szCs w:val="20"/>
        </w:rPr>
        <w:t>-</w:t>
      </w:r>
      <w:r>
        <w:rPr>
          <w:rFonts w:cs="Times New Roman" w:hint="eastAsia"/>
          <w:kern w:val="2"/>
          <w:szCs w:val="20"/>
        </w:rPr>
        <w:t>2</w:t>
      </w:r>
      <w:r>
        <w:rPr>
          <w:rFonts w:cs="Times New Roman"/>
          <w:kern w:val="2"/>
          <w:szCs w:val="20"/>
        </w:rPr>
        <w:t>。</w:t>
      </w:r>
    </w:p>
    <w:p w:rsidR="00C645C9" w:rsidRDefault="00F955D9">
      <w:pPr>
        <w:pStyle w:val="affff7"/>
        <w:widowControl w:val="0"/>
        <w:spacing w:beforeLines="0" w:before="0" w:afterLines="0" w:after="0"/>
        <w:ind w:firstLineChars="200" w:firstLine="420"/>
        <w:rPr>
          <w:rFonts w:eastAsia="黑体" w:cs="Times New Roman"/>
          <w:b w:val="0"/>
          <w:bCs/>
          <w:color w:val="auto"/>
          <w:kern w:val="2"/>
          <w:sz w:val="24"/>
          <w:lang w:val="en-US"/>
        </w:rPr>
      </w:pPr>
      <w:r>
        <w:rPr>
          <w:rFonts w:eastAsia="黑体" w:cs="Times New Roman"/>
          <w:b w:val="0"/>
          <w:bCs/>
          <w:color w:val="auto"/>
          <w:kern w:val="2"/>
          <w:szCs w:val="21"/>
        </w:rPr>
        <w:t>表</w:t>
      </w:r>
      <w:r>
        <w:rPr>
          <w:rFonts w:eastAsia="黑体" w:cs="Times New Roman"/>
          <w:b w:val="0"/>
          <w:bCs/>
          <w:color w:val="auto"/>
          <w:kern w:val="2"/>
          <w:szCs w:val="21"/>
        </w:rPr>
        <w:t>5.2</w:t>
      </w:r>
      <w:r>
        <w:rPr>
          <w:rFonts w:eastAsia="黑体" w:cs="Times New Roman"/>
          <w:b w:val="0"/>
          <w:bCs/>
          <w:color w:val="auto"/>
          <w:kern w:val="2"/>
          <w:szCs w:val="21"/>
        </w:rPr>
        <w:t>-</w:t>
      </w:r>
      <w:r>
        <w:rPr>
          <w:rFonts w:eastAsia="黑体" w:cs="Times New Roman"/>
          <w:b w:val="0"/>
          <w:bCs/>
          <w:color w:val="auto"/>
          <w:kern w:val="2"/>
          <w:szCs w:val="21"/>
          <w:lang w:val="en-US"/>
        </w:rPr>
        <w:t>2</w:t>
      </w:r>
      <w:r>
        <w:rPr>
          <w:rFonts w:eastAsia="黑体" w:cs="Times New Roman"/>
          <w:b w:val="0"/>
          <w:bCs/>
          <w:color w:val="auto"/>
          <w:kern w:val="2"/>
          <w:szCs w:val="21"/>
        </w:rPr>
        <w:t xml:space="preserve">   </w:t>
      </w:r>
      <w:r>
        <w:rPr>
          <w:rFonts w:eastAsia="黑体" w:cs="Times New Roman"/>
          <w:b w:val="0"/>
          <w:bCs/>
          <w:color w:val="auto"/>
          <w:kern w:val="2"/>
          <w:szCs w:val="21"/>
        </w:rPr>
        <w:t>污染物在潜水含水层中的浓度迁移预测结果（情景</w:t>
      </w:r>
      <w:r>
        <w:rPr>
          <w:rFonts w:eastAsia="黑体" w:cs="Times New Roman"/>
          <w:b w:val="0"/>
          <w:bCs/>
          <w:color w:val="auto"/>
          <w:kern w:val="2"/>
          <w:szCs w:val="21"/>
        </w:rPr>
        <w:t>1</w:t>
      </w:r>
      <w:r>
        <w:rPr>
          <w:rFonts w:eastAsia="黑体" w:cs="Times New Roman"/>
          <w:b w:val="0"/>
          <w:bCs/>
          <w:color w:val="auto"/>
          <w:kern w:val="2"/>
          <w:szCs w:val="21"/>
        </w:rPr>
        <w:t>）</w:t>
      </w:r>
    </w:p>
    <w:tbl>
      <w:tblPr>
        <w:tblW w:w="0" w:type="auto"/>
        <w:tblInd w:w="-35" w:type="dxa"/>
        <w:tblLook w:val="04A0" w:firstRow="1" w:lastRow="0" w:firstColumn="1" w:lastColumn="0" w:noHBand="0" w:noVBand="1"/>
      </w:tblPr>
      <w:tblGrid>
        <w:gridCol w:w="377"/>
        <w:gridCol w:w="989"/>
        <w:gridCol w:w="1056"/>
        <w:gridCol w:w="989"/>
        <w:gridCol w:w="1056"/>
        <w:gridCol w:w="989"/>
        <w:gridCol w:w="1056"/>
        <w:gridCol w:w="989"/>
        <w:gridCol w:w="1056"/>
      </w:tblGrid>
      <w:tr w:rsidR="00C645C9">
        <w:trPr>
          <w:trHeight w:val="23"/>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2"/>
                <w:szCs w:val="22"/>
              </w:rPr>
            </w:pPr>
            <w:r>
              <w:rPr>
                <w:rFonts w:cs="Times New Roman"/>
                <w:sz w:val="22"/>
                <w:szCs w:val="22"/>
                <w:lang w:bidi="ar"/>
              </w:rPr>
              <w:t>污染物</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1d</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100d</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1000d</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1825d</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距离（</w:t>
            </w:r>
            <w:r>
              <w:rPr>
                <w:rStyle w:val="font21"/>
                <w:rFonts w:eastAsia="等线"/>
                <w:color w:val="auto"/>
                <w:lang w:bidi="ar"/>
              </w:rPr>
              <w:t>m</w:t>
            </w:r>
            <w:r>
              <w:rPr>
                <w:rFonts w:cs="Times New Roman"/>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浓度</w:t>
            </w:r>
            <w:r>
              <w:rPr>
                <w:rStyle w:val="font21"/>
                <w:rFonts w:eastAsia="等线"/>
                <w:color w:val="auto"/>
                <w:lang w:bidi="ar"/>
              </w:rPr>
              <w:t>c(mg/l)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距离（</w:t>
            </w:r>
            <w:r>
              <w:rPr>
                <w:rStyle w:val="font21"/>
                <w:rFonts w:eastAsia="等线"/>
                <w:color w:val="auto"/>
                <w:lang w:bidi="ar"/>
              </w:rPr>
              <w:t>m</w:t>
            </w:r>
            <w:r>
              <w:rPr>
                <w:rFonts w:cs="Times New Roman"/>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浓度</w:t>
            </w:r>
            <w:r>
              <w:rPr>
                <w:rStyle w:val="font21"/>
                <w:rFonts w:eastAsia="等线"/>
                <w:color w:val="auto"/>
                <w:lang w:bidi="ar"/>
              </w:rPr>
              <w:t>c(mg/l)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距离（</w:t>
            </w:r>
            <w:r>
              <w:rPr>
                <w:rStyle w:val="font21"/>
                <w:rFonts w:eastAsia="等线"/>
                <w:color w:val="auto"/>
                <w:lang w:bidi="ar"/>
              </w:rPr>
              <w:t>m</w:t>
            </w:r>
            <w:r>
              <w:rPr>
                <w:rFonts w:cs="Times New Roman"/>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浓度</w:t>
            </w:r>
            <w:r>
              <w:rPr>
                <w:rStyle w:val="font21"/>
                <w:rFonts w:eastAsia="等线"/>
                <w:color w:val="auto"/>
                <w:lang w:bidi="ar"/>
              </w:rPr>
              <w:t>c(mg/l)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距离（</w:t>
            </w:r>
            <w:r>
              <w:rPr>
                <w:rStyle w:val="font21"/>
                <w:rFonts w:eastAsia="等线"/>
                <w:color w:val="auto"/>
                <w:lang w:bidi="ar"/>
              </w:rPr>
              <w:t>m</w:t>
            </w:r>
            <w:r>
              <w:rPr>
                <w:rFonts w:cs="Times New Roman"/>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cs="Times New Roman"/>
                <w:sz w:val="22"/>
                <w:szCs w:val="22"/>
                <w:lang w:bidi="ar"/>
              </w:rPr>
              <w:t>浓度</w:t>
            </w:r>
            <w:r>
              <w:rPr>
                <w:rStyle w:val="font21"/>
                <w:rFonts w:eastAsia="等线"/>
                <w:color w:val="auto"/>
                <w:lang w:bidi="ar"/>
              </w:rPr>
              <w:t>c(mg/l)</w:t>
            </w:r>
          </w:p>
        </w:tc>
      </w:tr>
      <w:tr w:rsidR="00C645C9">
        <w:trPr>
          <w:trHeight w:val="23"/>
        </w:trPr>
        <w:tc>
          <w:tcPr>
            <w:tcW w:w="4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cs="Times New Roman"/>
                <w:sz w:val="22"/>
                <w:szCs w:val="22"/>
              </w:rPr>
            </w:pPr>
            <w:r>
              <w:rPr>
                <w:rFonts w:cs="Times New Roman"/>
                <w:sz w:val="22"/>
                <w:szCs w:val="22"/>
                <w:lang w:bidi="ar"/>
              </w:rPr>
              <w:t>石油类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18.000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18.000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18.000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18.000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9.450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13.300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17.100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17.400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7.330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10.200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4.420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1.330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0.743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0.665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377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0.049</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246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0.015</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408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0.010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268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b/>
                <w:bCs/>
                <w:sz w:val="22"/>
                <w:szCs w:val="22"/>
              </w:rPr>
            </w:pPr>
            <w:r>
              <w:rPr>
                <w:rFonts w:eastAsia="等线" w:cs="Times New Roman"/>
                <w:b/>
                <w:bCs/>
                <w:sz w:val="22"/>
                <w:szCs w:val="22"/>
                <w:lang w:bidi="ar"/>
              </w:rPr>
              <w:t>0.009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nil"/>
              <w:left w:val="single" w:sz="4" w:space="0" w:color="000000"/>
              <w:bottom w:val="nil"/>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r>
      <w:tr w:rsidR="00C645C9">
        <w:trPr>
          <w:trHeight w:val="23"/>
        </w:trPr>
        <w:tc>
          <w:tcPr>
            <w:tcW w:w="4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C645C9">
            <w:pPr>
              <w:adjustRightInd w:val="0"/>
              <w:snapToGrid w:val="0"/>
              <w:jc w:val="center"/>
              <w:rPr>
                <w:rFonts w:cs="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645C9" w:rsidRDefault="00F955D9">
            <w:pPr>
              <w:adjustRightInd w:val="0"/>
              <w:snapToGrid w:val="0"/>
              <w:jc w:val="center"/>
              <w:textAlignment w:val="center"/>
              <w:rPr>
                <w:rFonts w:eastAsia="等线" w:cs="Times New Roman"/>
                <w:sz w:val="22"/>
                <w:szCs w:val="22"/>
              </w:rPr>
            </w:pPr>
            <w:r>
              <w:rPr>
                <w:rFonts w:eastAsia="等线" w:cs="Times New Roman"/>
                <w:sz w:val="22"/>
                <w:szCs w:val="22"/>
                <w:lang w:bidi="ar"/>
              </w:rPr>
              <w:t>0.000</w:t>
            </w:r>
          </w:p>
        </w:tc>
      </w:tr>
    </w:tbl>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rPr>
      </w:pPr>
      <w:r>
        <w:rPr>
          <w:rFonts w:eastAsia="黑体" w:cs="Times New Roman"/>
          <w:b w:val="0"/>
          <w:bCs/>
          <w:color w:val="auto"/>
          <w:kern w:val="2"/>
          <w:szCs w:val="21"/>
        </w:rPr>
        <w:t>表</w:t>
      </w:r>
      <w:r>
        <w:rPr>
          <w:rFonts w:eastAsia="黑体" w:cs="Times New Roman"/>
          <w:b w:val="0"/>
          <w:bCs/>
          <w:color w:val="auto"/>
          <w:kern w:val="2"/>
          <w:szCs w:val="21"/>
        </w:rPr>
        <w:t>5.2</w:t>
      </w:r>
      <w:r>
        <w:rPr>
          <w:rFonts w:eastAsia="黑体" w:cs="Times New Roman"/>
          <w:b w:val="0"/>
          <w:bCs/>
          <w:color w:val="auto"/>
          <w:kern w:val="2"/>
          <w:szCs w:val="21"/>
        </w:rPr>
        <w:t>-</w:t>
      </w:r>
      <w:r>
        <w:rPr>
          <w:rFonts w:eastAsia="黑体" w:cs="Times New Roman"/>
          <w:b w:val="0"/>
          <w:bCs/>
          <w:color w:val="auto"/>
          <w:kern w:val="2"/>
          <w:szCs w:val="21"/>
          <w:lang w:val="en-US"/>
        </w:rPr>
        <w:t>3</w:t>
      </w:r>
      <w:r>
        <w:rPr>
          <w:rFonts w:eastAsia="黑体" w:cs="Times New Roman"/>
          <w:b w:val="0"/>
          <w:bCs/>
          <w:color w:val="auto"/>
          <w:kern w:val="2"/>
          <w:szCs w:val="21"/>
        </w:rPr>
        <w:t xml:space="preserve">     </w:t>
      </w:r>
      <w:r>
        <w:rPr>
          <w:rFonts w:eastAsia="黑体" w:cs="Times New Roman"/>
          <w:b w:val="0"/>
          <w:bCs/>
          <w:color w:val="auto"/>
          <w:kern w:val="2"/>
          <w:szCs w:val="21"/>
        </w:rPr>
        <w:t>预测结果统计表（情景</w:t>
      </w:r>
      <w:r>
        <w:rPr>
          <w:rFonts w:eastAsia="黑体" w:cs="Times New Roman"/>
          <w:b w:val="0"/>
          <w:bCs/>
          <w:color w:val="auto"/>
          <w:kern w:val="2"/>
          <w:szCs w:val="21"/>
        </w:rPr>
        <w:t>1</w:t>
      </w:r>
      <w:r>
        <w:rPr>
          <w:rFonts w:eastAsia="黑体" w:cs="Times New Roman"/>
          <w:b w:val="0"/>
          <w:bCs/>
          <w:color w:val="auto"/>
          <w:kern w:val="2"/>
          <w:szCs w:val="21"/>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0"/>
        <w:gridCol w:w="1757"/>
        <w:gridCol w:w="1767"/>
        <w:gridCol w:w="2716"/>
      </w:tblGrid>
      <w:tr w:rsidR="00C645C9">
        <w:trPr>
          <w:trHeight w:val="20"/>
        </w:trPr>
        <w:tc>
          <w:tcPr>
            <w:tcW w:w="669"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预测因子</w:t>
            </w:r>
          </w:p>
        </w:tc>
        <w:tc>
          <w:tcPr>
            <w:tcW w:w="669"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预测时间</w:t>
            </w:r>
          </w:p>
        </w:tc>
        <w:tc>
          <w:tcPr>
            <w:tcW w:w="1030"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超标距离（</w:t>
            </w:r>
            <w:r>
              <w:rPr>
                <w:rFonts w:cs="Times New Roman"/>
                <w:sz w:val="21"/>
                <w:szCs w:val="21"/>
                <w:lang w:val="zh-CN" w:bidi="zh-CN"/>
              </w:rPr>
              <w:t>m</w:t>
            </w:r>
            <w:r>
              <w:rPr>
                <w:rFonts w:cs="Times New Roman"/>
                <w:sz w:val="21"/>
                <w:szCs w:val="21"/>
                <w:lang w:val="zh-CN" w:bidi="zh-CN"/>
              </w:rPr>
              <w:t>）</w:t>
            </w:r>
          </w:p>
        </w:tc>
        <w:tc>
          <w:tcPr>
            <w:tcW w:w="1036"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影响距离（</w:t>
            </w:r>
            <w:r>
              <w:rPr>
                <w:rFonts w:cs="Times New Roman"/>
                <w:sz w:val="21"/>
                <w:szCs w:val="21"/>
                <w:lang w:val="zh-CN" w:bidi="zh-CN"/>
              </w:rPr>
              <w:t>m</w:t>
            </w:r>
            <w:r>
              <w:rPr>
                <w:rFonts w:cs="Times New Roman"/>
                <w:sz w:val="21"/>
                <w:szCs w:val="21"/>
                <w:lang w:val="zh-CN" w:bidi="zh-CN"/>
              </w:rPr>
              <w:t>）</w:t>
            </w:r>
          </w:p>
        </w:tc>
        <w:tc>
          <w:tcPr>
            <w:tcW w:w="1593"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影响范围内水环境敏感点</w:t>
            </w:r>
          </w:p>
        </w:tc>
      </w:tr>
      <w:tr w:rsidR="00C645C9">
        <w:trPr>
          <w:trHeight w:val="20"/>
        </w:trPr>
        <w:tc>
          <w:tcPr>
            <w:tcW w:w="669" w:type="pct"/>
            <w:vMerge w:val="restar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石油类</w:t>
            </w:r>
          </w:p>
        </w:tc>
        <w:tc>
          <w:tcPr>
            <w:tcW w:w="669"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1d</w:t>
            </w:r>
          </w:p>
        </w:tc>
        <w:tc>
          <w:tcPr>
            <w:tcW w:w="1030"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4.5</w:t>
            </w:r>
          </w:p>
        </w:tc>
        <w:tc>
          <w:tcPr>
            <w:tcW w:w="1036"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5.3</w:t>
            </w:r>
          </w:p>
        </w:tc>
        <w:tc>
          <w:tcPr>
            <w:tcW w:w="1593"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无</w:t>
            </w:r>
          </w:p>
        </w:tc>
      </w:tr>
      <w:tr w:rsidR="00C645C9">
        <w:trPr>
          <w:trHeight w:val="20"/>
        </w:trPr>
        <w:tc>
          <w:tcPr>
            <w:tcW w:w="669" w:type="pct"/>
            <w:vMerge/>
            <w:vAlign w:val="center"/>
          </w:tcPr>
          <w:p w:rsidR="00C645C9" w:rsidRDefault="00C645C9">
            <w:pPr>
              <w:widowControl w:val="0"/>
              <w:autoSpaceDE w:val="0"/>
              <w:autoSpaceDN w:val="0"/>
              <w:adjustRightInd w:val="0"/>
              <w:snapToGrid w:val="0"/>
              <w:jc w:val="center"/>
              <w:rPr>
                <w:rFonts w:cs="Times New Roman"/>
                <w:sz w:val="21"/>
                <w:szCs w:val="21"/>
                <w:lang w:val="zh-CN" w:bidi="zh-CN"/>
              </w:rPr>
            </w:pPr>
          </w:p>
        </w:tc>
        <w:tc>
          <w:tcPr>
            <w:tcW w:w="669"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100d</w:t>
            </w:r>
          </w:p>
        </w:tc>
        <w:tc>
          <w:tcPr>
            <w:tcW w:w="1030"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55</w:t>
            </w:r>
          </w:p>
        </w:tc>
        <w:tc>
          <w:tcPr>
            <w:tcW w:w="1036"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62</w:t>
            </w:r>
          </w:p>
        </w:tc>
        <w:tc>
          <w:tcPr>
            <w:tcW w:w="1593"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无</w:t>
            </w:r>
          </w:p>
        </w:tc>
      </w:tr>
      <w:tr w:rsidR="00C645C9">
        <w:trPr>
          <w:trHeight w:val="20"/>
        </w:trPr>
        <w:tc>
          <w:tcPr>
            <w:tcW w:w="669" w:type="pct"/>
            <w:vMerge/>
            <w:vAlign w:val="center"/>
          </w:tcPr>
          <w:p w:rsidR="00C645C9" w:rsidRDefault="00C645C9">
            <w:pPr>
              <w:widowControl w:val="0"/>
              <w:autoSpaceDE w:val="0"/>
              <w:autoSpaceDN w:val="0"/>
              <w:adjustRightInd w:val="0"/>
              <w:snapToGrid w:val="0"/>
              <w:jc w:val="center"/>
              <w:rPr>
                <w:rFonts w:cs="Times New Roman"/>
                <w:sz w:val="21"/>
                <w:szCs w:val="21"/>
                <w:lang w:val="zh-CN" w:bidi="zh-CN"/>
              </w:rPr>
            </w:pPr>
          </w:p>
        </w:tc>
        <w:tc>
          <w:tcPr>
            <w:tcW w:w="669"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1000d</w:t>
            </w:r>
          </w:p>
        </w:tc>
        <w:tc>
          <w:tcPr>
            <w:tcW w:w="1030"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246</w:t>
            </w:r>
          </w:p>
        </w:tc>
        <w:tc>
          <w:tcPr>
            <w:tcW w:w="1036"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268</w:t>
            </w:r>
          </w:p>
        </w:tc>
        <w:tc>
          <w:tcPr>
            <w:tcW w:w="1593" w:type="pct"/>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无</w:t>
            </w:r>
          </w:p>
        </w:tc>
      </w:tr>
      <w:tr w:rsidR="00C645C9">
        <w:trPr>
          <w:trHeight w:val="20"/>
        </w:trPr>
        <w:tc>
          <w:tcPr>
            <w:tcW w:w="669" w:type="pct"/>
            <w:vMerge/>
            <w:vAlign w:val="center"/>
          </w:tcPr>
          <w:p w:rsidR="00C645C9" w:rsidRDefault="00C645C9">
            <w:pPr>
              <w:widowControl w:val="0"/>
              <w:autoSpaceDE w:val="0"/>
              <w:autoSpaceDN w:val="0"/>
              <w:adjustRightInd w:val="0"/>
              <w:snapToGrid w:val="0"/>
              <w:jc w:val="center"/>
              <w:rPr>
                <w:rFonts w:cs="Times New Roman"/>
                <w:sz w:val="21"/>
                <w:szCs w:val="21"/>
                <w:lang w:val="zh-CN" w:bidi="zh-CN"/>
              </w:rPr>
            </w:pPr>
          </w:p>
        </w:tc>
        <w:tc>
          <w:tcPr>
            <w:tcW w:w="669"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bidi="zh-CN"/>
              </w:rPr>
              <w:t>5475</w:t>
            </w:r>
            <w:r>
              <w:rPr>
                <w:rFonts w:cs="Times New Roman"/>
                <w:sz w:val="21"/>
                <w:szCs w:val="21"/>
                <w:lang w:val="zh-CN" w:bidi="zh-CN"/>
              </w:rPr>
              <w:t>d</w:t>
            </w:r>
          </w:p>
        </w:tc>
        <w:tc>
          <w:tcPr>
            <w:tcW w:w="1030"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377</w:t>
            </w:r>
          </w:p>
        </w:tc>
        <w:tc>
          <w:tcPr>
            <w:tcW w:w="1036"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bidi="zh-CN"/>
              </w:rPr>
              <w:t>408</w:t>
            </w:r>
          </w:p>
        </w:tc>
        <w:tc>
          <w:tcPr>
            <w:tcW w:w="1593" w:type="pct"/>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无</w:t>
            </w:r>
          </w:p>
        </w:tc>
      </w:tr>
    </w:tbl>
    <w:p w:rsidR="00C645C9" w:rsidRDefault="00C645C9">
      <w:pPr>
        <w:widowControl w:val="0"/>
        <w:adjustRightInd w:val="0"/>
        <w:snapToGrid w:val="0"/>
        <w:ind w:firstLineChars="200" w:firstLine="480"/>
        <w:jc w:val="both"/>
        <w:rPr>
          <w:rFonts w:cs="Times New Roman"/>
          <w:kern w:val="2"/>
          <w:szCs w:val="20"/>
        </w:rPr>
      </w:pP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lang w:val="en-US"/>
        </w:rPr>
      </w:pPr>
      <w:bookmarkStart w:id="1502" w:name="OLE_LINK1558"/>
      <w:r>
        <w:rPr>
          <w:rFonts w:eastAsia="黑体" w:cs="Times New Roman"/>
          <w:b w:val="0"/>
          <w:bCs/>
          <w:color w:val="auto"/>
          <w:kern w:val="2"/>
          <w:szCs w:val="21"/>
          <w:lang w:val="en-US"/>
        </w:rPr>
        <w:t>图</w:t>
      </w:r>
      <w:r>
        <w:rPr>
          <w:rFonts w:eastAsia="黑体" w:cs="Times New Roman"/>
          <w:b w:val="0"/>
          <w:bCs/>
          <w:color w:val="auto"/>
          <w:kern w:val="2"/>
          <w:szCs w:val="21"/>
          <w:lang w:val="en-US"/>
        </w:rPr>
        <w:t>5.2-</w:t>
      </w:r>
      <w:r>
        <w:rPr>
          <w:rFonts w:eastAsia="黑体" w:cs="Times New Roman" w:hint="eastAsia"/>
          <w:b w:val="0"/>
          <w:bCs/>
          <w:color w:val="auto"/>
          <w:kern w:val="2"/>
          <w:szCs w:val="21"/>
          <w:lang w:val="en-US"/>
        </w:rPr>
        <w:t>2</w:t>
      </w:r>
      <w:r>
        <w:rPr>
          <w:rFonts w:eastAsia="黑体" w:cs="Times New Roman"/>
          <w:b w:val="0"/>
          <w:bCs/>
          <w:color w:val="auto"/>
          <w:kern w:val="2"/>
          <w:szCs w:val="21"/>
          <w:lang w:val="en-US"/>
        </w:rPr>
        <w:t xml:space="preserve">   </w:t>
      </w:r>
      <w:r>
        <w:rPr>
          <w:rFonts w:eastAsia="黑体" w:cs="Times New Roman"/>
          <w:b w:val="0"/>
          <w:bCs/>
          <w:color w:val="auto"/>
          <w:kern w:val="2"/>
          <w:szCs w:val="21"/>
          <w:lang w:val="en-US"/>
        </w:rPr>
        <w:t>情景</w:t>
      </w:r>
      <w:r>
        <w:rPr>
          <w:rFonts w:eastAsia="黑体" w:cs="Times New Roman"/>
          <w:b w:val="0"/>
          <w:bCs/>
          <w:color w:val="auto"/>
          <w:kern w:val="2"/>
          <w:szCs w:val="21"/>
          <w:lang w:val="en-US"/>
        </w:rPr>
        <w:t>1</w:t>
      </w:r>
      <w:r>
        <w:rPr>
          <w:rFonts w:eastAsia="黑体" w:cs="Times New Roman"/>
          <w:b w:val="0"/>
          <w:bCs/>
          <w:color w:val="auto"/>
          <w:kern w:val="2"/>
          <w:szCs w:val="21"/>
          <w:lang w:val="en-US"/>
        </w:rPr>
        <w:t>：发生持续泄漏后石油类污染物浓度迁移变化曲线图</w:t>
      </w:r>
    </w:p>
    <w:bookmarkEnd w:id="1502"/>
    <w:p w:rsidR="00C645C9" w:rsidRDefault="00F955D9">
      <w:pPr>
        <w:spacing w:line="360" w:lineRule="auto"/>
        <w:ind w:firstLineChars="200" w:firstLine="480"/>
        <w:jc w:val="both"/>
        <w:rPr>
          <w:rFonts w:cs="Times New Roman"/>
          <w:bCs/>
        </w:rPr>
      </w:pPr>
      <w:r>
        <w:rPr>
          <w:rFonts w:cs="Times New Roman"/>
        </w:rPr>
        <w:t>根据以上预测结果，在本次设定的预测情形下：预测期间，随着时间、距离增加，污染范围也呈增加趋势。影响范围内无居民饮用水井等敏感点，</w:t>
      </w:r>
      <w:r>
        <w:rPr>
          <w:rFonts w:cs="Times New Roman"/>
          <w:snapToGrid w:val="0"/>
        </w:rPr>
        <w:t>污染物的迁移对地下水有一定影响</w:t>
      </w:r>
      <w:r>
        <w:rPr>
          <w:rFonts w:cs="Times New Roman"/>
          <w:snapToGrid w:val="0"/>
        </w:rPr>
        <w:t>，</w:t>
      </w:r>
      <w:r>
        <w:rPr>
          <w:rFonts w:cs="Times New Roman"/>
          <w:szCs w:val="22"/>
        </w:rPr>
        <w:t>其中</w:t>
      </w:r>
      <w:r>
        <w:rPr>
          <w:rFonts w:cs="Times New Roman"/>
          <w:szCs w:val="22"/>
        </w:rPr>
        <w:t>1d</w:t>
      </w:r>
      <w:r>
        <w:rPr>
          <w:rFonts w:cs="Times New Roman"/>
          <w:szCs w:val="22"/>
        </w:rPr>
        <w:t>的影响范围在厂界内，不会</w:t>
      </w:r>
      <w:r>
        <w:rPr>
          <w:rFonts w:cs="Times New Roman"/>
          <w:snapToGrid w:val="0"/>
        </w:rPr>
        <w:t>影响范围</w:t>
      </w:r>
      <w:r>
        <w:rPr>
          <w:rFonts w:cs="Times New Roman"/>
          <w:snapToGrid w:val="0"/>
        </w:rPr>
        <w:t>到外环境，各时段的预测影响范围内均</w:t>
      </w:r>
      <w:r>
        <w:rPr>
          <w:rFonts w:cs="Times New Roman"/>
          <w:snapToGrid w:val="0"/>
        </w:rPr>
        <w:t>无居民饮用水井等地下水环境敏感点。</w:t>
      </w:r>
      <w:r>
        <w:rPr>
          <w:rFonts w:cs="Times New Roman"/>
        </w:rPr>
        <w:t>为预防污染的发生和污染源的形成，表层套管严格封闭第四系含水层，定期维护，固井质量应符合要求，废弃井应全部打水泥塞，并经严格的试压以防窜漏污染地下水，</w:t>
      </w:r>
      <w:r>
        <w:rPr>
          <w:rFonts w:cs="Times New Roman"/>
        </w:rPr>
        <w:lastRenderedPageBreak/>
        <w:t>尽量避免</w:t>
      </w:r>
      <w:r>
        <w:rPr>
          <w:rFonts w:cs="Times New Roman"/>
          <w:bCs/>
        </w:rPr>
        <w:t>窜层污染到泄漏点周边区域内的地下水。</w:t>
      </w:r>
      <w:r>
        <w:rPr>
          <w:rFonts w:cs="Times New Roman"/>
          <w:bCs/>
        </w:rPr>
        <w:t>在</w:t>
      </w:r>
      <w:r>
        <w:rPr>
          <w:rFonts w:cs="Times New Roman"/>
        </w:rPr>
        <w:t>套损发生后及时采取治理技术</w:t>
      </w:r>
      <w:r>
        <w:rPr>
          <w:rFonts w:cs="Times New Roman"/>
        </w:rPr>
        <w:t>的情况下，窜层对地下水的影响属可接受范围。</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2</w:t>
      </w:r>
      <w:r>
        <w:rPr>
          <w:rFonts w:cs="Times New Roman"/>
          <w:kern w:val="2"/>
          <w:szCs w:val="20"/>
        </w:rPr>
        <w:t>）情景</w:t>
      </w:r>
      <w:r>
        <w:rPr>
          <w:rFonts w:cs="Times New Roman"/>
          <w:kern w:val="2"/>
          <w:szCs w:val="20"/>
        </w:rPr>
        <w:t>2</w:t>
      </w:r>
      <w:r>
        <w:rPr>
          <w:rFonts w:cs="Times New Roman"/>
          <w:kern w:val="2"/>
          <w:szCs w:val="20"/>
        </w:rPr>
        <w:t>：渗透污染（</w:t>
      </w:r>
      <w:r>
        <w:rPr>
          <w:rFonts w:cs="Times New Roman"/>
          <w:kern w:val="2"/>
          <w:szCs w:val="20"/>
        </w:rPr>
        <w:t>凝析油储罐泄漏</w:t>
      </w:r>
      <w:r>
        <w:rPr>
          <w:rFonts w:cs="Times New Roman"/>
          <w:kern w:val="2"/>
          <w:szCs w:val="20"/>
        </w:rPr>
        <w:t>事故</w:t>
      </w:r>
      <w:r>
        <w:rPr>
          <w:rFonts w:cs="Times New Roman"/>
          <w:kern w:val="2"/>
          <w:szCs w:val="20"/>
        </w:rPr>
        <w:t>）</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①</w:t>
      </w:r>
      <w:r>
        <w:rPr>
          <w:rFonts w:cs="Times New Roman"/>
          <w:kern w:val="2"/>
          <w:szCs w:val="20"/>
        </w:rPr>
        <w:t>预测情景</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szCs w:val="21"/>
        </w:rPr>
        <w:t>非正常状况下，</w:t>
      </w:r>
      <w:r>
        <w:rPr>
          <w:rFonts w:cs="Times New Roman"/>
          <w:kern w:val="2"/>
          <w:szCs w:val="21"/>
        </w:rPr>
        <w:t>储罐（多功能储集器）、</w:t>
      </w:r>
      <w:r>
        <w:rPr>
          <w:rFonts w:cs="Times New Roman"/>
          <w:kern w:val="2"/>
        </w:rPr>
        <w:t>阀门、</w:t>
      </w:r>
      <w:r>
        <w:rPr>
          <w:rFonts w:cs="Times New Roman"/>
          <w:kern w:val="2"/>
        </w:rPr>
        <w:t>场内的</w:t>
      </w:r>
      <w:r>
        <w:rPr>
          <w:rFonts w:cs="Times New Roman"/>
          <w:kern w:val="2"/>
        </w:rPr>
        <w:t>管线泄漏事故会导致浅部隐蔽性污染源的产生，泄漏的</w:t>
      </w:r>
      <w:r>
        <w:rPr>
          <w:rFonts w:cs="Times New Roman"/>
          <w:kern w:val="2"/>
        </w:rPr>
        <w:t>凝析油</w:t>
      </w:r>
      <w:r>
        <w:rPr>
          <w:rFonts w:cs="Times New Roman"/>
          <w:kern w:val="2"/>
        </w:rPr>
        <w:t>等下渗而可能导致地下水污染风险的发生。设备阀门、管线等发生泄漏的原因有如下几种：误操作、机械故障、外力作用和腐蚀，这几种因素的产生都是人为的或人为操控程度很高，发生污染的危害程度也取决于操作人员的处置和控制。</w:t>
      </w:r>
    </w:p>
    <w:p w:rsidR="00C645C9" w:rsidRDefault="00F955D9">
      <w:pPr>
        <w:widowControl w:val="0"/>
        <w:adjustRightInd w:val="0"/>
        <w:snapToGrid w:val="0"/>
        <w:spacing w:line="360" w:lineRule="auto"/>
        <w:ind w:firstLineChars="200" w:firstLine="480"/>
        <w:jc w:val="both"/>
        <w:rPr>
          <w:rFonts w:cs="Times New Roman"/>
          <w:szCs w:val="22"/>
        </w:rPr>
      </w:pPr>
      <w:r>
        <w:rPr>
          <w:rFonts w:cs="Times New Roman"/>
          <w:kern w:val="2"/>
          <w:szCs w:val="21"/>
        </w:rPr>
        <w:t>本工程</w:t>
      </w:r>
      <w:r>
        <w:rPr>
          <w:rFonts w:cs="Times New Roman"/>
          <w:kern w:val="2"/>
          <w:szCs w:val="21"/>
        </w:rPr>
        <w:t>在</w:t>
      </w:r>
      <w:r>
        <w:rPr>
          <w:rFonts w:cs="Times New Roman"/>
          <w:kern w:val="2"/>
          <w:szCs w:val="21"/>
        </w:rPr>
        <w:t>非正常状况下，</w:t>
      </w:r>
      <w:r>
        <w:rPr>
          <w:rFonts w:cs="Times New Roman"/>
          <w:kern w:val="2"/>
          <w:szCs w:val="21"/>
        </w:rPr>
        <w:t>发生</w:t>
      </w:r>
      <w:r>
        <w:rPr>
          <w:rFonts w:cs="Times New Roman"/>
          <w:kern w:val="2"/>
          <w:szCs w:val="21"/>
        </w:rPr>
        <w:t>泄漏</w:t>
      </w:r>
      <w:r>
        <w:rPr>
          <w:rFonts w:cs="Times New Roman"/>
          <w:kern w:val="2"/>
          <w:szCs w:val="21"/>
        </w:rPr>
        <w:t>事故后可快速发现并通过切断阀控制泄漏量，</w:t>
      </w:r>
      <w:r>
        <w:rPr>
          <w:rFonts w:cs="Times New Roman"/>
          <w:kern w:val="2"/>
          <w:szCs w:val="21"/>
        </w:rPr>
        <w:t>结合环境风险章节中核算的存在量，储罐发生</w:t>
      </w:r>
      <w:r>
        <w:rPr>
          <w:rFonts w:cs="Times New Roman"/>
          <w:kern w:val="2"/>
        </w:rPr>
        <w:t>泄漏事故</w:t>
      </w:r>
      <w:r>
        <w:rPr>
          <w:rFonts w:cs="Times New Roman"/>
          <w:kern w:val="2"/>
        </w:rPr>
        <w:t>后，</w:t>
      </w:r>
      <w:r>
        <w:rPr>
          <w:rFonts w:cs="Times New Roman"/>
          <w:kern w:val="2"/>
        </w:rPr>
        <w:t>泄漏的</w:t>
      </w:r>
      <w:r>
        <w:rPr>
          <w:rFonts w:cs="Times New Roman"/>
          <w:kern w:val="2"/>
        </w:rPr>
        <w:t>凝析油</w:t>
      </w:r>
      <w:r>
        <w:rPr>
          <w:rFonts w:cs="Times New Roman"/>
          <w:kern w:val="2"/>
        </w:rPr>
        <w:t>下渗可能导致地下水污染风险的发生</w:t>
      </w:r>
      <w:r>
        <w:rPr>
          <w:rFonts w:cs="Times New Roman"/>
          <w:kern w:val="2"/>
        </w:rPr>
        <w:t>，</w:t>
      </w:r>
      <w:r>
        <w:rPr>
          <w:rFonts w:cs="Times New Roman"/>
          <w:kern w:val="2"/>
        </w:rPr>
        <w:t>对环境产生的影响较大。</w:t>
      </w:r>
      <w:r>
        <w:rPr>
          <w:rFonts w:cs="Times New Roman"/>
          <w:szCs w:val="22"/>
        </w:rPr>
        <w:t>故</w:t>
      </w:r>
      <w:r>
        <w:rPr>
          <w:rFonts w:cs="Times New Roman"/>
          <w:szCs w:val="22"/>
        </w:rPr>
        <w:t>综合考虑生产装置设施情况以及所在区域水文地质条件，非正常状况泄漏点设定为：</w:t>
      </w:r>
      <w:r>
        <w:rPr>
          <w:rFonts w:cs="Times New Roman"/>
          <w:szCs w:val="22"/>
        </w:rPr>
        <w:t>单个</w:t>
      </w:r>
      <w:r>
        <w:rPr>
          <w:rFonts w:cs="Times New Roman"/>
          <w:szCs w:val="22"/>
          <w:lang w:bidi="ar"/>
        </w:rPr>
        <w:t>80m³</w:t>
      </w:r>
      <w:r>
        <w:rPr>
          <w:rFonts w:cs="Times New Roman"/>
          <w:szCs w:val="22"/>
          <w:lang w:bidi="ar"/>
        </w:rPr>
        <w:t>的</w:t>
      </w:r>
      <w:r>
        <w:rPr>
          <w:rFonts w:cs="Times New Roman"/>
          <w:szCs w:val="22"/>
        </w:rPr>
        <w:t>储罐</w:t>
      </w:r>
      <w:r>
        <w:rPr>
          <w:rFonts w:cs="Times New Roman"/>
          <w:szCs w:val="22"/>
        </w:rPr>
        <w:t>泄漏，如不及时修复，</w:t>
      </w:r>
      <w:r>
        <w:rPr>
          <w:rFonts w:cs="Times New Roman"/>
          <w:szCs w:val="22"/>
        </w:rPr>
        <w:t>储罐中的</w:t>
      </w:r>
      <w:r>
        <w:rPr>
          <w:rFonts w:cs="Times New Roman"/>
          <w:szCs w:val="22"/>
        </w:rPr>
        <w:t>油</w:t>
      </w:r>
      <w:r>
        <w:rPr>
          <w:rFonts w:cs="Times New Roman"/>
          <w:szCs w:val="22"/>
        </w:rPr>
        <w:t>类物质</w:t>
      </w:r>
      <w:r>
        <w:rPr>
          <w:rFonts w:cs="Times New Roman"/>
          <w:szCs w:val="22"/>
        </w:rPr>
        <w:t>可能下渗对地下水造成影响。本次评价对非正常状况下</w:t>
      </w:r>
      <w:r>
        <w:rPr>
          <w:rFonts w:cs="Times New Roman"/>
          <w:szCs w:val="22"/>
        </w:rPr>
        <w:t>储罐破裂</w:t>
      </w:r>
      <w:r>
        <w:rPr>
          <w:rFonts w:cs="Times New Roman"/>
          <w:szCs w:val="22"/>
        </w:rPr>
        <w:t>情景运用解析模型进行模拟预测，以评价对地下水环境的影响。</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②</w:t>
      </w:r>
      <w:r>
        <w:rPr>
          <w:rFonts w:cs="Times New Roman"/>
          <w:kern w:val="2"/>
          <w:szCs w:val="20"/>
        </w:rPr>
        <w:t>预测方法</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本次评价采用解析法对地下水环境影响进行预测。</w:t>
      </w:r>
    </w:p>
    <w:p w:rsidR="00C645C9" w:rsidRDefault="00F955D9">
      <w:pPr>
        <w:pStyle w:val="WPSOffice1"/>
        <w:spacing w:line="360" w:lineRule="auto"/>
        <w:ind w:firstLine="480"/>
        <w:rPr>
          <w:kern w:val="2"/>
          <w:sz w:val="24"/>
        </w:rPr>
      </w:pPr>
      <w:r>
        <w:rPr>
          <w:kern w:val="2"/>
          <w:sz w:val="24"/>
        </w:rPr>
        <w:t>③</w:t>
      </w:r>
      <w:r>
        <w:rPr>
          <w:kern w:val="2"/>
          <w:sz w:val="24"/>
        </w:rPr>
        <w:t>预测范围及时间</w:t>
      </w:r>
    </w:p>
    <w:p w:rsidR="00C645C9" w:rsidRDefault="00F955D9">
      <w:pPr>
        <w:pStyle w:val="WPSOffice1"/>
        <w:spacing w:line="360" w:lineRule="auto"/>
        <w:ind w:firstLine="480"/>
        <w:rPr>
          <w:kern w:val="2"/>
          <w:sz w:val="24"/>
        </w:rPr>
      </w:pPr>
      <w:r>
        <w:rPr>
          <w:kern w:val="2"/>
          <w:sz w:val="24"/>
        </w:rPr>
        <w:t>本次影响预测范围与调查评价范围一致，根据地表渗透污染特点，预测层位为第四系潜水含水层。</w:t>
      </w:r>
    </w:p>
    <w:p w:rsidR="00C645C9" w:rsidRDefault="00F955D9">
      <w:pPr>
        <w:spacing w:line="360" w:lineRule="auto"/>
        <w:ind w:firstLineChars="200" w:firstLine="480"/>
        <w:rPr>
          <w:rFonts w:cs="Times New Roman"/>
          <w:szCs w:val="22"/>
        </w:rPr>
      </w:pPr>
      <w:r>
        <w:rPr>
          <w:rFonts w:cs="Times New Roman"/>
          <w:szCs w:val="22"/>
        </w:rPr>
        <w:t>根据项目特点，预测时段</w:t>
      </w:r>
      <w:r>
        <w:rPr>
          <w:rFonts w:cs="Times New Roman"/>
          <w:szCs w:val="22"/>
        </w:rPr>
        <w:t>选取</w:t>
      </w:r>
      <w:r>
        <w:rPr>
          <w:rFonts w:cs="Times New Roman"/>
          <w:szCs w:val="22"/>
        </w:rPr>
        <w:t>污染发生后</w:t>
      </w:r>
      <w:r>
        <w:rPr>
          <w:rFonts w:cs="Times New Roman"/>
          <w:szCs w:val="22"/>
        </w:rPr>
        <w:t>1d</w:t>
      </w:r>
      <w:r>
        <w:rPr>
          <w:rFonts w:cs="Times New Roman"/>
          <w:szCs w:val="22"/>
        </w:rPr>
        <w:t>、</w:t>
      </w:r>
      <w:r>
        <w:rPr>
          <w:rFonts w:cs="Times New Roman"/>
          <w:szCs w:val="22"/>
        </w:rPr>
        <w:t>100d</w:t>
      </w:r>
      <w:r>
        <w:rPr>
          <w:rFonts w:cs="Times New Roman"/>
          <w:szCs w:val="22"/>
        </w:rPr>
        <w:t>、</w:t>
      </w:r>
      <w:r>
        <w:rPr>
          <w:rFonts w:cs="Times New Roman"/>
          <w:szCs w:val="22"/>
        </w:rPr>
        <w:t>1000d</w:t>
      </w:r>
      <w:r>
        <w:rPr>
          <w:rFonts w:cs="Times New Roman"/>
          <w:szCs w:val="22"/>
        </w:rPr>
        <w:t>，</w:t>
      </w:r>
      <w:r>
        <w:rPr>
          <w:rFonts w:cs="Times New Roman"/>
          <w:szCs w:val="22"/>
        </w:rPr>
        <w:t>1825</w:t>
      </w:r>
      <w:r>
        <w:rPr>
          <w:rFonts w:cs="Times New Roman"/>
          <w:szCs w:val="22"/>
        </w:rPr>
        <w:t>d</w:t>
      </w:r>
      <w:r>
        <w:rPr>
          <w:rFonts w:cs="Times New Roman"/>
          <w:szCs w:val="22"/>
        </w:rPr>
        <w:t>（</w:t>
      </w:r>
      <w:r>
        <w:rPr>
          <w:rFonts w:cs="Times New Roman"/>
          <w:szCs w:val="22"/>
        </w:rPr>
        <w:t>5</w:t>
      </w:r>
      <w:r>
        <w:rPr>
          <w:rFonts w:cs="Times New Roman"/>
          <w:szCs w:val="22"/>
        </w:rPr>
        <w:t>年</w:t>
      </w:r>
      <w:r>
        <w:rPr>
          <w:rFonts w:cs="Times New Roman"/>
          <w:szCs w:val="22"/>
        </w:rPr>
        <w:t>）</w:t>
      </w:r>
      <w:r>
        <w:rPr>
          <w:rFonts w:cs="Times New Roman"/>
          <w:szCs w:val="22"/>
        </w:rPr>
        <w:t>。</w:t>
      </w:r>
    </w:p>
    <w:p w:rsidR="00C645C9" w:rsidRDefault="00F955D9">
      <w:pPr>
        <w:spacing w:line="360" w:lineRule="auto"/>
        <w:ind w:firstLineChars="200" w:firstLine="480"/>
        <w:rPr>
          <w:rFonts w:cs="Times New Roman"/>
          <w:szCs w:val="22"/>
        </w:rPr>
      </w:pPr>
      <w:r>
        <w:rPr>
          <w:rFonts w:cs="Times New Roman"/>
          <w:szCs w:val="22"/>
        </w:rPr>
        <w:t>④</w:t>
      </w:r>
      <w:r>
        <w:rPr>
          <w:rFonts w:cs="Times New Roman"/>
          <w:szCs w:val="22"/>
        </w:rPr>
        <w:t>预测因子</w:t>
      </w:r>
    </w:p>
    <w:p w:rsidR="00C645C9" w:rsidRDefault="00F955D9">
      <w:pPr>
        <w:widowControl w:val="0"/>
        <w:spacing w:line="360" w:lineRule="auto"/>
        <w:ind w:firstLineChars="200" w:firstLine="480"/>
        <w:rPr>
          <w:rFonts w:cs="Times New Roman"/>
          <w:szCs w:val="22"/>
        </w:rPr>
      </w:pPr>
      <w:r>
        <w:rPr>
          <w:rFonts w:cs="Times New Roman"/>
          <w:szCs w:val="22"/>
          <w:lang w:bidi="ar"/>
        </w:rPr>
        <w:t>结合前文分析，凝析油储罐（多功能储集器）泄漏，根据污染指数，</w:t>
      </w:r>
      <w:r>
        <w:rPr>
          <w:rFonts w:cs="Times New Roman"/>
          <w:szCs w:val="22"/>
        </w:rPr>
        <w:t>选取</w:t>
      </w:r>
      <w:r>
        <w:rPr>
          <w:rFonts w:cs="Times New Roman"/>
          <w:szCs w:val="22"/>
        </w:rPr>
        <w:t>泄漏后影响相对最大的</w:t>
      </w:r>
      <w:r>
        <w:rPr>
          <w:rFonts w:cs="Times New Roman"/>
          <w:szCs w:val="22"/>
        </w:rPr>
        <w:t>特征污染物石油类作为代表性污染物进行预测。</w:t>
      </w:r>
    </w:p>
    <w:p w:rsidR="00C645C9" w:rsidRDefault="00F955D9">
      <w:pPr>
        <w:widowControl w:val="0"/>
        <w:spacing w:line="360" w:lineRule="auto"/>
        <w:ind w:firstLineChars="200" w:firstLine="480"/>
        <w:rPr>
          <w:rFonts w:cs="Times New Roman"/>
          <w:szCs w:val="22"/>
        </w:rPr>
      </w:pPr>
      <w:r>
        <w:rPr>
          <w:rFonts w:cs="Times New Roman"/>
          <w:szCs w:val="22"/>
        </w:rPr>
        <w:t>⑤</w:t>
      </w:r>
      <w:r>
        <w:rPr>
          <w:rFonts w:cs="Times New Roman"/>
          <w:szCs w:val="22"/>
        </w:rPr>
        <w:t>预测源强及参数</w:t>
      </w:r>
    </w:p>
    <w:p w:rsidR="00C645C9" w:rsidRDefault="00F955D9">
      <w:pPr>
        <w:widowControl w:val="0"/>
        <w:spacing w:line="360" w:lineRule="auto"/>
        <w:ind w:firstLineChars="200" w:firstLine="480"/>
        <w:jc w:val="both"/>
        <w:rPr>
          <w:rFonts w:cs="Times New Roman"/>
          <w:kern w:val="2"/>
        </w:rPr>
      </w:pPr>
      <w:r>
        <w:rPr>
          <w:rFonts w:cs="Times New Roman"/>
          <w:szCs w:val="22"/>
          <w:lang w:bidi="ar"/>
        </w:rPr>
        <w:t>根据环境风险影响章节，单个</w:t>
      </w:r>
      <w:r>
        <w:rPr>
          <w:rFonts w:cs="Times New Roman"/>
          <w:szCs w:val="22"/>
          <w:lang w:bidi="ar"/>
        </w:rPr>
        <w:t>80m³</w:t>
      </w:r>
      <w:r>
        <w:rPr>
          <w:rFonts w:cs="Times New Roman"/>
          <w:szCs w:val="22"/>
          <w:lang w:bidi="ar"/>
        </w:rPr>
        <w:t>的凝析油储罐一次事故最大泄漏量约</w:t>
      </w:r>
      <w:r>
        <w:rPr>
          <w:rFonts w:cs="Times New Roman"/>
          <w:szCs w:val="22"/>
          <w:lang w:bidi="ar"/>
        </w:rPr>
        <w:t>62.584t</w:t>
      </w:r>
      <w:r>
        <w:rPr>
          <w:rFonts w:cs="Times New Roman"/>
          <w:szCs w:val="22"/>
          <w:lang w:bidi="ar"/>
        </w:rPr>
        <w:t>。而</w:t>
      </w:r>
      <w:r>
        <w:rPr>
          <w:rFonts w:cs="Times New Roman"/>
          <w:kern w:val="2"/>
        </w:rPr>
        <w:t>包气带中的土壤颗粒可以通过吸附、分配、离子交换</w:t>
      </w:r>
      <w:r>
        <w:rPr>
          <w:rFonts w:cs="Times New Roman"/>
          <w:kern w:val="2"/>
        </w:rPr>
        <w:t>、</w:t>
      </w:r>
      <w:r>
        <w:rPr>
          <w:rFonts w:cs="Times New Roman"/>
          <w:kern w:val="2"/>
        </w:rPr>
        <w:t>生物作用</w:t>
      </w:r>
      <w:r>
        <w:rPr>
          <w:rFonts w:cs="Times New Roman"/>
          <w:kern w:val="2"/>
        </w:rPr>
        <w:t>等多种作用机制截留有机污染物。</w:t>
      </w:r>
      <w:r>
        <w:rPr>
          <w:rFonts w:cs="Times New Roman"/>
          <w:szCs w:val="22"/>
        </w:rPr>
        <w:t>根据</w:t>
      </w:r>
      <w:r>
        <w:rPr>
          <w:rFonts w:cs="Times New Roman"/>
          <w:szCs w:val="22"/>
        </w:rPr>
        <w:t>凝析油特点，</w:t>
      </w:r>
      <w:r>
        <w:rPr>
          <w:rFonts w:cs="Times New Roman"/>
          <w:szCs w:val="22"/>
        </w:rPr>
        <w:t>石油类</w:t>
      </w:r>
      <w:r>
        <w:rPr>
          <w:rFonts w:cs="Times New Roman"/>
          <w:szCs w:val="22"/>
        </w:rPr>
        <w:t>污染物</w:t>
      </w:r>
      <w:r>
        <w:rPr>
          <w:rFonts w:cs="Times New Roman"/>
          <w:szCs w:val="22"/>
        </w:rPr>
        <w:t>很难在土壤剖面中</w:t>
      </w:r>
      <w:r>
        <w:rPr>
          <w:rFonts w:cs="Times New Roman"/>
          <w:szCs w:val="22"/>
        </w:rPr>
        <w:lastRenderedPageBreak/>
        <w:t>随水下渗迁移，基本上被截留在</w:t>
      </w:r>
      <w:r>
        <w:rPr>
          <w:rFonts w:cs="Times New Roman"/>
          <w:szCs w:val="22"/>
        </w:rPr>
        <w:t>0~10cm</w:t>
      </w:r>
      <w:r>
        <w:rPr>
          <w:rFonts w:cs="Times New Roman"/>
          <w:szCs w:val="22"/>
        </w:rPr>
        <w:t>或</w:t>
      </w:r>
      <w:r>
        <w:rPr>
          <w:rFonts w:cs="Times New Roman"/>
          <w:szCs w:val="22"/>
        </w:rPr>
        <w:t xml:space="preserve">0 ~20cm </w:t>
      </w:r>
      <w:r>
        <w:rPr>
          <w:rFonts w:cs="Times New Roman"/>
          <w:szCs w:val="22"/>
        </w:rPr>
        <w:t>表层土壤中，其中表层</w:t>
      </w:r>
      <w:r>
        <w:rPr>
          <w:rFonts w:cs="Times New Roman"/>
          <w:szCs w:val="22"/>
        </w:rPr>
        <w:t>0~5cm</w:t>
      </w:r>
      <w:r>
        <w:rPr>
          <w:rFonts w:cs="Times New Roman"/>
          <w:szCs w:val="22"/>
        </w:rPr>
        <w:t>土壤截留了</w:t>
      </w:r>
      <w:r>
        <w:rPr>
          <w:rFonts w:cs="Times New Roman"/>
          <w:szCs w:val="22"/>
        </w:rPr>
        <w:t>90%</w:t>
      </w:r>
      <w:r>
        <w:rPr>
          <w:rFonts w:cs="Times New Roman"/>
          <w:szCs w:val="22"/>
        </w:rPr>
        <w:t>以上的输入凝析油。</w:t>
      </w:r>
      <w:r>
        <w:rPr>
          <w:rFonts w:cs="Times New Roman"/>
          <w:kern w:val="2"/>
        </w:rPr>
        <w:t>本次考虑</w:t>
      </w:r>
      <w:r>
        <w:rPr>
          <w:rFonts w:cs="Times New Roman"/>
          <w:kern w:val="2"/>
        </w:rPr>
        <w:t>较</w:t>
      </w:r>
      <w:r>
        <w:rPr>
          <w:rFonts w:cs="Times New Roman"/>
          <w:kern w:val="2"/>
        </w:rPr>
        <w:t>不利情况，</w:t>
      </w:r>
      <w:r>
        <w:rPr>
          <w:rFonts w:cs="Times New Roman"/>
          <w:kern w:val="2"/>
        </w:rPr>
        <w:t>按照</w:t>
      </w:r>
      <w:r>
        <w:rPr>
          <w:rFonts w:cs="Times New Roman"/>
          <w:kern w:val="2"/>
        </w:rPr>
        <w:t>泄漏</w:t>
      </w:r>
      <w:r>
        <w:rPr>
          <w:rFonts w:cs="Times New Roman"/>
          <w:kern w:val="2"/>
        </w:rPr>
        <w:t>的污染物</w:t>
      </w:r>
      <w:r>
        <w:rPr>
          <w:rFonts w:cs="Times New Roman"/>
          <w:kern w:val="2"/>
        </w:rPr>
        <w:t>10</w:t>
      </w:r>
      <w:r>
        <w:rPr>
          <w:rFonts w:cs="Times New Roman"/>
          <w:kern w:val="2"/>
        </w:rPr>
        <w:t>％（</w:t>
      </w:r>
      <w:r>
        <w:rPr>
          <w:rFonts w:cs="Times New Roman"/>
          <w:kern w:val="2"/>
        </w:rPr>
        <w:t>6.26t</w:t>
      </w:r>
      <w:r>
        <w:rPr>
          <w:rFonts w:cs="Times New Roman"/>
          <w:kern w:val="2"/>
        </w:rPr>
        <w:t>）通过</w:t>
      </w:r>
      <w:r>
        <w:rPr>
          <w:rFonts w:cs="Times New Roman"/>
          <w:kern w:val="2"/>
        </w:rPr>
        <w:t>地表连续入渗通过包气带土壤</w:t>
      </w:r>
      <w:r>
        <w:rPr>
          <w:rFonts w:cs="Times New Roman"/>
          <w:kern w:val="2"/>
        </w:rPr>
        <w:t>全部</w:t>
      </w:r>
      <w:r>
        <w:rPr>
          <w:rFonts w:cs="Times New Roman"/>
          <w:kern w:val="2"/>
        </w:rPr>
        <w:t>进入到地下水含水层中，针对污染物进入到含水层后的运移进行重点预测、评价。</w:t>
      </w:r>
    </w:p>
    <w:p w:rsidR="00C645C9" w:rsidRDefault="00F955D9">
      <w:pPr>
        <w:pStyle w:val="affff7"/>
        <w:widowControl w:val="0"/>
        <w:spacing w:beforeLines="0" w:before="0" w:afterLines="0" w:after="0"/>
        <w:ind w:firstLineChars="200" w:firstLine="420"/>
        <w:rPr>
          <w:rFonts w:eastAsia="黑体" w:cs="Times New Roman"/>
          <w:b w:val="0"/>
          <w:bCs/>
          <w:color w:val="auto"/>
          <w:kern w:val="2"/>
          <w:sz w:val="24"/>
        </w:rPr>
      </w:pPr>
      <w:r>
        <w:rPr>
          <w:rFonts w:eastAsia="黑体" w:cs="Times New Roman"/>
          <w:b w:val="0"/>
          <w:bCs/>
          <w:color w:val="auto"/>
          <w:kern w:val="2"/>
          <w:szCs w:val="21"/>
          <w:lang w:val="en-US"/>
        </w:rPr>
        <w:t>表</w:t>
      </w:r>
      <w:r>
        <w:rPr>
          <w:rFonts w:eastAsia="黑体" w:cs="Times New Roman"/>
          <w:b w:val="0"/>
          <w:bCs/>
          <w:color w:val="auto"/>
          <w:kern w:val="2"/>
          <w:szCs w:val="21"/>
          <w:lang w:val="en-US"/>
        </w:rPr>
        <w:t xml:space="preserve">5.2-4   </w:t>
      </w:r>
      <w:r>
        <w:rPr>
          <w:rFonts w:eastAsia="黑体" w:cs="Times New Roman"/>
          <w:b w:val="0"/>
          <w:bCs/>
          <w:color w:val="auto"/>
          <w:kern w:val="2"/>
          <w:szCs w:val="21"/>
          <w:lang w:val="en-US"/>
        </w:rPr>
        <w:t>水质预测模型所需参数一览表（情景</w:t>
      </w:r>
      <w:r>
        <w:rPr>
          <w:rFonts w:eastAsia="黑体" w:cs="Times New Roman"/>
          <w:b w:val="0"/>
          <w:bCs/>
          <w:color w:val="auto"/>
          <w:kern w:val="2"/>
          <w:szCs w:val="21"/>
          <w:lang w:val="en-US"/>
        </w:rPr>
        <w:t>2</w:t>
      </w:r>
      <w:r>
        <w:rPr>
          <w:rFonts w:eastAsia="黑体" w:cs="Times New Roman"/>
          <w:b w:val="0"/>
          <w:bCs/>
          <w:color w:val="auto"/>
          <w:kern w:val="2"/>
          <w:szCs w:val="21"/>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706"/>
        <w:gridCol w:w="1502"/>
        <w:gridCol w:w="1035"/>
        <w:gridCol w:w="4805"/>
      </w:tblGrid>
      <w:tr w:rsidR="00C645C9">
        <w:trPr>
          <w:trHeight w:val="17"/>
          <w:tblHeader/>
          <w:jc w:val="center"/>
        </w:trPr>
        <w:tc>
          <w:tcPr>
            <w:tcW w:w="278"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序号</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参数符号</w:t>
            </w:r>
          </w:p>
        </w:tc>
        <w:tc>
          <w:tcPr>
            <w:tcW w:w="881"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参数名称</w:t>
            </w:r>
          </w:p>
        </w:tc>
        <w:tc>
          <w:tcPr>
            <w:tcW w:w="607"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参数</w:t>
            </w:r>
          </w:p>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数值</w:t>
            </w:r>
          </w:p>
        </w:tc>
        <w:tc>
          <w:tcPr>
            <w:tcW w:w="2818"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数值来源</w:t>
            </w:r>
          </w:p>
        </w:tc>
      </w:tr>
      <w:tr w:rsidR="00C645C9">
        <w:trPr>
          <w:trHeight w:val="17"/>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1</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u</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水流速度</w:t>
            </w:r>
          </w:p>
        </w:tc>
        <w:tc>
          <w:tcPr>
            <w:tcW w:w="607"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0.11m/d</w:t>
            </w:r>
          </w:p>
        </w:tc>
        <w:tc>
          <w:tcPr>
            <w:tcW w:w="2818"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同情景</w:t>
            </w:r>
            <w:r>
              <w:rPr>
                <w:rFonts w:cs="Times New Roman"/>
                <w:sz w:val="21"/>
                <w:szCs w:val="21"/>
                <w:lang w:bidi="zh-CN"/>
              </w:rPr>
              <w:t>1</w:t>
            </w:r>
          </w:p>
        </w:tc>
      </w:tr>
      <w:tr w:rsidR="00C645C9">
        <w:trPr>
          <w:trHeight w:val="17"/>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2</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D</w:t>
            </w:r>
            <w:r>
              <w:rPr>
                <w:rFonts w:cs="Times New Roman"/>
                <w:sz w:val="21"/>
                <w:szCs w:val="21"/>
                <w:vertAlign w:val="subscript"/>
                <w:lang w:val="zh-CN" w:bidi="zh-CN"/>
              </w:rPr>
              <w:t>L</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纵向弥散系数</w:t>
            </w:r>
          </w:p>
        </w:tc>
        <w:tc>
          <w:tcPr>
            <w:tcW w:w="607"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1.1</w:t>
            </w:r>
            <w:r>
              <w:rPr>
                <w:rFonts w:cs="Times New Roman"/>
                <w:sz w:val="21"/>
                <w:szCs w:val="21"/>
                <w:lang w:val="zh-CN" w:bidi="zh-CN"/>
              </w:rPr>
              <w:t>m</w:t>
            </w:r>
            <w:r>
              <w:rPr>
                <w:rFonts w:cs="Times New Roman"/>
                <w:sz w:val="21"/>
                <w:szCs w:val="21"/>
                <w:vertAlign w:val="superscript"/>
                <w:lang w:val="zh-CN" w:bidi="zh-CN"/>
              </w:rPr>
              <w:t>2</w:t>
            </w:r>
            <w:r>
              <w:rPr>
                <w:rFonts w:cs="Times New Roman"/>
                <w:sz w:val="21"/>
                <w:szCs w:val="21"/>
                <w:lang w:val="zh-CN" w:bidi="zh-CN"/>
              </w:rPr>
              <w:t>/d</w:t>
            </w:r>
          </w:p>
        </w:tc>
        <w:tc>
          <w:tcPr>
            <w:tcW w:w="281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同情景</w:t>
            </w:r>
            <w:r>
              <w:rPr>
                <w:rFonts w:cs="Times New Roman"/>
                <w:sz w:val="21"/>
                <w:szCs w:val="21"/>
                <w:lang w:bidi="zh-CN"/>
              </w:rPr>
              <w:t>1</w:t>
            </w:r>
          </w:p>
        </w:tc>
      </w:tr>
      <w:tr w:rsidR="00C645C9">
        <w:trPr>
          <w:trHeight w:val="90"/>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3</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bidi="zh-CN"/>
              </w:rPr>
            </w:pPr>
            <w:r>
              <w:rPr>
                <w:rFonts w:cs="Times New Roman"/>
                <w:sz w:val="21"/>
                <w:szCs w:val="21"/>
                <w:lang w:val="zh-CN" w:bidi="zh-CN"/>
              </w:rPr>
              <w:t>D</w:t>
            </w:r>
            <w:r>
              <w:rPr>
                <w:rFonts w:cs="Times New Roman"/>
                <w:sz w:val="21"/>
                <w:szCs w:val="21"/>
                <w:vertAlign w:val="subscript"/>
                <w:lang w:bidi="zh-CN"/>
              </w:rPr>
              <w:t>T</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横向</w:t>
            </w:r>
            <w:r>
              <w:rPr>
                <w:rFonts w:cs="Times New Roman"/>
                <w:sz w:val="21"/>
                <w:szCs w:val="21"/>
                <w:lang w:val="zh-CN" w:bidi="zh-CN"/>
              </w:rPr>
              <w:t>弥散系数</w:t>
            </w:r>
          </w:p>
        </w:tc>
        <w:tc>
          <w:tcPr>
            <w:tcW w:w="607"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0.11</w:t>
            </w:r>
            <w:r>
              <w:rPr>
                <w:rFonts w:cs="Times New Roman"/>
                <w:sz w:val="21"/>
                <w:szCs w:val="21"/>
                <w:lang w:val="zh-CN" w:bidi="zh-CN"/>
              </w:rPr>
              <w:t>m</w:t>
            </w:r>
            <w:r>
              <w:rPr>
                <w:rFonts w:cs="Times New Roman"/>
                <w:sz w:val="21"/>
                <w:szCs w:val="21"/>
                <w:vertAlign w:val="superscript"/>
                <w:lang w:val="zh-CN" w:bidi="zh-CN"/>
              </w:rPr>
              <w:t>2</w:t>
            </w:r>
            <w:r>
              <w:rPr>
                <w:rFonts w:cs="Times New Roman"/>
                <w:sz w:val="21"/>
                <w:szCs w:val="21"/>
                <w:lang w:val="zh-CN" w:bidi="zh-CN"/>
              </w:rPr>
              <w:t>/d</w:t>
            </w:r>
          </w:p>
        </w:tc>
        <w:tc>
          <w:tcPr>
            <w:tcW w:w="281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依据美国环保署（</w:t>
            </w:r>
            <w:r>
              <w:rPr>
                <w:rFonts w:cs="Times New Roman"/>
                <w:sz w:val="21"/>
                <w:szCs w:val="21"/>
                <w:lang w:val="zh-CN" w:bidi="zh-CN"/>
              </w:rPr>
              <w:t>EPA</w:t>
            </w:r>
            <w:r>
              <w:rPr>
                <w:rFonts w:cs="Times New Roman"/>
                <w:sz w:val="21"/>
                <w:szCs w:val="21"/>
                <w:lang w:val="zh-CN" w:bidi="zh-CN"/>
              </w:rPr>
              <w:t>）提出的经验数据：横</w:t>
            </w:r>
            <w:r>
              <w:rPr>
                <w:rFonts w:cs="Times New Roman"/>
                <w:sz w:val="21"/>
                <w:szCs w:val="21"/>
                <w:lang w:val="zh-CN" w:bidi="zh-CN"/>
              </w:rPr>
              <w:t>/</w:t>
            </w:r>
            <w:r>
              <w:rPr>
                <w:rFonts w:cs="Times New Roman"/>
                <w:sz w:val="21"/>
                <w:szCs w:val="21"/>
                <w:lang w:val="zh-CN" w:bidi="zh-CN"/>
              </w:rPr>
              <w:t>纵向弥散度比（</w:t>
            </w:r>
            <w:r>
              <w:rPr>
                <w:rFonts w:cs="Times New Roman"/>
                <w:sz w:val="21"/>
                <w:szCs w:val="21"/>
                <w:lang w:val="zh-CN" w:bidi="zh-CN"/>
              </w:rPr>
              <w:t>D</w:t>
            </w:r>
            <w:r>
              <w:rPr>
                <w:rFonts w:cs="Times New Roman"/>
                <w:sz w:val="21"/>
                <w:szCs w:val="21"/>
                <w:vertAlign w:val="subscript"/>
                <w:lang w:val="zh-CN" w:bidi="zh-CN"/>
              </w:rPr>
              <w:t>T</w:t>
            </w:r>
            <w:r>
              <w:rPr>
                <w:rFonts w:cs="Times New Roman"/>
                <w:sz w:val="21"/>
                <w:szCs w:val="21"/>
                <w:lang w:val="zh-CN" w:bidi="zh-CN"/>
              </w:rPr>
              <w:t>/D</w:t>
            </w:r>
            <w:r>
              <w:rPr>
                <w:rFonts w:cs="Times New Roman"/>
                <w:sz w:val="21"/>
                <w:szCs w:val="21"/>
                <w:vertAlign w:val="subscript"/>
                <w:lang w:val="zh-CN" w:bidi="zh-CN"/>
              </w:rPr>
              <w:t>L</w:t>
            </w:r>
            <w:r>
              <w:rPr>
                <w:rFonts w:cs="Times New Roman"/>
                <w:sz w:val="21"/>
                <w:szCs w:val="21"/>
                <w:lang w:val="zh-CN" w:bidi="zh-CN"/>
              </w:rPr>
              <w:t>）一般为</w:t>
            </w:r>
            <w:r>
              <w:rPr>
                <w:rFonts w:cs="Times New Roman"/>
                <w:sz w:val="21"/>
                <w:szCs w:val="21"/>
                <w:lang w:val="zh-CN" w:bidi="zh-CN"/>
              </w:rPr>
              <w:t>0.1</w:t>
            </w:r>
            <w:r>
              <w:rPr>
                <w:rFonts w:cs="Times New Roman"/>
                <w:sz w:val="21"/>
                <w:szCs w:val="21"/>
                <w:lang w:val="zh-CN" w:bidi="zh-CN"/>
              </w:rPr>
              <w:t>，则横向弥散系数为</w:t>
            </w:r>
            <w:r>
              <w:rPr>
                <w:rFonts w:cs="Times New Roman"/>
                <w:sz w:val="21"/>
                <w:szCs w:val="21"/>
                <w:lang w:val="zh-CN" w:bidi="zh-CN"/>
              </w:rPr>
              <w:t>0.</w:t>
            </w:r>
            <w:r>
              <w:rPr>
                <w:rFonts w:cs="Times New Roman"/>
                <w:sz w:val="21"/>
                <w:szCs w:val="21"/>
                <w:lang w:bidi="zh-CN"/>
              </w:rPr>
              <w:t>11</w:t>
            </w:r>
            <w:r>
              <w:rPr>
                <w:rFonts w:cs="Times New Roman"/>
                <w:sz w:val="21"/>
                <w:szCs w:val="21"/>
                <w:lang w:val="zh-CN" w:bidi="zh-CN"/>
              </w:rPr>
              <w:t>m</w:t>
            </w:r>
            <w:r>
              <w:rPr>
                <w:rFonts w:cs="Times New Roman"/>
                <w:sz w:val="21"/>
                <w:szCs w:val="21"/>
                <w:vertAlign w:val="superscript"/>
                <w:lang w:val="zh-CN" w:bidi="zh-CN"/>
              </w:rPr>
              <w:t>2</w:t>
            </w:r>
            <w:r>
              <w:rPr>
                <w:rFonts w:cs="Times New Roman"/>
                <w:sz w:val="21"/>
                <w:szCs w:val="21"/>
                <w:lang w:val="zh-CN" w:bidi="zh-CN"/>
              </w:rPr>
              <w:t>/d</w:t>
            </w:r>
            <w:r>
              <w:rPr>
                <w:rFonts w:cs="Times New Roman"/>
                <w:sz w:val="21"/>
                <w:szCs w:val="21"/>
                <w:lang w:val="zh-CN" w:bidi="zh-CN"/>
              </w:rPr>
              <w:t>。</w:t>
            </w:r>
          </w:p>
        </w:tc>
      </w:tr>
      <w:tr w:rsidR="00C645C9">
        <w:trPr>
          <w:trHeight w:val="465"/>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4</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bidi="zh-CN"/>
              </w:rPr>
              <w:t>M</w:t>
            </w:r>
          </w:p>
        </w:tc>
        <w:tc>
          <w:tcPr>
            <w:tcW w:w="881"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含水层厚度</w:t>
            </w:r>
          </w:p>
        </w:tc>
        <w:tc>
          <w:tcPr>
            <w:tcW w:w="607"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20</w:t>
            </w:r>
            <w:r>
              <w:rPr>
                <w:rFonts w:cs="Times New Roman"/>
                <w:sz w:val="21"/>
                <w:szCs w:val="21"/>
                <w:lang w:bidi="zh-CN"/>
              </w:rPr>
              <w:t>m</w:t>
            </w:r>
          </w:p>
        </w:tc>
        <w:tc>
          <w:tcPr>
            <w:tcW w:w="281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根据评价区水文地质资料，评价区内含水层厚度大于</w:t>
            </w:r>
            <w:r>
              <w:rPr>
                <w:rFonts w:cs="Times New Roman"/>
                <w:sz w:val="21"/>
                <w:szCs w:val="21"/>
                <w:lang w:bidi="zh-CN"/>
              </w:rPr>
              <w:t>20m</w:t>
            </w:r>
            <w:r>
              <w:rPr>
                <w:rFonts w:cs="Times New Roman"/>
                <w:sz w:val="21"/>
                <w:szCs w:val="21"/>
                <w:lang w:bidi="zh-CN"/>
              </w:rPr>
              <w:t>，</w:t>
            </w:r>
            <w:r>
              <w:rPr>
                <w:rFonts w:cs="Times New Roman"/>
                <w:bCs/>
                <w:sz w:val="21"/>
              </w:rPr>
              <w:t>含水层越薄，模型预测的污染物运移的影响程度越严重，故按最不利原则考虑，本次含水层厚度按</w:t>
            </w:r>
            <w:r>
              <w:rPr>
                <w:rFonts w:cs="Times New Roman"/>
                <w:bCs/>
                <w:sz w:val="21"/>
              </w:rPr>
              <w:t>20m</w:t>
            </w:r>
            <w:r>
              <w:rPr>
                <w:rFonts w:cs="Times New Roman"/>
                <w:bCs/>
                <w:sz w:val="21"/>
              </w:rPr>
              <w:t>进行预测。</w:t>
            </w:r>
          </w:p>
        </w:tc>
      </w:tr>
      <w:tr w:rsidR="00C645C9">
        <w:trPr>
          <w:trHeight w:val="17"/>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5</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n</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有效孔隙度</w:t>
            </w:r>
          </w:p>
        </w:tc>
        <w:tc>
          <w:tcPr>
            <w:tcW w:w="607"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32%</w:t>
            </w:r>
          </w:p>
        </w:tc>
        <w:tc>
          <w:tcPr>
            <w:tcW w:w="2818"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同情景</w:t>
            </w:r>
            <w:r>
              <w:rPr>
                <w:rFonts w:cs="Times New Roman"/>
                <w:sz w:val="21"/>
                <w:szCs w:val="21"/>
                <w:lang w:bidi="zh-CN"/>
              </w:rPr>
              <w:t>1</w:t>
            </w:r>
          </w:p>
        </w:tc>
      </w:tr>
      <w:tr w:rsidR="00C645C9">
        <w:trPr>
          <w:trHeight w:val="17"/>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6</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val="zh-CN" w:bidi="zh-CN"/>
              </w:rPr>
              <w:t>t</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时间</w:t>
            </w:r>
          </w:p>
        </w:tc>
        <w:tc>
          <w:tcPr>
            <w:tcW w:w="3425" w:type="pct"/>
            <w:gridSpan w:val="2"/>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val="zh-CN" w:bidi="zh-CN"/>
              </w:rPr>
              <w:t>计算发生渗漏后</w:t>
            </w:r>
            <w:r>
              <w:rPr>
                <w:rFonts w:cs="Times New Roman"/>
                <w:sz w:val="21"/>
                <w:szCs w:val="21"/>
                <w:lang w:bidi="zh-CN"/>
              </w:rPr>
              <w:t>1d</w:t>
            </w:r>
            <w:r>
              <w:rPr>
                <w:rFonts w:cs="Times New Roman"/>
                <w:sz w:val="21"/>
                <w:szCs w:val="21"/>
                <w:lang w:bidi="zh-CN"/>
              </w:rPr>
              <w:t>、</w:t>
            </w:r>
            <w:r>
              <w:rPr>
                <w:rFonts w:cs="Times New Roman"/>
                <w:sz w:val="21"/>
                <w:szCs w:val="21"/>
                <w:lang w:val="zh-CN" w:bidi="zh-CN"/>
              </w:rPr>
              <w:t>100d</w:t>
            </w:r>
            <w:r>
              <w:rPr>
                <w:rFonts w:cs="Times New Roman"/>
                <w:sz w:val="21"/>
                <w:szCs w:val="21"/>
                <w:lang w:val="zh-CN" w:bidi="zh-CN"/>
              </w:rPr>
              <w:t>、</w:t>
            </w:r>
            <w:r>
              <w:rPr>
                <w:rFonts w:cs="Times New Roman"/>
                <w:sz w:val="21"/>
                <w:szCs w:val="21"/>
                <w:lang w:bidi="zh-CN"/>
              </w:rPr>
              <w:t>1000</w:t>
            </w:r>
            <w:r>
              <w:rPr>
                <w:rFonts w:cs="Times New Roman"/>
                <w:sz w:val="21"/>
                <w:szCs w:val="21"/>
                <w:lang w:val="zh-CN" w:bidi="zh-CN"/>
              </w:rPr>
              <w:t>d</w:t>
            </w:r>
            <w:r>
              <w:rPr>
                <w:rFonts w:cs="Times New Roman"/>
                <w:sz w:val="21"/>
                <w:szCs w:val="21"/>
                <w:lang w:val="zh-CN" w:bidi="zh-CN"/>
              </w:rPr>
              <w:t>、</w:t>
            </w:r>
            <w:r>
              <w:rPr>
                <w:rFonts w:cs="Times New Roman"/>
                <w:sz w:val="21"/>
                <w:szCs w:val="21"/>
                <w:lang w:bidi="zh-CN"/>
              </w:rPr>
              <w:t>1825</w:t>
            </w:r>
            <w:r>
              <w:rPr>
                <w:rFonts w:cs="Times New Roman"/>
                <w:sz w:val="21"/>
                <w:szCs w:val="21"/>
                <w:lang w:val="zh-CN" w:bidi="zh-CN"/>
              </w:rPr>
              <w:t>d</w:t>
            </w:r>
            <w:r>
              <w:rPr>
                <w:rFonts w:cs="Times New Roman"/>
                <w:sz w:val="21"/>
                <w:szCs w:val="21"/>
                <w:lang w:val="zh-CN" w:bidi="zh-CN"/>
              </w:rPr>
              <w:t>后各预测点的浓度</w:t>
            </w:r>
          </w:p>
        </w:tc>
      </w:tr>
      <w:tr w:rsidR="00C645C9">
        <w:trPr>
          <w:trHeight w:val="17"/>
          <w:jc w:val="center"/>
        </w:trPr>
        <w:tc>
          <w:tcPr>
            <w:tcW w:w="278" w:type="pct"/>
            <w:vAlign w:val="center"/>
          </w:tcPr>
          <w:p w:rsidR="00C645C9" w:rsidRDefault="00F955D9">
            <w:pPr>
              <w:widowControl w:val="0"/>
              <w:autoSpaceDE w:val="0"/>
              <w:autoSpaceDN w:val="0"/>
              <w:adjustRightInd w:val="0"/>
              <w:snapToGrid w:val="0"/>
              <w:rPr>
                <w:rFonts w:cs="Times New Roman"/>
                <w:sz w:val="21"/>
                <w:szCs w:val="21"/>
                <w:lang w:bidi="zh-CN"/>
              </w:rPr>
            </w:pPr>
            <w:r>
              <w:rPr>
                <w:rFonts w:cs="Times New Roman"/>
                <w:sz w:val="21"/>
                <w:szCs w:val="21"/>
                <w:lang w:bidi="zh-CN"/>
              </w:rPr>
              <w:t>7</w:t>
            </w:r>
          </w:p>
        </w:tc>
        <w:tc>
          <w:tcPr>
            <w:tcW w:w="414" w:type="pct"/>
            <w:vAlign w:val="center"/>
          </w:tcPr>
          <w:p w:rsidR="00C645C9" w:rsidRDefault="00F955D9">
            <w:pPr>
              <w:widowControl w:val="0"/>
              <w:autoSpaceDE w:val="0"/>
              <w:autoSpaceDN w:val="0"/>
              <w:adjustRightInd w:val="0"/>
              <w:snapToGrid w:val="0"/>
              <w:jc w:val="center"/>
              <w:rPr>
                <w:rFonts w:cs="Times New Roman"/>
                <w:sz w:val="21"/>
                <w:szCs w:val="21"/>
                <w:lang w:val="zh-CN" w:bidi="zh-CN"/>
              </w:rPr>
            </w:pPr>
            <w:r>
              <w:rPr>
                <w:rFonts w:cs="Times New Roman"/>
                <w:sz w:val="21"/>
                <w:szCs w:val="21"/>
                <w:lang w:bidi="zh-CN"/>
              </w:rPr>
              <w:t>m</w:t>
            </w:r>
            <w:r>
              <w:rPr>
                <w:rFonts w:cs="Times New Roman"/>
                <w:sz w:val="21"/>
                <w:szCs w:val="21"/>
                <w:vertAlign w:val="subscript"/>
                <w:lang w:bidi="zh-CN"/>
              </w:rPr>
              <w:t>M</w:t>
            </w:r>
          </w:p>
        </w:tc>
        <w:tc>
          <w:tcPr>
            <w:tcW w:w="881" w:type="pct"/>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瞬时注入污染物的质量</w:t>
            </w:r>
          </w:p>
        </w:tc>
        <w:tc>
          <w:tcPr>
            <w:tcW w:w="3425" w:type="pct"/>
            <w:gridSpan w:val="2"/>
            <w:vAlign w:val="center"/>
          </w:tcPr>
          <w:p w:rsidR="00C645C9" w:rsidRDefault="00F955D9">
            <w:pPr>
              <w:widowControl w:val="0"/>
              <w:autoSpaceDE w:val="0"/>
              <w:autoSpaceDN w:val="0"/>
              <w:adjustRightInd w:val="0"/>
              <w:snapToGrid w:val="0"/>
              <w:rPr>
                <w:rFonts w:cs="Times New Roman"/>
                <w:sz w:val="21"/>
                <w:szCs w:val="21"/>
                <w:lang w:val="zh-CN" w:bidi="zh-CN"/>
              </w:rPr>
            </w:pPr>
            <w:r>
              <w:rPr>
                <w:rFonts w:cs="Times New Roman"/>
                <w:sz w:val="21"/>
                <w:szCs w:val="21"/>
                <w:lang w:bidi="zh-CN"/>
              </w:rPr>
              <w:t>根据前文计算，泄漏量取</w:t>
            </w:r>
            <w:r>
              <w:rPr>
                <w:rFonts w:cs="Times New Roman"/>
                <w:sz w:val="21"/>
                <w:szCs w:val="21"/>
                <w:lang w:bidi="zh-CN"/>
              </w:rPr>
              <w:t>6.26t</w:t>
            </w:r>
            <w:r>
              <w:rPr>
                <w:rFonts w:cs="Times New Roman"/>
                <w:sz w:val="21"/>
                <w:szCs w:val="21"/>
                <w:lang w:bidi="zh-CN"/>
              </w:rPr>
              <w:t>。</w:t>
            </w:r>
          </w:p>
        </w:tc>
      </w:tr>
    </w:tbl>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⑥</w:t>
      </w:r>
      <w:r>
        <w:rPr>
          <w:rFonts w:cs="Times New Roman"/>
          <w:kern w:val="2"/>
          <w:szCs w:val="20"/>
        </w:rPr>
        <w:t>预测模型</w:t>
      </w:r>
    </w:p>
    <w:p w:rsidR="00C645C9" w:rsidRDefault="00F955D9">
      <w:pPr>
        <w:widowControl w:val="0"/>
        <w:spacing w:line="360" w:lineRule="auto"/>
        <w:ind w:firstLineChars="200" w:firstLine="480"/>
        <w:rPr>
          <w:rFonts w:hAnsi="宋体"/>
          <w:szCs w:val="22"/>
        </w:rPr>
      </w:pPr>
      <w:r>
        <w:rPr>
          <w:rFonts w:hAnsi="宋体" w:hint="eastAsia"/>
          <w:szCs w:val="22"/>
        </w:rPr>
        <w:t>非正常状况下，污染物运移通常可概化为两个相互衔接的过程：①污染物由地表垂直向下穿过包气带进入潜水含水层的过程</w:t>
      </w:r>
      <w:r>
        <w:rPr>
          <w:rFonts w:hAnsi="宋体" w:hint="eastAsia"/>
          <w:szCs w:val="22"/>
        </w:rPr>
        <w:t>。</w:t>
      </w:r>
      <w:r>
        <w:rPr>
          <w:rFonts w:hAnsi="宋体" w:hint="eastAsia"/>
          <w:szCs w:val="22"/>
        </w:rPr>
        <w:t>②石油类污染物进入潜水含水层后，随地下水流进行迁移的过程。污染物在潜水含水层中随着水流不断扩散，根据</w:t>
      </w:r>
      <w:r>
        <w:rPr>
          <w:rFonts w:hint="eastAsia"/>
          <w:szCs w:val="22"/>
        </w:rPr>
        <w:t>拟建项目</w:t>
      </w:r>
      <w:r>
        <w:rPr>
          <w:rFonts w:hAnsi="宋体" w:hint="eastAsia"/>
          <w:szCs w:val="22"/>
        </w:rPr>
        <w:t>非正常状况下污染源排放形式与排放规律，本次模型可概化为一维稳定流动二维水动力弥散问题的瞬时注入污染物</w:t>
      </w:r>
      <w:r>
        <w:rPr>
          <w:rFonts w:hAnsi="宋体"/>
          <w:szCs w:val="22"/>
        </w:rPr>
        <w:t>—</w:t>
      </w:r>
      <w:r>
        <w:rPr>
          <w:rFonts w:hAnsi="宋体" w:hint="eastAsia"/>
          <w:szCs w:val="22"/>
        </w:rPr>
        <w:t>平面瞬时</w:t>
      </w:r>
      <w:r>
        <w:rPr>
          <w:rFonts w:hAnsi="宋体" w:hint="eastAsia"/>
          <w:szCs w:val="22"/>
        </w:rPr>
        <w:t>点源的预测模型，其主要假设条件为：</w:t>
      </w:r>
    </w:p>
    <w:p w:rsidR="00C645C9" w:rsidRDefault="00F955D9">
      <w:pPr>
        <w:widowControl w:val="0"/>
        <w:spacing w:line="360" w:lineRule="auto"/>
        <w:ind w:firstLineChars="200" w:firstLine="480"/>
        <w:rPr>
          <w:rFonts w:hAnsi="宋体"/>
          <w:szCs w:val="22"/>
        </w:rPr>
      </w:pPr>
      <w:r>
        <w:rPr>
          <w:rFonts w:hAnsi="宋体" w:hint="eastAsia"/>
          <w:szCs w:val="22"/>
        </w:rPr>
        <w:t>a.</w:t>
      </w:r>
      <w:r>
        <w:rPr>
          <w:rFonts w:hAnsi="宋体" w:hint="eastAsia"/>
          <w:szCs w:val="22"/>
        </w:rPr>
        <w:t>假定含水层等厚，均质，并在平面无限分布，含水层的厚度、宽度和长度比可忽略；</w:t>
      </w:r>
    </w:p>
    <w:p w:rsidR="00C645C9" w:rsidRDefault="00F955D9">
      <w:pPr>
        <w:widowControl w:val="0"/>
        <w:spacing w:line="360" w:lineRule="auto"/>
        <w:ind w:firstLineChars="200" w:firstLine="480"/>
        <w:rPr>
          <w:rFonts w:hAnsi="宋体"/>
          <w:szCs w:val="22"/>
        </w:rPr>
      </w:pPr>
      <w:r>
        <w:rPr>
          <w:rFonts w:hAnsi="宋体" w:hint="eastAsia"/>
          <w:szCs w:val="22"/>
        </w:rPr>
        <w:t>b.</w:t>
      </w:r>
      <w:r>
        <w:rPr>
          <w:rFonts w:hAnsi="宋体" w:hint="eastAsia"/>
          <w:szCs w:val="22"/>
        </w:rPr>
        <w:t>假定定量的定浓度的污水，在极短时间内注入整个含水层的厚度范围；</w:t>
      </w:r>
    </w:p>
    <w:p w:rsidR="00C645C9" w:rsidRDefault="00F955D9">
      <w:pPr>
        <w:widowControl w:val="0"/>
        <w:spacing w:line="360" w:lineRule="auto"/>
        <w:ind w:firstLineChars="200" w:firstLine="480"/>
        <w:rPr>
          <w:rFonts w:hAnsi="宋体"/>
          <w:szCs w:val="22"/>
        </w:rPr>
      </w:pPr>
      <w:r>
        <w:rPr>
          <w:rFonts w:hAnsi="宋体" w:hint="eastAsia"/>
          <w:szCs w:val="22"/>
        </w:rPr>
        <w:t>c.</w:t>
      </w:r>
      <w:r>
        <w:rPr>
          <w:rFonts w:hAnsi="宋体" w:hint="eastAsia"/>
          <w:szCs w:val="22"/>
        </w:rPr>
        <w:t>污水的注入对含水层内的天然流场不产生影响。</w:t>
      </w:r>
    </w:p>
    <w:p w:rsidR="00C645C9" w:rsidRDefault="00F955D9">
      <w:pPr>
        <w:widowControl w:val="0"/>
        <w:spacing w:line="360" w:lineRule="auto"/>
        <w:ind w:firstLineChars="200" w:firstLine="480"/>
        <w:rPr>
          <w:rFonts w:hAnsi="宋体"/>
        </w:rPr>
      </w:pPr>
      <w:r>
        <w:rPr>
          <w:rFonts w:hAnsi="宋体" w:hint="eastAsia"/>
          <w:szCs w:val="22"/>
        </w:rPr>
        <w:t>根据《环境影响评价技术导则</w:t>
      </w:r>
      <w:r>
        <w:rPr>
          <w:rFonts w:hAnsi="宋体" w:hint="eastAsia"/>
          <w:szCs w:val="22"/>
        </w:rPr>
        <w:t xml:space="preserve"> </w:t>
      </w:r>
      <w:r>
        <w:rPr>
          <w:rFonts w:hAnsi="宋体" w:hint="eastAsia"/>
          <w:szCs w:val="22"/>
        </w:rPr>
        <w:t>地下水环境》</w:t>
      </w:r>
      <w:r>
        <w:rPr>
          <w:rFonts w:hAnsi="宋体" w:hint="eastAsia"/>
          <w:szCs w:val="22"/>
        </w:rPr>
        <w:t>（</w:t>
      </w:r>
      <w:r>
        <w:rPr>
          <w:rFonts w:hAnsi="宋体" w:hint="eastAsia"/>
          <w:szCs w:val="22"/>
        </w:rPr>
        <w:t>HJ610-2016</w:t>
      </w:r>
      <w:r>
        <w:rPr>
          <w:rFonts w:hAnsi="宋体" w:hint="eastAsia"/>
          <w:szCs w:val="22"/>
        </w:rPr>
        <w:t>）</w:t>
      </w:r>
      <w:r>
        <w:rPr>
          <w:rFonts w:hAnsi="宋体" w:hint="eastAsia"/>
          <w:szCs w:val="22"/>
        </w:rPr>
        <w:t>，一维稳定流动二维水动力弥散问题的瞬时注入示踪剂—平面瞬时点源的预测模型为：</w:t>
      </w:r>
    </w:p>
    <w:p w:rsidR="00C645C9" w:rsidRDefault="00F955D9">
      <w:pPr>
        <w:topLinePunct/>
        <w:ind w:firstLineChars="200" w:firstLine="480"/>
        <w:rPr>
          <w:rFonts w:hAnsi="宋体"/>
        </w:rPr>
      </w:pPr>
      <w:r>
        <w:rPr>
          <w:rFonts w:hAnsi="宋体"/>
        </w:rPr>
        <w:pict>
          <v:shape id="_x0000_s1027" type="#_x0000_t75" style="position:absolute;left:0;text-align:left;margin-left:113.05pt;margin-top:11pt;width:204pt;height:38.25pt;z-index:-251642368;mso-width-relative:page;mso-height-relative:page">
            <v:imagedata r:id="rId40" o:title=""/>
          </v:shape>
          <o:OLEObject Type="Embed" ShapeID="_x0000_s1027" DrawAspect="Content" ObjectID="_1809794825" r:id="rId41"/>
        </w:pict>
      </w:r>
    </w:p>
    <w:p w:rsidR="00C645C9" w:rsidRDefault="00C645C9">
      <w:pPr>
        <w:rPr>
          <w:rFonts w:hAnsi="宋体"/>
        </w:rPr>
      </w:pPr>
    </w:p>
    <w:p w:rsidR="00C645C9" w:rsidRDefault="00C645C9">
      <w:pPr>
        <w:widowControl w:val="0"/>
        <w:overflowPunct w:val="0"/>
        <w:spacing w:line="360" w:lineRule="auto"/>
        <w:ind w:firstLineChars="200" w:firstLine="480"/>
        <w:rPr>
          <w:rFonts w:hAnsi="宋体"/>
          <w:szCs w:val="22"/>
        </w:rPr>
      </w:pPr>
    </w:p>
    <w:p w:rsidR="00C645C9" w:rsidRDefault="00F955D9">
      <w:pPr>
        <w:widowControl w:val="0"/>
        <w:overflowPunct w:val="0"/>
        <w:spacing w:line="360" w:lineRule="auto"/>
        <w:ind w:firstLineChars="200" w:firstLine="480"/>
        <w:rPr>
          <w:szCs w:val="22"/>
        </w:rPr>
      </w:pPr>
      <w:r>
        <w:rPr>
          <w:rFonts w:hAnsi="宋体" w:hint="eastAsia"/>
          <w:szCs w:val="22"/>
        </w:rPr>
        <w:lastRenderedPageBreak/>
        <w:t>式中：</w:t>
      </w:r>
      <w:r>
        <w:rPr>
          <w:rFonts w:hint="eastAsia"/>
          <w:szCs w:val="22"/>
        </w:rPr>
        <w:t>x</w:t>
      </w:r>
      <w:r>
        <w:rPr>
          <w:rFonts w:hint="eastAsia"/>
          <w:szCs w:val="22"/>
        </w:rPr>
        <w:t>，</w:t>
      </w:r>
      <w:r>
        <w:rPr>
          <w:rFonts w:hint="eastAsia"/>
          <w:szCs w:val="22"/>
        </w:rPr>
        <w:t>y</w:t>
      </w:r>
      <w:r>
        <w:rPr>
          <w:rFonts w:cs="Times New Roman"/>
          <w:szCs w:val="20"/>
        </w:rPr>
        <w:t>——</w:t>
      </w:r>
      <w:r>
        <w:rPr>
          <w:rFonts w:hint="eastAsia"/>
          <w:szCs w:val="22"/>
        </w:rPr>
        <w:t>计算点处的位置坐标；</w:t>
      </w:r>
    </w:p>
    <w:p w:rsidR="00C645C9" w:rsidRDefault="00F955D9">
      <w:pPr>
        <w:widowControl w:val="0"/>
        <w:overflowPunct w:val="0"/>
        <w:spacing w:line="360" w:lineRule="auto"/>
        <w:ind w:firstLineChars="500" w:firstLine="1200"/>
        <w:rPr>
          <w:szCs w:val="22"/>
        </w:rPr>
      </w:pPr>
      <w:r>
        <w:rPr>
          <w:rFonts w:hint="eastAsia"/>
          <w:szCs w:val="22"/>
        </w:rPr>
        <w:t>t</w:t>
      </w:r>
      <w:r>
        <w:rPr>
          <w:rFonts w:cs="Times New Roman"/>
          <w:szCs w:val="20"/>
        </w:rPr>
        <w:t>——</w:t>
      </w:r>
      <w:r>
        <w:rPr>
          <w:rFonts w:hint="eastAsia"/>
          <w:szCs w:val="22"/>
        </w:rPr>
        <w:t>时间，</w:t>
      </w:r>
      <w:r>
        <w:rPr>
          <w:rFonts w:hint="eastAsia"/>
          <w:szCs w:val="22"/>
        </w:rPr>
        <w:t>d</w:t>
      </w:r>
      <w:r>
        <w:rPr>
          <w:rFonts w:hint="eastAsia"/>
          <w:szCs w:val="22"/>
        </w:rPr>
        <w:t>；</w:t>
      </w:r>
    </w:p>
    <w:p w:rsidR="00C645C9" w:rsidRDefault="00F955D9">
      <w:pPr>
        <w:widowControl w:val="0"/>
        <w:overflowPunct w:val="0"/>
        <w:spacing w:line="360" w:lineRule="auto"/>
        <w:ind w:firstLineChars="500" w:firstLine="1200"/>
        <w:rPr>
          <w:szCs w:val="22"/>
        </w:rPr>
      </w:pPr>
      <w:r>
        <w:rPr>
          <w:rFonts w:hint="eastAsia"/>
          <w:szCs w:val="22"/>
        </w:rPr>
        <w:t>C</w:t>
      </w:r>
      <w:r>
        <w:rPr>
          <w:rFonts w:hint="eastAsia"/>
          <w:szCs w:val="22"/>
        </w:rPr>
        <w:t>（</w:t>
      </w:r>
      <w:r>
        <w:rPr>
          <w:rFonts w:hint="eastAsia"/>
          <w:szCs w:val="22"/>
        </w:rPr>
        <w:t>x</w:t>
      </w:r>
      <w:r>
        <w:rPr>
          <w:rFonts w:hint="eastAsia"/>
          <w:szCs w:val="22"/>
        </w:rPr>
        <w:t>，</w:t>
      </w:r>
      <w:r>
        <w:rPr>
          <w:rFonts w:hint="eastAsia"/>
          <w:szCs w:val="22"/>
        </w:rPr>
        <w:t>y</w:t>
      </w:r>
      <w:r>
        <w:rPr>
          <w:rFonts w:hint="eastAsia"/>
          <w:szCs w:val="22"/>
        </w:rPr>
        <w:t>，</w:t>
      </w:r>
      <w:r>
        <w:rPr>
          <w:rFonts w:hint="eastAsia"/>
          <w:szCs w:val="22"/>
        </w:rPr>
        <w:t>t</w:t>
      </w:r>
      <w:r>
        <w:rPr>
          <w:rFonts w:hint="eastAsia"/>
          <w:szCs w:val="22"/>
        </w:rPr>
        <w:t>）</w:t>
      </w:r>
      <w:r>
        <w:rPr>
          <w:rFonts w:cs="Times New Roman"/>
          <w:szCs w:val="20"/>
        </w:rPr>
        <w:t>——</w:t>
      </w:r>
      <w:r>
        <w:rPr>
          <w:rFonts w:hint="eastAsia"/>
          <w:szCs w:val="22"/>
        </w:rPr>
        <w:t>t</w:t>
      </w:r>
      <w:r>
        <w:rPr>
          <w:rFonts w:hint="eastAsia"/>
          <w:szCs w:val="22"/>
        </w:rPr>
        <w:t>时刻点</w:t>
      </w:r>
      <w:r>
        <w:rPr>
          <w:rFonts w:hint="eastAsia"/>
          <w:szCs w:val="22"/>
        </w:rPr>
        <w:t>x</w:t>
      </w:r>
      <w:r>
        <w:rPr>
          <w:rFonts w:hint="eastAsia"/>
          <w:szCs w:val="22"/>
        </w:rPr>
        <w:t>，</w:t>
      </w:r>
      <w:r>
        <w:rPr>
          <w:rFonts w:hint="eastAsia"/>
          <w:szCs w:val="22"/>
        </w:rPr>
        <w:t>y</w:t>
      </w:r>
      <w:r>
        <w:rPr>
          <w:rFonts w:hint="eastAsia"/>
          <w:szCs w:val="22"/>
        </w:rPr>
        <w:t>处的污染物浓度，</w:t>
      </w:r>
      <w:r>
        <w:rPr>
          <w:rFonts w:hint="eastAsia"/>
          <w:szCs w:val="22"/>
        </w:rPr>
        <w:t>m</w:t>
      </w:r>
      <w:r>
        <w:rPr>
          <w:rFonts w:hint="eastAsia"/>
          <w:szCs w:val="22"/>
        </w:rPr>
        <w:t>g/L</w:t>
      </w:r>
      <w:bookmarkStart w:id="1503" w:name="OLE_LINK1487"/>
      <w:r>
        <w:rPr>
          <w:rFonts w:hint="eastAsia"/>
          <w:szCs w:val="22"/>
        </w:rPr>
        <w:t>；</w:t>
      </w:r>
      <w:bookmarkEnd w:id="1503"/>
    </w:p>
    <w:p w:rsidR="00C645C9" w:rsidRDefault="00F955D9">
      <w:pPr>
        <w:widowControl w:val="0"/>
        <w:overflowPunct w:val="0"/>
        <w:spacing w:line="360" w:lineRule="auto"/>
        <w:ind w:firstLineChars="500" w:firstLine="1200"/>
        <w:rPr>
          <w:szCs w:val="22"/>
        </w:rPr>
      </w:pPr>
      <w:r>
        <w:rPr>
          <w:rFonts w:hint="eastAsia"/>
          <w:szCs w:val="22"/>
        </w:rPr>
        <w:t>M</w:t>
      </w:r>
      <w:r>
        <w:rPr>
          <w:rFonts w:cs="Times New Roman"/>
          <w:szCs w:val="20"/>
        </w:rPr>
        <w:t>——</w:t>
      </w:r>
      <w:r>
        <w:rPr>
          <w:rFonts w:hint="eastAsia"/>
          <w:szCs w:val="22"/>
        </w:rPr>
        <w:t>含水层厚度，</w:t>
      </w:r>
      <w:r>
        <w:rPr>
          <w:rFonts w:hint="eastAsia"/>
          <w:szCs w:val="22"/>
        </w:rPr>
        <w:t>m</w:t>
      </w:r>
      <w:r>
        <w:rPr>
          <w:rFonts w:hint="eastAsia"/>
          <w:szCs w:val="22"/>
        </w:rPr>
        <w:t>；评价区域含水层厚度；</w:t>
      </w:r>
    </w:p>
    <w:p w:rsidR="00C645C9" w:rsidRDefault="00F955D9">
      <w:pPr>
        <w:widowControl w:val="0"/>
        <w:overflowPunct w:val="0"/>
        <w:spacing w:line="360" w:lineRule="auto"/>
        <w:ind w:firstLineChars="500" w:firstLine="1200"/>
        <w:rPr>
          <w:szCs w:val="22"/>
        </w:rPr>
      </w:pPr>
      <w:r>
        <w:rPr>
          <w:rFonts w:hint="eastAsia"/>
          <w:szCs w:val="22"/>
        </w:rPr>
        <w:t>m</w:t>
      </w:r>
      <w:r>
        <w:rPr>
          <w:rFonts w:hint="eastAsia"/>
          <w:szCs w:val="22"/>
          <w:vertAlign w:val="subscript"/>
        </w:rPr>
        <w:t>M</w:t>
      </w:r>
      <w:r>
        <w:rPr>
          <w:rFonts w:cs="Times New Roman"/>
          <w:szCs w:val="20"/>
        </w:rPr>
        <w:t>——</w:t>
      </w:r>
      <w:r>
        <w:rPr>
          <w:rFonts w:hint="eastAsia"/>
          <w:szCs w:val="22"/>
        </w:rPr>
        <w:t>长度为</w:t>
      </w:r>
      <w:r>
        <w:rPr>
          <w:rFonts w:hint="eastAsia"/>
          <w:szCs w:val="22"/>
        </w:rPr>
        <w:t>M</w:t>
      </w:r>
      <w:r>
        <w:rPr>
          <w:rFonts w:hint="eastAsia"/>
          <w:szCs w:val="22"/>
        </w:rPr>
        <w:t>的线源瞬时注入污染物的质量，</w:t>
      </w:r>
      <w:r>
        <w:rPr>
          <w:rFonts w:hint="eastAsia"/>
          <w:szCs w:val="22"/>
        </w:rPr>
        <w:t>kg</w:t>
      </w:r>
      <w:r>
        <w:rPr>
          <w:rFonts w:hint="eastAsia"/>
          <w:szCs w:val="22"/>
        </w:rPr>
        <w:t>；</w:t>
      </w:r>
    </w:p>
    <w:p w:rsidR="00C645C9" w:rsidRDefault="00F955D9">
      <w:pPr>
        <w:widowControl w:val="0"/>
        <w:overflowPunct w:val="0"/>
        <w:spacing w:line="360" w:lineRule="auto"/>
        <w:ind w:firstLineChars="500" w:firstLine="1200"/>
        <w:rPr>
          <w:szCs w:val="22"/>
        </w:rPr>
      </w:pPr>
      <w:r>
        <w:rPr>
          <w:rFonts w:hAnsi="宋体"/>
          <w:szCs w:val="22"/>
        </w:rPr>
        <w:t>u</w:t>
      </w:r>
      <w:r>
        <w:rPr>
          <w:rFonts w:cs="Times New Roman"/>
          <w:szCs w:val="20"/>
        </w:rPr>
        <w:t>——</w:t>
      </w:r>
      <w:r>
        <w:rPr>
          <w:rFonts w:hAnsi="宋体" w:hint="eastAsia"/>
          <w:szCs w:val="22"/>
        </w:rPr>
        <w:t>地下水流速度，</w:t>
      </w:r>
      <w:r>
        <w:rPr>
          <w:rFonts w:hAnsi="宋体"/>
          <w:szCs w:val="22"/>
        </w:rPr>
        <w:t>m/d</w:t>
      </w:r>
      <w:r>
        <w:rPr>
          <w:rFonts w:hint="eastAsia"/>
          <w:szCs w:val="22"/>
        </w:rPr>
        <w:t>；</w:t>
      </w:r>
    </w:p>
    <w:p w:rsidR="00C645C9" w:rsidRDefault="00F955D9">
      <w:pPr>
        <w:widowControl w:val="0"/>
        <w:overflowPunct w:val="0"/>
        <w:spacing w:line="360" w:lineRule="auto"/>
        <w:ind w:firstLineChars="500" w:firstLine="1200"/>
        <w:rPr>
          <w:szCs w:val="22"/>
        </w:rPr>
      </w:pPr>
      <w:r>
        <w:rPr>
          <w:rFonts w:hint="eastAsia"/>
          <w:szCs w:val="22"/>
        </w:rPr>
        <w:t>n</w:t>
      </w:r>
      <w:r>
        <w:rPr>
          <w:rFonts w:cs="Times New Roman"/>
          <w:szCs w:val="20"/>
        </w:rPr>
        <w:t>——</w:t>
      </w:r>
      <w:r>
        <w:rPr>
          <w:rFonts w:hint="eastAsia"/>
          <w:szCs w:val="22"/>
        </w:rPr>
        <w:t>有效孔隙度，无量纲；</w:t>
      </w:r>
    </w:p>
    <w:p w:rsidR="00C645C9" w:rsidRDefault="00F955D9">
      <w:pPr>
        <w:widowControl w:val="0"/>
        <w:overflowPunct w:val="0"/>
        <w:spacing w:line="360" w:lineRule="auto"/>
        <w:ind w:firstLineChars="500" w:firstLine="1200"/>
        <w:rPr>
          <w:szCs w:val="22"/>
        </w:rPr>
      </w:pPr>
      <w:r>
        <w:rPr>
          <w:rFonts w:hint="eastAsia"/>
          <w:szCs w:val="22"/>
        </w:rPr>
        <w:t>D</w:t>
      </w:r>
      <w:r>
        <w:rPr>
          <w:rFonts w:hint="eastAsia"/>
          <w:szCs w:val="22"/>
          <w:vertAlign w:val="subscript"/>
        </w:rPr>
        <w:t>L</w:t>
      </w:r>
      <w:r>
        <w:rPr>
          <w:rFonts w:cs="Times New Roman"/>
          <w:szCs w:val="20"/>
        </w:rPr>
        <w:t>——</w:t>
      </w:r>
      <w:r>
        <w:rPr>
          <w:rFonts w:hint="eastAsia"/>
          <w:szCs w:val="22"/>
        </w:rPr>
        <w:t>纵向弥散系数，</w:t>
      </w:r>
      <w:r>
        <w:rPr>
          <w:rFonts w:hint="eastAsia"/>
          <w:szCs w:val="22"/>
        </w:rPr>
        <w:t>m</w:t>
      </w:r>
      <w:r>
        <w:rPr>
          <w:rFonts w:hint="eastAsia"/>
          <w:szCs w:val="22"/>
          <w:vertAlign w:val="superscript"/>
        </w:rPr>
        <w:t>2</w:t>
      </w:r>
      <w:r>
        <w:rPr>
          <w:rFonts w:hint="eastAsia"/>
          <w:szCs w:val="22"/>
        </w:rPr>
        <w:t>/d</w:t>
      </w:r>
      <w:r>
        <w:rPr>
          <w:rFonts w:hint="eastAsia"/>
          <w:szCs w:val="22"/>
        </w:rPr>
        <w:t>；</w:t>
      </w:r>
    </w:p>
    <w:p w:rsidR="00C645C9" w:rsidRDefault="00F955D9">
      <w:pPr>
        <w:widowControl w:val="0"/>
        <w:overflowPunct w:val="0"/>
        <w:spacing w:line="360" w:lineRule="auto"/>
        <w:ind w:firstLineChars="500" w:firstLine="1200"/>
        <w:rPr>
          <w:szCs w:val="22"/>
        </w:rPr>
      </w:pPr>
      <w:r>
        <w:rPr>
          <w:rFonts w:hint="eastAsia"/>
          <w:szCs w:val="22"/>
        </w:rPr>
        <w:t>D</w:t>
      </w:r>
      <w:r>
        <w:rPr>
          <w:rFonts w:hint="eastAsia"/>
          <w:szCs w:val="22"/>
          <w:vertAlign w:val="subscript"/>
        </w:rPr>
        <w:t>T</w:t>
      </w:r>
      <w:r>
        <w:rPr>
          <w:rFonts w:cs="Times New Roman"/>
          <w:szCs w:val="20"/>
        </w:rPr>
        <w:t>——</w:t>
      </w:r>
      <w:r>
        <w:rPr>
          <w:rFonts w:hint="eastAsia"/>
          <w:szCs w:val="22"/>
        </w:rPr>
        <w:t>横向</w:t>
      </w:r>
      <w:r>
        <w:rPr>
          <w:rFonts w:hint="eastAsia"/>
          <w:szCs w:val="22"/>
        </w:rPr>
        <w:t>y</w:t>
      </w:r>
      <w:r>
        <w:rPr>
          <w:rFonts w:hint="eastAsia"/>
          <w:szCs w:val="22"/>
        </w:rPr>
        <w:t>方向的弥散系数，</w:t>
      </w:r>
      <w:r>
        <w:rPr>
          <w:rFonts w:hint="eastAsia"/>
          <w:szCs w:val="22"/>
        </w:rPr>
        <w:t>m</w:t>
      </w:r>
      <w:r>
        <w:rPr>
          <w:rFonts w:hint="eastAsia"/>
          <w:szCs w:val="22"/>
          <w:vertAlign w:val="superscript"/>
        </w:rPr>
        <w:t>2</w:t>
      </w:r>
      <w:r>
        <w:rPr>
          <w:rFonts w:hint="eastAsia"/>
          <w:szCs w:val="22"/>
        </w:rPr>
        <w:t>/d</w:t>
      </w:r>
      <w:r>
        <w:rPr>
          <w:rFonts w:hint="eastAsia"/>
          <w:szCs w:val="22"/>
        </w:rPr>
        <w:t>；</w:t>
      </w:r>
    </w:p>
    <w:p w:rsidR="00C645C9" w:rsidRDefault="00F955D9">
      <w:pPr>
        <w:widowControl w:val="0"/>
        <w:overflowPunct w:val="0"/>
        <w:spacing w:line="360" w:lineRule="auto"/>
        <w:ind w:firstLineChars="500" w:firstLine="1200"/>
        <w:rPr>
          <w:szCs w:val="22"/>
        </w:rPr>
      </w:pPr>
      <w:r>
        <w:rPr>
          <w:rFonts w:hint="eastAsia"/>
          <w:szCs w:val="22"/>
        </w:rPr>
        <w:t>π</w:t>
      </w:r>
      <w:r>
        <w:rPr>
          <w:rFonts w:cs="Times New Roman"/>
          <w:szCs w:val="20"/>
        </w:rPr>
        <w:t>——</w:t>
      </w:r>
      <w:r>
        <w:rPr>
          <w:rFonts w:hint="eastAsia"/>
          <w:szCs w:val="22"/>
        </w:rPr>
        <w:t>圆周率。</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⑤</w:t>
      </w:r>
      <w:r>
        <w:rPr>
          <w:rFonts w:cs="Times New Roman"/>
          <w:kern w:val="2"/>
          <w:szCs w:val="20"/>
        </w:rPr>
        <w:t>预测结果与分析</w:t>
      </w:r>
    </w:p>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将以上确定的参数代入模型，便可以求出不同时段，石油类在预测情景下，不同天数（</w:t>
      </w:r>
      <w:r>
        <w:rPr>
          <w:rFonts w:cs="Times New Roman" w:hint="eastAsia"/>
          <w:kern w:val="2"/>
          <w:szCs w:val="20"/>
        </w:rPr>
        <w:t>1</w:t>
      </w:r>
      <w:r>
        <w:rPr>
          <w:rFonts w:cs="Times New Roman"/>
          <w:kern w:val="2"/>
          <w:szCs w:val="20"/>
        </w:rPr>
        <w:t>天</w:t>
      </w:r>
      <w:r>
        <w:rPr>
          <w:rFonts w:cs="Times New Roman" w:hint="eastAsia"/>
          <w:kern w:val="2"/>
          <w:szCs w:val="20"/>
        </w:rPr>
        <w:t>、</w:t>
      </w:r>
      <w:r>
        <w:rPr>
          <w:rFonts w:cs="Times New Roman"/>
          <w:kern w:val="2"/>
          <w:szCs w:val="20"/>
        </w:rPr>
        <w:t>100</w:t>
      </w:r>
      <w:bookmarkStart w:id="1504" w:name="OLE_LINK1488"/>
      <w:r>
        <w:rPr>
          <w:rFonts w:cs="Times New Roman"/>
          <w:kern w:val="2"/>
          <w:szCs w:val="20"/>
        </w:rPr>
        <w:t>天</w:t>
      </w:r>
      <w:bookmarkEnd w:id="1504"/>
      <w:r>
        <w:rPr>
          <w:rFonts w:cs="Times New Roman"/>
          <w:kern w:val="2"/>
          <w:szCs w:val="20"/>
        </w:rPr>
        <w:t>、</w:t>
      </w:r>
      <w:r>
        <w:rPr>
          <w:rFonts w:cs="Times New Roman"/>
          <w:kern w:val="2"/>
          <w:szCs w:val="20"/>
        </w:rPr>
        <w:t>1000</w:t>
      </w:r>
      <w:r>
        <w:rPr>
          <w:rFonts w:cs="Times New Roman"/>
          <w:kern w:val="2"/>
          <w:szCs w:val="20"/>
        </w:rPr>
        <w:t>天、</w:t>
      </w:r>
      <w:r>
        <w:rPr>
          <w:rFonts w:cs="Times New Roman" w:hint="eastAsia"/>
          <w:kern w:val="2"/>
          <w:szCs w:val="20"/>
        </w:rPr>
        <w:t>1825</w:t>
      </w:r>
      <w:r>
        <w:rPr>
          <w:rFonts w:cs="Times New Roman"/>
          <w:kern w:val="2"/>
          <w:szCs w:val="20"/>
        </w:rPr>
        <w:t>天）时，污染物在含水层不同位置的浓度分布情况。具体见表</w:t>
      </w:r>
      <w:r>
        <w:rPr>
          <w:rFonts w:cs="Times New Roman" w:hint="eastAsia"/>
          <w:kern w:val="2"/>
          <w:szCs w:val="20"/>
        </w:rPr>
        <w:t>5.2</w:t>
      </w:r>
      <w:r>
        <w:rPr>
          <w:rFonts w:cs="Times New Roman"/>
          <w:kern w:val="2"/>
          <w:szCs w:val="20"/>
        </w:rPr>
        <w:t>-</w:t>
      </w:r>
      <w:r>
        <w:rPr>
          <w:rFonts w:cs="Times New Roman" w:hint="eastAsia"/>
          <w:kern w:val="2"/>
          <w:szCs w:val="20"/>
        </w:rPr>
        <w:t>5</w:t>
      </w:r>
      <w:r>
        <w:rPr>
          <w:rFonts w:cs="Times New Roman"/>
          <w:kern w:val="2"/>
          <w:szCs w:val="20"/>
        </w:rPr>
        <w:t>，图</w:t>
      </w:r>
      <w:r>
        <w:rPr>
          <w:rFonts w:cs="Times New Roman" w:hint="eastAsia"/>
          <w:kern w:val="2"/>
          <w:szCs w:val="20"/>
        </w:rPr>
        <w:t>5.2</w:t>
      </w:r>
      <w:r>
        <w:rPr>
          <w:rFonts w:cs="Times New Roman"/>
          <w:kern w:val="2"/>
          <w:szCs w:val="20"/>
        </w:rPr>
        <w:t>-</w:t>
      </w:r>
      <w:r>
        <w:rPr>
          <w:rFonts w:cs="Times New Roman" w:hint="eastAsia"/>
          <w:kern w:val="2"/>
          <w:szCs w:val="20"/>
        </w:rPr>
        <w:t>3</w:t>
      </w:r>
      <w:r>
        <w:rPr>
          <w:rFonts w:cs="Times New Roman" w:hint="eastAsia"/>
          <w:kern w:val="2"/>
          <w:szCs w:val="20"/>
        </w:rPr>
        <w:t>~5.2-</w:t>
      </w:r>
      <w:r>
        <w:rPr>
          <w:rFonts w:cs="Times New Roman" w:hint="eastAsia"/>
          <w:kern w:val="2"/>
          <w:szCs w:val="20"/>
        </w:rPr>
        <w:t>6</w:t>
      </w:r>
      <w:r>
        <w:rPr>
          <w:rFonts w:cs="Times New Roman"/>
          <w:kern w:val="2"/>
          <w:szCs w:val="20"/>
        </w:rPr>
        <w:t>。</w:t>
      </w: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rPr>
      </w:pPr>
      <w:r>
        <w:rPr>
          <w:rFonts w:eastAsia="黑体" w:cs="Times New Roman"/>
          <w:b w:val="0"/>
          <w:bCs/>
          <w:color w:val="auto"/>
          <w:kern w:val="2"/>
          <w:szCs w:val="21"/>
          <w:lang w:val="en-US"/>
        </w:rPr>
        <w:t>表</w:t>
      </w:r>
      <w:r>
        <w:rPr>
          <w:rFonts w:eastAsia="黑体" w:cs="Times New Roman"/>
          <w:b w:val="0"/>
          <w:bCs/>
          <w:color w:val="auto"/>
          <w:kern w:val="2"/>
          <w:szCs w:val="21"/>
          <w:lang w:val="en-US"/>
        </w:rPr>
        <w:t>5.</w:t>
      </w:r>
      <w:r>
        <w:rPr>
          <w:rFonts w:eastAsia="黑体" w:cs="Times New Roman" w:hint="eastAsia"/>
          <w:b w:val="0"/>
          <w:bCs/>
          <w:color w:val="auto"/>
          <w:kern w:val="2"/>
          <w:szCs w:val="21"/>
          <w:lang w:val="en-US"/>
        </w:rPr>
        <w:t>2-5</w:t>
      </w:r>
      <w:r>
        <w:rPr>
          <w:rFonts w:eastAsia="黑体" w:cs="Times New Roman"/>
          <w:b w:val="0"/>
          <w:bCs/>
          <w:color w:val="auto"/>
          <w:kern w:val="2"/>
          <w:szCs w:val="21"/>
          <w:lang w:val="en-US"/>
        </w:rPr>
        <w:t xml:space="preserve"> </w:t>
      </w:r>
      <w:r>
        <w:rPr>
          <w:rFonts w:eastAsia="黑体" w:cs="Times New Roman"/>
          <w:b w:val="0"/>
          <w:bCs/>
          <w:color w:val="auto"/>
          <w:kern w:val="2"/>
          <w:szCs w:val="21"/>
        </w:rPr>
        <w:t xml:space="preserve"> </w:t>
      </w:r>
      <w:r>
        <w:rPr>
          <w:rFonts w:eastAsia="黑体" w:cs="Times New Roman"/>
          <w:b w:val="0"/>
          <w:bCs/>
          <w:color w:val="auto"/>
          <w:kern w:val="2"/>
          <w:szCs w:val="21"/>
        </w:rPr>
        <w:t>在非正常状况下石油类在潜水含水层中运移情况一览表（</w:t>
      </w:r>
      <w:r>
        <w:rPr>
          <w:rFonts w:eastAsia="黑体" w:cs="Times New Roman"/>
          <w:b w:val="0"/>
          <w:bCs/>
          <w:color w:val="auto"/>
          <w:kern w:val="2"/>
          <w:szCs w:val="21"/>
          <w:lang w:val="en-US"/>
        </w:rPr>
        <w:t>情景</w:t>
      </w:r>
      <w:r>
        <w:rPr>
          <w:rFonts w:eastAsia="黑体" w:cs="Times New Roman"/>
          <w:b w:val="0"/>
          <w:bCs/>
          <w:color w:val="auto"/>
          <w:kern w:val="2"/>
          <w:szCs w:val="21"/>
          <w:lang w:val="en-US"/>
        </w:rPr>
        <w:t>2</w:t>
      </w:r>
      <w:r>
        <w:rPr>
          <w:rFonts w:eastAsia="黑体" w:cs="Times New Roman"/>
          <w:b w:val="0"/>
          <w:bCs/>
          <w:color w:val="auto"/>
          <w:kern w:val="2"/>
          <w:szCs w:val="21"/>
        </w:rPr>
        <w:t>）</w:t>
      </w:r>
    </w:p>
    <w:tbl>
      <w:tblPr>
        <w:tblStyle w:val="af3"/>
        <w:tblW w:w="4998" w:type="pct"/>
        <w:jc w:val="center"/>
        <w:tblLook w:val="04A0" w:firstRow="1" w:lastRow="0" w:firstColumn="1" w:lastColumn="0" w:noHBand="0" w:noVBand="1"/>
      </w:tblPr>
      <w:tblGrid>
        <w:gridCol w:w="826"/>
        <w:gridCol w:w="1642"/>
        <w:gridCol w:w="1642"/>
        <w:gridCol w:w="1290"/>
        <w:gridCol w:w="1470"/>
        <w:gridCol w:w="1649"/>
      </w:tblGrid>
      <w:tr w:rsidR="00C645C9">
        <w:trPr>
          <w:trHeight w:val="20"/>
          <w:jc w:val="center"/>
        </w:trPr>
        <w:tc>
          <w:tcPr>
            <w:tcW w:w="485"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预测</w:t>
            </w:r>
          </w:p>
          <w:p w:rsidR="00C645C9" w:rsidRDefault="00F955D9">
            <w:pPr>
              <w:adjustRightInd w:val="0"/>
              <w:snapToGrid w:val="0"/>
              <w:jc w:val="center"/>
              <w:rPr>
                <w:rFonts w:cs="Times New Roman"/>
                <w:spacing w:val="-10"/>
                <w:sz w:val="21"/>
                <w:szCs w:val="21"/>
              </w:rPr>
            </w:pPr>
            <w:r>
              <w:rPr>
                <w:rFonts w:cs="Times New Roman"/>
                <w:spacing w:val="-10"/>
                <w:sz w:val="21"/>
                <w:szCs w:val="21"/>
              </w:rPr>
              <w:t>时间</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超标面积（</w:t>
            </w:r>
            <w:r>
              <w:rPr>
                <w:rFonts w:cs="Times New Roman"/>
                <w:spacing w:val="-10"/>
                <w:sz w:val="21"/>
                <w:szCs w:val="21"/>
              </w:rPr>
              <w:t>m</w:t>
            </w:r>
            <w:r>
              <w:rPr>
                <w:rFonts w:cs="Times New Roman"/>
                <w:spacing w:val="-10"/>
                <w:sz w:val="21"/>
                <w:szCs w:val="21"/>
                <w:vertAlign w:val="superscript"/>
              </w:rPr>
              <w:t>2</w:t>
            </w:r>
            <w:r>
              <w:rPr>
                <w:rFonts w:cs="Times New Roman"/>
                <w:spacing w:val="-10"/>
                <w:sz w:val="21"/>
                <w:szCs w:val="21"/>
              </w:rPr>
              <w:t>）</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影响面积（</w:t>
            </w:r>
            <w:r>
              <w:rPr>
                <w:rFonts w:cs="Times New Roman"/>
                <w:spacing w:val="-10"/>
                <w:sz w:val="21"/>
                <w:szCs w:val="21"/>
              </w:rPr>
              <w:t>m</w:t>
            </w:r>
            <w:r>
              <w:rPr>
                <w:rFonts w:cs="Times New Roman"/>
                <w:spacing w:val="-10"/>
                <w:sz w:val="21"/>
                <w:szCs w:val="21"/>
                <w:vertAlign w:val="superscript"/>
              </w:rPr>
              <w:t>2</w:t>
            </w:r>
            <w:r>
              <w:rPr>
                <w:rFonts w:cs="Times New Roman"/>
                <w:spacing w:val="-10"/>
                <w:sz w:val="21"/>
                <w:szCs w:val="21"/>
              </w:rPr>
              <w:t>）</w:t>
            </w:r>
          </w:p>
        </w:tc>
        <w:tc>
          <w:tcPr>
            <w:tcW w:w="75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超标距离</w:t>
            </w:r>
          </w:p>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m</w:t>
            </w:r>
            <w:r>
              <w:rPr>
                <w:rFonts w:cs="Times New Roman"/>
                <w:spacing w:val="-10"/>
                <w:sz w:val="21"/>
                <w:szCs w:val="21"/>
              </w:rPr>
              <w:t>）</w:t>
            </w:r>
          </w:p>
        </w:tc>
        <w:tc>
          <w:tcPr>
            <w:tcW w:w="862"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影响距离（</w:t>
            </w:r>
            <w:r>
              <w:rPr>
                <w:rFonts w:cs="Times New Roman"/>
                <w:spacing w:val="-10"/>
                <w:sz w:val="21"/>
                <w:szCs w:val="21"/>
              </w:rPr>
              <w:t>m</w:t>
            </w:r>
            <w:r>
              <w:rPr>
                <w:rFonts w:cs="Times New Roman"/>
                <w:spacing w:val="-10"/>
                <w:sz w:val="21"/>
                <w:szCs w:val="21"/>
              </w:rPr>
              <w:t>）</w:t>
            </w:r>
          </w:p>
        </w:tc>
        <w:tc>
          <w:tcPr>
            <w:tcW w:w="96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影响范围内</w:t>
            </w:r>
          </w:p>
          <w:p w:rsidR="00C645C9" w:rsidRDefault="00F955D9">
            <w:pPr>
              <w:adjustRightInd w:val="0"/>
              <w:snapToGrid w:val="0"/>
              <w:jc w:val="center"/>
              <w:rPr>
                <w:rFonts w:cs="Times New Roman"/>
                <w:spacing w:val="-10"/>
                <w:sz w:val="21"/>
                <w:szCs w:val="21"/>
              </w:rPr>
            </w:pPr>
            <w:r>
              <w:rPr>
                <w:rFonts w:cs="Times New Roman"/>
                <w:spacing w:val="-10"/>
                <w:sz w:val="21"/>
                <w:szCs w:val="21"/>
              </w:rPr>
              <w:t>水环境敏感点</w:t>
            </w:r>
          </w:p>
        </w:tc>
      </w:tr>
      <w:tr w:rsidR="00C645C9">
        <w:trPr>
          <w:trHeight w:val="20"/>
          <w:jc w:val="center"/>
        </w:trPr>
        <w:tc>
          <w:tcPr>
            <w:tcW w:w="485"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1d</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64.99</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72.58</w:t>
            </w:r>
          </w:p>
        </w:tc>
        <w:tc>
          <w:tcPr>
            <w:tcW w:w="75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8.3</w:t>
            </w:r>
          </w:p>
        </w:tc>
        <w:tc>
          <w:tcPr>
            <w:tcW w:w="862"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8.7</w:t>
            </w:r>
          </w:p>
        </w:tc>
        <w:tc>
          <w:tcPr>
            <w:tcW w:w="96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无</w:t>
            </w:r>
          </w:p>
        </w:tc>
      </w:tr>
      <w:tr w:rsidR="00C645C9">
        <w:trPr>
          <w:trHeight w:val="363"/>
          <w:jc w:val="center"/>
        </w:trPr>
        <w:tc>
          <w:tcPr>
            <w:tcW w:w="485"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100d</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4546.61</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5311.24</w:t>
            </w:r>
          </w:p>
        </w:tc>
        <w:tc>
          <w:tcPr>
            <w:tcW w:w="75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80</w:t>
            </w:r>
          </w:p>
        </w:tc>
        <w:tc>
          <w:tcPr>
            <w:tcW w:w="862"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86</w:t>
            </w:r>
          </w:p>
        </w:tc>
        <w:tc>
          <w:tcPr>
            <w:tcW w:w="96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无</w:t>
            </w:r>
          </w:p>
        </w:tc>
      </w:tr>
      <w:tr w:rsidR="00C645C9">
        <w:trPr>
          <w:trHeight w:val="20"/>
          <w:jc w:val="center"/>
        </w:trPr>
        <w:tc>
          <w:tcPr>
            <w:tcW w:w="485"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1000d</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35682.78</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42270.37</w:t>
            </w:r>
          </w:p>
        </w:tc>
        <w:tc>
          <w:tcPr>
            <w:tcW w:w="75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295</w:t>
            </w:r>
          </w:p>
        </w:tc>
        <w:tc>
          <w:tcPr>
            <w:tcW w:w="862"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320</w:t>
            </w:r>
          </w:p>
        </w:tc>
        <w:tc>
          <w:tcPr>
            <w:tcW w:w="967" w:type="pct"/>
            <w:tcBorders>
              <w:tl2br w:val="nil"/>
              <w:tr2bl w:val="nil"/>
            </w:tcBorders>
            <w:vAlign w:val="center"/>
          </w:tcPr>
          <w:p w:rsidR="00C645C9" w:rsidRDefault="00F955D9">
            <w:pPr>
              <w:adjustRightInd w:val="0"/>
              <w:snapToGrid w:val="0"/>
              <w:jc w:val="center"/>
              <w:rPr>
                <w:rFonts w:cs="Times New Roman"/>
                <w:snapToGrid w:val="0"/>
                <w:sz w:val="21"/>
                <w:szCs w:val="21"/>
              </w:rPr>
            </w:pPr>
            <w:r>
              <w:rPr>
                <w:rFonts w:cs="Times New Roman"/>
                <w:snapToGrid w:val="0"/>
                <w:sz w:val="21"/>
                <w:szCs w:val="21"/>
              </w:rPr>
              <w:t>无</w:t>
            </w:r>
          </w:p>
        </w:tc>
      </w:tr>
      <w:tr w:rsidR="00C645C9">
        <w:trPr>
          <w:trHeight w:val="20"/>
          <w:jc w:val="center"/>
        </w:trPr>
        <w:tc>
          <w:tcPr>
            <w:tcW w:w="485"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1825</w:t>
            </w:r>
            <w:r>
              <w:rPr>
                <w:rFonts w:cs="Times New Roman"/>
                <w:spacing w:val="-10"/>
                <w:sz w:val="21"/>
                <w:szCs w:val="21"/>
              </w:rPr>
              <w:t>d</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60386.24</w:t>
            </w:r>
          </w:p>
        </w:tc>
        <w:tc>
          <w:tcPr>
            <w:tcW w:w="963"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73561.42</w:t>
            </w:r>
          </w:p>
        </w:tc>
        <w:tc>
          <w:tcPr>
            <w:tcW w:w="757"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435</w:t>
            </w:r>
          </w:p>
        </w:tc>
        <w:tc>
          <w:tcPr>
            <w:tcW w:w="862"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460</w:t>
            </w:r>
          </w:p>
        </w:tc>
        <w:tc>
          <w:tcPr>
            <w:tcW w:w="967" w:type="pct"/>
            <w:tcBorders>
              <w:tl2br w:val="nil"/>
              <w:tr2bl w:val="nil"/>
            </w:tcBorders>
            <w:vAlign w:val="center"/>
          </w:tcPr>
          <w:p w:rsidR="00C645C9" w:rsidRDefault="00F955D9">
            <w:pPr>
              <w:adjustRightInd w:val="0"/>
              <w:snapToGrid w:val="0"/>
              <w:jc w:val="center"/>
              <w:rPr>
                <w:rFonts w:cs="Times New Roman"/>
                <w:snapToGrid w:val="0"/>
                <w:sz w:val="21"/>
                <w:szCs w:val="21"/>
              </w:rPr>
            </w:pPr>
            <w:r>
              <w:rPr>
                <w:rFonts w:cs="Times New Roman"/>
                <w:snapToGrid w:val="0"/>
                <w:sz w:val="21"/>
                <w:szCs w:val="21"/>
              </w:rPr>
              <w:t>无</w:t>
            </w:r>
          </w:p>
        </w:tc>
      </w:tr>
    </w:tbl>
    <w:p w:rsidR="00C645C9" w:rsidRDefault="00C645C9">
      <w:pPr>
        <w:widowControl w:val="0"/>
        <w:adjustRightInd w:val="0"/>
        <w:snapToGrid w:val="0"/>
        <w:jc w:val="both"/>
        <w:rPr>
          <w:rFonts w:cs="Times New Roman"/>
          <w:kern w:val="2"/>
          <w:sz w:val="21"/>
          <w:szCs w:val="21"/>
        </w:rPr>
      </w:pP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rPr>
      </w:pPr>
      <w:r>
        <w:rPr>
          <w:rFonts w:eastAsia="黑体" w:cs="Times New Roman"/>
          <w:b w:val="0"/>
          <w:bCs/>
          <w:color w:val="auto"/>
          <w:kern w:val="2"/>
          <w:szCs w:val="21"/>
          <w:lang w:val="en-US"/>
        </w:rPr>
        <w:t>图</w:t>
      </w:r>
      <w:r>
        <w:rPr>
          <w:rFonts w:eastAsia="黑体" w:cs="Times New Roman" w:hint="eastAsia"/>
          <w:b w:val="0"/>
          <w:bCs/>
          <w:color w:val="auto"/>
          <w:kern w:val="2"/>
          <w:szCs w:val="21"/>
          <w:lang w:val="en-US"/>
        </w:rPr>
        <w:t>5.2</w:t>
      </w:r>
      <w:r>
        <w:rPr>
          <w:rFonts w:eastAsia="黑体" w:cs="Times New Roman"/>
          <w:b w:val="0"/>
          <w:bCs/>
          <w:color w:val="auto"/>
          <w:kern w:val="2"/>
          <w:szCs w:val="21"/>
          <w:lang w:val="en-US"/>
        </w:rPr>
        <w:t>-</w:t>
      </w:r>
      <w:r>
        <w:rPr>
          <w:rFonts w:eastAsia="黑体" w:cs="Times New Roman" w:hint="eastAsia"/>
          <w:b w:val="0"/>
          <w:bCs/>
          <w:color w:val="auto"/>
          <w:kern w:val="2"/>
          <w:szCs w:val="21"/>
          <w:lang w:val="en-US"/>
        </w:rPr>
        <w:t>3</w:t>
      </w:r>
      <w:r>
        <w:rPr>
          <w:rFonts w:eastAsia="黑体" w:cs="Times New Roman"/>
          <w:b w:val="0"/>
          <w:bCs/>
          <w:color w:val="auto"/>
          <w:kern w:val="2"/>
          <w:szCs w:val="21"/>
          <w:lang w:val="en-US"/>
        </w:rPr>
        <w:t xml:space="preserve"> </w:t>
      </w:r>
      <w:r>
        <w:rPr>
          <w:rFonts w:eastAsia="黑体" w:cs="Times New Roman"/>
          <w:b w:val="0"/>
          <w:bCs/>
          <w:color w:val="auto"/>
          <w:kern w:val="2"/>
          <w:szCs w:val="21"/>
        </w:rPr>
        <w:t xml:space="preserve">  </w:t>
      </w:r>
      <w:r>
        <w:rPr>
          <w:rFonts w:eastAsia="黑体" w:cs="Times New Roman"/>
          <w:b w:val="0"/>
          <w:bCs/>
          <w:color w:val="auto"/>
          <w:kern w:val="2"/>
          <w:szCs w:val="21"/>
          <w:lang w:val="en-US"/>
        </w:rPr>
        <w:t xml:space="preserve"> </w:t>
      </w:r>
      <w:r>
        <w:rPr>
          <w:rFonts w:eastAsia="黑体" w:cs="Times New Roman"/>
          <w:b w:val="0"/>
          <w:bCs/>
          <w:color w:val="auto"/>
          <w:kern w:val="2"/>
          <w:szCs w:val="21"/>
          <w:lang w:val="en-US"/>
        </w:rPr>
        <w:t>情景</w:t>
      </w:r>
      <w:r>
        <w:rPr>
          <w:rFonts w:eastAsia="黑体" w:cs="Times New Roman"/>
          <w:b w:val="0"/>
          <w:bCs/>
          <w:color w:val="auto"/>
          <w:kern w:val="2"/>
          <w:szCs w:val="21"/>
          <w:lang w:val="en-US"/>
        </w:rPr>
        <w:t>2</w:t>
      </w:r>
      <w:r>
        <w:rPr>
          <w:rFonts w:eastAsia="黑体" w:cs="Times New Roman" w:hint="eastAsia"/>
          <w:b w:val="0"/>
          <w:bCs/>
          <w:color w:val="auto"/>
          <w:kern w:val="2"/>
          <w:szCs w:val="21"/>
          <w:lang w:val="en-US"/>
        </w:rPr>
        <w:t>：</w:t>
      </w:r>
      <w:r>
        <w:rPr>
          <w:rFonts w:eastAsia="黑体" w:cs="Times New Roman"/>
          <w:b w:val="0"/>
          <w:bCs/>
          <w:color w:val="auto"/>
          <w:kern w:val="2"/>
          <w:szCs w:val="21"/>
          <w:lang w:val="en-US"/>
        </w:rPr>
        <w:t>1</w:t>
      </w:r>
      <w:r>
        <w:rPr>
          <w:rFonts w:eastAsia="黑体" w:cs="Times New Roman"/>
          <w:b w:val="0"/>
          <w:bCs/>
          <w:color w:val="auto"/>
          <w:kern w:val="2"/>
          <w:szCs w:val="21"/>
        </w:rPr>
        <w:t>天石油类污染晕运移</w:t>
      </w:r>
      <w:r>
        <w:rPr>
          <w:rFonts w:eastAsia="黑体" w:cs="Times New Roman"/>
          <w:b w:val="0"/>
          <w:bCs/>
          <w:color w:val="auto"/>
          <w:kern w:val="2"/>
          <w:szCs w:val="21"/>
          <w:lang w:val="en-US"/>
        </w:rPr>
        <w:t>分布</w:t>
      </w:r>
      <w:r>
        <w:rPr>
          <w:rFonts w:eastAsia="黑体" w:cs="Times New Roman"/>
          <w:b w:val="0"/>
          <w:bCs/>
          <w:color w:val="auto"/>
          <w:kern w:val="2"/>
          <w:szCs w:val="21"/>
        </w:rPr>
        <w:t>图</w:t>
      </w:r>
    </w:p>
    <w:p w:rsidR="00C645C9" w:rsidRDefault="00C645C9">
      <w:pPr>
        <w:pStyle w:val="Default"/>
        <w:snapToGrid w:val="0"/>
        <w:rPr>
          <w:rFonts w:ascii="Times New Roman" w:hAnsi="Times New Roman" w:cs="Times New Roman"/>
          <w:color w:val="auto"/>
          <w:sz w:val="21"/>
          <w:szCs w:val="21"/>
        </w:rPr>
      </w:pPr>
    </w:p>
    <w:p w:rsidR="00C645C9" w:rsidRDefault="00F955D9">
      <w:pPr>
        <w:pStyle w:val="affff7"/>
        <w:widowControl w:val="0"/>
        <w:spacing w:beforeLines="0" w:before="0" w:afterLines="0" w:after="0"/>
        <w:ind w:firstLineChars="200" w:firstLine="420"/>
        <w:rPr>
          <w:rFonts w:eastAsia="黑体" w:cs="Times New Roman"/>
          <w:b w:val="0"/>
          <w:bCs/>
          <w:color w:val="auto"/>
          <w:kern w:val="2"/>
          <w:szCs w:val="21"/>
        </w:rPr>
      </w:pPr>
      <w:r>
        <w:rPr>
          <w:rFonts w:eastAsia="黑体" w:cs="Times New Roman"/>
          <w:b w:val="0"/>
          <w:bCs/>
          <w:color w:val="auto"/>
          <w:kern w:val="2"/>
          <w:szCs w:val="21"/>
          <w:lang w:val="en-US"/>
        </w:rPr>
        <w:t>图</w:t>
      </w:r>
      <w:r>
        <w:rPr>
          <w:rFonts w:eastAsia="黑体" w:cs="Times New Roman" w:hint="eastAsia"/>
          <w:b w:val="0"/>
          <w:bCs/>
          <w:color w:val="auto"/>
          <w:kern w:val="2"/>
          <w:szCs w:val="21"/>
          <w:lang w:val="en-US"/>
        </w:rPr>
        <w:t>5.2</w:t>
      </w:r>
      <w:r>
        <w:rPr>
          <w:rFonts w:eastAsia="黑体" w:cs="Times New Roman"/>
          <w:b w:val="0"/>
          <w:bCs/>
          <w:color w:val="auto"/>
          <w:kern w:val="2"/>
          <w:szCs w:val="21"/>
          <w:lang w:val="en-US"/>
        </w:rPr>
        <w:t>-</w:t>
      </w:r>
      <w:r>
        <w:rPr>
          <w:rFonts w:eastAsia="黑体" w:cs="Times New Roman" w:hint="eastAsia"/>
          <w:b w:val="0"/>
          <w:bCs/>
          <w:color w:val="auto"/>
          <w:kern w:val="2"/>
          <w:szCs w:val="21"/>
          <w:lang w:val="en-US"/>
        </w:rPr>
        <w:t>4</w:t>
      </w:r>
      <w:r>
        <w:rPr>
          <w:rFonts w:eastAsia="黑体" w:cs="Times New Roman"/>
          <w:b w:val="0"/>
          <w:bCs/>
          <w:color w:val="auto"/>
          <w:kern w:val="2"/>
          <w:szCs w:val="21"/>
          <w:lang w:val="en-US"/>
        </w:rPr>
        <w:t xml:space="preserve"> </w:t>
      </w:r>
      <w:r>
        <w:rPr>
          <w:rFonts w:eastAsia="黑体" w:cs="Times New Roman"/>
          <w:b w:val="0"/>
          <w:bCs/>
          <w:color w:val="auto"/>
          <w:kern w:val="2"/>
          <w:szCs w:val="21"/>
        </w:rPr>
        <w:t xml:space="preserve">  </w:t>
      </w:r>
      <w:r>
        <w:rPr>
          <w:rFonts w:eastAsia="黑体" w:cs="Times New Roman"/>
          <w:b w:val="0"/>
          <w:bCs/>
          <w:color w:val="auto"/>
          <w:kern w:val="2"/>
          <w:szCs w:val="21"/>
          <w:lang w:val="en-US"/>
        </w:rPr>
        <w:t>情景</w:t>
      </w:r>
      <w:r>
        <w:rPr>
          <w:rFonts w:eastAsia="黑体" w:cs="Times New Roman"/>
          <w:b w:val="0"/>
          <w:bCs/>
          <w:color w:val="auto"/>
          <w:kern w:val="2"/>
          <w:szCs w:val="21"/>
          <w:lang w:val="en-US"/>
        </w:rPr>
        <w:t>2</w:t>
      </w:r>
      <w:r>
        <w:rPr>
          <w:rFonts w:eastAsia="黑体" w:cs="Times New Roman"/>
          <w:b w:val="0"/>
          <w:bCs/>
          <w:color w:val="auto"/>
          <w:kern w:val="2"/>
          <w:szCs w:val="21"/>
          <w:lang w:val="en-US"/>
        </w:rPr>
        <w:t>：</w:t>
      </w:r>
      <w:r>
        <w:rPr>
          <w:rFonts w:eastAsia="黑体" w:cs="Times New Roman"/>
          <w:b w:val="0"/>
          <w:bCs/>
          <w:color w:val="auto"/>
          <w:kern w:val="2"/>
          <w:szCs w:val="21"/>
          <w:lang w:val="en-US"/>
        </w:rPr>
        <w:t>100</w:t>
      </w:r>
      <w:r>
        <w:rPr>
          <w:rFonts w:eastAsia="黑体" w:cs="Times New Roman"/>
          <w:b w:val="0"/>
          <w:bCs/>
          <w:color w:val="auto"/>
          <w:kern w:val="2"/>
          <w:szCs w:val="21"/>
        </w:rPr>
        <w:t>天石油类污染晕运移</w:t>
      </w:r>
      <w:r>
        <w:rPr>
          <w:rFonts w:eastAsia="黑体" w:cs="Times New Roman"/>
          <w:b w:val="0"/>
          <w:bCs/>
          <w:color w:val="auto"/>
          <w:kern w:val="2"/>
          <w:szCs w:val="21"/>
          <w:lang w:val="en-US"/>
        </w:rPr>
        <w:t>分布</w:t>
      </w:r>
      <w:r>
        <w:rPr>
          <w:rFonts w:eastAsia="黑体" w:cs="Times New Roman"/>
          <w:b w:val="0"/>
          <w:bCs/>
          <w:color w:val="auto"/>
          <w:kern w:val="2"/>
          <w:szCs w:val="21"/>
        </w:rPr>
        <w:t>图</w:t>
      </w:r>
    </w:p>
    <w:p w:rsidR="00C645C9" w:rsidRDefault="00C645C9">
      <w:pPr>
        <w:pStyle w:val="Default"/>
        <w:snapToGrid w:val="0"/>
        <w:rPr>
          <w:rFonts w:ascii="Times New Roman" w:hAnsi="Times New Roman" w:cs="Times New Roman"/>
          <w:color w:val="auto"/>
          <w:sz w:val="21"/>
          <w:szCs w:val="21"/>
        </w:rPr>
      </w:pPr>
    </w:p>
    <w:p w:rsidR="00C645C9" w:rsidRDefault="00F955D9">
      <w:pPr>
        <w:pStyle w:val="a4"/>
        <w:adjustRightInd w:val="0"/>
        <w:snapToGrid w:val="0"/>
        <w:jc w:val="center"/>
        <w:rPr>
          <w:rFonts w:ascii="黑体" w:eastAsia="黑体" w:hAnsi="黑体" w:cs="黑体"/>
          <w:kern w:val="2"/>
          <w:sz w:val="21"/>
          <w:szCs w:val="21"/>
          <w:lang w:val="zh-CN"/>
        </w:rPr>
      </w:pPr>
      <w:r>
        <w:rPr>
          <w:rFonts w:ascii="Times New Roman" w:eastAsia="黑体" w:hAnsi="Times New Roman" w:cs="Times New Roman"/>
          <w:bCs/>
          <w:kern w:val="2"/>
          <w:sz w:val="21"/>
          <w:szCs w:val="21"/>
        </w:rPr>
        <w:t>图</w:t>
      </w:r>
      <w:r>
        <w:rPr>
          <w:rFonts w:ascii="Times New Roman" w:eastAsia="黑体" w:hAnsi="Times New Roman" w:cs="Times New Roman" w:hint="eastAsia"/>
          <w:bCs/>
          <w:kern w:val="2"/>
          <w:sz w:val="21"/>
          <w:szCs w:val="21"/>
        </w:rPr>
        <w:t>5.2</w:t>
      </w:r>
      <w:r>
        <w:rPr>
          <w:rFonts w:ascii="Times New Roman" w:eastAsia="黑体" w:hAnsi="Times New Roman" w:cs="Times New Roman"/>
          <w:bCs/>
          <w:kern w:val="2"/>
          <w:sz w:val="21"/>
          <w:szCs w:val="21"/>
        </w:rPr>
        <w:t>-</w:t>
      </w:r>
      <w:r>
        <w:rPr>
          <w:rFonts w:ascii="Times New Roman" w:eastAsia="黑体" w:hAnsi="Times New Roman" w:cs="Times New Roman" w:hint="eastAsia"/>
          <w:bCs/>
          <w:kern w:val="2"/>
          <w:sz w:val="21"/>
          <w:szCs w:val="21"/>
        </w:rPr>
        <w:t>5</w:t>
      </w:r>
      <w:r>
        <w:rPr>
          <w:rFonts w:ascii="Times New Roman" w:eastAsia="黑体" w:hAnsi="Times New Roman" w:cs="Times New Roman"/>
          <w:bCs/>
          <w:kern w:val="2"/>
          <w:sz w:val="21"/>
          <w:szCs w:val="21"/>
        </w:rPr>
        <w:t xml:space="preserve"> </w:t>
      </w:r>
      <w:r>
        <w:rPr>
          <w:rFonts w:ascii="Times New Roman" w:eastAsia="黑体" w:hAnsi="Times New Roman" w:cs="Times New Roman"/>
          <w:bCs/>
          <w:kern w:val="2"/>
          <w:sz w:val="21"/>
          <w:szCs w:val="21"/>
          <w:lang w:val="zh-CN"/>
        </w:rPr>
        <w:t xml:space="preserve">  </w:t>
      </w:r>
      <w:r>
        <w:rPr>
          <w:rFonts w:ascii="Times New Roman" w:eastAsia="黑体" w:hAnsi="Times New Roman" w:cs="Times New Roman"/>
          <w:bCs/>
          <w:kern w:val="2"/>
          <w:sz w:val="21"/>
          <w:szCs w:val="21"/>
        </w:rPr>
        <w:t>情景</w:t>
      </w:r>
      <w:r>
        <w:rPr>
          <w:rFonts w:ascii="Times New Roman" w:eastAsia="黑体" w:hAnsi="Times New Roman" w:cs="Times New Roman"/>
          <w:bCs/>
          <w:kern w:val="2"/>
          <w:sz w:val="21"/>
          <w:szCs w:val="21"/>
        </w:rPr>
        <w:t>2</w:t>
      </w:r>
      <w:r>
        <w:rPr>
          <w:rFonts w:ascii="Times New Roman" w:eastAsia="黑体" w:hAnsi="Times New Roman" w:cs="Times New Roman"/>
          <w:bCs/>
          <w:kern w:val="2"/>
          <w:sz w:val="21"/>
          <w:szCs w:val="21"/>
        </w:rPr>
        <w:t>：</w:t>
      </w:r>
      <w:r>
        <w:rPr>
          <w:rFonts w:ascii="Times New Roman" w:eastAsia="黑体" w:hAnsi="Times New Roman" w:cs="Times New Roman"/>
          <w:bCs/>
          <w:kern w:val="2"/>
          <w:sz w:val="21"/>
          <w:szCs w:val="21"/>
        </w:rPr>
        <w:t>1000</w:t>
      </w:r>
      <w:r>
        <w:rPr>
          <w:rFonts w:ascii="Times New Roman" w:eastAsia="黑体" w:hAnsi="Times New Roman" w:cs="Times New Roman"/>
          <w:bCs/>
          <w:kern w:val="2"/>
          <w:sz w:val="21"/>
          <w:szCs w:val="21"/>
          <w:lang w:val="zh-CN"/>
        </w:rPr>
        <w:t>天石油类污染晕运移</w:t>
      </w:r>
      <w:r>
        <w:rPr>
          <w:rFonts w:ascii="Times New Roman" w:eastAsia="黑体" w:hAnsi="Times New Roman" w:cs="Times New Roman"/>
          <w:bCs/>
          <w:kern w:val="2"/>
          <w:sz w:val="21"/>
          <w:szCs w:val="21"/>
        </w:rPr>
        <w:t>分布</w:t>
      </w:r>
      <w:r>
        <w:rPr>
          <w:rFonts w:ascii="Times New Roman" w:eastAsia="黑体" w:hAnsi="Times New Roman" w:cs="Times New Roman"/>
          <w:bCs/>
          <w:kern w:val="2"/>
          <w:sz w:val="21"/>
          <w:szCs w:val="21"/>
          <w:lang w:val="zh-CN"/>
        </w:rPr>
        <w:t>图</w:t>
      </w:r>
    </w:p>
    <w:p w:rsidR="00C645C9" w:rsidRDefault="00C645C9">
      <w:pPr>
        <w:widowControl w:val="0"/>
        <w:adjustRightInd w:val="0"/>
        <w:snapToGrid w:val="0"/>
        <w:jc w:val="center"/>
        <w:rPr>
          <w:rFonts w:eastAsia="黑体" w:cs="Times New Roman"/>
          <w:bCs/>
          <w:sz w:val="21"/>
          <w:szCs w:val="21"/>
        </w:rPr>
      </w:pPr>
    </w:p>
    <w:p w:rsidR="00C645C9" w:rsidRDefault="00F955D9">
      <w:pPr>
        <w:pStyle w:val="a4"/>
        <w:adjustRightInd w:val="0"/>
        <w:snapToGrid w:val="0"/>
        <w:jc w:val="center"/>
        <w:rPr>
          <w:rFonts w:ascii="Times New Roman" w:eastAsia="黑体" w:hAnsi="Times New Roman" w:cs="Times New Roman"/>
          <w:bCs/>
          <w:kern w:val="2"/>
          <w:sz w:val="21"/>
          <w:szCs w:val="21"/>
          <w:lang w:val="zh-CN"/>
        </w:rPr>
      </w:pPr>
      <w:r>
        <w:rPr>
          <w:rFonts w:ascii="Times New Roman" w:eastAsia="黑体" w:hAnsi="Times New Roman" w:cs="Times New Roman"/>
          <w:bCs/>
          <w:kern w:val="2"/>
          <w:sz w:val="21"/>
          <w:szCs w:val="21"/>
        </w:rPr>
        <w:t>图</w:t>
      </w:r>
      <w:r>
        <w:rPr>
          <w:rFonts w:ascii="Times New Roman" w:eastAsia="黑体" w:hAnsi="Times New Roman" w:cs="Times New Roman" w:hint="eastAsia"/>
          <w:bCs/>
          <w:kern w:val="2"/>
          <w:sz w:val="21"/>
          <w:szCs w:val="21"/>
        </w:rPr>
        <w:t>5.2</w:t>
      </w:r>
      <w:r>
        <w:rPr>
          <w:rFonts w:ascii="Times New Roman" w:eastAsia="黑体" w:hAnsi="Times New Roman" w:cs="Times New Roman"/>
          <w:bCs/>
          <w:kern w:val="2"/>
          <w:sz w:val="21"/>
          <w:szCs w:val="21"/>
        </w:rPr>
        <w:t>-</w:t>
      </w:r>
      <w:r>
        <w:rPr>
          <w:rFonts w:ascii="Times New Roman" w:eastAsia="黑体" w:hAnsi="Times New Roman" w:cs="Times New Roman" w:hint="eastAsia"/>
          <w:bCs/>
          <w:kern w:val="2"/>
          <w:sz w:val="21"/>
          <w:szCs w:val="21"/>
        </w:rPr>
        <w:t>6</w:t>
      </w:r>
      <w:r>
        <w:rPr>
          <w:rFonts w:ascii="Times New Roman" w:eastAsia="黑体" w:hAnsi="Times New Roman" w:cs="Times New Roman"/>
          <w:bCs/>
          <w:kern w:val="2"/>
          <w:sz w:val="21"/>
          <w:szCs w:val="21"/>
        </w:rPr>
        <w:t xml:space="preserve"> </w:t>
      </w:r>
      <w:r>
        <w:rPr>
          <w:rFonts w:ascii="Times New Roman" w:eastAsia="黑体" w:hAnsi="Times New Roman" w:cs="Times New Roman"/>
          <w:bCs/>
          <w:kern w:val="2"/>
          <w:sz w:val="21"/>
          <w:szCs w:val="21"/>
          <w:lang w:val="zh-CN"/>
        </w:rPr>
        <w:t xml:space="preserve">  </w:t>
      </w:r>
      <w:r>
        <w:rPr>
          <w:rFonts w:ascii="Times New Roman" w:eastAsia="黑体" w:hAnsi="Times New Roman" w:cs="Times New Roman"/>
          <w:bCs/>
          <w:kern w:val="2"/>
          <w:sz w:val="21"/>
          <w:szCs w:val="21"/>
        </w:rPr>
        <w:t>情景</w:t>
      </w:r>
      <w:r>
        <w:rPr>
          <w:rFonts w:ascii="Times New Roman" w:eastAsia="黑体" w:hAnsi="Times New Roman" w:cs="Times New Roman"/>
          <w:bCs/>
          <w:kern w:val="2"/>
          <w:sz w:val="21"/>
          <w:szCs w:val="21"/>
        </w:rPr>
        <w:t>2</w:t>
      </w:r>
      <w:r>
        <w:rPr>
          <w:rFonts w:ascii="Times New Roman" w:eastAsia="黑体" w:hAnsi="Times New Roman" w:cs="Times New Roman"/>
          <w:bCs/>
          <w:kern w:val="2"/>
          <w:sz w:val="21"/>
          <w:szCs w:val="21"/>
        </w:rPr>
        <w:t>：</w:t>
      </w:r>
      <w:r>
        <w:rPr>
          <w:rFonts w:ascii="Times New Roman" w:eastAsia="黑体" w:hAnsi="Times New Roman" w:cs="Times New Roman" w:hint="eastAsia"/>
          <w:bCs/>
          <w:kern w:val="2"/>
          <w:sz w:val="21"/>
          <w:szCs w:val="21"/>
        </w:rPr>
        <w:t>1825</w:t>
      </w:r>
      <w:r>
        <w:rPr>
          <w:rFonts w:ascii="Times New Roman" w:eastAsia="黑体" w:hAnsi="Times New Roman" w:cs="Times New Roman"/>
          <w:bCs/>
          <w:kern w:val="2"/>
          <w:sz w:val="21"/>
          <w:szCs w:val="21"/>
          <w:lang w:val="zh-CN"/>
        </w:rPr>
        <w:t>天石油类污染晕运移</w:t>
      </w:r>
      <w:r>
        <w:rPr>
          <w:rFonts w:ascii="Times New Roman" w:eastAsia="黑体" w:hAnsi="Times New Roman" w:cs="Times New Roman"/>
          <w:bCs/>
          <w:kern w:val="2"/>
          <w:sz w:val="21"/>
          <w:szCs w:val="21"/>
        </w:rPr>
        <w:t>分布</w:t>
      </w:r>
      <w:r>
        <w:rPr>
          <w:rFonts w:ascii="Times New Roman" w:eastAsia="黑体" w:hAnsi="Times New Roman" w:cs="Times New Roman"/>
          <w:bCs/>
          <w:kern w:val="2"/>
          <w:sz w:val="21"/>
          <w:szCs w:val="21"/>
          <w:lang w:val="zh-CN"/>
        </w:rPr>
        <w:t>图</w:t>
      </w:r>
    </w:p>
    <w:bookmarkEnd w:id="1494"/>
    <w:p w:rsidR="00C645C9" w:rsidRDefault="00F955D9">
      <w:pPr>
        <w:widowControl w:val="0"/>
        <w:spacing w:line="360" w:lineRule="auto"/>
        <w:ind w:firstLineChars="200" w:firstLine="480"/>
        <w:jc w:val="both"/>
        <w:rPr>
          <w:rFonts w:cs="Times New Roman"/>
          <w:bCs/>
          <w:kern w:val="2"/>
        </w:rPr>
      </w:pPr>
      <w:r>
        <w:rPr>
          <w:rFonts w:cs="Times New Roman"/>
          <w:szCs w:val="22"/>
        </w:rPr>
        <w:t>根据以上预测结果，</w:t>
      </w:r>
      <w:r>
        <w:rPr>
          <w:rFonts w:cs="Times New Roman"/>
          <w:szCs w:val="22"/>
        </w:rPr>
        <w:t>在非正常状况下，污染物进入含水层后，在水动力弥散作用下，瞬时注入的污染物将产生呈椭圆形的污染晕，污染晕中污染物的浓度由中心向四周逐渐降低。随着水动力弥散作用的进行，污染晕将不断沿水流方向运移，污染晕的范围也会发生变化</w:t>
      </w:r>
      <w:r>
        <w:rPr>
          <w:rFonts w:cs="Times New Roman"/>
          <w:szCs w:val="22"/>
        </w:rPr>
        <w:t>：</w:t>
      </w:r>
      <w:r>
        <w:rPr>
          <w:rFonts w:cs="Times New Roman"/>
          <w:szCs w:val="22"/>
        </w:rPr>
        <w:t>污染物泄漏</w:t>
      </w:r>
      <w:r>
        <w:rPr>
          <w:rFonts w:cs="Times New Roman"/>
          <w:szCs w:val="22"/>
        </w:rPr>
        <w:t>发生后</w:t>
      </w:r>
      <w:r>
        <w:rPr>
          <w:rFonts w:cs="Times New Roman"/>
          <w:szCs w:val="22"/>
        </w:rPr>
        <w:t>1d</w:t>
      </w:r>
      <w:r>
        <w:rPr>
          <w:rFonts w:cs="Times New Roman"/>
          <w:szCs w:val="22"/>
        </w:rPr>
        <w:t>、</w:t>
      </w:r>
      <w:r>
        <w:rPr>
          <w:rFonts w:cs="Times New Roman"/>
          <w:szCs w:val="22"/>
        </w:rPr>
        <w:t>100d</w:t>
      </w:r>
      <w:r>
        <w:rPr>
          <w:rFonts w:cs="Times New Roman"/>
          <w:szCs w:val="22"/>
        </w:rPr>
        <w:t>、</w:t>
      </w:r>
      <w:r>
        <w:rPr>
          <w:rFonts w:cs="Times New Roman"/>
          <w:szCs w:val="22"/>
        </w:rPr>
        <w:t>1000d</w:t>
      </w:r>
      <w:r>
        <w:rPr>
          <w:rFonts w:cs="Times New Roman"/>
          <w:szCs w:val="22"/>
        </w:rPr>
        <w:t>、</w:t>
      </w:r>
      <w:r>
        <w:rPr>
          <w:rFonts w:cs="Times New Roman" w:hint="eastAsia"/>
          <w:szCs w:val="22"/>
        </w:rPr>
        <w:t>1825d</w:t>
      </w:r>
      <w:r>
        <w:rPr>
          <w:rFonts w:cs="Times New Roman"/>
          <w:szCs w:val="22"/>
        </w:rPr>
        <w:t>的</w:t>
      </w:r>
      <w:r>
        <w:rPr>
          <w:rFonts w:cs="Times New Roman"/>
          <w:szCs w:val="22"/>
        </w:rPr>
        <w:t>污染晕</w:t>
      </w:r>
      <w:r>
        <w:rPr>
          <w:rFonts w:cs="Times New Roman"/>
          <w:szCs w:val="22"/>
        </w:rPr>
        <w:t>超标范围分别为</w:t>
      </w:r>
      <w:r>
        <w:rPr>
          <w:rFonts w:cs="Times New Roman"/>
          <w:szCs w:val="22"/>
        </w:rPr>
        <w:t>64.99m</w:t>
      </w:r>
      <w:r>
        <w:rPr>
          <w:rFonts w:cs="Times New Roman"/>
          <w:szCs w:val="22"/>
          <w:vertAlign w:val="superscript"/>
        </w:rPr>
        <w:t>2</w:t>
      </w:r>
      <w:r>
        <w:rPr>
          <w:rFonts w:cs="Times New Roman" w:hint="eastAsia"/>
          <w:szCs w:val="22"/>
        </w:rPr>
        <w:t>、</w:t>
      </w:r>
      <w:r>
        <w:rPr>
          <w:rFonts w:cs="Times New Roman"/>
          <w:szCs w:val="22"/>
        </w:rPr>
        <w:t>4546.61m</w:t>
      </w:r>
      <w:r>
        <w:rPr>
          <w:rFonts w:cs="Times New Roman"/>
          <w:szCs w:val="22"/>
          <w:vertAlign w:val="superscript"/>
        </w:rPr>
        <w:t>2</w:t>
      </w:r>
      <w:r>
        <w:rPr>
          <w:rFonts w:cs="Times New Roman" w:hint="eastAsia"/>
          <w:szCs w:val="22"/>
        </w:rPr>
        <w:t>、</w:t>
      </w:r>
      <w:r>
        <w:rPr>
          <w:rFonts w:cs="Times New Roman"/>
          <w:szCs w:val="22"/>
        </w:rPr>
        <w:t>35682.78m</w:t>
      </w:r>
      <w:r>
        <w:rPr>
          <w:rFonts w:cs="Times New Roman"/>
          <w:szCs w:val="22"/>
          <w:vertAlign w:val="superscript"/>
        </w:rPr>
        <w:t>2</w:t>
      </w:r>
      <w:r>
        <w:rPr>
          <w:rFonts w:cs="Times New Roman" w:hint="eastAsia"/>
          <w:szCs w:val="22"/>
        </w:rPr>
        <w:t>、</w:t>
      </w:r>
      <w:r>
        <w:rPr>
          <w:rFonts w:cs="Times New Roman"/>
          <w:szCs w:val="22"/>
        </w:rPr>
        <w:t>60386.24m</w:t>
      </w:r>
      <w:r>
        <w:rPr>
          <w:rFonts w:cs="Times New Roman"/>
          <w:szCs w:val="22"/>
          <w:vertAlign w:val="superscript"/>
        </w:rPr>
        <w:t>2</w:t>
      </w:r>
      <w:r>
        <w:rPr>
          <w:rFonts w:cs="Times New Roman"/>
          <w:szCs w:val="22"/>
        </w:rPr>
        <w:t>，</w:t>
      </w:r>
      <w:r>
        <w:rPr>
          <w:rFonts w:cs="Times New Roman"/>
          <w:szCs w:val="22"/>
        </w:rPr>
        <w:t>影响范围</w:t>
      </w:r>
      <w:r>
        <w:rPr>
          <w:rFonts w:cs="Times New Roman"/>
          <w:szCs w:val="22"/>
        </w:rPr>
        <w:t>分别</w:t>
      </w:r>
      <w:r>
        <w:rPr>
          <w:rFonts w:cs="Times New Roman"/>
          <w:szCs w:val="22"/>
        </w:rPr>
        <w:t>为</w:t>
      </w:r>
      <w:r>
        <w:rPr>
          <w:rFonts w:cs="Times New Roman"/>
          <w:szCs w:val="22"/>
        </w:rPr>
        <w:t>72.58</w:t>
      </w:r>
      <w:r>
        <w:rPr>
          <w:rFonts w:cs="Times New Roman"/>
          <w:szCs w:val="22"/>
        </w:rPr>
        <w:t>m</w:t>
      </w:r>
      <w:r>
        <w:rPr>
          <w:rFonts w:cs="Times New Roman"/>
          <w:szCs w:val="22"/>
          <w:vertAlign w:val="superscript"/>
        </w:rPr>
        <w:t>2</w:t>
      </w:r>
      <w:r>
        <w:rPr>
          <w:rFonts w:cs="Times New Roman" w:hint="eastAsia"/>
          <w:szCs w:val="22"/>
        </w:rPr>
        <w:t>、</w:t>
      </w:r>
      <w:r>
        <w:rPr>
          <w:rFonts w:cs="Times New Roman"/>
          <w:szCs w:val="22"/>
        </w:rPr>
        <w:t>5311.24</w:t>
      </w:r>
      <w:r>
        <w:rPr>
          <w:rFonts w:cs="Times New Roman"/>
          <w:szCs w:val="22"/>
        </w:rPr>
        <w:t>m</w:t>
      </w:r>
      <w:r>
        <w:rPr>
          <w:rFonts w:cs="Times New Roman"/>
          <w:szCs w:val="22"/>
          <w:vertAlign w:val="superscript"/>
        </w:rPr>
        <w:t>2</w:t>
      </w:r>
      <w:r>
        <w:rPr>
          <w:rFonts w:cs="Times New Roman" w:hint="eastAsia"/>
          <w:szCs w:val="22"/>
        </w:rPr>
        <w:t>、</w:t>
      </w:r>
      <w:r>
        <w:rPr>
          <w:rFonts w:cs="Times New Roman"/>
          <w:szCs w:val="22"/>
        </w:rPr>
        <w:t>42270.37</w:t>
      </w:r>
      <w:r>
        <w:rPr>
          <w:rFonts w:cs="Times New Roman"/>
          <w:szCs w:val="22"/>
        </w:rPr>
        <w:t>m</w:t>
      </w:r>
      <w:r>
        <w:rPr>
          <w:rFonts w:cs="Times New Roman"/>
          <w:szCs w:val="22"/>
          <w:vertAlign w:val="superscript"/>
        </w:rPr>
        <w:t>2</w:t>
      </w:r>
      <w:r>
        <w:rPr>
          <w:rFonts w:cs="Times New Roman" w:hint="eastAsia"/>
          <w:szCs w:val="22"/>
        </w:rPr>
        <w:t>、</w:t>
      </w:r>
      <w:r>
        <w:rPr>
          <w:rFonts w:cs="Times New Roman"/>
          <w:szCs w:val="22"/>
        </w:rPr>
        <w:t>73561.42</w:t>
      </w:r>
      <w:r>
        <w:rPr>
          <w:rFonts w:cs="Times New Roman"/>
          <w:szCs w:val="22"/>
        </w:rPr>
        <w:t>m</w:t>
      </w:r>
      <w:r>
        <w:rPr>
          <w:rFonts w:cs="Times New Roman"/>
          <w:szCs w:val="22"/>
          <w:vertAlign w:val="superscript"/>
        </w:rPr>
        <w:t>2</w:t>
      </w:r>
      <w:r>
        <w:rPr>
          <w:rFonts w:cs="Times New Roman"/>
          <w:szCs w:val="22"/>
        </w:rPr>
        <w:t>，</w:t>
      </w:r>
      <w:r>
        <w:rPr>
          <w:rFonts w:cs="Times New Roman"/>
          <w:snapToGrid w:val="0"/>
        </w:rPr>
        <w:t>污染物的迁移对地</w:t>
      </w:r>
      <w:r>
        <w:rPr>
          <w:rFonts w:cs="Times New Roman"/>
          <w:snapToGrid w:val="0"/>
        </w:rPr>
        <w:lastRenderedPageBreak/>
        <w:t>下水有一定影响</w:t>
      </w:r>
      <w:r>
        <w:rPr>
          <w:rFonts w:cs="Times New Roman"/>
          <w:snapToGrid w:val="0"/>
        </w:rPr>
        <w:t>，</w:t>
      </w:r>
      <w:r>
        <w:rPr>
          <w:rFonts w:cs="Times New Roman"/>
          <w:kern w:val="2"/>
        </w:rPr>
        <w:t>当</w:t>
      </w:r>
      <w:r>
        <w:rPr>
          <w:rFonts w:cs="Times New Roman"/>
          <w:kern w:val="2"/>
        </w:rPr>
        <w:t>泄漏</w:t>
      </w:r>
      <w:r>
        <w:rPr>
          <w:rFonts w:cs="Times New Roman"/>
          <w:kern w:val="2"/>
        </w:rPr>
        <w:t>发生后，在预测期间，随着泄漏后的时间的增加，影响范围呈增加趋势</w:t>
      </w:r>
      <w:r>
        <w:rPr>
          <w:rFonts w:cs="Times New Roman" w:hint="eastAsia"/>
          <w:kern w:val="2"/>
        </w:rPr>
        <w:t>，</w:t>
      </w:r>
      <w:r>
        <w:rPr>
          <w:rFonts w:cs="Times New Roman"/>
          <w:szCs w:val="22"/>
        </w:rPr>
        <w:t>其中</w:t>
      </w:r>
      <w:r>
        <w:rPr>
          <w:rFonts w:cs="Times New Roman"/>
          <w:szCs w:val="22"/>
        </w:rPr>
        <w:t>1d</w:t>
      </w:r>
      <w:r>
        <w:rPr>
          <w:rFonts w:cs="Times New Roman"/>
          <w:szCs w:val="22"/>
        </w:rPr>
        <w:t>的影响范围在厂界内，不会</w:t>
      </w:r>
      <w:r>
        <w:rPr>
          <w:rFonts w:cs="Times New Roman"/>
          <w:snapToGrid w:val="0"/>
        </w:rPr>
        <w:t>影响范围</w:t>
      </w:r>
      <w:r>
        <w:rPr>
          <w:rFonts w:cs="Times New Roman"/>
          <w:snapToGrid w:val="0"/>
        </w:rPr>
        <w:t>到外环境，各时段的预测影响范围内均</w:t>
      </w:r>
      <w:r>
        <w:rPr>
          <w:rFonts w:cs="Times New Roman"/>
          <w:snapToGrid w:val="0"/>
        </w:rPr>
        <w:t>无居民饮用水井等地下水环境敏感点。</w:t>
      </w:r>
    </w:p>
    <w:p w:rsidR="00C645C9" w:rsidRDefault="00F955D9">
      <w:pPr>
        <w:widowControl w:val="0"/>
        <w:spacing w:line="360" w:lineRule="auto"/>
        <w:ind w:firstLineChars="200" w:firstLine="480"/>
        <w:rPr>
          <w:rFonts w:cs="Times New Roman"/>
          <w:snapToGrid w:val="0"/>
        </w:rPr>
      </w:pPr>
      <w:r>
        <w:rPr>
          <w:rFonts w:cs="Times New Roman" w:hint="eastAsia"/>
          <w:snapToGrid w:val="0"/>
        </w:rPr>
        <w:t>本工程井场</w:t>
      </w:r>
      <w:r>
        <w:rPr>
          <w:rFonts w:cs="Times New Roman"/>
          <w:bCs/>
          <w:kern w:val="2"/>
        </w:rPr>
        <w:t>采取</w:t>
      </w:r>
      <w:r>
        <w:rPr>
          <w:rFonts w:cs="Times New Roman"/>
          <w:bCs/>
          <w:kern w:val="2"/>
        </w:rPr>
        <w:t>了</w:t>
      </w:r>
      <w:r>
        <w:rPr>
          <w:rFonts w:cs="Times New Roman"/>
          <w:bCs/>
          <w:kern w:val="2"/>
        </w:rPr>
        <w:t>必要的防渗措施，</w:t>
      </w:r>
      <w:r>
        <w:rPr>
          <w:rFonts w:cs="Times New Roman"/>
          <w:snapToGrid w:val="0"/>
        </w:rPr>
        <w:t>发生</w:t>
      </w:r>
      <w:r>
        <w:rPr>
          <w:rFonts w:cs="Times New Roman" w:hint="eastAsia"/>
          <w:snapToGrid w:val="0"/>
        </w:rPr>
        <w:t>泄漏</w:t>
      </w:r>
      <w:r>
        <w:rPr>
          <w:rFonts w:cs="Times New Roman"/>
          <w:snapToGrid w:val="0"/>
        </w:rPr>
        <w:t>后</w:t>
      </w:r>
      <w:r>
        <w:rPr>
          <w:rFonts w:cs="Times New Roman"/>
          <w:snapToGrid w:val="0"/>
        </w:rPr>
        <w:t>，建设单位</w:t>
      </w:r>
      <w:r>
        <w:rPr>
          <w:rFonts w:cs="Times New Roman"/>
          <w:snapToGrid w:val="0"/>
        </w:rPr>
        <w:t>立即</w:t>
      </w:r>
      <w:r>
        <w:rPr>
          <w:rFonts w:cs="Times New Roman"/>
          <w:snapToGrid w:val="0"/>
        </w:rPr>
        <w:t>采取切断措施并及时组织专门力量进行污染物的清除工作，在最短的时间内清除地面及地下的污染物，</w:t>
      </w:r>
      <w:r>
        <w:rPr>
          <w:rFonts w:cs="Times New Roman"/>
          <w:snapToGrid w:val="0"/>
        </w:rPr>
        <w:t>避免出现</w:t>
      </w:r>
      <w:r>
        <w:rPr>
          <w:rFonts w:cs="Times New Roman" w:hint="eastAsia"/>
          <w:snapToGrid w:val="0"/>
        </w:rPr>
        <w:t>泄漏</w:t>
      </w:r>
      <w:r>
        <w:rPr>
          <w:rFonts w:cs="Times New Roman"/>
          <w:snapToGrid w:val="0"/>
        </w:rPr>
        <w:t>的污染物</w:t>
      </w:r>
      <w:r>
        <w:rPr>
          <w:rFonts w:cs="Times New Roman" w:hint="eastAsia"/>
          <w:snapToGrid w:val="0"/>
        </w:rPr>
        <w:t>进入</w:t>
      </w:r>
      <w:r>
        <w:rPr>
          <w:rFonts w:cs="Times New Roman"/>
          <w:snapToGrid w:val="0"/>
        </w:rPr>
        <w:t>地下水并随地下水中迁移，</w:t>
      </w:r>
      <w:r>
        <w:rPr>
          <w:rFonts w:cs="Times New Roman"/>
          <w:snapToGrid w:val="0"/>
        </w:rPr>
        <w:t>建设单位和施工单位严格按照</w:t>
      </w:r>
      <w:r>
        <w:rPr>
          <w:rFonts w:cs="Times New Roman"/>
        </w:rPr>
        <w:t>“</w:t>
      </w:r>
      <w:r>
        <w:rPr>
          <w:rFonts w:cs="Times New Roman"/>
        </w:rPr>
        <w:t>源头控制、过程防控、跟踪监测、应急响应</w:t>
      </w:r>
      <w:r>
        <w:rPr>
          <w:rFonts w:cs="Times New Roman"/>
        </w:rPr>
        <w:t>”</w:t>
      </w:r>
      <w:r>
        <w:rPr>
          <w:rFonts w:cs="Times New Roman"/>
        </w:rPr>
        <w:t>相结合的原则，采取地下水污染</w:t>
      </w:r>
      <w:r>
        <w:rPr>
          <w:rFonts w:cs="Times New Roman"/>
        </w:rPr>
        <w:t>防控</w:t>
      </w:r>
      <w:r>
        <w:rPr>
          <w:rFonts w:cs="Times New Roman"/>
        </w:rPr>
        <w:t>措施</w:t>
      </w:r>
      <w:r>
        <w:rPr>
          <w:rFonts w:cs="Times New Roman"/>
        </w:rPr>
        <w:t>的情况</w:t>
      </w:r>
      <w:r>
        <w:rPr>
          <w:rFonts w:cs="Times New Roman"/>
          <w:snapToGrid w:val="0"/>
        </w:rPr>
        <w:t>，非正常状况下，对地下水的影响属可接受范围。</w:t>
      </w:r>
    </w:p>
    <w:p w:rsidR="00C645C9" w:rsidRDefault="00F955D9">
      <w:pPr>
        <w:pStyle w:val="afffb"/>
        <w:rPr>
          <w:lang w:eastAsia="zh-CN"/>
        </w:rPr>
      </w:pPr>
      <w:r>
        <w:rPr>
          <w:lang w:eastAsia="zh-CN"/>
        </w:rPr>
        <w:t>5.</w:t>
      </w:r>
      <w:r>
        <w:rPr>
          <w:rFonts w:hint="eastAsia"/>
          <w:lang w:eastAsia="zh-CN"/>
        </w:rPr>
        <w:t>2</w:t>
      </w:r>
      <w:r>
        <w:rPr>
          <w:lang w:eastAsia="zh-CN"/>
        </w:rPr>
        <w:t>.</w:t>
      </w:r>
      <w:r>
        <w:rPr>
          <w:lang w:eastAsia="zh-CN"/>
        </w:rPr>
        <w:t>4</w:t>
      </w:r>
      <w:r>
        <w:rPr>
          <w:lang w:eastAsia="zh-CN"/>
        </w:rPr>
        <w:t>退役期地下水环境影响分析</w:t>
      </w:r>
    </w:p>
    <w:p w:rsidR="00C645C9" w:rsidRDefault="00F955D9">
      <w:pPr>
        <w:adjustRightInd w:val="0"/>
        <w:snapToGrid w:val="0"/>
        <w:spacing w:line="360" w:lineRule="auto"/>
        <w:ind w:firstLineChars="200" w:firstLine="480"/>
        <w:rPr>
          <w:rFonts w:cs="Times New Roman"/>
          <w:bCs/>
          <w:kern w:val="2"/>
        </w:rPr>
      </w:pPr>
      <w:r>
        <w:rPr>
          <w:rFonts w:cs="Times New Roman"/>
          <w:szCs w:val="20"/>
        </w:rPr>
        <w:t>退役期主要污染源是设备拆除、井场清理产生的扬尘和固体废物等，退役期拆除设备时所用的时间较少，施工人员产生的生活污水量较少，产生的生活污水经井场一体化污水处理装置处理后，水质达到《农村生活污水处理排放标准》（</w:t>
      </w:r>
      <w:r>
        <w:rPr>
          <w:rFonts w:cs="Times New Roman"/>
          <w:szCs w:val="20"/>
        </w:rPr>
        <w:t>DB65 4275-2019</w:t>
      </w:r>
      <w:r>
        <w:rPr>
          <w:rFonts w:cs="Times New Roman"/>
          <w:szCs w:val="20"/>
        </w:rPr>
        <w:t>）表二的</w:t>
      </w:r>
      <w:r>
        <w:rPr>
          <w:rFonts w:cs="Times New Roman"/>
          <w:szCs w:val="20"/>
        </w:rPr>
        <w:t>B</w:t>
      </w:r>
      <w:r>
        <w:rPr>
          <w:rFonts w:cs="Times New Roman"/>
          <w:szCs w:val="20"/>
        </w:rPr>
        <w:t>级标准、《农田灌溉水质标准》（</w:t>
      </w:r>
      <w:r>
        <w:rPr>
          <w:rFonts w:cs="Times New Roman"/>
          <w:szCs w:val="20"/>
        </w:rPr>
        <w:t>GB 5084-2021</w:t>
      </w:r>
      <w:r>
        <w:rPr>
          <w:rFonts w:cs="Times New Roman"/>
          <w:szCs w:val="20"/>
        </w:rPr>
        <w:t>）表一旱地作物标准后用于井场及道路降尘，不外排，对环境影响较小。退役期井场拆除</w:t>
      </w:r>
      <w:r>
        <w:rPr>
          <w:rFonts w:cs="Times New Roman" w:hint="eastAsia"/>
          <w:szCs w:val="20"/>
        </w:rPr>
        <w:t>采气</w:t>
      </w:r>
      <w:r>
        <w:rPr>
          <w:rFonts w:cs="Times New Roman"/>
          <w:szCs w:val="20"/>
        </w:rPr>
        <w:t>设备，在作业区铺设防渗材料，施工结束后及时清理场地，对地下水环境影响很小。</w:t>
      </w:r>
      <w:r>
        <w:rPr>
          <w:rFonts w:cs="Times New Roman"/>
          <w:bCs/>
          <w:kern w:val="2"/>
        </w:rPr>
        <w:t>退役期各</w:t>
      </w:r>
      <w:r>
        <w:rPr>
          <w:rFonts w:cs="Times New Roman" w:hint="eastAsia"/>
          <w:bCs/>
          <w:kern w:val="2"/>
        </w:rPr>
        <w:t>采气</w:t>
      </w:r>
      <w:r>
        <w:rPr>
          <w:rFonts w:cs="Times New Roman"/>
          <w:bCs/>
          <w:kern w:val="2"/>
        </w:rPr>
        <w:t>井均使用水泥灌注进行封井，将井筒与地下水含水层彻底隔离，有效避免了污染物进入地下水含水层造成水质污染。</w:t>
      </w:r>
    </w:p>
    <w:p w:rsidR="00C645C9" w:rsidRDefault="00F955D9">
      <w:pPr>
        <w:adjustRightInd w:val="0"/>
        <w:snapToGrid w:val="0"/>
        <w:spacing w:line="360" w:lineRule="auto"/>
        <w:ind w:firstLineChars="200" w:firstLine="480"/>
        <w:rPr>
          <w:rFonts w:cs="Times New Roman"/>
          <w:bCs/>
          <w:kern w:val="2"/>
        </w:rPr>
      </w:pPr>
      <w:r>
        <w:rPr>
          <w:rFonts w:cs="Times New Roman"/>
          <w:bCs/>
          <w:kern w:val="2"/>
        </w:rPr>
        <w:t>综上，退役期无废水外排，在加强环境管理的情况下，一般</w:t>
      </w:r>
      <w:r>
        <w:rPr>
          <w:rFonts w:cs="Times New Roman" w:hint="eastAsia"/>
          <w:bCs/>
          <w:kern w:val="2"/>
        </w:rPr>
        <w:t>不会</w:t>
      </w:r>
      <w:r>
        <w:rPr>
          <w:rFonts w:cs="Times New Roman"/>
          <w:bCs/>
          <w:kern w:val="2"/>
        </w:rPr>
        <w:t>造成周边地下水环境污染。</w:t>
      </w:r>
    </w:p>
    <w:p w:rsidR="00C645C9" w:rsidRDefault="00F955D9">
      <w:pPr>
        <w:pStyle w:val="afffb"/>
        <w:rPr>
          <w:lang w:eastAsia="zh-CN"/>
        </w:rPr>
      </w:pPr>
      <w:bookmarkStart w:id="1505" w:name="_Toc15223"/>
      <w:bookmarkStart w:id="1506" w:name="_Toc6819"/>
      <w:bookmarkStart w:id="1507" w:name="_Toc22059"/>
      <w:r>
        <w:rPr>
          <w:lang w:eastAsia="zh-CN"/>
        </w:rPr>
        <w:t>5.</w:t>
      </w:r>
      <w:r>
        <w:rPr>
          <w:rFonts w:hint="eastAsia"/>
          <w:lang w:eastAsia="zh-CN"/>
        </w:rPr>
        <w:t>2</w:t>
      </w:r>
      <w:r>
        <w:rPr>
          <w:lang w:eastAsia="zh-CN"/>
        </w:rPr>
        <w:t>.</w:t>
      </w:r>
      <w:r>
        <w:rPr>
          <w:lang w:eastAsia="zh-CN"/>
        </w:rPr>
        <w:t>5</w:t>
      </w:r>
      <w:bookmarkEnd w:id="1505"/>
      <w:bookmarkEnd w:id="1506"/>
      <w:bookmarkEnd w:id="1507"/>
      <w:r>
        <w:rPr>
          <w:lang w:eastAsia="zh-CN"/>
        </w:rPr>
        <w:t>地下水环境评价结论</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w:t>
      </w:r>
      <w:r>
        <w:rPr>
          <w:rFonts w:cs="Times New Roman"/>
          <w:kern w:val="2"/>
        </w:rPr>
        <w:t>1</w:t>
      </w:r>
      <w:r>
        <w:rPr>
          <w:rFonts w:cs="Times New Roman"/>
          <w:kern w:val="2"/>
        </w:rPr>
        <w:t>）在正常状况下，</w:t>
      </w:r>
      <w:bookmarkStart w:id="1508" w:name="_Hlk48692703"/>
      <w:r>
        <w:rPr>
          <w:rFonts w:cs="Times New Roman" w:hint="eastAsia"/>
          <w:kern w:val="2"/>
        </w:rPr>
        <w:t>本工程</w:t>
      </w:r>
      <w:r>
        <w:rPr>
          <w:rFonts w:cs="Times New Roman"/>
          <w:kern w:val="2"/>
        </w:rPr>
        <w:t>各阶段的废水均不外排，各类废水及固废均得到了妥善处置，</w:t>
      </w:r>
      <w:r>
        <w:rPr>
          <w:rFonts w:cs="Times New Roman" w:hint="eastAsia"/>
          <w:kern w:val="2"/>
        </w:rPr>
        <w:t>本工程</w:t>
      </w:r>
      <w:r>
        <w:rPr>
          <w:rFonts w:cs="Times New Roman"/>
          <w:kern w:val="2"/>
        </w:rPr>
        <w:t>在设计、施工和运行时，严把质量验收关，</w:t>
      </w:r>
      <w:r>
        <w:rPr>
          <w:rFonts w:cs="Times New Roman" w:hint="eastAsia"/>
          <w:kern w:val="2"/>
        </w:rPr>
        <w:t>杜绝</w:t>
      </w:r>
      <w:r>
        <w:rPr>
          <w:rFonts w:cs="Times New Roman"/>
          <w:kern w:val="2"/>
        </w:rPr>
        <w:t>因管道材质、制管、防腐涂层、焊接缺陷及运行失误而造成管线泄漏</w:t>
      </w:r>
      <w:bookmarkEnd w:id="1508"/>
      <w:r>
        <w:rPr>
          <w:rFonts w:cs="Times New Roman"/>
          <w:kern w:val="2"/>
        </w:rPr>
        <w:t>。在生产运行过程中，强化监控手段，定期检查检验，检漏控漏，尽量杜绝事故性排放源的存在，</w:t>
      </w:r>
      <w:r>
        <w:rPr>
          <w:rFonts w:cs="Times New Roman" w:hint="eastAsia"/>
          <w:kern w:val="2"/>
        </w:rPr>
        <w:t>本工程</w:t>
      </w:r>
      <w:r>
        <w:rPr>
          <w:rFonts w:cs="Times New Roman"/>
          <w:kern w:val="2"/>
        </w:rPr>
        <w:t>对地下水环境的影响较小；钻井采用了套管，采取固井措施，有效防止了钻井液漏失污染地下水。</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rPr>
        <w:t>（</w:t>
      </w:r>
      <w:r>
        <w:rPr>
          <w:rFonts w:cs="Times New Roman"/>
        </w:rPr>
        <w:t>2</w:t>
      </w:r>
      <w:r>
        <w:rPr>
          <w:rFonts w:cs="Times New Roman"/>
        </w:rPr>
        <w:t>）本次地下水评价，对</w:t>
      </w:r>
      <w:r>
        <w:rPr>
          <w:rFonts w:cs="Times New Roman" w:hint="eastAsia"/>
        </w:rPr>
        <w:t>本工程</w:t>
      </w:r>
      <w:r>
        <w:rPr>
          <w:rFonts w:cs="Times New Roman"/>
        </w:rPr>
        <w:t>运营期在非正常情况的情景进行了预测分析，结果显示：若发生非正常状况，污染物一旦发生泄漏，将会对项目附近区域地下水造成一定影响，</w:t>
      </w:r>
      <w:r>
        <w:rPr>
          <w:rFonts w:cs="Times New Roman"/>
          <w:kern w:val="2"/>
        </w:rPr>
        <w:t>发生事故后建设单位及时启动应急预案，切断废水下渗污</w:t>
      </w:r>
      <w:r>
        <w:rPr>
          <w:rFonts w:cs="Times New Roman"/>
          <w:kern w:val="2"/>
        </w:rPr>
        <w:lastRenderedPageBreak/>
        <w:t>染源，采取补救措施，可将地下水环境影响降到最低，对地下水环境产生的影响较小。</w:t>
      </w:r>
      <w:bookmarkStart w:id="1509" w:name="_Hlk112854270"/>
    </w:p>
    <w:p w:rsidR="00C645C9" w:rsidRDefault="00F955D9">
      <w:pPr>
        <w:widowControl w:val="0"/>
        <w:adjustRightInd w:val="0"/>
        <w:snapToGrid w:val="0"/>
        <w:spacing w:line="360" w:lineRule="auto"/>
        <w:ind w:firstLineChars="200" w:firstLine="480"/>
        <w:jc w:val="both"/>
        <w:rPr>
          <w:rFonts w:cs="Times New Roman"/>
          <w:bCs/>
          <w:kern w:val="2"/>
        </w:rPr>
      </w:pPr>
      <w:r>
        <w:rPr>
          <w:rFonts w:cs="Times New Roman" w:hint="eastAsia"/>
          <w:bCs/>
          <w:kern w:val="2"/>
        </w:rPr>
        <w:t>本工程</w:t>
      </w:r>
      <w:r>
        <w:rPr>
          <w:rFonts w:cs="Times New Roman"/>
          <w:bCs/>
          <w:kern w:val="2"/>
        </w:rPr>
        <w:t>需采取地下水污染防治措施按照</w:t>
      </w:r>
      <w:r>
        <w:rPr>
          <w:rFonts w:cs="Times New Roman"/>
          <w:bCs/>
          <w:kern w:val="2"/>
        </w:rPr>
        <w:t>“</w:t>
      </w:r>
      <w:r>
        <w:rPr>
          <w:rFonts w:cs="Times New Roman"/>
          <w:bCs/>
          <w:kern w:val="2"/>
        </w:rPr>
        <w:t>源头控制、分</w:t>
      </w:r>
      <w:r>
        <w:rPr>
          <w:rFonts w:cs="Times New Roman"/>
          <w:bCs/>
          <w:kern w:val="2"/>
        </w:rPr>
        <w:t>区防渗、跟踪监测、应急响应</w:t>
      </w:r>
      <w:r>
        <w:rPr>
          <w:rFonts w:cs="Times New Roman"/>
          <w:bCs/>
          <w:kern w:val="2"/>
        </w:rPr>
        <w:t>”</w:t>
      </w:r>
      <w:r>
        <w:rPr>
          <w:rFonts w:cs="Times New Roman"/>
          <w:bCs/>
          <w:kern w:val="2"/>
        </w:rPr>
        <w:t>相结合的原则，并定期开展地下水跟踪监测，在严格按照地下水污染防护措施后，</w:t>
      </w:r>
      <w:r>
        <w:rPr>
          <w:rFonts w:cs="Times New Roman" w:hint="eastAsia"/>
          <w:bCs/>
          <w:kern w:val="2"/>
        </w:rPr>
        <w:t>本工程</w:t>
      </w:r>
      <w:r>
        <w:rPr>
          <w:rFonts w:cs="Times New Roman"/>
          <w:bCs/>
          <w:kern w:val="2"/>
        </w:rPr>
        <w:t>对区域地下水环境影响可接受。</w:t>
      </w:r>
      <w:bookmarkEnd w:id="1509"/>
    </w:p>
    <w:p w:rsidR="00C645C9" w:rsidRDefault="00F955D9">
      <w:pPr>
        <w:pStyle w:val="afffa"/>
        <w:rPr>
          <w:lang w:eastAsia="zh-CN"/>
        </w:rPr>
      </w:pPr>
      <w:bookmarkStart w:id="1510" w:name="_Toc6867"/>
      <w:r>
        <w:rPr>
          <w:lang w:eastAsia="zh-CN"/>
        </w:rPr>
        <w:t>5.</w:t>
      </w:r>
      <w:r>
        <w:rPr>
          <w:rFonts w:hint="eastAsia"/>
          <w:lang w:eastAsia="zh-CN"/>
        </w:rPr>
        <w:t>3</w:t>
      </w:r>
      <w:r>
        <w:rPr>
          <w:lang w:eastAsia="zh-CN"/>
        </w:rPr>
        <w:t>地表水环境影响评价</w:t>
      </w:r>
      <w:bookmarkEnd w:id="1510"/>
    </w:p>
    <w:p w:rsidR="00C645C9" w:rsidRDefault="00F955D9">
      <w:pPr>
        <w:adjustRightInd w:val="0"/>
        <w:snapToGrid w:val="0"/>
        <w:spacing w:line="360" w:lineRule="auto"/>
        <w:ind w:firstLineChars="200" w:firstLine="480"/>
        <w:rPr>
          <w:rFonts w:cs="Times New Roman"/>
          <w:bCs/>
          <w:kern w:val="2"/>
        </w:rPr>
      </w:pPr>
      <w:r>
        <w:rPr>
          <w:rFonts w:cs="Times New Roman"/>
          <w:bCs/>
          <w:kern w:val="2"/>
          <w:szCs w:val="20"/>
        </w:rPr>
        <w:t>按照《环境影响评价技术导则</w:t>
      </w:r>
      <w:r>
        <w:rPr>
          <w:rFonts w:cs="Times New Roman"/>
          <w:bCs/>
          <w:kern w:val="2"/>
          <w:szCs w:val="20"/>
        </w:rPr>
        <w:t>·</w:t>
      </w:r>
      <w:r>
        <w:rPr>
          <w:rFonts w:cs="Times New Roman"/>
          <w:bCs/>
          <w:kern w:val="2"/>
          <w:szCs w:val="20"/>
        </w:rPr>
        <w:t>地表水环境》</w:t>
      </w:r>
      <w:r>
        <w:rPr>
          <w:rFonts w:cs="Times New Roman" w:hint="eastAsia"/>
          <w:bCs/>
          <w:kern w:val="2"/>
          <w:szCs w:val="20"/>
        </w:rPr>
        <w:t>（</w:t>
      </w:r>
      <w:r>
        <w:rPr>
          <w:rFonts w:cs="Times New Roman"/>
          <w:bCs/>
          <w:kern w:val="2"/>
          <w:szCs w:val="20"/>
        </w:rPr>
        <w:t>HJ2.3-2018</w:t>
      </w:r>
      <w:r>
        <w:rPr>
          <w:rFonts w:cs="Times New Roman" w:hint="eastAsia"/>
          <w:bCs/>
          <w:kern w:val="2"/>
          <w:szCs w:val="20"/>
        </w:rPr>
        <w:t>）</w:t>
      </w:r>
      <w:r>
        <w:rPr>
          <w:rFonts w:cs="Times New Roman"/>
          <w:bCs/>
          <w:kern w:val="2"/>
          <w:szCs w:val="20"/>
        </w:rPr>
        <w:t>中表</w:t>
      </w:r>
      <w:r>
        <w:rPr>
          <w:rFonts w:cs="Times New Roman"/>
          <w:bCs/>
          <w:kern w:val="2"/>
          <w:szCs w:val="20"/>
        </w:rPr>
        <w:t>1</w:t>
      </w:r>
      <w:r>
        <w:rPr>
          <w:rFonts w:cs="Times New Roman"/>
          <w:bCs/>
          <w:kern w:val="2"/>
          <w:szCs w:val="20"/>
        </w:rPr>
        <w:t>水污染影响型建设项目评价等级判定，判定</w:t>
      </w:r>
      <w:r>
        <w:rPr>
          <w:rFonts w:cs="Times New Roman" w:hint="eastAsia"/>
          <w:bCs/>
          <w:kern w:val="2"/>
          <w:szCs w:val="20"/>
        </w:rPr>
        <w:t>本工程</w:t>
      </w:r>
      <w:r>
        <w:rPr>
          <w:rFonts w:cs="Times New Roman"/>
          <w:bCs/>
          <w:kern w:val="2"/>
          <w:szCs w:val="20"/>
        </w:rPr>
        <w:t>地表水环境评价等级为三级</w:t>
      </w:r>
      <w:r>
        <w:rPr>
          <w:rFonts w:cs="Times New Roman"/>
          <w:bCs/>
          <w:kern w:val="2"/>
          <w:szCs w:val="20"/>
        </w:rPr>
        <w:t>B</w:t>
      </w:r>
      <w:r>
        <w:rPr>
          <w:rFonts w:cs="Times New Roman"/>
          <w:bCs/>
          <w:kern w:val="2"/>
          <w:szCs w:val="20"/>
        </w:rPr>
        <w:t>。重点论证项目废水综合利用不外排的可行性和可靠性。</w:t>
      </w:r>
    </w:p>
    <w:p w:rsidR="00C645C9" w:rsidRDefault="00F955D9">
      <w:pPr>
        <w:pStyle w:val="afffb"/>
        <w:rPr>
          <w:lang w:eastAsia="zh-CN"/>
        </w:rPr>
      </w:pPr>
      <w:r>
        <w:rPr>
          <w:lang w:eastAsia="zh-CN"/>
        </w:rPr>
        <w:t>5.</w:t>
      </w:r>
      <w:r>
        <w:rPr>
          <w:rFonts w:hint="eastAsia"/>
          <w:lang w:eastAsia="zh-CN"/>
        </w:rPr>
        <w:t>3.1</w:t>
      </w:r>
      <w:r>
        <w:rPr>
          <w:rFonts w:hint="eastAsia"/>
          <w:lang w:eastAsia="zh-CN"/>
        </w:rPr>
        <w:t>施工期地表水环境影响分析</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在施工期，对地表水环境可能造成影响的污染源为生活污水、管道试压废水、钻井废水</w:t>
      </w:r>
      <w:r>
        <w:rPr>
          <w:rFonts w:cs="Times New Roman" w:hint="eastAsia"/>
          <w:kern w:val="2"/>
          <w:szCs w:val="20"/>
        </w:rPr>
        <w:t>和</w:t>
      </w:r>
      <w:r>
        <w:rPr>
          <w:rFonts w:hint="eastAsia"/>
        </w:rPr>
        <w:t>酸化压裂废水</w:t>
      </w:r>
      <w:r>
        <w:rPr>
          <w:rFonts w:cs="Times New Roman"/>
          <w:kern w:val="2"/>
          <w:szCs w:val="20"/>
        </w:rPr>
        <w:t>。</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1</w:t>
      </w:r>
      <w:r>
        <w:rPr>
          <w:rFonts w:cs="Times New Roman"/>
          <w:kern w:val="2"/>
          <w:szCs w:val="20"/>
        </w:rPr>
        <w:t>）生活污水</w:t>
      </w:r>
    </w:p>
    <w:p w:rsidR="00C645C9" w:rsidRDefault="00F955D9">
      <w:pPr>
        <w:widowControl w:val="0"/>
        <w:adjustRightInd w:val="0"/>
        <w:snapToGrid w:val="0"/>
        <w:spacing w:line="360" w:lineRule="auto"/>
        <w:ind w:firstLineChars="200" w:firstLine="480"/>
        <w:jc w:val="both"/>
        <w:rPr>
          <w:rFonts w:cs="Times New Roman"/>
          <w:kern w:val="2"/>
          <w:lang w:bidi="ar"/>
        </w:rPr>
      </w:pPr>
      <w:r>
        <w:rPr>
          <w:rFonts w:cs="Times New Roman" w:hint="eastAsia"/>
          <w:kern w:val="2"/>
        </w:rPr>
        <w:t>生活污水经井场一体化污水处理装置处理后，水质达到《农村生活污水处理排放标准》（</w:t>
      </w:r>
      <w:r>
        <w:rPr>
          <w:rFonts w:cs="Times New Roman" w:hint="eastAsia"/>
          <w:kern w:val="2"/>
        </w:rPr>
        <w:t>DB65 4275-2019</w:t>
      </w:r>
      <w:r>
        <w:rPr>
          <w:rFonts w:cs="Times New Roman" w:hint="eastAsia"/>
          <w:kern w:val="2"/>
        </w:rPr>
        <w:t>）表二的</w:t>
      </w:r>
      <w:r>
        <w:rPr>
          <w:rFonts w:cs="Times New Roman" w:hint="eastAsia"/>
          <w:kern w:val="2"/>
        </w:rPr>
        <w:t>B</w:t>
      </w:r>
      <w:r>
        <w:rPr>
          <w:rFonts w:cs="Times New Roman" w:hint="eastAsia"/>
          <w:kern w:val="2"/>
        </w:rPr>
        <w:t>级标准、《农田灌溉水质标准》（</w:t>
      </w:r>
      <w:r>
        <w:rPr>
          <w:rFonts w:cs="Times New Roman" w:hint="eastAsia"/>
          <w:kern w:val="2"/>
        </w:rPr>
        <w:t>GB 5084-2021</w:t>
      </w:r>
      <w:r>
        <w:rPr>
          <w:rFonts w:cs="Times New Roman" w:hint="eastAsia"/>
          <w:kern w:val="2"/>
        </w:rPr>
        <w:t>）表一旱地作物标准后用于井场及道路降尘</w:t>
      </w:r>
      <w:r>
        <w:rPr>
          <w:rFonts w:cs="Times New Roman"/>
          <w:kern w:val="2"/>
          <w:lang w:bidi="ar"/>
        </w:rPr>
        <w:t>。</w:t>
      </w:r>
    </w:p>
    <w:p w:rsidR="00C645C9" w:rsidRDefault="00F955D9">
      <w:pPr>
        <w:widowControl w:val="0"/>
        <w:adjustRightInd w:val="0"/>
        <w:snapToGrid w:val="0"/>
        <w:spacing w:line="360" w:lineRule="auto"/>
        <w:ind w:firstLineChars="200" w:firstLine="480"/>
        <w:jc w:val="both"/>
        <w:rPr>
          <w:rFonts w:cs="Times New Roman"/>
          <w:kern w:val="2"/>
          <w:lang w:bidi="ar"/>
        </w:rPr>
      </w:pPr>
      <w:r>
        <w:rPr>
          <w:rFonts w:cs="Times New Roman"/>
          <w:kern w:val="2"/>
          <w:lang w:bidi="ar"/>
        </w:rPr>
        <w:t>（</w:t>
      </w:r>
      <w:r>
        <w:rPr>
          <w:rFonts w:cs="Times New Roman"/>
          <w:kern w:val="2"/>
          <w:lang w:bidi="ar"/>
        </w:rPr>
        <w:t>2</w:t>
      </w:r>
      <w:r>
        <w:rPr>
          <w:rFonts w:cs="Times New Roman"/>
          <w:kern w:val="2"/>
          <w:lang w:bidi="ar"/>
        </w:rPr>
        <w:t>）钻井废水</w:t>
      </w:r>
    </w:p>
    <w:p w:rsidR="00C645C9" w:rsidRDefault="00F955D9">
      <w:pPr>
        <w:widowControl w:val="0"/>
        <w:adjustRightInd w:val="0"/>
        <w:snapToGrid w:val="0"/>
        <w:spacing w:line="360" w:lineRule="auto"/>
        <w:ind w:firstLineChars="200" w:firstLine="480"/>
        <w:jc w:val="both"/>
        <w:rPr>
          <w:rFonts w:cs="Times New Roman"/>
          <w:snapToGrid w:val="0"/>
          <w:kern w:val="2"/>
        </w:rPr>
      </w:pPr>
      <w:bookmarkStart w:id="1511" w:name="OLE_LINK1490"/>
      <w:r>
        <w:rPr>
          <w:rFonts w:cs="Times New Roman"/>
          <w:snapToGrid w:val="0"/>
          <w:kern w:val="2"/>
        </w:rPr>
        <w:t>本工程</w:t>
      </w:r>
      <w:bookmarkEnd w:id="1511"/>
      <w:r>
        <w:rPr>
          <w:rFonts w:cs="Times New Roman"/>
          <w:snapToGrid w:val="0"/>
          <w:kern w:val="2"/>
        </w:rPr>
        <w:t>钻井施工过程中采用</w:t>
      </w:r>
      <w:r>
        <w:rPr>
          <w:rFonts w:cs="Times New Roman"/>
          <w:snapToGrid w:val="0"/>
          <w:kern w:val="2"/>
        </w:rPr>
        <w:t>“</w:t>
      </w:r>
      <w:r>
        <w:rPr>
          <w:rFonts w:cs="Times New Roman"/>
          <w:snapToGrid w:val="0"/>
          <w:kern w:val="2"/>
        </w:rPr>
        <w:t>钻井废弃物不落地达标处理技术</w:t>
      </w:r>
      <w:r>
        <w:rPr>
          <w:rFonts w:cs="Times New Roman"/>
          <w:snapToGrid w:val="0"/>
          <w:kern w:val="2"/>
        </w:rPr>
        <w:t>”</w:t>
      </w:r>
      <w:r>
        <w:rPr>
          <w:rFonts w:cs="Times New Roman"/>
          <w:snapToGrid w:val="0"/>
          <w:kern w:val="2"/>
        </w:rPr>
        <w:t>，钻井废水与钻井泥浆、岩屑一同进入不落地处理系统处理，处理后的液相全部回用于配备钻井液，不外排。本工程钻井采用了套管，采取固井措施，有效防止了钻井液漏失污染地下水；钻井废水由泥浆不落地系统收集，不外排，对水环境影响很小。</w:t>
      </w:r>
    </w:p>
    <w:p w:rsidR="00C645C9" w:rsidRDefault="00F955D9">
      <w:pPr>
        <w:adjustRightInd w:val="0"/>
        <w:snapToGrid w:val="0"/>
        <w:spacing w:line="360" w:lineRule="auto"/>
        <w:ind w:firstLineChars="200" w:firstLine="480"/>
        <w:jc w:val="both"/>
        <w:rPr>
          <w:rFonts w:cs="Times New Roman"/>
        </w:rPr>
      </w:pPr>
      <w:bookmarkStart w:id="1512" w:name="OLE_LINK1489"/>
      <w:r>
        <w:rPr>
          <w:rFonts w:cs="Times New Roman"/>
        </w:rPr>
        <w:t>（</w:t>
      </w:r>
      <w:r>
        <w:rPr>
          <w:rFonts w:cs="Times New Roman"/>
        </w:rPr>
        <w:t>3</w:t>
      </w:r>
      <w:r>
        <w:rPr>
          <w:rFonts w:cs="Times New Roman"/>
        </w:rPr>
        <w:t>）</w:t>
      </w:r>
      <w:bookmarkStart w:id="1513" w:name="OLE_LINK1491"/>
      <w:r>
        <w:rPr>
          <w:rFonts w:cs="Times New Roman"/>
        </w:rPr>
        <w:t>酸化压裂废水</w:t>
      </w:r>
      <w:bookmarkEnd w:id="1513"/>
    </w:p>
    <w:p w:rsidR="00C645C9" w:rsidRDefault="00F955D9">
      <w:pPr>
        <w:adjustRightInd w:val="0"/>
        <w:snapToGrid w:val="0"/>
        <w:spacing w:line="360" w:lineRule="auto"/>
        <w:ind w:firstLineChars="200" w:firstLine="480"/>
        <w:jc w:val="both"/>
        <w:rPr>
          <w:rFonts w:cs="Times New Roman"/>
        </w:rPr>
      </w:pPr>
      <w:r>
        <w:rPr>
          <w:rFonts w:cs="Times New Roman" w:hint="eastAsia"/>
          <w:kern w:val="2"/>
          <w:szCs w:val="20"/>
        </w:rPr>
        <w:t>本工程</w:t>
      </w:r>
      <w:r>
        <w:rPr>
          <w:rFonts w:cs="Times New Roman" w:hint="eastAsia"/>
          <w:kern w:val="2"/>
          <w:szCs w:val="20"/>
        </w:rPr>
        <w:t>产生的</w:t>
      </w:r>
      <w:r>
        <w:rPr>
          <w:rFonts w:cs="Times New Roman"/>
        </w:rPr>
        <w:t>酸化压裂废水</w:t>
      </w:r>
      <w:r>
        <w:t>，采用专用废液收集罐收集后运至</w:t>
      </w:r>
      <w:r>
        <w:rPr>
          <w:rFonts w:hint="eastAsia"/>
        </w:rPr>
        <w:t>塔河油田绿色环保工作站</w:t>
      </w:r>
      <w:r>
        <w:t>处理。对于本工程产</w:t>
      </w:r>
      <w:r>
        <w:rPr>
          <w:rFonts w:hint="eastAsia"/>
        </w:rPr>
        <w:t>生的</w:t>
      </w:r>
      <w:r>
        <w:t>危险废物由专用运输车辆进行运输、转移，并严格按照《危险废物转移联单管理办法》，实施危险废物转移联单管理制度</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hint="eastAsia"/>
        </w:rPr>
        <w:t>4</w:t>
      </w:r>
      <w:r>
        <w:rPr>
          <w:rFonts w:cs="Times New Roman"/>
        </w:rPr>
        <w:t>）管道试压废水</w:t>
      </w:r>
    </w:p>
    <w:p w:rsidR="00C645C9" w:rsidRDefault="00F955D9">
      <w:pPr>
        <w:widowControl w:val="0"/>
        <w:adjustRightInd w:val="0"/>
        <w:snapToGrid w:val="0"/>
        <w:spacing w:line="360" w:lineRule="auto"/>
        <w:ind w:firstLineChars="200" w:firstLine="480"/>
        <w:jc w:val="both"/>
      </w:pPr>
      <w:r>
        <w:rPr>
          <w:rFonts w:cs="Times New Roman" w:hint="eastAsia"/>
          <w:kern w:val="2"/>
          <w:szCs w:val="20"/>
        </w:rPr>
        <w:t>本工</w:t>
      </w:r>
      <w:bookmarkEnd w:id="1512"/>
      <w:r>
        <w:rPr>
          <w:rFonts w:cs="Times New Roman" w:hint="eastAsia"/>
          <w:kern w:val="2"/>
          <w:szCs w:val="20"/>
        </w:rPr>
        <w:t>程</w:t>
      </w:r>
      <w:r>
        <w:rPr>
          <w:rFonts w:cs="Times New Roman"/>
          <w:kern w:val="2"/>
          <w:szCs w:val="20"/>
        </w:rPr>
        <w:t>管道分段试压，一般采用无腐蚀性的清洁水。试压水由管道排出由罐收集后，进入下一段管道循环使用，试压结束沉淀后用于区域洒水降尘，不外排。</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hint="eastAsia"/>
          <w:kern w:val="2"/>
          <w:szCs w:val="20"/>
        </w:rPr>
        <w:t>本工程</w:t>
      </w:r>
      <w:r>
        <w:rPr>
          <w:rFonts w:cs="Times New Roman"/>
          <w:kern w:val="2"/>
          <w:szCs w:val="20"/>
        </w:rPr>
        <w:t>施工期间废水全部妥善处理，</w:t>
      </w:r>
      <w:r>
        <w:rPr>
          <w:rFonts w:cs="Times New Roman"/>
          <w:kern w:val="2"/>
        </w:rPr>
        <w:t>由于</w:t>
      </w:r>
      <w:r>
        <w:rPr>
          <w:rFonts w:cs="Times New Roman" w:hint="eastAsia"/>
          <w:kern w:val="2"/>
        </w:rPr>
        <w:t>工程</w:t>
      </w:r>
      <w:r>
        <w:rPr>
          <w:rFonts w:cs="Times New Roman"/>
          <w:kern w:val="2"/>
        </w:rPr>
        <w:t>区附近无地表水体，</w:t>
      </w:r>
      <w:r>
        <w:rPr>
          <w:rFonts w:cs="Times New Roman" w:hint="eastAsia"/>
          <w:kern w:val="2"/>
        </w:rPr>
        <w:t>本工程</w:t>
      </w:r>
      <w:r>
        <w:rPr>
          <w:rFonts w:cs="Times New Roman"/>
          <w:kern w:val="2"/>
        </w:rPr>
        <w:t>开</w:t>
      </w:r>
      <w:r>
        <w:rPr>
          <w:rFonts w:cs="Times New Roman"/>
          <w:kern w:val="2"/>
        </w:rPr>
        <w:lastRenderedPageBreak/>
        <w:t>发建设、运营产生废水也不排入地表水体，因此，</w:t>
      </w:r>
      <w:r>
        <w:rPr>
          <w:rFonts w:cs="Times New Roman" w:hint="eastAsia"/>
          <w:kern w:val="2"/>
        </w:rPr>
        <w:t>本工程</w:t>
      </w:r>
      <w:r>
        <w:rPr>
          <w:rFonts w:cs="Times New Roman"/>
          <w:kern w:val="2"/>
        </w:rPr>
        <w:t>在施工期对区域地表水体不产生影响。</w:t>
      </w:r>
    </w:p>
    <w:p w:rsidR="00C645C9" w:rsidRDefault="00F955D9">
      <w:pPr>
        <w:pStyle w:val="afffb"/>
        <w:rPr>
          <w:lang w:eastAsia="zh-CN"/>
        </w:rPr>
      </w:pPr>
      <w:r>
        <w:rPr>
          <w:lang w:eastAsia="zh-CN"/>
        </w:rPr>
        <w:t>5.</w:t>
      </w:r>
      <w:r>
        <w:rPr>
          <w:rFonts w:hint="eastAsia"/>
          <w:lang w:eastAsia="zh-CN"/>
        </w:rPr>
        <w:t>3.2</w:t>
      </w:r>
      <w:r>
        <w:rPr>
          <w:rFonts w:hint="eastAsia"/>
          <w:lang w:eastAsia="zh-CN"/>
        </w:rPr>
        <w:t>运营期地表水环境影响评价</w:t>
      </w:r>
    </w:p>
    <w:p w:rsidR="00C645C9" w:rsidRDefault="00F955D9">
      <w:pPr>
        <w:pStyle w:val="00"/>
        <w:rPr>
          <w:color w:val="auto"/>
        </w:rPr>
      </w:pPr>
      <w:r>
        <w:rPr>
          <w:color w:val="auto"/>
        </w:rPr>
        <w:t>根据工程分析，本工程运营期产生的废水主要有</w:t>
      </w:r>
      <w:bookmarkStart w:id="1514" w:name="OLE_LINK1492"/>
      <w:r>
        <w:rPr>
          <w:color w:val="auto"/>
        </w:rPr>
        <w:t>生产废水</w:t>
      </w:r>
      <w:bookmarkEnd w:id="1514"/>
      <w:r>
        <w:rPr>
          <w:rFonts w:hint="eastAsia"/>
          <w:color w:val="auto"/>
        </w:rPr>
        <w:t>、</w:t>
      </w:r>
      <w:bookmarkStart w:id="1515" w:name="OLE_LINK1493"/>
      <w:r>
        <w:rPr>
          <w:color w:val="auto"/>
        </w:rPr>
        <w:t>采出水、井下作业废水</w:t>
      </w:r>
      <w:bookmarkEnd w:id="1515"/>
      <w:r>
        <w:rPr>
          <w:rFonts w:hint="eastAsia"/>
          <w:color w:val="auto"/>
        </w:rPr>
        <w:t>和</w:t>
      </w:r>
      <w:r>
        <w:rPr>
          <w:color w:val="auto"/>
          <w:szCs w:val="20"/>
          <w:lang w:bidi="ar"/>
        </w:rPr>
        <w:t>生活污水</w:t>
      </w:r>
      <w:r>
        <w:rPr>
          <w:color w:val="auto"/>
        </w:rPr>
        <w:t>。</w:t>
      </w:r>
    </w:p>
    <w:p w:rsidR="00C645C9" w:rsidRDefault="00F955D9">
      <w:pPr>
        <w:widowControl w:val="0"/>
        <w:spacing w:line="360" w:lineRule="auto"/>
        <w:ind w:firstLineChars="200" w:firstLine="480"/>
        <w:jc w:val="both"/>
        <w:rPr>
          <w:rFonts w:cs="Times New Roman"/>
          <w:kern w:val="2"/>
          <w:szCs w:val="20"/>
        </w:rPr>
      </w:pPr>
      <w:r>
        <w:rPr>
          <w:rFonts w:cs="Times New Roman" w:hint="eastAsia"/>
          <w:kern w:val="2"/>
          <w:szCs w:val="20"/>
        </w:rPr>
        <w:t>本工程产生的</w:t>
      </w:r>
      <w:bookmarkStart w:id="1516" w:name="OLE_LINK1496"/>
      <w:r>
        <w:rPr>
          <w:rFonts w:cs="Times New Roman"/>
        </w:rPr>
        <w:t>生产废水</w:t>
      </w:r>
      <w:r>
        <w:rPr>
          <w:rFonts w:cs="Times New Roman" w:hint="eastAsia"/>
        </w:rPr>
        <w:t>、</w:t>
      </w:r>
      <w:r>
        <w:rPr>
          <w:rFonts w:cs="Times New Roman"/>
        </w:rPr>
        <w:t>采出水、井下作业废水</w:t>
      </w:r>
      <w:bookmarkEnd w:id="1516"/>
      <w:r>
        <w:rPr>
          <w:rFonts w:cs="Times New Roman"/>
          <w:kern w:val="2"/>
          <w:szCs w:val="20"/>
        </w:rPr>
        <w:t>，主要污染物为石油类、盐类</w:t>
      </w:r>
      <w:r>
        <w:rPr>
          <w:rFonts w:cs="Times New Roman"/>
          <w:kern w:val="2"/>
          <w:szCs w:val="20"/>
        </w:rPr>
        <w:t>、</w:t>
      </w:r>
      <w:r>
        <w:rPr>
          <w:rFonts w:cs="Times New Roman"/>
          <w:kern w:val="2"/>
          <w:szCs w:val="20"/>
        </w:rPr>
        <w:t>耗氧量、氨氮、盐分</w:t>
      </w:r>
      <w:r>
        <w:rPr>
          <w:rFonts w:cs="Times New Roman"/>
          <w:kern w:val="2"/>
          <w:szCs w:val="20"/>
        </w:rPr>
        <w:t>等。</w:t>
      </w:r>
      <w:r>
        <w:rPr>
          <w:rFonts w:cs="Times New Roman"/>
        </w:rPr>
        <w:t>生产废水</w:t>
      </w:r>
      <w:r>
        <w:rPr>
          <w:rFonts w:cs="Times New Roman" w:hint="eastAsia"/>
        </w:rPr>
        <w:t>、</w:t>
      </w:r>
      <w:r>
        <w:rPr>
          <w:rFonts w:cs="Times New Roman"/>
        </w:rPr>
        <w:t>采出水、井下作业废水</w:t>
      </w:r>
      <w:r>
        <w:rPr>
          <w:rFonts w:cs="Times New Roman"/>
          <w:kern w:val="2"/>
          <w:szCs w:val="20"/>
        </w:rPr>
        <w:t>均依托塔河油田绿色环保工作站处理。</w:t>
      </w:r>
      <w:r>
        <w:rPr>
          <w:rFonts w:cs="Times New Roman"/>
          <w:kern w:val="2"/>
          <w:szCs w:val="20"/>
          <w:lang w:bidi="ar"/>
        </w:rPr>
        <w:t>运营期工作人员由雅克拉采气厂内部调剂解决，故不新增生活污水。</w:t>
      </w:r>
    </w:p>
    <w:p w:rsidR="00C645C9" w:rsidRDefault="00F955D9">
      <w:pPr>
        <w:widowControl w:val="0"/>
        <w:spacing w:line="360" w:lineRule="auto"/>
        <w:ind w:firstLineChars="200" w:firstLine="480"/>
        <w:jc w:val="both"/>
        <w:rPr>
          <w:rFonts w:cs="Times New Roman"/>
          <w:snapToGrid w:val="0"/>
        </w:rPr>
      </w:pPr>
      <w:r>
        <w:rPr>
          <w:rFonts w:cs="Times New Roman"/>
          <w:snapToGrid w:val="0"/>
        </w:rPr>
        <w:t>采取上述</w:t>
      </w:r>
      <w:r>
        <w:rPr>
          <w:rFonts w:cs="Times New Roman"/>
          <w:snapToGrid w:val="0"/>
          <w:lang w:val="zh-CN"/>
        </w:rPr>
        <w:t>水污染控制</w:t>
      </w:r>
      <w:r>
        <w:rPr>
          <w:rFonts w:cs="Times New Roman"/>
          <w:snapToGrid w:val="0"/>
        </w:rPr>
        <w:t>措施后，</w:t>
      </w:r>
      <w:r>
        <w:rPr>
          <w:rFonts w:cs="Times New Roman" w:hint="eastAsia"/>
          <w:snapToGrid w:val="0"/>
        </w:rPr>
        <w:t>本工程</w:t>
      </w:r>
      <w:r>
        <w:rPr>
          <w:rFonts w:cs="Times New Roman"/>
          <w:snapToGrid w:val="0"/>
        </w:rPr>
        <w:t>废水不外排，</w:t>
      </w:r>
      <w:r>
        <w:rPr>
          <w:rFonts w:cs="Times New Roman" w:hint="eastAsia"/>
          <w:snapToGrid w:val="0"/>
        </w:rPr>
        <w:t>本工程</w:t>
      </w:r>
      <w:r>
        <w:rPr>
          <w:rFonts w:cs="Times New Roman"/>
        </w:rPr>
        <w:t>生产废水</w:t>
      </w:r>
      <w:r>
        <w:rPr>
          <w:rFonts w:cs="Times New Roman" w:hint="eastAsia"/>
        </w:rPr>
        <w:t>、</w:t>
      </w:r>
      <w:r>
        <w:rPr>
          <w:rFonts w:cs="Times New Roman"/>
        </w:rPr>
        <w:t>采出水、井下作业废水</w:t>
      </w:r>
      <w:r>
        <w:rPr>
          <w:rFonts w:cs="Times New Roman"/>
          <w:snapToGrid w:val="0"/>
        </w:rPr>
        <w:t>不会对周边水环境产生影响。水污染控制和水环境影响减缓措施有效，对水环境的影响较小。</w:t>
      </w:r>
    </w:p>
    <w:p w:rsidR="00C645C9" w:rsidRDefault="00F955D9">
      <w:pPr>
        <w:pStyle w:val="afffb"/>
        <w:rPr>
          <w:lang w:eastAsia="zh-CN"/>
        </w:rPr>
      </w:pPr>
      <w:r>
        <w:rPr>
          <w:lang w:eastAsia="zh-CN"/>
        </w:rPr>
        <w:t>5.</w:t>
      </w:r>
      <w:r>
        <w:rPr>
          <w:rFonts w:hint="eastAsia"/>
          <w:lang w:eastAsia="zh-CN"/>
        </w:rPr>
        <w:t>3.3</w:t>
      </w:r>
      <w:r>
        <w:rPr>
          <w:rFonts w:hint="eastAsia"/>
          <w:lang w:eastAsia="zh-CN"/>
        </w:rPr>
        <w:t>退役期地表水环境影响分析</w:t>
      </w:r>
    </w:p>
    <w:p w:rsidR="00C645C9" w:rsidRDefault="00F955D9">
      <w:pPr>
        <w:spacing w:line="360" w:lineRule="auto"/>
        <w:ind w:firstLineChars="200" w:firstLine="480"/>
        <w:rPr>
          <w:rFonts w:cs="Times New Roman"/>
          <w:bCs/>
          <w:kern w:val="2"/>
        </w:rPr>
      </w:pPr>
      <w:r>
        <w:rPr>
          <w:rFonts w:cs="Times New Roman" w:hint="eastAsia"/>
          <w:bCs/>
          <w:kern w:val="2"/>
        </w:rPr>
        <w:t>本工程</w:t>
      </w:r>
      <w:r>
        <w:rPr>
          <w:rFonts w:cs="Times New Roman"/>
          <w:bCs/>
          <w:kern w:val="2"/>
        </w:rPr>
        <w:t>退役期拆除设备、封井和清理井场时，施工时间较短，施工人员产生的生活污水量较少，依托施工区域周边生活设施处理，不外排，对周围水环境影响较小。</w:t>
      </w:r>
    </w:p>
    <w:p w:rsidR="00C645C9" w:rsidRDefault="00F955D9">
      <w:pPr>
        <w:pStyle w:val="afffb"/>
        <w:rPr>
          <w:lang w:eastAsia="zh-CN"/>
        </w:rPr>
      </w:pPr>
      <w:r>
        <w:rPr>
          <w:lang w:eastAsia="zh-CN"/>
        </w:rPr>
        <w:t>5.</w:t>
      </w:r>
      <w:r>
        <w:rPr>
          <w:rFonts w:hint="eastAsia"/>
          <w:lang w:eastAsia="zh-CN"/>
        </w:rPr>
        <w:t>3.4</w:t>
      </w:r>
      <w:r>
        <w:rPr>
          <w:rFonts w:hint="eastAsia"/>
          <w:lang w:eastAsia="zh-CN"/>
        </w:rPr>
        <w:t>地表水环境评价结论</w:t>
      </w:r>
    </w:p>
    <w:p w:rsidR="00C645C9" w:rsidRDefault="00F955D9">
      <w:pPr>
        <w:adjustRightInd w:val="0"/>
        <w:snapToGrid w:val="0"/>
        <w:spacing w:line="360" w:lineRule="auto"/>
        <w:ind w:firstLineChars="200" w:firstLine="480"/>
      </w:pPr>
      <w:r>
        <w:rPr>
          <w:rFonts w:cs="Times New Roman" w:hint="eastAsia"/>
          <w:bCs/>
          <w:kern w:val="2"/>
        </w:rPr>
        <w:t>本工程</w:t>
      </w:r>
      <w:r>
        <w:rPr>
          <w:rFonts w:cs="Times New Roman"/>
          <w:bCs/>
          <w:kern w:val="2"/>
        </w:rPr>
        <w:t>施工期、运营期、退役期产生的各类废水不外排，且</w:t>
      </w:r>
      <w:r>
        <w:rPr>
          <w:rFonts w:cs="Times New Roman" w:hint="eastAsia"/>
          <w:bCs/>
          <w:kern w:val="2"/>
        </w:rPr>
        <w:t>本工程</w:t>
      </w:r>
      <w:r>
        <w:rPr>
          <w:rFonts w:cs="Times New Roman"/>
          <w:bCs/>
          <w:kern w:val="2"/>
        </w:rPr>
        <w:t>场地及周边临近区域无地表水体分布，因此</w:t>
      </w:r>
      <w:r>
        <w:rPr>
          <w:rFonts w:cs="Times New Roman" w:hint="eastAsia"/>
          <w:bCs/>
          <w:kern w:val="2"/>
        </w:rPr>
        <w:t>本工程</w:t>
      </w:r>
      <w:r>
        <w:rPr>
          <w:rFonts w:cs="Times New Roman"/>
          <w:bCs/>
          <w:kern w:val="2"/>
        </w:rPr>
        <w:t>的建设不会对地表水环境产生影响。</w:t>
      </w:r>
    </w:p>
    <w:p w:rsidR="00C645C9" w:rsidRDefault="00F955D9">
      <w:pPr>
        <w:pStyle w:val="afffb"/>
        <w:rPr>
          <w:lang w:eastAsia="zh-CN"/>
        </w:rPr>
      </w:pPr>
      <w:r>
        <w:rPr>
          <w:lang w:eastAsia="zh-CN"/>
        </w:rPr>
        <w:t>5.</w:t>
      </w:r>
      <w:r>
        <w:rPr>
          <w:rFonts w:hint="eastAsia"/>
          <w:lang w:eastAsia="zh-CN"/>
        </w:rPr>
        <w:t>3.5</w:t>
      </w:r>
      <w:r>
        <w:rPr>
          <w:rFonts w:hint="eastAsia"/>
          <w:lang w:eastAsia="zh-CN"/>
        </w:rPr>
        <w:t>地表水环境影响评价自查表</w:t>
      </w:r>
    </w:p>
    <w:p w:rsidR="00C645C9" w:rsidRDefault="00F955D9">
      <w:pPr>
        <w:pStyle w:val="affff5"/>
        <w:ind w:firstLine="480"/>
        <w:rPr>
          <w:rFonts w:cs="Times New Roman"/>
        </w:rPr>
      </w:pPr>
      <w:r>
        <w:rPr>
          <w:rFonts w:cs="Times New Roman"/>
        </w:rPr>
        <w:t>项目地表水环境影响评价自查表见表</w:t>
      </w:r>
      <w:r>
        <w:rPr>
          <w:rFonts w:cs="Times New Roman"/>
        </w:rPr>
        <w:t>5.3-1</w:t>
      </w:r>
      <w:r>
        <w:rPr>
          <w:rFonts w:cs="Times New Roman"/>
        </w:rPr>
        <w:t>。</w:t>
      </w:r>
    </w:p>
    <w:p w:rsidR="00C645C9" w:rsidRDefault="00F955D9">
      <w:pPr>
        <w:spacing w:line="360" w:lineRule="auto"/>
        <w:ind w:firstLineChars="200" w:firstLine="420"/>
        <w:jc w:val="center"/>
        <w:rPr>
          <w:rFonts w:eastAsia="黑体" w:cs="Times New Roman"/>
          <w:kern w:val="2"/>
          <w:sz w:val="21"/>
          <w:szCs w:val="21"/>
          <w:lang w:bidi="ar"/>
        </w:rPr>
      </w:pPr>
      <w:r>
        <w:rPr>
          <w:rFonts w:eastAsia="黑体" w:cs="Times New Roman"/>
          <w:kern w:val="2"/>
          <w:sz w:val="21"/>
          <w:szCs w:val="21"/>
          <w:lang w:bidi="ar"/>
        </w:rPr>
        <w:t>表</w:t>
      </w:r>
      <w:r>
        <w:rPr>
          <w:rFonts w:eastAsia="黑体" w:cs="Times New Roman"/>
          <w:kern w:val="2"/>
          <w:sz w:val="21"/>
          <w:szCs w:val="21"/>
          <w:lang w:bidi="ar"/>
        </w:rPr>
        <w:t>5.3-1</w:t>
      </w:r>
      <w:r>
        <w:rPr>
          <w:rFonts w:eastAsia="黑体" w:cs="Times New Roman" w:hint="eastAsia"/>
          <w:kern w:val="2"/>
          <w:sz w:val="21"/>
          <w:szCs w:val="21"/>
          <w:lang w:bidi="ar"/>
        </w:rPr>
        <w:t xml:space="preserve">   </w:t>
      </w:r>
      <w:r>
        <w:rPr>
          <w:rFonts w:eastAsia="黑体" w:cs="Times New Roman"/>
          <w:kern w:val="2"/>
          <w:sz w:val="21"/>
          <w:szCs w:val="21"/>
          <w:lang w:bidi="ar"/>
        </w:rPr>
        <w:t>地表水环境影响评价自查表</w:t>
      </w:r>
    </w:p>
    <w:tbl>
      <w:tblPr>
        <w:tblW w:w="498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12"/>
        <w:gridCol w:w="942"/>
        <w:gridCol w:w="3463"/>
        <w:gridCol w:w="3412"/>
      </w:tblGrid>
      <w:tr w:rsidR="00C645C9">
        <w:trPr>
          <w:trHeight w:val="425"/>
          <w:jc w:val="center"/>
        </w:trPr>
        <w:tc>
          <w:tcPr>
            <w:tcW w:w="872" w:type="pct"/>
            <w:gridSpan w:val="2"/>
            <w:vAlign w:val="center"/>
          </w:tcPr>
          <w:p w:rsidR="00C645C9" w:rsidRDefault="00F955D9">
            <w:pPr>
              <w:pStyle w:val="affff6"/>
              <w:spacing w:line="240" w:lineRule="auto"/>
              <w:rPr>
                <w:rFonts w:cs="Times New Roman"/>
              </w:rPr>
            </w:pPr>
            <w:r>
              <w:rPr>
                <w:rFonts w:cs="Times New Roman"/>
              </w:rPr>
              <w:t>工作内容</w:t>
            </w:r>
          </w:p>
        </w:tc>
        <w:tc>
          <w:tcPr>
            <w:tcW w:w="4127" w:type="pct"/>
            <w:gridSpan w:val="2"/>
            <w:vAlign w:val="center"/>
          </w:tcPr>
          <w:p w:rsidR="00C645C9" w:rsidRDefault="00F955D9">
            <w:pPr>
              <w:pStyle w:val="affff6"/>
              <w:spacing w:line="240" w:lineRule="auto"/>
              <w:rPr>
                <w:rFonts w:cs="Times New Roman"/>
              </w:rPr>
            </w:pPr>
            <w:r>
              <w:rPr>
                <w:rFonts w:cs="Times New Roman"/>
              </w:rPr>
              <w:t>自查项目</w:t>
            </w:r>
          </w:p>
        </w:tc>
      </w:tr>
      <w:tr w:rsidR="00C645C9">
        <w:trPr>
          <w:trHeight w:val="425"/>
          <w:jc w:val="center"/>
        </w:trPr>
        <w:tc>
          <w:tcPr>
            <w:tcW w:w="307" w:type="pct"/>
            <w:vMerge w:val="restart"/>
            <w:vAlign w:val="center"/>
          </w:tcPr>
          <w:p w:rsidR="00C645C9" w:rsidRDefault="00F955D9">
            <w:pPr>
              <w:pStyle w:val="affff6"/>
              <w:spacing w:line="240" w:lineRule="auto"/>
              <w:rPr>
                <w:rFonts w:cs="Times New Roman"/>
              </w:rPr>
            </w:pPr>
            <w:r>
              <w:rPr>
                <w:rFonts w:cs="Times New Roman"/>
              </w:rPr>
              <w:t>影响识别</w:t>
            </w:r>
          </w:p>
        </w:tc>
        <w:tc>
          <w:tcPr>
            <w:tcW w:w="564" w:type="pct"/>
            <w:vAlign w:val="center"/>
          </w:tcPr>
          <w:p w:rsidR="00C645C9" w:rsidRDefault="00F955D9">
            <w:pPr>
              <w:pStyle w:val="affff6"/>
              <w:spacing w:line="240" w:lineRule="auto"/>
              <w:rPr>
                <w:rFonts w:cs="Times New Roman"/>
              </w:rPr>
            </w:pPr>
            <w:r>
              <w:rPr>
                <w:rFonts w:cs="Times New Roman"/>
              </w:rPr>
              <w:t>影响类型</w:t>
            </w:r>
          </w:p>
        </w:tc>
        <w:tc>
          <w:tcPr>
            <w:tcW w:w="4127" w:type="pct"/>
            <w:gridSpan w:val="2"/>
            <w:vAlign w:val="center"/>
          </w:tcPr>
          <w:p w:rsidR="00C645C9" w:rsidRDefault="00F955D9">
            <w:pPr>
              <w:pStyle w:val="affff6"/>
              <w:spacing w:line="240" w:lineRule="auto"/>
              <w:rPr>
                <w:rFonts w:cs="Times New Roman"/>
              </w:rPr>
            </w:pPr>
            <w:r>
              <w:rPr>
                <w:rFonts w:cs="Times New Roman"/>
              </w:rPr>
              <w:t>水污染影响型</w:t>
            </w:r>
            <w:r>
              <w:rPr>
                <w:rFonts w:cs="Times New Roman"/>
              </w:rPr>
              <w:t>☑</w:t>
            </w:r>
            <w:r>
              <w:rPr>
                <w:rFonts w:cs="Times New Roman"/>
              </w:rPr>
              <w:t>；水文要素影响型</w:t>
            </w:r>
            <w:r>
              <w:rPr>
                <w:rFonts w:cs="Times New Roman"/>
              </w:rPr>
              <w:t>□</w:t>
            </w:r>
          </w:p>
        </w:tc>
      </w:tr>
      <w:tr w:rsidR="00C645C9">
        <w:trPr>
          <w:trHeight w:val="425"/>
          <w:jc w:val="center"/>
        </w:trPr>
        <w:tc>
          <w:tcPr>
            <w:tcW w:w="307" w:type="pct"/>
            <w:vMerge/>
            <w:vAlign w:val="center"/>
          </w:tcPr>
          <w:p w:rsidR="00C645C9" w:rsidRDefault="00C645C9">
            <w:pPr>
              <w:pStyle w:val="affff6"/>
              <w:spacing w:line="240" w:lineRule="auto"/>
              <w:rPr>
                <w:rFonts w:cs="Times New Roman"/>
              </w:rPr>
            </w:pPr>
          </w:p>
        </w:tc>
        <w:tc>
          <w:tcPr>
            <w:tcW w:w="564" w:type="pct"/>
            <w:vAlign w:val="center"/>
          </w:tcPr>
          <w:p w:rsidR="00C645C9" w:rsidRDefault="00F955D9">
            <w:pPr>
              <w:pStyle w:val="affff6"/>
              <w:spacing w:line="240" w:lineRule="auto"/>
              <w:rPr>
                <w:rFonts w:cs="Times New Roman"/>
              </w:rPr>
            </w:pPr>
            <w:r>
              <w:rPr>
                <w:rFonts w:cs="Times New Roman"/>
              </w:rPr>
              <w:t>水环境保护目标</w:t>
            </w:r>
          </w:p>
        </w:tc>
        <w:tc>
          <w:tcPr>
            <w:tcW w:w="4127" w:type="pct"/>
            <w:gridSpan w:val="2"/>
            <w:vAlign w:val="center"/>
          </w:tcPr>
          <w:p w:rsidR="00C645C9" w:rsidRDefault="00F955D9">
            <w:pPr>
              <w:pStyle w:val="affff6"/>
              <w:spacing w:line="240" w:lineRule="auto"/>
              <w:rPr>
                <w:rFonts w:cs="Times New Roman"/>
              </w:rPr>
            </w:pPr>
            <w:r>
              <w:rPr>
                <w:rFonts w:cs="Times New Roman"/>
              </w:rPr>
              <w:t>饮用水水源保护区</w:t>
            </w:r>
            <w:r>
              <w:rPr>
                <w:rFonts w:cs="Times New Roman"/>
              </w:rPr>
              <w:t>□</w:t>
            </w:r>
            <w:r>
              <w:rPr>
                <w:rFonts w:cs="Times New Roman"/>
              </w:rPr>
              <w:t>；饮用水取水</w:t>
            </w:r>
            <w:r>
              <w:rPr>
                <w:rFonts w:cs="Times New Roman"/>
              </w:rPr>
              <w:t>□</w:t>
            </w:r>
            <w:r>
              <w:rPr>
                <w:rFonts w:cs="Times New Roman"/>
              </w:rPr>
              <w:t>；涉水的自然保护区</w:t>
            </w:r>
            <w:r>
              <w:rPr>
                <w:rFonts w:cs="Times New Roman"/>
              </w:rPr>
              <w:t>□</w:t>
            </w:r>
            <w:r>
              <w:rPr>
                <w:rFonts w:cs="Times New Roman"/>
              </w:rPr>
              <w:t>；重要湿地</w:t>
            </w:r>
            <w:r>
              <w:rPr>
                <w:rFonts w:cs="Times New Roman"/>
              </w:rPr>
              <w:t>□</w:t>
            </w:r>
          </w:p>
          <w:p w:rsidR="00C645C9" w:rsidRDefault="00F955D9">
            <w:pPr>
              <w:pStyle w:val="affff6"/>
              <w:spacing w:line="240" w:lineRule="auto"/>
              <w:rPr>
                <w:rFonts w:cs="Times New Roman"/>
              </w:rPr>
            </w:pPr>
            <w:r>
              <w:rPr>
                <w:rFonts w:cs="Times New Roman" w:hint="eastAsia"/>
              </w:rPr>
              <w:t>重点保护</w:t>
            </w:r>
            <w:r>
              <w:rPr>
                <w:rFonts w:cs="Times New Roman"/>
              </w:rPr>
              <w:t>珍稀水生生物的栖息地</w:t>
            </w:r>
            <w:r>
              <w:rPr>
                <w:rFonts w:cs="Times New Roman"/>
              </w:rPr>
              <w:t>□</w:t>
            </w:r>
            <w:r>
              <w:rPr>
                <w:rFonts w:cs="Times New Roman"/>
              </w:rPr>
              <w:t>；重要水生生物的自然产卵场及索饵场、越冬场和洄游通道、天然渔场等渔业水体</w:t>
            </w:r>
            <w:r>
              <w:rPr>
                <w:rFonts w:cs="Times New Roman"/>
              </w:rPr>
              <w:t>□</w:t>
            </w:r>
            <w:r>
              <w:rPr>
                <w:rFonts w:cs="Times New Roman"/>
              </w:rPr>
              <w:t>；涉水的风景名胜区</w:t>
            </w:r>
            <w:r>
              <w:rPr>
                <w:rFonts w:cs="Times New Roman"/>
              </w:rPr>
              <w:t>□</w:t>
            </w:r>
            <w:r>
              <w:rPr>
                <w:rFonts w:cs="Times New Roman"/>
              </w:rPr>
              <w:t>；其他</w:t>
            </w:r>
            <w:r>
              <w:rPr>
                <w:rFonts w:cs="Times New Roman" w:hint="eastAsia"/>
              </w:rPr>
              <w:t>（</w:t>
            </w:r>
          </w:p>
        </w:tc>
      </w:tr>
      <w:tr w:rsidR="00C645C9">
        <w:trPr>
          <w:trHeight w:val="425"/>
          <w:jc w:val="center"/>
        </w:trPr>
        <w:tc>
          <w:tcPr>
            <w:tcW w:w="307" w:type="pct"/>
            <w:vMerge/>
            <w:vAlign w:val="center"/>
          </w:tcPr>
          <w:p w:rsidR="00C645C9" w:rsidRDefault="00C645C9">
            <w:pPr>
              <w:pStyle w:val="affff6"/>
              <w:spacing w:line="240" w:lineRule="auto"/>
              <w:rPr>
                <w:rFonts w:cs="Times New Roman"/>
              </w:rPr>
            </w:pPr>
          </w:p>
        </w:tc>
        <w:tc>
          <w:tcPr>
            <w:tcW w:w="564" w:type="pct"/>
            <w:vMerge w:val="restart"/>
            <w:vAlign w:val="center"/>
          </w:tcPr>
          <w:p w:rsidR="00C645C9" w:rsidRDefault="00F955D9">
            <w:pPr>
              <w:pStyle w:val="affff6"/>
              <w:spacing w:line="240" w:lineRule="auto"/>
              <w:rPr>
                <w:rFonts w:cs="Times New Roman"/>
              </w:rPr>
            </w:pPr>
            <w:r>
              <w:rPr>
                <w:rFonts w:cs="Times New Roman"/>
              </w:rPr>
              <w:t>影响途径</w:t>
            </w:r>
          </w:p>
        </w:tc>
        <w:tc>
          <w:tcPr>
            <w:tcW w:w="2079" w:type="pct"/>
            <w:vAlign w:val="center"/>
          </w:tcPr>
          <w:p w:rsidR="00C645C9" w:rsidRDefault="00F955D9">
            <w:pPr>
              <w:pStyle w:val="affff6"/>
              <w:spacing w:line="240" w:lineRule="auto"/>
              <w:rPr>
                <w:rFonts w:cs="Times New Roman"/>
              </w:rPr>
            </w:pPr>
            <w:r>
              <w:rPr>
                <w:rFonts w:cs="Times New Roman"/>
              </w:rPr>
              <w:t>水污染影响型</w:t>
            </w:r>
          </w:p>
        </w:tc>
        <w:tc>
          <w:tcPr>
            <w:tcW w:w="2048" w:type="pct"/>
            <w:vAlign w:val="center"/>
          </w:tcPr>
          <w:p w:rsidR="00C645C9" w:rsidRDefault="00F955D9">
            <w:pPr>
              <w:pStyle w:val="affff6"/>
              <w:spacing w:line="240" w:lineRule="auto"/>
              <w:rPr>
                <w:rFonts w:cs="Times New Roman"/>
              </w:rPr>
            </w:pPr>
            <w:r>
              <w:rPr>
                <w:rFonts w:cs="Times New Roman"/>
              </w:rPr>
              <w:t>水文要素影响型</w:t>
            </w:r>
          </w:p>
        </w:tc>
      </w:tr>
      <w:tr w:rsidR="00C645C9">
        <w:trPr>
          <w:trHeight w:val="425"/>
          <w:jc w:val="center"/>
        </w:trPr>
        <w:tc>
          <w:tcPr>
            <w:tcW w:w="307" w:type="pct"/>
            <w:vMerge/>
            <w:vAlign w:val="center"/>
          </w:tcPr>
          <w:p w:rsidR="00C645C9" w:rsidRDefault="00C645C9">
            <w:pPr>
              <w:pStyle w:val="affff6"/>
              <w:spacing w:line="240" w:lineRule="auto"/>
              <w:rPr>
                <w:rFonts w:cs="Times New Roman"/>
              </w:rPr>
            </w:pPr>
          </w:p>
        </w:tc>
        <w:tc>
          <w:tcPr>
            <w:tcW w:w="564" w:type="pct"/>
            <w:vMerge/>
            <w:vAlign w:val="center"/>
          </w:tcPr>
          <w:p w:rsidR="00C645C9" w:rsidRDefault="00C645C9">
            <w:pPr>
              <w:pStyle w:val="affff6"/>
              <w:spacing w:line="240" w:lineRule="auto"/>
              <w:rPr>
                <w:rFonts w:cs="Times New Roman"/>
              </w:rPr>
            </w:pPr>
          </w:p>
        </w:tc>
        <w:tc>
          <w:tcPr>
            <w:tcW w:w="2079" w:type="pct"/>
            <w:vAlign w:val="center"/>
          </w:tcPr>
          <w:p w:rsidR="00C645C9" w:rsidRDefault="00F955D9">
            <w:pPr>
              <w:pStyle w:val="affff6"/>
              <w:spacing w:line="240" w:lineRule="auto"/>
              <w:rPr>
                <w:rFonts w:cs="Times New Roman"/>
              </w:rPr>
            </w:pPr>
            <w:r>
              <w:rPr>
                <w:rFonts w:cs="Times New Roman"/>
              </w:rPr>
              <w:t>直接排放</w:t>
            </w:r>
            <w:r>
              <w:rPr>
                <w:rFonts w:cs="Times New Roman"/>
              </w:rPr>
              <w:t>□</w:t>
            </w:r>
            <w:r>
              <w:rPr>
                <w:rFonts w:cs="Times New Roman"/>
              </w:rPr>
              <w:t>；间接排放</w:t>
            </w:r>
            <w:r>
              <w:rPr>
                <w:rFonts w:cs="Times New Roman"/>
              </w:rPr>
              <w:t>☑</w:t>
            </w:r>
            <w:r>
              <w:rPr>
                <w:rFonts w:cs="Times New Roman"/>
              </w:rPr>
              <w:t>；其他</w:t>
            </w:r>
            <w:r>
              <w:rPr>
                <w:rFonts w:cs="Times New Roman"/>
              </w:rPr>
              <w:t>□</w:t>
            </w:r>
          </w:p>
        </w:tc>
        <w:tc>
          <w:tcPr>
            <w:tcW w:w="2048" w:type="pct"/>
            <w:vAlign w:val="center"/>
          </w:tcPr>
          <w:p w:rsidR="00C645C9" w:rsidRDefault="00F955D9">
            <w:pPr>
              <w:pStyle w:val="affff6"/>
              <w:spacing w:line="240" w:lineRule="auto"/>
              <w:rPr>
                <w:rFonts w:cs="Times New Roman"/>
              </w:rPr>
            </w:pPr>
            <w:r>
              <w:rPr>
                <w:rFonts w:cs="Times New Roman"/>
              </w:rPr>
              <w:t>水温</w:t>
            </w:r>
            <w:r>
              <w:rPr>
                <w:rFonts w:cs="Times New Roman"/>
              </w:rPr>
              <w:t>□</w:t>
            </w:r>
            <w:r>
              <w:rPr>
                <w:rFonts w:cs="Times New Roman"/>
              </w:rPr>
              <w:t>；径流</w:t>
            </w:r>
            <w:r>
              <w:rPr>
                <w:rFonts w:cs="Times New Roman"/>
              </w:rPr>
              <w:t>□</w:t>
            </w:r>
            <w:r>
              <w:rPr>
                <w:rFonts w:cs="Times New Roman"/>
              </w:rPr>
              <w:t>；水域面积</w:t>
            </w:r>
            <w:r>
              <w:rPr>
                <w:rFonts w:cs="Times New Roman"/>
              </w:rPr>
              <w:t>□</w:t>
            </w:r>
          </w:p>
        </w:tc>
      </w:tr>
      <w:tr w:rsidR="00C645C9">
        <w:trPr>
          <w:trHeight w:val="1069"/>
          <w:jc w:val="center"/>
        </w:trPr>
        <w:tc>
          <w:tcPr>
            <w:tcW w:w="307" w:type="pct"/>
            <w:vMerge/>
            <w:vAlign w:val="center"/>
          </w:tcPr>
          <w:p w:rsidR="00C645C9" w:rsidRDefault="00C645C9">
            <w:pPr>
              <w:pStyle w:val="affff6"/>
              <w:spacing w:line="240" w:lineRule="auto"/>
              <w:rPr>
                <w:rFonts w:cs="Times New Roman"/>
              </w:rPr>
            </w:pPr>
          </w:p>
        </w:tc>
        <w:tc>
          <w:tcPr>
            <w:tcW w:w="564" w:type="pct"/>
            <w:vAlign w:val="center"/>
          </w:tcPr>
          <w:p w:rsidR="00C645C9" w:rsidRDefault="00F955D9">
            <w:pPr>
              <w:pStyle w:val="affff6"/>
              <w:spacing w:line="240" w:lineRule="auto"/>
              <w:rPr>
                <w:rFonts w:cs="Times New Roman"/>
              </w:rPr>
            </w:pPr>
            <w:r>
              <w:rPr>
                <w:rFonts w:cs="Times New Roman"/>
              </w:rPr>
              <w:t>影响因子</w:t>
            </w:r>
          </w:p>
        </w:tc>
        <w:tc>
          <w:tcPr>
            <w:tcW w:w="2079" w:type="pct"/>
            <w:vAlign w:val="center"/>
          </w:tcPr>
          <w:p w:rsidR="00C645C9" w:rsidRDefault="00F955D9">
            <w:pPr>
              <w:pStyle w:val="affff6"/>
              <w:spacing w:line="240" w:lineRule="auto"/>
              <w:rPr>
                <w:rFonts w:cs="Times New Roman"/>
              </w:rPr>
            </w:pPr>
            <w:r>
              <w:rPr>
                <w:rFonts w:cs="Times New Roman"/>
              </w:rPr>
              <w:t>持久性污染物</w:t>
            </w:r>
            <w:r>
              <w:rPr>
                <w:rFonts w:cs="Times New Roman"/>
              </w:rPr>
              <w:t>□</w:t>
            </w:r>
            <w:r>
              <w:rPr>
                <w:rFonts w:cs="Times New Roman"/>
              </w:rPr>
              <w:t>；有毒有害污染物</w:t>
            </w:r>
            <w:r>
              <w:rPr>
                <w:rFonts w:cs="Times New Roman"/>
              </w:rPr>
              <w:t>□</w:t>
            </w:r>
            <w:r>
              <w:rPr>
                <w:rFonts w:cs="Times New Roman"/>
              </w:rPr>
              <w:t>；非持久性污染物</w:t>
            </w:r>
            <w:r>
              <w:rPr>
                <w:rFonts w:cs="Times New Roman"/>
              </w:rPr>
              <w:t>□</w:t>
            </w:r>
            <w:r>
              <w:rPr>
                <w:rFonts w:cs="Times New Roman"/>
              </w:rPr>
              <w:t>；</w:t>
            </w:r>
            <w:r>
              <w:rPr>
                <w:rFonts w:cs="Times New Roman"/>
              </w:rPr>
              <w:t>pH</w:t>
            </w:r>
            <w:r>
              <w:rPr>
                <w:rFonts w:cs="Times New Roman"/>
              </w:rPr>
              <w:t>值</w:t>
            </w:r>
            <w:r>
              <w:rPr>
                <w:rFonts w:cs="Times New Roman"/>
              </w:rPr>
              <w:t>□</w:t>
            </w:r>
            <w:r>
              <w:rPr>
                <w:rFonts w:cs="Times New Roman"/>
              </w:rPr>
              <w:t>；热污染</w:t>
            </w:r>
            <w:r>
              <w:rPr>
                <w:rFonts w:cs="Times New Roman"/>
              </w:rPr>
              <w:t>□</w:t>
            </w:r>
            <w:r>
              <w:rPr>
                <w:rFonts w:cs="Times New Roman"/>
              </w:rPr>
              <w:t>；富营养化</w:t>
            </w:r>
            <w:r>
              <w:rPr>
                <w:rFonts w:cs="Times New Roman"/>
              </w:rPr>
              <w:t>□</w:t>
            </w:r>
            <w:r>
              <w:rPr>
                <w:rFonts w:cs="Times New Roman"/>
              </w:rPr>
              <w:t>；其他</w:t>
            </w:r>
            <w:r>
              <w:rPr>
                <w:rFonts w:cs="Times New Roman"/>
              </w:rPr>
              <w:t>□</w:t>
            </w:r>
          </w:p>
        </w:tc>
        <w:tc>
          <w:tcPr>
            <w:tcW w:w="2048" w:type="pct"/>
            <w:vAlign w:val="center"/>
          </w:tcPr>
          <w:p w:rsidR="00C645C9" w:rsidRDefault="00F955D9">
            <w:pPr>
              <w:pStyle w:val="affff6"/>
              <w:spacing w:line="240" w:lineRule="auto"/>
              <w:rPr>
                <w:rFonts w:cs="Times New Roman"/>
              </w:rPr>
            </w:pPr>
            <w:r>
              <w:rPr>
                <w:rFonts w:cs="Times New Roman"/>
              </w:rPr>
              <w:t>水温</w:t>
            </w:r>
            <w:r>
              <w:rPr>
                <w:rFonts w:cs="Times New Roman"/>
              </w:rPr>
              <w:t>□</w:t>
            </w:r>
            <w:r>
              <w:rPr>
                <w:rFonts w:cs="Times New Roman"/>
              </w:rPr>
              <w:t>；水位</w:t>
            </w:r>
            <w:r>
              <w:rPr>
                <w:rFonts w:cs="Times New Roman" w:hint="eastAsia"/>
              </w:rPr>
              <w:t>（</w:t>
            </w:r>
            <w:r>
              <w:rPr>
                <w:rFonts w:cs="Times New Roman"/>
              </w:rPr>
              <w:t>水深</w:t>
            </w:r>
            <w:r>
              <w:rPr>
                <w:rFonts w:cs="Times New Roman" w:hint="eastAsia"/>
              </w:rPr>
              <w:t>）</w:t>
            </w:r>
            <w:r>
              <w:rPr>
                <w:rFonts w:cs="Times New Roman"/>
              </w:rPr>
              <w:t>□</w:t>
            </w:r>
            <w:r>
              <w:rPr>
                <w:rFonts w:cs="Times New Roman"/>
              </w:rPr>
              <w:t>；流速</w:t>
            </w:r>
            <w:r>
              <w:rPr>
                <w:rFonts w:cs="Times New Roman"/>
              </w:rPr>
              <w:t>□</w:t>
            </w:r>
            <w:r>
              <w:rPr>
                <w:rFonts w:cs="Times New Roman"/>
              </w:rPr>
              <w:t>；流量</w:t>
            </w:r>
            <w:r>
              <w:rPr>
                <w:rFonts w:cs="Times New Roman"/>
              </w:rPr>
              <w:t>□</w:t>
            </w:r>
            <w:r>
              <w:rPr>
                <w:rFonts w:cs="Times New Roman"/>
              </w:rPr>
              <w:t>；其他</w:t>
            </w:r>
            <w:r>
              <w:rPr>
                <w:rFonts w:cs="Times New Roman"/>
              </w:rPr>
              <w:t>□</w:t>
            </w:r>
          </w:p>
        </w:tc>
      </w:tr>
      <w:tr w:rsidR="00C645C9">
        <w:trPr>
          <w:trHeight w:val="425"/>
          <w:jc w:val="center"/>
        </w:trPr>
        <w:tc>
          <w:tcPr>
            <w:tcW w:w="872" w:type="pct"/>
            <w:gridSpan w:val="2"/>
            <w:vMerge w:val="restart"/>
            <w:vAlign w:val="center"/>
          </w:tcPr>
          <w:p w:rsidR="00C645C9" w:rsidRDefault="00F955D9">
            <w:pPr>
              <w:pStyle w:val="affff6"/>
              <w:spacing w:line="240" w:lineRule="auto"/>
              <w:rPr>
                <w:rFonts w:cs="Times New Roman"/>
              </w:rPr>
            </w:pPr>
            <w:r>
              <w:rPr>
                <w:rFonts w:cs="Times New Roman"/>
              </w:rPr>
              <w:t>评价等级</w:t>
            </w:r>
          </w:p>
        </w:tc>
        <w:tc>
          <w:tcPr>
            <w:tcW w:w="2079" w:type="pct"/>
            <w:vAlign w:val="center"/>
          </w:tcPr>
          <w:p w:rsidR="00C645C9" w:rsidRDefault="00F955D9">
            <w:pPr>
              <w:pStyle w:val="affff6"/>
              <w:spacing w:line="240" w:lineRule="auto"/>
              <w:rPr>
                <w:rFonts w:cs="Times New Roman"/>
              </w:rPr>
            </w:pPr>
            <w:r>
              <w:rPr>
                <w:rFonts w:cs="Times New Roman"/>
              </w:rPr>
              <w:t>水污染影响型</w:t>
            </w:r>
          </w:p>
        </w:tc>
        <w:tc>
          <w:tcPr>
            <w:tcW w:w="2048" w:type="pct"/>
            <w:vAlign w:val="center"/>
          </w:tcPr>
          <w:p w:rsidR="00C645C9" w:rsidRDefault="00F955D9">
            <w:pPr>
              <w:pStyle w:val="affff6"/>
              <w:spacing w:line="240" w:lineRule="auto"/>
              <w:rPr>
                <w:rFonts w:cs="Times New Roman"/>
              </w:rPr>
            </w:pPr>
            <w:r>
              <w:rPr>
                <w:rFonts w:cs="Times New Roman"/>
              </w:rPr>
              <w:t>水文要素影响型</w:t>
            </w:r>
          </w:p>
        </w:tc>
      </w:tr>
      <w:tr w:rsidR="00C645C9">
        <w:trPr>
          <w:trHeight w:val="425"/>
          <w:jc w:val="center"/>
        </w:trPr>
        <w:tc>
          <w:tcPr>
            <w:tcW w:w="872" w:type="pct"/>
            <w:gridSpan w:val="2"/>
            <w:vMerge/>
            <w:vAlign w:val="center"/>
          </w:tcPr>
          <w:p w:rsidR="00C645C9" w:rsidRDefault="00C645C9">
            <w:pPr>
              <w:pStyle w:val="affff6"/>
              <w:spacing w:line="240" w:lineRule="auto"/>
              <w:rPr>
                <w:rFonts w:cs="Times New Roman"/>
              </w:rPr>
            </w:pPr>
          </w:p>
        </w:tc>
        <w:tc>
          <w:tcPr>
            <w:tcW w:w="2079" w:type="pct"/>
            <w:vAlign w:val="center"/>
          </w:tcPr>
          <w:p w:rsidR="00C645C9" w:rsidRDefault="00F955D9">
            <w:pPr>
              <w:pStyle w:val="affff6"/>
              <w:spacing w:line="240" w:lineRule="auto"/>
              <w:rPr>
                <w:rFonts w:cs="Times New Roman"/>
              </w:rPr>
            </w:pPr>
            <w:r>
              <w:rPr>
                <w:rFonts w:cs="Times New Roman"/>
              </w:rPr>
              <w:t>一级</w:t>
            </w:r>
            <w:r>
              <w:rPr>
                <w:rFonts w:cs="Times New Roman"/>
              </w:rPr>
              <w:t>□</w:t>
            </w:r>
            <w:r>
              <w:rPr>
                <w:rFonts w:cs="Times New Roman"/>
              </w:rPr>
              <w:t>；二级</w:t>
            </w:r>
            <w:r>
              <w:rPr>
                <w:rFonts w:cs="Times New Roman"/>
              </w:rPr>
              <w:t>□</w:t>
            </w:r>
            <w:r>
              <w:rPr>
                <w:rFonts w:cs="Times New Roman"/>
              </w:rPr>
              <w:t>；三级</w:t>
            </w:r>
            <w:r>
              <w:rPr>
                <w:rFonts w:cs="Times New Roman"/>
              </w:rPr>
              <w:t>A□</w:t>
            </w:r>
            <w:r>
              <w:rPr>
                <w:rFonts w:cs="Times New Roman"/>
              </w:rPr>
              <w:t>；三级</w:t>
            </w:r>
            <w:r>
              <w:rPr>
                <w:rFonts w:cs="Times New Roman"/>
              </w:rPr>
              <w:t>B☑</w:t>
            </w:r>
          </w:p>
        </w:tc>
        <w:tc>
          <w:tcPr>
            <w:tcW w:w="2048" w:type="pct"/>
            <w:vAlign w:val="center"/>
          </w:tcPr>
          <w:p w:rsidR="00C645C9" w:rsidRDefault="00F955D9">
            <w:pPr>
              <w:pStyle w:val="affff6"/>
              <w:spacing w:line="240" w:lineRule="auto"/>
              <w:rPr>
                <w:rFonts w:cs="Times New Roman"/>
              </w:rPr>
            </w:pPr>
            <w:r>
              <w:rPr>
                <w:rFonts w:cs="Times New Roman"/>
              </w:rPr>
              <w:t>一级</w:t>
            </w:r>
            <w:r>
              <w:rPr>
                <w:rFonts w:cs="Times New Roman"/>
              </w:rPr>
              <w:t>□</w:t>
            </w:r>
            <w:r>
              <w:rPr>
                <w:rFonts w:cs="Times New Roman"/>
              </w:rPr>
              <w:t>；二级</w:t>
            </w:r>
            <w:r>
              <w:rPr>
                <w:rFonts w:cs="Times New Roman"/>
              </w:rPr>
              <w:t>□</w:t>
            </w:r>
            <w:r>
              <w:rPr>
                <w:rFonts w:cs="Times New Roman"/>
              </w:rPr>
              <w:t>；三级</w:t>
            </w:r>
            <w:r>
              <w:rPr>
                <w:rFonts w:cs="Times New Roman"/>
              </w:rPr>
              <w:t>□</w:t>
            </w:r>
          </w:p>
        </w:tc>
      </w:tr>
    </w:tbl>
    <w:p w:rsidR="00C645C9" w:rsidRDefault="00F955D9">
      <w:pPr>
        <w:pStyle w:val="2"/>
        <w:adjustRightInd w:val="0"/>
        <w:snapToGrid w:val="0"/>
        <w:spacing w:after="0" w:line="360" w:lineRule="auto"/>
        <w:rPr>
          <w:rFonts w:ascii="Times New Roman" w:hAnsi="Times New Roman" w:cs="Times New Roman"/>
          <w:color w:val="auto"/>
          <w:lang w:eastAsia="zh-CN"/>
        </w:rPr>
      </w:pPr>
      <w:bookmarkStart w:id="1517" w:name="_Toc75438904"/>
      <w:bookmarkStart w:id="1518" w:name="_Toc13298"/>
      <w:bookmarkStart w:id="1519" w:name="_Toc29895"/>
      <w:r>
        <w:rPr>
          <w:rFonts w:ascii="Times New Roman" w:hAnsi="Times New Roman" w:cs="Times New Roman"/>
          <w:color w:val="auto"/>
          <w:lang w:eastAsia="zh-CN"/>
        </w:rPr>
        <w:t>5.</w:t>
      </w:r>
      <w:bookmarkEnd w:id="1517"/>
      <w:bookmarkEnd w:id="1518"/>
      <w:r>
        <w:rPr>
          <w:rFonts w:ascii="Times New Roman" w:hAnsi="Times New Roman" w:cs="Times New Roman"/>
          <w:color w:val="auto"/>
          <w:lang w:eastAsia="zh-CN"/>
        </w:rPr>
        <w:t>4</w:t>
      </w:r>
      <w:r>
        <w:rPr>
          <w:rFonts w:ascii="Times New Roman" w:hAnsi="Times New Roman" w:cs="Times New Roman"/>
          <w:color w:val="auto"/>
          <w:lang w:eastAsia="zh-CN"/>
        </w:rPr>
        <w:t>土壤环境影响评价</w:t>
      </w:r>
      <w:bookmarkEnd w:id="1519"/>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520" w:name="_Toc7734"/>
      <w:bookmarkStart w:id="1521" w:name="_Toc12515"/>
      <w:bookmarkStart w:id="1522" w:name="_Toc27120"/>
      <w:bookmarkStart w:id="1523" w:name="OLE_LINK636"/>
      <w:r>
        <w:rPr>
          <w:rFonts w:ascii="Times New Roman" w:hAnsi="Times New Roman" w:cs="Times New Roman"/>
          <w:color w:val="auto"/>
          <w:lang w:eastAsia="zh-CN"/>
        </w:rPr>
        <w:t>5.</w:t>
      </w:r>
      <w:bookmarkEnd w:id="1520"/>
      <w:bookmarkEnd w:id="1521"/>
      <w:bookmarkEnd w:id="1522"/>
      <w:r>
        <w:rPr>
          <w:rFonts w:ascii="Times New Roman" w:hAnsi="Times New Roman" w:cs="Times New Roman"/>
          <w:color w:val="auto"/>
          <w:lang w:eastAsia="zh-CN"/>
        </w:rPr>
        <w:t>4.1</w:t>
      </w:r>
      <w:bookmarkEnd w:id="1523"/>
      <w:r>
        <w:rPr>
          <w:rFonts w:ascii="Times New Roman" w:hAnsi="Times New Roman" w:cs="Times New Roman"/>
          <w:color w:val="auto"/>
          <w:lang w:eastAsia="zh-CN"/>
        </w:rPr>
        <w:t>施工期土壤环境影响分析</w:t>
      </w:r>
      <w:r>
        <w:rPr>
          <w:rFonts w:ascii="Times New Roman" w:hAnsi="Times New Roman" w:cs="Times New Roman"/>
          <w:color w:val="auto"/>
          <w:lang w:eastAsia="zh-CN"/>
        </w:rPr>
        <w:t xml:space="preserve"> </w:t>
      </w:r>
    </w:p>
    <w:p w:rsidR="00C645C9" w:rsidRDefault="00F955D9">
      <w:pPr>
        <w:adjustRightInd w:val="0"/>
        <w:snapToGrid w:val="0"/>
        <w:spacing w:line="360" w:lineRule="auto"/>
        <w:ind w:firstLineChars="200" w:firstLine="480"/>
        <w:rPr>
          <w:rFonts w:cs="Times New Roman"/>
          <w:szCs w:val="20"/>
        </w:rPr>
      </w:pPr>
      <w:r>
        <w:rPr>
          <w:rFonts w:cs="Times New Roman"/>
          <w:szCs w:val="20"/>
        </w:rPr>
        <w:t>施工期土壤环境影响主要</w:t>
      </w:r>
      <w:r>
        <w:rPr>
          <w:rFonts w:cs="Times New Roman" w:hint="eastAsia"/>
          <w:szCs w:val="20"/>
        </w:rPr>
        <w:t>来自</w:t>
      </w:r>
      <w:r>
        <w:rPr>
          <w:rFonts w:cs="Times New Roman" w:hint="eastAsia"/>
          <w:szCs w:val="20"/>
        </w:rPr>
        <w:t>井</w:t>
      </w:r>
      <w:r>
        <w:rPr>
          <w:rFonts w:cs="Times New Roman"/>
          <w:szCs w:val="20"/>
        </w:rPr>
        <w:t>场建设的人为扰动</w:t>
      </w:r>
      <w:r>
        <w:rPr>
          <w:rFonts w:cs="Times New Roman" w:hint="eastAsia"/>
          <w:szCs w:val="20"/>
        </w:rPr>
        <w:t>、车辆行驶和机械施工、各种废物污染影响</w:t>
      </w:r>
      <w:r>
        <w:rPr>
          <w:rFonts w:cs="Times New Roman" w:hint="eastAsia"/>
          <w:szCs w:val="20"/>
        </w:rPr>
        <w:t>。</w:t>
      </w:r>
    </w:p>
    <w:p w:rsidR="00C645C9" w:rsidRDefault="00F955D9">
      <w:pPr>
        <w:adjustRightInd w:val="0"/>
        <w:snapToGrid w:val="0"/>
        <w:spacing w:line="360" w:lineRule="auto"/>
        <w:ind w:firstLineChars="200" w:firstLine="480"/>
        <w:rPr>
          <w:rFonts w:cs="Times New Roman"/>
          <w:szCs w:val="20"/>
        </w:rPr>
      </w:pPr>
      <w:r>
        <w:rPr>
          <w:rFonts w:cs="Times New Roman" w:hint="eastAsia"/>
          <w:szCs w:val="20"/>
        </w:rPr>
        <w:t>（</w:t>
      </w:r>
      <w:r>
        <w:rPr>
          <w:rFonts w:cs="Times New Roman" w:hint="eastAsia"/>
          <w:szCs w:val="20"/>
        </w:rPr>
        <w:t>1</w:t>
      </w:r>
      <w:r>
        <w:rPr>
          <w:rFonts w:cs="Times New Roman" w:hint="eastAsia"/>
          <w:szCs w:val="20"/>
        </w:rPr>
        <w:t>）钻井作业对土壤</w:t>
      </w:r>
      <w:r>
        <w:rPr>
          <w:rFonts w:cs="Times New Roman"/>
          <w:szCs w:val="20"/>
        </w:rPr>
        <w:t>环境</w:t>
      </w:r>
      <w:r>
        <w:rPr>
          <w:rFonts w:cs="Times New Roman" w:hint="eastAsia"/>
          <w:szCs w:val="20"/>
        </w:rPr>
        <w:t>的影响</w:t>
      </w:r>
    </w:p>
    <w:p w:rsidR="00C645C9" w:rsidRDefault="00F955D9">
      <w:pPr>
        <w:adjustRightInd w:val="0"/>
        <w:snapToGrid w:val="0"/>
        <w:spacing w:line="360" w:lineRule="auto"/>
        <w:ind w:firstLineChars="200" w:firstLine="480"/>
        <w:rPr>
          <w:rFonts w:cs="Times New Roman"/>
          <w:szCs w:val="20"/>
        </w:rPr>
      </w:pPr>
      <w:r>
        <w:rPr>
          <w:rFonts w:cs="Times New Roman"/>
          <w:szCs w:val="20"/>
        </w:rPr>
        <w:t>本</w:t>
      </w:r>
      <w:r>
        <w:rPr>
          <w:rFonts w:cs="Times New Roman" w:hint="eastAsia"/>
          <w:szCs w:val="20"/>
        </w:rPr>
        <w:t>工程</w:t>
      </w:r>
      <w:r>
        <w:rPr>
          <w:rFonts w:cs="Times New Roman"/>
          <w:szCs w:val="20"/>
        </w:rPr>
        <w:t>施工期施工占地，将对地表土壤产生破坏性影响，如钻井井场等占地，以及堆积、挖掘、</w:t>
      </w:r>
      <w:r>
        <w:rPr>
          <w:rFonts w:cs="Times New Roman" w:hint="eastAsia"/>
          <w:szCs w:val="20"/>
        </w:rPr>
        <w:t>碾压</w:t>
      </w:r>
      <w:r>
        <w:rPr>
          <w:rFonts w:cs="Times New Roman"/>
          <w:szCs w:val="20"/>
        </w:rPr>
        <w:t>、践踏等均改变原有的土壤结构。油田施工期间，占地都将改变原有土壤的理化性质和土壤结构，使原有土壤结构和性状难以恢复。但是施工期对土壤的影响程度轻，影响特征是部分可逆，影响时间为短期。</w:t>
      </w:r>
    </w:p>
    <w:p w:rsidR="00C645C9" w:rsidRDefault="00F955D9">
      <w:pPr>
        <w:adjustRightInd w:val="0"/>
        <w:snapToGrid w:val="0"/>
        <w:spacing w:line="360" w:lineRule="auto"/>
        <w:ind w:firstLineChars="200" w:firstLine="480"/>
      </w:pPr>
      <w:r>
        <w:rPr>
          <w:rFonts w:cs="Times New Roman"/>
          <w:szCs w:val="20"/>
        </w:rPr>
        <w:t>本</w:t>
      </w:r>
      <w:r>
        <w:rPr>
          <w:rFonts w:cs="Times New Roman" w:hint="eastAsia"/>
          <w:szCs w:val="20"/>
        </w:rPr>
        <w:t>工程</w:t>
      </w:r>
      <w:r>
        <w:rPr>
          <w:rFonts w:cs="Times New Roman"/>
          <w:szCs w:val="20"/>
        </w:rPr>
        <w:t>部署</w:t>
      </w:r>
      <w:r>
        <w:rPr>
          <w:rFonts w:cs="Times New Roman" w:hint="eastAsia"/>
          <w:szCs w:val="20"/>
        </w:rPr>
        <w:t>新钻井</w:t>
      </w:r>
      <w:r>
        <w:rPr>
          <w:rFonts w:cs="Times New Roman" w:hint="eastAsia"/>
          <w:szCs w:val="20"/>
        </w:rPr>
        <w:t>1</w:t>
      </w:r>
      <w:r>
        <w:rPr>
          <w:rFonts w:cs="Times New Roman"/>
          <w:szCs w:val="20"/>
        </w:rPr>
        <w:t>口，钻井作业均采用</w:t>
      </w:r>
      <w:r>
        <w:rPr>
          <w:rFonts w:cs="Times New Roman"/>
          <w:szCs w:val="20"/>
        </w:rPr>
        <w:t>“</w:t>
      </w:r>
      <w:r>
        <w:rPr>
          <w:rFonts w:cs="Times New Roman"/>
          <w:szCs w:val="20"/>
        </w:rPr>
        <w:t>泥浆不落地系统</w:t>
      </w:r>
      <w:r>
        <w:rPr>
          <w:rFonts w:cs="Times New Roman"/>
          <w:szCs w:val="20"/>
        </w:rPr>
        <w:t>”</w:t>
      </w:r>
      <w:r>
        <w:rPr>
          <w:rFonts w:cs="Times New Roman"/>
          <w:szCs w:val="20"/>
        </w:rPr>
        <w:t>对废弃泥浆和岩屑进行收集处置，钻井过程中的钻井液采用不落地技术处理，分离出的液相继续回用于钻井，待钻井工程结束后回收，无废水及废弃钻井液外排；钻井岩屑采用不落地系统进行处理，处理后的岩屑必须满足《油气田钻井固体废物综合利用污染控制要求》（</w:t>
      </w:r>
      <w:r>
        <w:rPr>
          <w:rFonts w:cs="Times New Roman"/>
          <w:szCs w:val="20"/>
        </w:rPr>
        <w:t>DB65/T 3997-2017</w:t>
      </w:r>
      <w:r>
        <w:rPr>
          <w:rFonts w:cs="Times New Roman"/>
          <w:szCs w:val="20"/>
        </w:rPr>
        <w:t>）中</w:t>
      </w:r>
      <w:r>
        <w:rPr>
          <w:rFonts w:cs="Times New Roman"/>
          <w:szCs w:val="20"/>
        </w:rPr>
        <w:t>综合利用污染物限值要求，同时石油烃满足《土壤环境质量</w:t>
      </w:r>
      <w:r>
        <w:rPr>
          <w:rFonts w:cs="Times New Roman"/>
          <w:szCs w:val="20"/>
        </w:rPr>
        <w:t xml:space="preserve"> </w:t>
      </w:r>
      <w:r>
        <w:rPr>
          <w:rFonts w:cs="Times New Roman"/>
          <w:szCs w:val="20"/>
        </w:rPr>
        <w:t>建设用地土壤污染风险管控标准（试行）》（</w:t>
      </w:r>
      <w:r>
        <w:rPr>
          <w:rFonts w:cs="Times New Roman"/>
          <w:szCs w:val="20"/>
        </w:rPr>
        <w:t>GB36600-2018</w:t>
      </w:r>
      <w:r>
        <w:rPr>
          <w:rFonts w:cs="Times New Roman"/>
          <w:szCs w:val="20"/>
        </w:rPr>
        <w:t>）中表</w:t>
      </w:r>
      <w:r>
        <w:rPr>
          <w:rFonts w:cs="Times New Roman"/>
          <w:szCs w:val="20"/>
        </w:rPr>
        <w:t>2</w:t>
      </w:r>
      <w:r>
        <w:rPr>
          <w:rFonts w:cs="Times New Roman"/>
          <w:szCs w:val="20"/>
        </w:rPr>
        <w:t>第二类用地风险筛选值后，方可用于铺垫井场基础材料。</w:t>
      </w:r>
    </w:p>
    <w:p w:rsidR="00C645C9" w:rsidRDefault="00F955D9">
      <w:pPr>
        <w:adjustRightInd w:val="0"/>
        <w:snapToGrid w:val="0"/>
        <w:spacing w:line="360" w:lineRule="auto"/>
        <w:ind w:firstLineChars="200" w:firstLine="480"/>
        <w:rPr>
          <w:rFonts w:cs="Times New Roman"/>
          <w:szCs w:val="20"/>
        </w:rPr>
      </w:pPr>
      <w:bookmarkStart w:id="1524" w:name="OLE_LINK845"/>
      <w:r>
        <w:rPr>
          <w:rFonts w:cs="Times New Roman" w:hint="eastAsia"/>
          <w:szCs w:val="20"/>
        </w:rPr>
        <w:t>（</w:t>
      </w:r>
      <w:r>
        <w:rPr>
          <w:rFonts w:cs="Times New Roman" w:hint="eastAsia"/>
          <w:szCs w:val="20"/>
        </w:rPr>
        <w:t>2</w:t>
      </w:r>
      <w:r>
        <w:rPr>
          <w:rFonts w:cs="Times New Roman" w:hint="eastAsia"/>
          <w:szCs w:val="20"/>
        </w:rPr>
        <w:t>）</w:t>
      </w:r>
      <w:r>
        <w:rPr>
          <w:rFonts w:cs="Times New Roman" w:hint="eastAsia"/>
          <w:szCs w:val="20"/>
        </w:rPr>
        <w:t>地面工程施工对土壤</w:t>
      </w:r>
      <w:r>
        <w:rPr>
          <w:rFonts w:cs="Times New Roman"/>
        </w:rPr>
        <w:t>环境</w:t>
      </w:r>
      <w:r>
        <w:rPr>
          <w:rFonts w:cs="Times New Roman" w:hint="eastAsia"/>
          <w:szCs w:val="20"/>
        </w:rPr>
        <w:t>的影响</w:t>
      </w:r>
      <w:bookmarkEnd w:id="1524"/>
    </w:p>
    <w:p w:rsidR="00C645C9" w:rsidRDefault="00F955D9">
      <w:pPr>
        <w:adjustRightInd w:val="0"/>
        <w:snapToGrid w:val="0"/>
        <w:spacing w:line="360" w:lineRule="auto"/>
        <w:ind w:firstLineChars="200" w:firstLine="480"/>
        <w:rPr>
          <w:kern w:val="2"/>
        </w:rPr>
      </w:pPr>
      <w:r>
        <w:rPr>
          <w:rFonts w:cs="Times New Roman" w:hint="eastAsia"/>
          <w:szCs w:val="20"/>
        </w:rPr>
        <w:t>油田开发</w:t>
      </w:r>
      <w:r>
        <w:rPr>
          <w:rFonts w:hint="eastAsia"/>
          <w:kern w:val="2"/>
        </w:rPr>
        <w:t>过程中，不可避免地要对土壤进行人为扰动，主要是井场建设过程中，车辆行驶和机械施工碾压和踩踏破坏土壤结构。</w:t>
      </w:r>
      <w:r>
        <w:rPr>
          <w:rFonts w:hint="eastAsia"/>
          <w:kern w:val="2"/>
        </w:rPr>
        <w:t xml:space="preserve"> </w:t>
      </w:r>
    </w:p>
    <w:p w:rsidR="00C645C9" w:rsidRDefault="00F955D9">
      <w:pPr>
        <w:widowControl w:val="0"/>
        <w:adjustRightInd w:val="0"/>
        <w:snapToGrid w:val="0"/>
        <w:spacing w:line="360" w:lineRule="auto"/>
        <w:ind w:firstLineChars="200" w:firstLine="480"/>
        <w:jc w:val="both"/>
        <w:rPr>
          <w:kern w:val="2"/>
        </w:rPr>
      </w:pPr>
      <w:bookmarkStart w:id="1525" w:name="OLE_LINK1460"/>
      <w:r>
        <w:rPr>
          <w:rFonts w:hint="eastAsia"/>
          <w:kern w:val="2"/>
        </w:rPr>
        <w:t>施工</w:t>
      </w:r>
      <w:r>
        <w:rPr>
          <w:rFonts w:hint="eastAsia"/>
          <w:kern w:val="2"/>
        </w:rPr>
        <w:t>过程</w:t>
      </w:r>
      <w:r>
        <w:rPr>
          <w:rFonts w:hint="eastAsia"/>
          <w:kern w:val="2"/>
        </w:rPr>
        <w:t>中，</w:t>
      </w:r>
      <w:bookmarkEnd w:id="1525"/>
      <w:r>
        <w:rPr>
          <w:rFonts w:hint="eastAsia"/>
          <w:kern w:val="2"/>
        </w:rPr>
        <w:t>车辆行驶和机械作业时机械设备的碾压、施工人员的踩踏等都会对土壤的紧实度产生影响。机械碾压的结果使土壤紧实度增高，地表水入渗减少，土壤团粒结构遭到破坏，土壤养分流失，不利于</w:t>
      </w:r>
      <w:r>
        <w:rPr>
          <w:rFonts w:hint="eastAsia"/>
          <w:kern w:val="2"/>
        </w:rPr>
        <w:t>植物生长。各种车辆（尤其是重型卡车）在地表上行驶将使经过的土壤变紧实，严重的经过多次碾压后植物很难再生长，甚至退化为沙地。井场的施工场地等都存在这种影响。</w:t>
      </w:r>
      <w:r>
        <w:rPr>
          <w:rFonts w:hint="eastAsia"/>
          <w:kern w:val="2"/>
        </w:rPr>
        <w:t xml:space="preserve"> </w:t>
      </w:r>
    </w:p>
    <w:p w:rsidR="00C645C9" w:rsidRDefault="00F955D9">
      <w:pPr>
        <w:adjustRightInd w:val="0"/>
        <w:snapToGrid w:val="0"/>
        <w:spacing w:line="360" w:lineRule="auto"/>
        <w:ind w:firstLineChars="200" w:firstLine="480"/>
        <w:rPr>
          <w:rFonts w:cs="Times New Roman"/>
          <w:szCs w:val="20"/>
        </w:rPr>
      </w:pPr>
      <w:bookmarkStart w:id="1526" w:name="OLE_LINK1463"/>
      <w:r>
        <w:rPr>
          <w:rFonts w:cs="Times New Roman" w:hint="eastAsia"/>
          <w:szCs w:val="20"/>
        </w:rPr>
        <w:t>（</w:t>
      </w:r>
      <w:r>
        <w:rPr>
          <w:rFonts w:cs="Times New Roman" w:hint="eastAsia"/>
          <w:szCs w:val="20"/>
        </w:rPr>
        <w:t>3</w:t>
      </w:r>
      <w:r>
        <w:rPr>
          <w:rFonts w:cs="Times New Roman" w:hint="eastAsia"/>
          <w:szCs w:val="20"/>
        </w:rPr>
        <w:t>）</w:t>
      </w:r>
      <w:bookmarkStart w:id="1527" w:name="OLE_LINK1462"/>
      <w:r>
        <w:rPr>
          <w:rFonts w:cs="Times New Roman" w:hint="eastAsia"/>
          <w:szCs w:val="20"/>
        </w:rPr>
        <w:t>永久基本</w:t>
      </w:r>
      <w:bookmarkStart w:id="1528" w:name="OLE_LINK1458"/>
      <w:r>
        <w:rPr>
          <w:rFonts w:cs="Times New Roman" w:hint="eastAsia"/>
          <w:szCs w:val="20"/>
        </w:rPr>
        <w:t>农田</w:t>
      </w:r>
      <w:bookmarkEnd w:id="1527"/>
      <w:bookmarkEnd w:id="1528"/>
      <w:r>
        <w:rPr>
          <w:rFonts w:cs="Times New Roman" w:hint="eastAsia"/>
          <w:szCs w:val="20"/>
        </w:rPr>
        <w:t>影响分析</w:t>
      </w:r>
    </w:p>
    <w:p w:rsidR="00C645C9" w:rsidRDefault="00F955D9">
      <w:pPr>
        <w:adjustRightInd w:val="0"/>
        <w:snapToGrid w:val="0"/>
        <w:spacing w:line="360" w:lineRule="auto"/>
        <w:ind w:firstLineChars="200" w:firstLine="480"/>
        <w:rPr>
          <w:kern w:val="2"/>
        </w:rPr>
      </w:pPr>
      <w:bookmarkStart w:id="1529" w:name="OLE_LINK1457"/>
      <w:r>
        <w:rPr>
          <w:rFonts w:hint="eastAsia"/>
          <w:kern w:val="2"/>
        </w:rPr>
        <w:lastRenderedPageBreak/>
        <w:t>本工程不占用永久基本农田，评价范围涉及永久基本农田</w:t>
      </w:r>
      <w:r>
        <w:rPr>
          <w:rFonts w:hint="eastAsia"/>
          <w:kern w:val="2"/>
        </w:rPr>
        <w:t>。</w:t>
      </w:r>
      <w:r>
        <w:rPr>
          <w:rFonts w:hint="eastAsia"/>
          <w:kern w:val="2"/>
        </w:rPr>
        <w:t>施工</w:t>
      </w:r>
      <w:r>
        <w:rPr>
          <w:rFonts w:hint="eastAsia"/>
          <w:kern w:val="2"/>
        </w:rPr>
        <w:t>过程</w:t>
      </w:r>
      <w:r>
        <w:rPr>
          <w:rFonts w:hint="eastAsia"/>
          <w:kern w:val="2"/>
        </w:rPr>
        <w:t>中，</w:t>
      </w:r>
      <w:r>
        <w:rPr>
          <w:rFonts w:hint="eastAsia"/>
          <w:kern w:val="2"/>
        </w:rPr>
        <w:t>严禁</w:t>
      </w:r>
      <w:r>
        <w:rPr>
          <w:rFonts w:hint="eastAsia"/>
          <w:kern w:val="2"/>
        </w:rPr>
        <w:t>对</w:t>
      </w:r>
      <w:r>
        <w:rPr>
          <w:rFonts w:hint="eastAsia"/>
          <w:kern w:val="2"/>
        </w:rPr>
        <w:t>本工程周围分布的</w:t>
      </w:r>
      <w:r>
        <w:rPr>
          <w:rFonts w:cs="Times New Roman" w:hint="eastAsia"/>
          <w:szCs w:val="20"/>
        </w:rPr>
        <w:t>永久基本农田</w:t>
      </w:r>
      <w:r>
        <w:rPr>
          <w:rFonts w:hint="eastAsia"/>
          <w:kern w:val="2"/>
        </w:rPr>
        <w:t>进行人为扰动</w:t>
      </w:r>
      <w:r>
        <w:rPr>
          <w:rFonts w:hint="eastAsia"/>
          <w:kern w:val="2"/>
        </w:rPr>
        <w:t>。</w:t>
      </w:r>
    </w:p>
    <w:bookmarkEnd w:id="1526"/>
    <w:p w:rsidR="00C645C9" w:rsidRDefault="00F955D9">
      <w:pPr>
        <w:adjustRightInd w:val="0"/>
        <w:snapToGrid w:val="0"/>
        <w:spacing w:line="360" w:lineRule="auto"/>
        <w:ind w:firstLineChars="200" w:firstLine="480"/>
        <w:rPr>
          <w:rFonts w:cs="Times New Roman"/>
          <w:szCs w:val="20"/>
        </w:rPr>
      </w:pPr>
      <w:r>
        <w:rPr>
          <w:rFonts w:cs="Times New Roman" w:hint="eastAsia"/>
          <w:szCs w:val="20"/>
        </w:rPr>
        <w:t>（</w:t>
      </w:r>
      <w:r>
        <w:rPr>
          <w:rFonts w:cs="Times New Roman" w:hint="eastAsia"/>
          <w:szCs w:val="20"/>
        </w:rPr>
        <w:t>4</w:t>
      </w:r>
      <w:r>
        <w:rPr>
          <w:rFonts w:cs="Times New Roman" w:hint="eastAsia"/>
          <w:szCs w:val="20"/>
        </w:rPr>
        <w:t>）水土流失影响分析</w:t>
      </w:r>
    </w:p>
    <w:bookmarkEnd w:id="1529"/>
    <w:p w:rsidR="00C645C9" w:rsidRDefault="00F955D9">
      <w:pPr>
        <w:adjustRightInd w:val="0"/>
        <w:snapToGrid w:val="0"/>
        <w:spacing w:line="360" w:lineRule="auto"/>
        <w:ind w:firstLineChars="200" w:firstLine="480"/>
        <w:rPr>
          <w:rFonts w:cs="Times New Roman"/>
          <w:szCs w:val="20"/>
        </w:rPr>
      </w:pPr>
      <w:r>
        <w:rPr>
          <w:rFonts w:cs="Times New Roman" w:hint="eastAsia"/>
          <w:szCs w:val="20"/>
        </w:rPr>
        <w:t>油田工程建设对当地水土流失影响的方式包括扰动、损坏、破坏原地貌、地表土壤结构及植被。施工期间，施工车辆对地表的大面积碾压，使所经过地段的植被和地表结构遭到不同程度的破坏，使风蚀荒漠化的过程加剧</w:t>
      </w:r>
      <w:r>
        <w:rPr>
          <w:rFonts w:cs="Times New Roman" w:hint="eastAsia"/>
          <w:szCs w:val="20"/>
        </w:rPr>
        <w:t>。</w:t>
      </w:r>
      <w:r>
        <w:rPr>
          <w:rFonts w:cs="Times New Roman" w:hint="eastAsia"/>
          <w:szCs w:val="20"/>
        </w:rPr>
        <w:t>在地面构筑物建设中，最直接而且易引起水土流失的是施工过程中使影响范围内的地表保护层变得松散，增加风蚀量。本</w:t>
      </w:r>
      <w:r>
        <w:rPr>
          <w:rFonts w:cs="Times New Roman" w:hint="eastAsia"/>
          <w:szCs w:val="20"/>
        </w:rPr>
        <w:t>工程</w:t>
      </w:r>
      <w:r>
        <w:rPr>
          <w:rFonts w:cs="Times New Roman" w:hint="eastAsia"/>
          <w:szCs w:val="20"/>
        </w:rPr>
        <w:t>建设内容主要为</w:t>
      </w:r>
      <w:r>
        <w:rPr>
          <w:rFonts w:cs="Times New Roman" w:hint="eastAsia"/>
          <w:szCs w:val="20"/>
        </w:rPr>
        <w:t>井</w:t>
      </w:r>
      <w:r>
        <w:rPr>
          <w:rFonts w:cs="Times New Roman" w:hint="eastAsia"/>
          <w:szCs w:val="20"/>
        </w:rPr>
        <w:t>场建设。永久占地范围内的地表彻底改变，地表经过砾石铺垫或者</w:t>
      </w:r>
      <w:r>
        <w:rPr>
          <w:rFonts w:cs="Times New Roman" w:hint="eastAsia"/>
          <w:szCs w:val="20"/>
        </w:rPr>
        <w:t>其他</w:t>
      </w:r>
      <w:r>
        <w:rPr>
          <w:rFonts w:cs="Times New Roman" w:hint="eastAsia"/>
          <w:szCs w:val="20"/>
        </w:rPr>
        <w:t>硬化措施，风蚀量很少，不易发生水土流失</w:t>
      </w:r>
      <w:r>
        <w:rPr>
          <w:rFonts w:cs="Times New Roman"/>
          <w:szCs w:val="20"/>
        </w:rPr>
        <w:t>。</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530" w:name="_Toc8971"/>
      <w:bookmarkStart w:id="1531" w:name="_Toc13881"/>
      <w:bookmarkStart w:id="1532" w:name="_Toc19903"/>
      <w:bookmarkStart w:id="1533" w:name="OLE_LINK653"/>
      <w:bookmarkStart w:id="1534" w:name="OLE_LINK503"/>
      <w:r>
        <w:rPr>
          <w:rFonts w:ascii="Times New Roman" w:hAnsi="Times New Roman" w:cs="Times New Roman"/>
          <w:color w:val="auto"/>
          <w:lang w:eastAsia="zh-CN"/>
        </w:rPr>
        <w:t>5.</w:t>
      </w:r>
      <w:bookmarkEnd w:id="1530"/>
      <w:bookmarkEnd w:id="1531"/>
      <w:bookmarkEnd w:id="1532"/>
      <w:r>
        <w:rPr>
          <w:rFonts w:ascii="Times New Roman" w:hAnsi="Times New Roman" w:cs="Times New Roman"/>
          <w:color w:val="auto"/>
          <w:lang w:eastAsia="zh-CN"/>
        </w:rPr>
        <w:t>4.2</w:t>
      </w:r>
      <w:bookmarkEnd w:id="1533"/>
      <w:r>
        <w:rPr>
          <w:rFonts w:ascii="Times New Roman" w:hAnsi="Times New Roman" w:cs="Times New Roman"/>
          <w:color w:val="auto"/>
          <w:lang w:eastAsia="zh-CN"/>
        </w:rPr>
        <w:t>运营期土壤环境影响评价</w:t>
      </w:r>
      <w:bookmarkEnd w:id="1534"/>
      <w:r>
        <w:rPr>
          <w:rFonts w:ascii="Times New Roman" w:hAnsi="Times New Roman" w:cs="Times New Roman"/>
          <w:color w:val="auto"/>
          <w:lang w:eastAsia="zh-CN"/>
        </w:rPr>
        <w:t xml:space="preserve"> </w:t>
      </w:r>
    </w:p>
    <w:p w:rsidR="00C645C9" w:rsidRDefault="00F955D9">
      <w:pPr>
        <w:widowControl w:val="0"/>
        <w:adjustRightInd w:val="0"/>
        <w:snapToGrid w:val="0"/>
        <w:spacing w:line="360" w:lineRule="auto"/>
        <w:jc w:val="both"/>
        <w:outlineLvl w:val="3"/>
        <w:rPr>
          <w:rFonts w:cs="Times New Roman"/>
          <w:b/>
          <w:snapToGrid w:val="0"/>
          <w:szCs w:val="21"/>
        </w:rPr>
      </w:pPr>
      <w:r>
        <w:rPr>
          <w:rFonts w:cs="Times New Roman" w:hint="eastAsia"/>
          <w:b/>
          <w:snapToGrid w:val="0"/>
          <w:szCs w:val="21"/>
        </w:rPr>
        <w:t>5.4.2</w:t>
      </w:r>
      <w:r>
        <w:rPr>
          <w:rFonts w:cs="Times New Roman" w:hint="eastAsia"/>
          <w:b/>
          <w:snapToGrid w:val="0"/>
          <w:szCs w:val="21"/>
        </w:rPr>
        <w:t>.1</w:t>
      </w:r>
      <w:r>
        <w:rPr>
          <w:rFonts w:cs="Times New Roman" w:hint="eastAsia"/>
          <w:b/>
          <w:snapToGrid w:val="0"/>
          <w:szCs w:val="21"/>
        </w:rPr>
        <w:t>土壤污染途径</w:t>
      </w:r>
    </w:p>
    <w:p w:rsidR="00C645C9" w:rsidRDefault="00F955D9">
      <w:pPr>
        <w:widowControl w:val="0"/>
        <w:adjustRightInd w:val="0"/>
        <w:snapToGrid w:val="0"/>
        <w:spacing w:line="360" w:lineRule="auto"/>
        <w:ind w:firstLineChars="200" w:firstLine="480"/>
        <w:jc w:val="both"/>
        <w:rPr>
          <w:kern w:val="2"/>
        </w:rPr>
      </w:pPr>
      <w:r>
        <w:rPr>
          <w:rFonts w:hint="eastAsia"/>
          <w:kern w:val="2"/>
        </w:rPr>
        <w:t>本工程</w:t>
      </w:r>
      <w:r>
        <w:rPr>
          <w:rFonts w:hint="eastAsia"/>
          <w:kern w:val="2"/>
        </w:rPr>
        <w:t>为</w:t>
      </w:r>
      <w:r>
        <w:rPr>
          <w:rFonts w:hint="eastAsia"/>
          <w:kern w:val="2"/>
        </w:rPr>
        <w:t>油气</w:t>
      </w:r>
      <w:r>
        <w:rPr>
          <w:rFonts w:hint="eastAsia"/>
          <w:kern w:val="2"/>
        </w:rPr>
        <w:t>开采项目，</w:t>
      </w:r>
      <w:r>
        <w:rPr>
          <w:rFonts w:hint="eastAsia"/>
          <w:kern w:val="2"/>
        </w:rPr>
        <w:t>运营期主要以</w:t>
      </w:r>
      <w:r>
        <w:rPr>
          <w:rFonts w:hint="eastAsia"/>
          <w:kern w:val="2"/>
        </w:rPr>
        <w:t>污染影响为</w:t>
      </w:r>
      <w:r>
        <w:rPr>
          <w:rFonts w:hint="eastAsia"/>
          <w:kern w:val="2"/>
        </w:rPr>
        <w:t>主</w:t>
      </w:r>
      <w:r>
        <w:rPr>
          <w:rFonts w:hint="eastAsia"/>
          <w:kern w:val="2"/>
        </w:rPr>
        <w:t>。运营期</w:t>
      </w:r>
      <w:r>
        <w:rPr>
          <w:rFonts w:hint="eastAsia"/>
          <w:kern w:val="2"/>
        </w:rPr>
        <w:t>本工程</w:t>
      </w:r>
      <w:bookmarkStart w:id="1535" w:name="OLE_LINK637"/>
      <w:r>
        <w:rPr>
          <w:rFonts w:hint="eastAsia"/>
          <w:kern w:val="2"/>
        </w:rPr>
        <w:t>天然气</w:t>
      </w:r>
      <w:bookmarkEnd w:id="1535"/>
      <w:r>
        <w:rPr>
          <w:rFonts w:hint="eastAsia"/>
          <w:kern w:val="2"/>
        </w:rPr>
        <w:t>外输、</w:t>
      </w:r>
      <w:bookmarkStart w:id="1536" w:name="OLE_LINK638"/>
      <w:r>
        <w:rPr>
          <w:rFonts w:hint="eastAsia"/>
          <w:kern w:val="2"/>
        </w:rPr>
        <w:t>凝析油</w:t>
      </w:r>
      <w:bookmarkEnd w:id="1536"/>
      <w:r>
        <w:rPr>
          <w:rFonts w:hint="eastAsia"/>
          <w:kern w:val="2"/>
        </w:rPr>
        <w:t>罐车拉运，</w:t>
      </w:r>
      <w:r>
        <w:rPr>
          <w:rFonts w:hint="eastAsia"/>
          <w:kern w:val="2"/>
        </w:rPr>
        <w:t>正常情况下不会对土壤环境造成污染。非正常情况下</w:t>
      </w:r>
      <w:r>
        <w:rPr>
          <w:rFonts w:hint="eastAsia"/>
          <w:kern w:val="2"/>
        </w:rPr>
        <w:t>凝析油、</w:t>
      </w:r>
      <w:r>
        <w:rPr>
          <w:rFonts w:hint="eastAsia"/>
          <w:kern w:val="2"/>
        </w:rPr>
        <w:t>含油污水泄漏可能会对土壤环境造成污染。结合</w:t>
      </w:r>
      <w:r>
        <w:rPr>
          <w:rFonts w:hint="eastAsia"/>
          <w:kern w:val="2"/>
        </w:rPr>
        <w:t>本工程</w:t>
      </w:r>
      <w:r>
        <w:rPr>
          <w:rFonts w:hint="eastAsia"/>
          <w:kern w:val="2"/>
        </w:rPr>
        <w:t>特点，本节主要分析非正常状况下泄</w:t>
      </w:r>
      <w:r>
        <w:rPr>
          <w:rFonts w:hint="eastAsia"/>
          <w:kern w:val="2"/>
        </w:rPr>
        <w:t>漏对土壤环境的污染影响，以及对土壤理化性质的影响和累积影响。</w:t>
      </w:r>
    </w:p>
    <w:p w:rsidR="00C645C9" w:rsidRDefault="00F955D9">
      <w:pPr>
        <w:widowControl w:val="0"/>
        <w:adjustRightInd w:val="0"/>
        <w:snapToGrid w:val="0"/>
        <w:spacing w:line="360" w:lineRule="auto"/>
        <w:ind w:firstLineChars="200" w:firstLine="480"/>
        <w:jc w:val="both"/>
        <w:rPr>
          <w:kern w:val="2"/>
        </w:rPr>
      </w:pPr>
      <w:r>
        <w:rPr>
          <w:rFonts w:hint="eastAsia"/>
          <w:kern w:val="2"/>
        </w:rPr>
        <w:t>气</w:t>
      </w:r>
      <w:r>
        <w:rPr>
          <w:rFonts w:hint="eastAsia"/>
          <w:kern w:val="2"/>
        </w:rPr>
        <w:t>田土壤环境污染的分布为：污染物主要集中在</w:t>
      </w:r>
      <w:r>
        <w:rPr>
          <w:rFonts w:hint="eastAsia"/>
          <w:kern w:val="2"/>
        </w:rPr>
        <w:t>井场</w:t>
      </w:r>
      <w:r>
        <w:rPr>
          <w:rFonts w:hint="eastAsia"/>
          <w:kern w:val="2"/>
        </w:rPr>
        <w:t>永久占地内，各种污染物尤其是石油烃污染物主要集中在土壤表层，迁移深度较浅。</w:t>
      </w:r>
    </w:p>
    <w:p w:rsidR="00C645C9" w:rsidRDefault="00F955D9">
      <w:pPr>
        <w:widowControl w:val="0"/>
        <w:adjustRightInd w:val="0"/>
        <w:snapToGrid w:val="0"/>
        <w:spacing w:line="360" w:lineRule="auto"/>
        <w:ind w:firstLineChars="200" w:firstLine="480"/>
        <w:jc w:val="both"/>
        <w:rPr>
          <w:kern w:val="2"/>
        </w:rPr>
      </w:pPr>
      <w:r>
        <w:rPr>
          <w:rFonts w:hint="eastAsia"/>
          <w:kern w:val="2"/>
        </w:rPr>
        <w:t>事故时排放的</w:t>
      </w:r>
      <w:r>
        <w:rPr>
          <w:rFonts w:hint="eastAsia"/>
          <w:kern w:val="2"/>
        </w:rPr>
        <w:t>凝析油、</w:t>
      </w:r>
      <w:r>
        <w:rPr>
          <w:rFonts w:hint="eastAsia"/>
          <w:kern w:val="2"/>
        </w:rPr>
        <w:t>含油污水量大且集中，其危害主要表现为降低土壤透气、透水性，改变土壤微生物种群结构，消耗土壤氮素，使植物生长受</w:t>
      </w:r>
      <w:r>
        <w:rPr>
          <w:rFonts w:hint="eastAsia"/>
          <w:kern w:val="2"/>
        </w:rPr>
        <w:t>阻，体内残留量增加，恶化土壤</w:t>
      </w:r>
      <w:r>
        <w:rPr>
          <w:rFonts w:hint="eastAsia"/>
          <w:kern w:val="2"/>
        </w:rPr>
        <w:t>-</w:t>
      </w:r>
      <w:r>
        <w:rPr>
          <w:rFonts w:hint="eastAsia"/>
          <w:kern w:val="2"/>
        </w:rPr>
        <w:t>植物及土壤</w:t>
      </w:r>
      <w:r>
        <w:rPr>
          <w:rFonts w:hint="eastAsia"/>
          <w:kern w:val="2"/>
        </w:rPr>
        <w:t>-</w:t>
      </w:r>
      <w:r>
        <w:rPr>
          <w:rFonts w:hint="eastAsia"/>
          <w:kern w:val="2"/>
        </w:rPr>
        <w:t>食物链系统的环境质量。因此，</w:t>
      </w:r>
      <w:r>
        <w:rPr>
          <w:rFonts w:hint="eastAsia"/>
          <w:kern w:val="2"/>
        </w:rPr>
        <w:t>气</w:t>
      </w:r>
      <w:r>
        <w:rPr>
          <w:rFonts w:hint="eastAsia"/>
          <w:kern w:val="2"/>
        </w:rPr>
        <w:t>田生产中一定要严防</w:t>
      </w:r>
      <w:r>
        <w:rPr>
          <w:rFonts w:hint="eastAsia"/>
          <w:kern w:val="2"/>
        </w:rPr>
        <w:t>凝析油</w:t>
      </w:r>
      <w:r>
        <w:rPr>
          <w:rFonts w:hint="eastAsia"/>
          <w:kern w:val="2"/>
        </w:rPr>
        <w:t>泄漏事故的发生，一旦发生事故，应立即采取事故应急措施，及时对</w:t>
      </w:r>
      <w:bookmarkStart w:id="1537" w:name="OLE_LINK648"/>
      <w:r>
        <w:rPr>
          <w:rFonts w:hint="eastAsia"/>
          <w:kern w:val="2"/>
        </w:rPr>
        <w:t>凝析油</w:t>
      </w:r>
      <w:bookmarkEnd w:id="1537"/>
      <w:r>
        <w:rPr>
          <w:rFonts w:hint="eastAsia"/>
          <w:kern w:val="2"/>
        </w:rPr>
        <w:t>、</w:t>
      </w:r>
      <w:r>
        <w:rPr>
          <w:rFonts w:hint="eastAsia"/>
          <w:kern w:val="2"/>
        </w:rPr>
        <w:t>含油污水进行回收，最大限度地恢复地表原貌，为利用土壤的自净作用创造条件，在尽可能短的时间使土壤环境得到恢复。</w:t>
      </w:r>
    </w:p>
    <w:p w:rsidR="00C645C9" w:rsidRDefault="00F955D9">
      <w:pPr>
        <w:widowControl w:val="0"/>
        <w:adjustRightInd w:val="0"/>
        <w:snapToGrid w:val="0"/>
        <w:spacing w:line="360" w:lineRule="auto"/>
        <w:jc w:val="both"/>
        <w:outlineLvl w:val="3"/>
        <w:rPr>
          <w:rFonts w:cs="Times New Roman"/>
          <w:b/>
          <w:snapToGrid w:val="0"/>
          <w:szCs w:val="21"/>
        </w:rPr>
      </w:pPr>
      <w:r>
        <w:rPr>
          <w:rFonts w:cs="Times New Roman" w:hint="eastAsia"/>
          <w:b/>
          <w:snapToGrid w:val="0"/>
          <w:szCs w:val="21"/>
        </w:rPr>
        <w:t>5.4.2</w:t>
      </w:r>
      <w:r>
        <w:rPr>
          <w:rFonts w:cs="Times New Roman" w:hint="eastAsia"/>
          <w:b/>
          <w:snapToGrid w:val="0"/>
          <w:szCs w:val="21"/>
        </w:rPr>
        <w:t>.2</w:t>
      </w:r>
      <w:r>
        <w:rPr>
          <w:rFonts w:cs="Times New Roman" w:hint="eastAsia"/>
          <w:b/>
          <w:snapToGrid w:val="0"/>
          <w:szCs w:val="21"/>
        </w:rPr>
        <w:t>正常状况下对土壤环境的影响分析</w:t>
      </w:r>
    </w:p>
    <w:p w:rsidR="00C645C9" w:rsidRDefault="00F955D9">
      <w:pPr>
        <w:widowControl w:val="0"/>
        <w:spacing w:line="360" w:lineRule="auto"/>
        <w:ind w:firstLineChars="200" w:firstLine="480"/>
        <w:jc w:val="both"/>
        <w:rPr>
          <w:rStyle w:val="CharChar0"/>
          <w:rFonts w:cs="Times New Roman"/>
          <w:szCs w:val="20"/>
        </w:rPr>
      </w:pPr>
      <w:r>
        <w:rPr>
          <w:rStyle w:val="CharChar0"/>
          <w:rFonts w:cs="Times New Roman" w:hint="eastAsia"/>
          <w:szCs w:val="20"/>
        </w:rPr>
        <w:t>本工程</w:t>
      </w:r>
      <w:r>
        <w:rPr>
          <w:rStyle w:val="CharChar0"/>
          <w:rFonts w:cs="Times New Roman"/>
          <w:szCs w:val="20"/>
        </w:rPr>
        <w:t>污染土壤的途径主要为</w:t>
      </w:r>
      <w:bookmarkStart w:id="1538" w:name="OLE_LINK640"/>
      <w:r>
        <w:rPr>
          <w:rFonts w:hint="eastAsia"/>
          <w:kern w:val="2"/>
        </w:rPr>
        <w:t>凝析油</w:t>
      </w:r>
      <w:bookmarkEnd w:id="1538"/>
      <w:r>
        <w:rPr>
          <w:rStyle w:val="CharChar0"/>
          <w:rFonts w:cs="Times New Roman" w:hint="eastAsia"/>
          <w:szCs w:val="20"/>
        </w:rPr>
        <w:t>拉运</w:t>
      </w:r>
      <w:r>
        <w:rPr>
          <w:rStyle w:val="CharChar0"/>
          <w:rFonts w:cs="Times New Roman"/>
          <w:szCs w:val="20"/>
        </w:rPr>
        <w:t>及处理过程中发生跑冒滴漏，渗入土壤对土壤产生影响。</w:t>
      </w:r>
    </w:p>
    <w:p w:rsidR="00C645C9" w:rsidRDefault="00F955D9">
      <w:pPr>
        <w:widowControl w:val="0"/>
        <w:spacing w:line="360" w:lineRule="auto"/>
        <w:ind w:firstLineChars="200" w:firstLine="456"/>
        <w:jc w:val="both"/>
        <w:rPr>
          <w:rFonts w:cs="Times New Roman"/>
          <w:szCs w:val="20"/>
        </w:rPr>
      </w:pPr>
      <w:r>
        <w:rPr>
          <w:rFonts w:ascii="Calibri" w:hAnsi="Calibri" w:cs="Times New Roman" w:hint="eastAsia"/>
          <w:spacing w:val="-6"/>
          <w:kern w:val="24"/>
        </w:rPr>
        <w:t>运营期正常工况下，</w:t>
      </w:r>
      <w:r>
        <w:rPr>
          <w:rStyle w:val="CharChar0"/>
          <w:rFonts w:cs="Times New Roman" w:hint="eastAsia"/>
          <w:spacing w:val="-6"/>
          <w:szCs w:val="20"/>
        </w:rPr>
        <w:t>本工程</w:t>
      </w:r>
      <w:bookmarkStart w:id="1539" w:name="OLE_LINK639"/>
      <w:r>
        <w:rPr>
          <w:rFonts w:cs="Times New Roman"/>
        </w:rPr>
        <w:t>生产废水</w:t>
      </w:r>
      <w:r>
        <w:rPr>
          <w:rFonts w:cs="Times New Roman" w:hint="eastAsia"/>
        </w:rPr>
        <w:t>和</w:t>
      </w:r>
      <w:r>
        <w:rPr>
          <w:rFonts w:ascii="Calibri" w:hAnsi="Calibri" w:cs="Times New Roman" w:hint="eastAsia"/>
          <w:spacing w:val="-6"/>
          <w:kern w:val="24"/>
        </w:rPr>
        <w:t>井下作业废水</w:t>
      </w:r>
      <w:bookmarkEnd w:id="1539"/>
      <w:r>
        <w:rPr>
          <w:rFonts w:ascii="Calibri" w:hAnsi="Calibri" w:cs="Times New Roman" w:hint="eastAsia"/>
          <w:spacing w:val="-6"/>
          <w:kern w:val="24"/>
        </w:rPr>
        <w:t>得到妥善处置</w:t>
      </w:r>
      <w:r>
        <w:rPr>
          <w:rFonts w:ascii="Calibri" w:hAnsi="Calibri" w:cs="Times New Roman" w:hint="eastAsia"/>
          <w:spacing w:val="-6"/>
          <w:kern w:val="24"/>
        </w:rPr>
        <w:t>，</w:t>
      </w:r>
      <w:r>
        <w:rPr>
          <w:rFonts w:hint="eastAsia"/>
          <w:kern w:val="2"/>
        </w:rPr>
        <w:t>凝析油</w:t>
      </w:r>
      <w:r>
        <w:rPr>
          <w:rFonts w:ascii="Calibri" w:hAnsi="Calibri" w:cs="Times New Roman" w:hint="eastAsia"/>
          <w:spacing w:val="-6"/>
          <w:kern w:val="24"/>
        </w:rPr>
        <w:t>拉</w:t>
      </w:r>
      <w:r>
        <w:rPr>
          <w:rFonts w:ascii="Calibri" w:hAnsi="Calibri" w:cs="Times New Roman" w:hint="eastAsia"/>
          <w:spacing w:val="-6"/>
          <w:kern w:val="24"/>
        </w:rPr>
        <w:lastRenderedPageBreak/>
        <w:t>运严格遵守规章制度</w:t>
      </w:r>
      <w:r>
        <w:rPr>
          <w:rStyle w:val="CharChar0"/>
          <w:rFonts w:cs="Times New Roman"/>
          <w:spacing w:val="-6"/>
          <w:szCs w:val="20"/>
        </w:rPr>
        <w:t>，不会出现溢出和</w:t>
      </w:r>
      <w:r>
        <w:rPr>
          <w:rStyle w:val="CharChar0"/>
          <w:rFonts w:cs="Times New Roman" w:hint="eastAsia"/>
          <w:spacing w:val="-6"/>
          <w:szCs w:val="20"/>
        </w:rPr>
        <w:t>泄漏</w:t>
      </w:r>
      <w:r>
        <w:rPr>
          <w:rStyle w:val="CharChar0"/>
          <w:rFonts w:cs="Times New Roman"/>
          <w:spacing w:val="-6"/>
          <w:szCs w:val="20"/>
        </w:rPr>
        <w:t>情况，实现可视可控。</w:t>
      </w:r>
    </w:p>
    <w:p w:rsidR="00C645C9" w:rsidRDefault="00F955D9">
      <w:pPr>
        <w:widowControl w:val="0"/>
        <w:adjustRightInd w:val="0"/>
        <w:snapToGrid w:val="0"/>
        <w:spacing w:line="360" w:lineRule="auto"/>
        <w:jc w:val="both"/>
        <w:outlineLvl w:val="3"/>
        <w:rPr>
          <w:rFonts w:cs="Times New Roman"/>
          <w:b/>
          <w:snapToGrid w:val="0"/>
          <w:szCs w:val="21"/>
        </w:rPr>
      </w:pPr>
      <w:bookmarkStart w:id="1540" w:name="OLE_LINK656"/>
      <w:r>
        <w:rPr>
          <w:rFonts w:cs="Times New Roman" w:hint="eastAsia"/>
          <w:b/>
          <w:snapToGrid w:val="0"/>
          <w:szCs w:val="21"/>
        </w:rPr>
        <w:t>5.4.2</w:t>
      </w:r>
      <w:r>
        <w:rPr>
          <w:rFonts w:cs="Times New Roman" w:hint="eastAsia"/>
          <w:b/>
          <w:snapToGrid w:val="0"/>
          <w:szCs w:val="21"/>
        </w:rPr>
        <w:t>.3</w:t>
      </w:r>
      <w:r>
        <w:rPr>
          <w:rFonts w:cs="Times New Roman" w:hint="eastAsia"/>
          <w:b/>
          <w:snapToGrid w:val="0"/>
          <w:szCs w:val="21"/>
        </w:rPr>
        <w:t>非正常状况下对土壤环境的影响预测分析</w:t>
      </w:r>
    </w:p>
    <w:bookmarkEnd w:id="1540"/>
    <w:p w:rsidR="00C645C9" w:rsidRDefault="00F955D9">
      <w:pPr>
        <w:widowControl w:val="0"/>
        <w:adjustRightInd w:val="0"/>
        <w:snapToGrid w:val="0"/>
        <w:spacing w:line="360" w:lineRule="auto"/>
        <w:ind w:firstLineChars="196" w:firstLine="490"/>
        <w:rPr>
          <w:rFonts w:cs="Times New Roman"/>
          <w:spacing w:val="5"/>
        </w:rPr>
      </w:pPr>
      <w:r>
        <w:rPr>
          <w:rFonts w:cs="Times New Roman" w:hint="eastAsia"/>
          <w:spacing w:val="5"/>
        </w:rPr>
        <w:t>（</w:t>
      </w:r>
      <w:r>
        <w:rPr>
          <w:rFonts w:cs="Times New Roman" w:hint="eastAsia"/>
          <w:spacing w:val="5"/>
        </w:rPr>
        <w:t>1</w:t>
      </w:r>
      <w:r>
        <w:rPr>
          <w:rFonts w:cs="Times New Roman" w:hint="eastAsia"/>
          <w:spacing w:val="5"/>
        </w:rPr>
        <w:t>）</w:t>
      </w:r>
      <w:r>
        <w:rPr>
          <w:rFonts w:cs="Times New Roman"/>
          <w:spacing w:val="5"/>
        </w:rPr>
        <w:t>生态影响型</w:t>
      </w:r>
    </w:p>
    <w:p w:rsidR="00C645C9" w:rsidRDefault="00F955D9">
      <w:pPr>
        <w:widowControl w:val="0"/>
        <w:adjustRightInd w:val="0"/>
        <w:snapToGrid w:val="0"/>
        <w:spacing w:line="360" w:lineRule="auto"/>
        <w:ind w:firstLineChars="200" w:firstLine="496"/>
        <w:jc w:val="both"/>
        <w:rPr>
          <w:rFonts w:cs="Times New Roman"/>
          <w:spacing w:val="4"/>
          <w:kern w:val="24"/>
          <w:szCs w:val="22"/>
        </w:rPr>
      </w:pPr>
      <w:bookmarkStart w:id="1541" w:name="OLE_LINK221"/>
      <w:r>
        <w:rPr>
          <w:rFonts w:cs="Times New Roman"/>
          <w:spacing w:val="4"/>
          <w:kern w:val="24"/>
          <w:szCs w:val="22"/>
        </w:rPr>
        <w:t>考虑事故状态下，</w:t>
      </w:r>
      <w:bookmarkStart w:id="1542" w:name="OLE_LINK649"/>
      <w:bookmarkStart w:id="1543" w:name="OLE_LINK657"/>
      <w:bookmarkEnd w:id="1541"/>
      <w:r>
        <w:rPr>
          <w:rFonts w:cs="Times New Roman" w:hint="eastAsia"/>
          <w:spacing w:val="4"/>
          <w:kern w:val="24"/>
          <w:szCs w:val="22"/>
        </w:rPr>
        <w:t>凝析油</w:t>
      </w:r>
      <w:bookmarkStart w:id="1544" w:name="OLE_LINK662"/>
      <w:bookmarkEnd w:id="1542"/>
      <w:r>
        <w:rPr>
          <w:rFonts w:cs="Times New Roman" w:hint="eastAsia"/>
          <w:snapToGrid w:val="0"/>
          <w:spacing w:val="4"/>
          <w:kern w:val="2"/>
        </w:rPr>
        <w:t>多功能储集器</w:t>
      </w:r>
      <w:bookmarkEnd w:id="1543"/>
      <w:bookmarkEnd w:id="1544"/>
      <w:r>
        <w:rPr>
          <w:rFonts w:hint="eastAsia"/>
          <w:kern w:val="2"/>
          <w:szCs w:val="32"/>
        </w:rPr>
        <w:t>中</w:t>
      </w:r>
      <w:r>
        <w:rPr>
          <w:rFonts w:cs="Times New Roman" w:hint="eastAsia"/>
          <w:spacing w:val="4"/>
          <w:kern w:val="24"/>
          <w:szCs w:val="22"/>
        </w:rPr>
        <w:t>凝析油</w:t>
      </w:r>
      <w:r>
        <w:rPr>
          <w:rFonts w:hint="eastAsia"/>
          <w:kern w:val="2"/>
          <w:szCs w:val="32"/>
        </w:rPr>
        <w:t>进入表层土壤中</w:t>
      </w:r>
      <w:r>
        <w:rPr>
          <w:rFonts w:cs="Times New Roman"/>
          <w:spacing w:val="4"/>
          <w:kern w:val="24"/>
          <w:szCs w:val="22"/>
        </w:rPr>
        <w:t>。初步估算，</w:t>
      </w:r>
      <w:r>
        <w:rPr>
          <w:kern w:val="2"/>
          <w:szCs w:val="32"/>
        </w:rPr>
        <w:t>预计</w:t>
      </w:r>
      <w:r>
        <w:rPr>
          <w:rFonts w:hint="eastAsia"/>
          <w:kern w:val="2"/>
          <w:szCs w:val="32"/>
        </w:rPr>
        <w:t>1h</w:t>
      </w:r>
      <w:r>
        <w:rPr>
          <w:kern w:val="2"/>
          <w:szCs w:val="32"/>
        </w:rPr>
        <w:t>泄漏的量为</w:t>
      </w:r>
      <w:bookmarkStart w:id="1545" w:name="OLE_LINK650"/>
      <w:r>
        <w:rPr>
          <w:rFonts w:cs="Times New Roman" w:hint="eastAsia"/>
          <w:spacing w:val="4"/>
          <w:kern w:val="24"/>
          <w:szCs w:val="22"/>
        </w:rPr>
        <w:t>1</w:t>
      </w:r>
      <w:r>
        <w:rPr>
          <w:rFonts w:cs="Times New Roman"/>
          <w:spacing w:val="4"/>
          <w:kern w:val="24"/>
          <w:szCs w:val="22"/>
        </w:rPr>
        <w:t>.67</w:t>
      </w:r>
      <w:bookmarkStart w:id="1546" w:name="OLE_LINK652"/>
      <w:bookmarkEnd w:id="1545"/>
      <w:r>
        <w:rPr>
          <w:rFonts w:cs="Times New Roman"/>
          <w:spacing w:val="4"/>
          <w:kern w:val="24"/>
          <w:szCs w:val="22"/>
        </w:rPr>
        <w:t>m³</w:t>
      </w:r>
      <w:bookmarkEnd w:id="1546"/>
      <w:r>
        <w:rPr>
          <w:rFonts w:cs="Times New Roman"/>
          <w:spacing w:val="4"/>
          <w:kern w:val="24"/>
          <w:szCs w:val="22"/>
        </w:rPr>
        <w:t>。</w:t>
      </w:r>
      <w:r>
        <w:rPr>
          <w:rFonts w:cs="Times New Roman" w:hint="eastAsia"/>
          <w:spacing w:val="4"/>
          <w:kern w:val="24"/>
          <w:szCs w:val="22"/>
        </w:rPr>
        <w:t>凝析油</w:t>
      </w:r>
      <w:r>
        <w:rPr>
          <w:rFonts w:cs="Times New Roman"/>
          <w:spacing w:val="4"/>
          <w:kern w:val="24"/>
          <w:szCs w:val="22"/>
        </w:rPr>
        <w:t>中的</w:t>
      </w:r>
      <w:r>
        <w:rPr>
          <w:rFonts w:cs="Times New Roman" w:hint="eastAsia"/>
          <w:spacing w:val="4"/>
          <w:kern w:val="24"/>
          <w:szCs w:val="22"/>
        </w:rPr>
        <w:t>矿化度为</w:t>
      </w:r>
      <w:bookmarkStart w:id="1547" w:name="OLE_LINK651"/>
      <w:r>
        <w:rPr>
          <w:rFonts w:cs="Times New Roman"/>
          <w:spacing w:val="4"/>
          <w:kern w:val="24"/>
          <w:szCs w:val="22"/>
        </w:rPr>
        <w:t>1</w:t>
      </w:r>
      <w:r>
        <w:rPr>
          <w:rFonts w:cs="Times New Roman" w:hint="eastAsia"/>
          <w:spacing w:val="4"/>
          <w:kern w:val="24"/>
          <w:szCs w:val="22"/>
        </w:rPr>
        <w:t>72</w:t>
      </w:r>
      <w:r>
        <w:rPr>
          <w:rFonts w:cs="Times New Roman"/>
          <w:spacing w:val="4"/>
          <w:kern w:val="24"/>
          <w:szCs w:val="22"/>
        </w:rPr>
        <w:t>000</w:t>
      </w:r>
      <w:bookmarkEnd w:id="1547"/>
      <w:r>
        <w:rPr>
          <w:rFonts w:cs="Times New Roman"/>
          <w:spacing w:val="4"/>
          <w:kern w:val="24"/>
          <w:szCs w:val="22"/>
        </w:rPr>
        <w:t>mg/L</w:t>
      </w:r>
      <w:r>
        <w:rPr>
          <w:rFonts w:cs="Times New Roman"/>
          <w:spacing w:val="4"/>
          <w:kern w:val="24"/>
          <w:szCs w:val="22"/>
        </w:rPr>
        <w:t>，则估算进入土壤中的盐分含量为</w:t>
      </w:r>
      <w:r>
        <w:rPr>
          <w:rFonts w:cs="Times New Roman"/>
          <w:spacing w:val="4"/>
          <w:kern w:val="24"/>
          <w:szCs w:val="22"/>
        </w:rPr>
        <w:t>=</w:t>
      </w:r>
      <w:r>
        <w:rPr>
          <w:rFonts w:cs="Times New Roman" w:hint="eastAsia"/>
          <w:spacing w:val="4"/>
          <w:kern w:val="24"/>
          <w:szCs w:val="22"/>
        </w:rPr>
        <w:t>1</w:t>
      </w:r>
      <w:r>
        <w:rPr>
          <w:rFonts w:cs="Times New Roman"/>
          <w:spacing w:val="4"/>
          <w:kern w:val="24"/>
          <w:szCs w:val="22"/>
        </w:rPr>
        <w:t>.67m³×1</w:t>
      </w:r>
      <w:r>
        <w:rPr>
          <w:rFonts w:cs="Times New Roman" w:hint="eastAsia"/>
          <w:spacing w:val="4"/>
          <w:kern w:val="24"/>
          <w:szCs w:val="22"/>
        </w:rPr>
        <w:t>72</w:t>
      </w:r>
      <w:r>
        <w:rPr>
          <w:rFonts w:cs="Times New Roman"/>
          <w:spacing w:val="4"/>
          <w:kern w:val="24"/>
          <w:szCs w:val="22"/>
        </w:rPr>
        <w:t>000mg/L=</w:t>
      </w:r>
      <w:bookmarkStart w:id="1548" w:name="OLE_LINK1007"/>
      <w:r>
        <w:rPr>
          <w:rFonts w:cs="Times New Roman" w:hint="eastAsia"/>
          <w:spacing w:val="4"/>
          <w:kern w:val="24"/>
          <w:szCs w:val="22"/>
        </w:rPr>
        <w:t>287240</w:t>
      </w:r>
      <w:bookmarkEnd w:id="1548"/>
      <w:r>
        <w:rPr>
          <w:rFonts w:cs="Times New Roman"/>
          <w:spacing w:val="4"/>
          <w:kern w:val="24"/>
          <w:szCs w:val="22"/>
        </w:rPr>
        <w:t>g</w:t>
      </w:r>
      <w:r>
        <w:rPr>
          <w:rFonts w:cs="Times New Roman"/>
          <w:spacing w:val="4"/>
          <w:kern w:val="24"/>
          <w:szCs w:val="22"/>
        </w:rPr>
        <w:t>。</w:t>
      </w:r>
    </w:p>
    <w:p w:rsidR="00C645C9" w:rsidRDefault="00F955D9">
      <w:pPr>
        <w:widowControl w:val="0"/>
        <w:adjustRightInd w:val="0"/>
        <w:snapToGrid w:val="0"/>
        <w:spacing w:line="360" w:lineRule="auto"/>
        <w:ind w:firstLineChars="200" w:firstLine="496"/>
        <w:jc w:val="both"/>
        <w:rPr>
          <w:rFonts w:cs="Times New Roman"/>
          <w:spacing w:val="4"/>
          <w:kern w:val="24"/>
          <w:szCs w:val="22"/>
        </w:rPr>
      </w:pPr>
      <w:bookmarkStart w:id="1549" w:name="OLE_LINK641"/>
      <w:r>
        <w:rPr>
          <w:rFonts w:cs="Times New Roman"/>
          <w:spacing w:val="4"/>
          <w:kern w:val="24"/>
          <w:szCs w:val="22"/>
        </w:rPr>
        <w:t>本次预测采用</w:t>
      </w:r>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bookmarkEnd w:id="1549"/>
      <w:r>
        <w:rPr>
          <w:rFonts w:cs="Times New Roman"/>
          <w:spacing w:val="4"/>
          <w:kern w:val="24"/>
          <w:szCs w:val="22"/>
        </w:rPr>
        <w:t>附录</w:t>
      </w:r>
      <w:r>
        <w:rPr>
          <w:rFonts w:cs="Times New Roman"/>
          <w:spacing w:val="4"/>
          <w:kern w:val="24"/>
          <w:szCs w:val="22"/>
        </w:rPr>
        <w:t>E</w:t>
      </w:r>
      <w:bookmarkStart w:id="1550" w:name="OLE_LINK642"/>
      <w:r>
        <w:rPr>
          <w:rFonts w:cs="Times New Roman"/>
          <w:spacing w:val="4"/>
          <w:kern w:val="24"/>
          <w:szCs w:val="22"/>
        </w:rPr>
        <w:t>.1.3</w:t>
      </w:r>
      <w:r>
        <w:rPr>
          <w:rFonts w:cs="Times New Roman"/>
          <w:spacing w:val="4"/>
          <w:kern w:val="24"/>
          <w:szCs w:val="22"/>
        </w:rPr>
        <w:t>中预测方法，预测公式如下：</w:t>
      </w:r>
      <w:bookmarkEnd w:id="1550"/>
    </w:p>
    <w:bookmarkStart w:id="1551" w:name="OLE_LINK643"/>
    <w:p w:rsidR="00C645C9" w:rsidRDefault="00F955D9" w:rsidP="005718BB">
      <w:pPr>
        <w:widowControl w:val="0"/>
        <w:adjustRightInd w:val="0"/>
        <w:snapToGrid w:val="0"/>
        <w:spacing w:line="360" w:lineRule="auto"/>
        <w:ind w:firstLineChars="200" w:firstLine="480"/>
        <w:jc w:val="both"/>
        <w:rPr>
          <w:rFonts w:cs="Times New Roman"/>
          <w:spacing w:val="4"/>
          <w:kern w:val="24"/>
          <w:szCs w:val="22"/>
        </w:rPr>
      </w:pPr>
      <w:r>
        <w:rPr>
          <w:rFonts w:cs="Times New Roman"/>
          <w:spacing w:val="4"/>
          <w:kern w:val="24"/>
          <w:szCs w:val="22"/>
        </w:rPr>
        <w:fldChar w:fldCharType="begin"/>
      </w:r>
      <w:r>
        <w:rPr>
          <w:rFonts w:cs="Times New Roman"/>
          <w:spacing w:val="4"/>
          <w:kern w:val="24"/>
          <w:szCs w:val="22"/>
        </w:rPr>
        <w:instrText xml:space="preserve"> = 1 \* GB3 \* MERGEFORMAT </w:instrText>
      </w:r>
      <w:r>
        <w:rPr>
          <w:rFonts w:cs="Times New Roman"/>
          <w:spacing w:val="4"/>
          <w:kern w:val="24"/>
          <w:szCs w:val="22"/>
        </w:rPr>
        <w:fldChar w:fldCharType="separate"/>
      </w:r>
      <w:r>
        <w:t>①</w:t>
      </w:r>
      <w:r>
        <w:rPr>
          <w:rFonts w:cs="Times New Roman"/>
          <w:spacing w:val="4"/>
          <w:kern w:val="24"/>
          <w:szCs w:val="22"/>
        </w:rPr>
        <w:fldChar w:fldCharType="end"/>
      </w:r>
      <w:bookmarkEnd w:id="1551"/>
      <w:r>
        <w:rPr>
          <w:rFonts w:cs="Times New Roman"/>
          <w:spacing w:val="4"/>
          <w:kern w:val="24"/>
          <w:szCs w:val="22"/>
        </w:rPr>
        <w:t>单位质量土壤中某种物质的增量</w:t>
      </w:r>
    </w:p>
    <w:p w:rsidR="00C645C9" w:rsidRDefault="00F955D9" w:rsidP="005718BB">
      <w:pPr>
        <w:widowControl w:val="0"/>
        <w:adjustRightInd w:val="0"/>
        <w:snapToGrid w:val="0"/>
        <w:spacing w:line="360" w:lineRule="auto"/>
        <w:ind w:firstLineChars="200" w:firstLine="480"/>
        <w:jc w:val="center"/>
        <w:rPr>
          <w:rFonts w:cs="Times New Roman"/>
          <w:spacing w:val="4"/>
          <w:kern w:val="24"/>
          <w:szCs w:val="22"/>
        </w:rPr>
      </w:pPr>
      <w:r>
        <w:rPr>
          <w:rFonts w:cs="Times New Roman"/>
          <w:noProof/>
          <w:spacing w:val="4"/>
          <w:kern w:val="24"/>
          <w:szCs w:val="22"/>
        </w:rPr>
        <w:drawing>
          <wp:inline distT="0" distB="0" distL="114300" distR="114300">
            <wp:extent cx="2809875" cy="304800"/>
            <wp:effectExtent l="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2"/>
                    <a:stretch>
                      <a:fillRect/>
                    </a:stretch>
                  </pic:blipFill>
                  <pic:spPr>
                    <a:xfrm>
                      <a:off x="0" y="0"/>
                      <a:ext cx="2809875" cy="304800"/>
                    </a:xfrm>
                    <a:prstGeom prst="rect">
                      <a:avLst/>
                    </a:prstGeom>
                    <a:noFill/>
                    <a:ln>
                      <a:noFill/>
                    </a:ln>
                  </pic:spPr>
                </pic:pic>
              </a:graphicData>
            </a:graphic>
          </wp:inline>
        </w:drawing>
      </w:r>
    </w:p>
    <w:p w:rsidR="00C645C9" w:rsidRDefault="00F955D9">
      <w:pPr>
        <w:widowControl w:val="0"/>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式中：</w:t>
      </w:r>
      <w:r>
        <w:rPr>
          <w:rFonts w:cs="Times New Roman"/>
          <w:spacing w:val="4"/>
          <w:kern w:val="24"/>
          <w:szCs w:val="22"/>
        </w:rPr>
        <w:t>△</w:t>
      </w:r>
      <w:r>
        <w:rPr>
          <w:rFonts w:cs="Times New Roman"/>
          <w:i/>
          <w:iCs/>
          <w:spacing w:val="4"/>
          <w:kern w:val="24"/>
          <w:szCs w:val="22"/>
        </w:rPr>
        <w:t>S</w:t>
      </w:r>
      <w:r>
        <w:rPr>
          <w:rFonts w:cs="Times New Roman"/>
          <w:lang w:val="zh-CN"/>
        </w:rPr>
        <w:t>——</w:t>
      </w:r>
      <w:r>
        <w:rPr>
          <w:rFonts w:cs="Times New Roman"/>
          <w:spacing w:val="4"/>
          <w:kern w:val="24"/>
          <w:szCs w:val="22"/>
        </w:rPr>
        <w:t>单位质量表层土壤中某种物质的增量，</w:t>
      </w:r>
      <w:r>
        <w:rPr>
          <w:rFonts w:cs="Times New Roman"/>
          <w:spacing w:val="4"/>
          <w:kern w:val="24"/>
          <w:szCs w:val="22"/>
        </w:rPr>
        <w:t>g/kg</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I</w:t>
      </w:r>
      <w:r>
        <w:rPr>
          <w:rFonts w:cs="Times New Roman"/>
          <w:i/>
          <w:iCs/>
          <w:spacing w:val="4"/>
          <w:kern w:val="24"/>
          <w:szCs w:val="22"/>
          <w:vertAlign w:val="subscript"/>
        </w:rPr>
        <w:t>s</w:t>
      </w:r>
      <w:r>
        <w:rPr>
          <w:rFonts w:cs="Times New Roman"/>
          <w:lang w:val="zh-CN"/>
        </w:rPr>
        <w:t>——</w:t>
      </w:r>
      <w:r>
        <w:rPr>
          <w:rFonts w:cs="Times New Roman"/>
          <w:spacing w:val="4"/>
          <w:kern w:val="24"/>
          <w:szCs w:val="22"/>
        </w:rPr>
        <w:t>预测评价范围内单位年份表层土壤中某种物质的输入量，</w:t>
      </w:r>
      <w:r>
        <w:rPr>
          <w:rFonts w:cs="Times New Roman"/>
          <w:spacing w:val="4"/>
          <w:kern w:val="24"/>
          <w:szCs w:val="22"/>
        </w:rPr>
        <w:t>g</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bookmarkStart w:id="1552" w:name="OLE_LINK654"/>
      <w:r>
        <w:rPr>
          <w:rFonts w:cs="Times New Roman"/>
          <w:i/>
          <w:iCs/>
          <w:spacing w:val="4"/>
          <w:kern w:val="24"/>
          <w:szCs w:val="22"/>
        </w:rPr>
        <w:t>L</w:t>
      </w:r>
      <w:r>
        <w:rPr>
          <w:rFonts w:cs="Times New Roman"/>
          <w:i/>
          <w:iCs/>
          <w:spacing w:val="4"/>
          <w:kern w:val="24"/>
          <w:szCs w:val="22"/>
          <w:vertAlign w:val="subscript"/>
        </w:rPr>
        <w:t>s</w:t>
      </w:r>
      <w:bookmarkEnd w:id="1552"/>
      <w:r>
        <w:rPr>
          <w:rFonts w:cs="Times New Roman"/>
          <w:lang w:val="zh-CN"/>
        </w:rPr>
        <w:t>——</w:t>
      </w:r>
      <w:r>
        <w:rPr>
          <w:rFonts w:cs="Times New Roman"/>
          <w:spacing w:val="4"/>
          <w:kern w:val="24"/>
          <w:szCs w:val="22"/>
        </w:rPr>
        <w:t>预测评价范围内单位年份表层土壤中某种物质经淋溶排出的量，</w:t>
      </w:r>
      <w:r>
        <w:rPr>
          <w:rFonts w:cs="Times New Roman"/>
          <w:spacing w:val="4"/>
          <w:kern w:val="24"/>
          <w:szCs w:val="22"/>
        </w:rPr>
        <w:t>g</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bookmarkStart w:id="1553" w:name="OLE_LINK655"/>
      <w:r>
        <w:rPr>
          <w:rFonts w:cs="Times New Roman"/>
          <w:i/>
          <w:iCs/>
          <w:spacing w:val="4"/>
          <w:kern w:val="24"/>
          <w:szCs w:val="22"/>
        </w:rPr>
        <w:t>R</w:t>
      </w:r>
      <w:r>
        <w:rPr>
          <w:rFonts w:cs="Times New Roman"/>
          <w:i/>
          <w:iCs/>
          <w:spacing w:val="4"/>
          <w:kern w:val="24"/>
          <w:szCs w:val="22"/>
          <w:vertAlign w:val="subscript"/>
        </w:rPr>
        <w:t>s</w:t>
      </w:r>
      <w:bookmarkStart w:id="1554" w:name="OLE_LINK647"/>
      <w:bookmarkEnd w:id="1553"/>
      <w:r>
        <w:rPr>
          <w:rFonts w:cs="Times New Roman"/>
          <w:lang w:val="zh-CN"/>
        </w:rPr>
        <w:t>——</w:t>
      </w:r>
      <w:bookmarkEnd w:id="1554"/>
      <w:r>
        <w:rPr>
          <w:rFonts w:cs="Times New Roman"/>
          <w:spacing w:val="4"/>
          <w:kern w:val="24"/>
          <w:szCs w:val="22"/>
        </w:rPr>
        <w:t>预测评价范围内单位年份表层土壤中某种物质经径流排出的量，</w:t>
      </w:r>
      <w:r>
        <w:rPr>
          <w:rFonts w:cs="Times New Roman"/>
          <w:spacing w:val="4"/>
          <w:kern w:val="24"/>
          <w:szCs w:val="22"/>
        </w:rPr>
        <w:t>g</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ρ</w:t>
      </w:r>
      <w:r>
        <w:rPr>
          <w:rFonts w:cs="Times New Roman"/>
          <w:i/>
          <w:iCs/>
          <w:spacing w:val="4"/>
          <w:kern w:val="24"/>
          <w:szCs w:val="22"/>
          <w:vertAlign w:val="subscript"/>
        </w:rPr>
        <w:t>b</w:t>
      </w:r>
      <w:r>
        <w:rPr>
          <w:rFonts w:cs="Times New Roman"/>
          <w:lang w:val="zh-CN"/>
        </w:rPr>
        <w:t>——</w:t>
      </w:r>
      <w:r>
        <w:rPr>
          <w:rFonts w:cs="Times New Roman"/>
          <w:spacing w:val="4"/>
          <w:kern w:val="24"/>
          <w:szCs w:val="22"/>
        </w:rPr>
        <w:t>表层土壤容重，</w:t>
      </w:r>
      <w:r>
        <w:rPr>
          <w:rFonts w:cs="Times New Roman"/>
          <w:spacing w:val="4"/>
          <w:kern w:val="24"/>
          <w:szCs w:val="22"/>
        </w:rPr>
        <w:t>kg/m³</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A</w:t>
      </w:r>
      <w:r>
        <w:rPr>
          <w:rFonts w:cs="Times New Roman"/>
          <w:lang w:val="zh-CN"/>
        </w:rPr>
        <w:t>——</w:t>
      </w:r>
      <w:r>
        <w:rPr>
          <w:rFonts w:cs="Times New Roman"/>
          <w:spacing w:val="4"/>
          <w:kern w:val="24"/>
          <w:szCs w:val="22"/>
        </w:rPr>
        <w:t>预测评价范围，</w:t>
      </w:r>
      <w:r>
        <w:rPr>
          <w:rFonts w:cs="Times New Roman"/>
          <w:spacing w:val="4"/>
          <w:kern w:val="24"/>
          <w:szCs w:val="22"/>
        </w:rPr>
        <w:t>m</w:t>
      </w:r>
      <w:r>
        <w:rPr>
          <w:rFonts w:cs="Times New Roman"/>
          <w:spacing w:val="4"/>
          <w:kern w:val="24"/>
          <w:szCs w:val="22"/>
          <w:vertAlign w:val="superscript"/>
        </w:rPr>
        <w:t>2</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D</w:t>
      </w:r>
      <w:r>
        <w:rPr>
          <w:rFonts w:cs="Times New Roman"/>
          <w:lang w:val="zh-CN"/>
        </w:rPr>
        <w:t>——</w:t>
      </w:r>
      <w:r>
        <w:rPr>
          <w:rFonts w:cs="Times New Roman"/>
          <w:spacing w:val="4"/>
          <w:kern w:val="24"/>
          <w:szCs w:val="22"/>
        </w:rPr>
        <w:t>表层土壤深度，一般取</w:t>
      </w:r>
      <w:r>
        <w:rPr>
          <w:rFonts w:cs="Times New Roman"/>
          <w:spacing w:val="4"/>
          <w:kern w:val="24"/>
          <w:szCs w:val="22"/>
        </w:rPr>
        <w:t>0.2m</w:t>
      </w:r>
      <w:r>
        <w:rPr>
          <w:rFonts w:cs="Times New Roman"/>
          <w:spacing w:val="4"/>
          <w:kern w:val="24"/>
          <w:szCs w:val="22"/>
        </w:rPr>
        <w:t>，可根据实际情况适当调整；</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n</w:t>
      </w:r>
      <w:r>
        <w:rPr>
          <w:rFonts w:cs="Times New Roman"/>
          <w:lang w:val="zh-CN"/>
        </w:rPr>
        <w:t>——</w:t>
      </w:r>
      <w:r>
        <w:rPr>
          <w:rFonts w:cs="Times New Roman"/>
          <w:spacing w:val="4"/>
          <w:kern w:val="24"/>
          <w:szCs w:val="22"/>
        </w:rPr>
        <w:t>持续年份，</w:t>
      </w:r>
      <w:r>
        <w:rPr>
          <w:rFonts w:cs="Times New Roman"/>
          <w:spacing w:val="4"/>
          <w:kern w:val="24"/>
          <w:szCs w:val="22"/>
        </w:rPr>
        <w:t>a</w:t>
      </w:r>
      <w:r>
        <w:rPr>
          <w:rFonts w:cs="Times New Roman"/>
          <w:spacing w:val="4"/>
          <w:kern w:val="24"/>
          <w:szCs w:val="22"/>
        </w:rPr>
        <w:t>。</w:t>
      </w:r>
    </w:p>
    <w:p w:rsidR="00C645C9" w:rsidRDefault="00F955D9" w:rsidP="005718BB">
      <w:pPr>
        <w:widowControl w:val="0"/>
        <w:adjustRightInd w:val="0"/>
        <w:snapToGrid w:val="0"/>
        <w:spacing w:line="360" w:lineRule="auto"/>
        <w:ind w:firstLineChars="200" w:firstLine="480"/>
        <w:jc w:val="both"/>
        <w:rPr>
          <w:rFonts w:cs="Times New Roman"/>
          <w:spacing w:val="4"/>
          <w:kern w:val="24"/>
          <w:szCs w:val="22"/>
        </w:rPr>
      </w:pPr>
      <w:r>
        <w:rPr>
          <w:rFonts w:cs="Times New Roman"/>
          <w:spacing w:val="4"/>
          <w:kern w:val="24"/>
          <w:szCs w:val="22"/>
        </w:rPr>
        <w:fldChar w:fldCharType="begin"/>
      </w:r>
      <w:r>
        <w:rPr>
          <w:rFonts w:cs="Times New Roman"/>
          <w:spacing w:val="4"/>
          <w:kern w:val="24"/>
          <w:szCs w:val="22"/>
        </w:rPr>
        <w:instrText xml:space="preserve"> = 2 \* GB3 \* MERGEFORMAT </w:instrText>
      </w:r>
      <w:r>
        <w:rPr>
          <w:rFonts w:cs="Times New Roman"/>
          <w:spacing w:val="4"/>
          <w:kern w:val="24"/>
          <w:szCs w:val="22"/>
        </w:rPr>
        <w:fldChar w:fldCharType="separate"/>
      </w:r>
      <w:r>
        <w:t>②</w:t>
      </w:r>
      <w:r>
        <w:rPr>
          <w:rFonts w:cs="Times New Roman"/>
          <w:spacing w:val="4"/>
          <w:kern w:val="24"/>
          <w:szCs w:val="22"/>
        </w:rPr>
        <w:fldChar w:fldCharType="end"/>
      </w:r>
      <w:r>
        <w:rPr>
          <w:rFonts w:cs="Times New Roman"/>
          <w:spacing w:val="4"/>
          <w:kern w:val="24"/>
          <w:szCs w:val="22"/>
        </w:rPr>
        <w:t>单位质量土壤中某种物质的预测值</w:t>
      </w:r>
    </w:p>
    <w:p w:rsidR="00C645C9" w:rsidRDefault="00F955D9">
      <w:pPr>
        <w:widowControl w:val="0"/>
        <w:adjustRightInd w:val="0"/>
        <w:snapToGrid w:val="0"/>
        <w:spacing w:line="360" w:lineRule="auto"/>
        <w:ind w:firstLineChars="400" w:firstLine="992"/>
        <w:jc w:val="center"/>
        <w:rPr>
          <w:rFonts w:cs="Times New Roman"/>
          <w:spacing w:val="4"/>
          <w:kern w:val="24"/>
          <w:szCs w:val="22"/>
        </w:rPr>
      </w:pPr>
      <w:r>
        <w:rPr>
          <w:rFonts w:cs="Times New Roman"/>
          <w:i/>
          <w:iCs/>
          <w:spacing w:val="4"/>
          <w:kern w:val="24"/>
          <w:szCs w:val="22"/>
        </w:rPr>
        <w:t>S</w:t>
      </w:r>
      <w:r>
        <w:rPr>
          <w:rFonts w:cs="Times New Roman"/>
          <w:spacing w:val="4"/>
          <w:kern w:val="24"/>
          <w:szCs w:val="22"/>
        </w:rPr>
        <w:t>=</w:t>
      </w:r>
      <w:r>
        <w:rPr>
          <w:rFonts w:cs="Times New Roman"/>
          <w:i/>
          <w:iCs/>
          <w:spacing w:val="4"/>
          <w:kern w:val="24"/>
          <w:szCs w:val="22"/>
        </w:rPr>
        <w:t>S</w:t>
      </w:r>
      <w:r>
        <w:rPr>
          <w:rFonts w:cs="Times New Roman"/>
          <w:spacing w:val="4"/>
          <w:kern w:val="24"/>
          <w:szCs w:val="22"/>
          <w:vertAlign w:val="subscript"/>
        </w:rPr>
        <w:t>b</w:t>
      </w:r>
      <w:r>
        <w:rPr>
          <w:rFonts w:cs="Times New Roman"/>
          <w:spacing w:val="4"/>
          <w:kern w:val="24"/>
          <w:szCs w:val="22"/>
        </w:rPr>
        <w:t>+△</w:t>
      </w:r>
      <w:r>
        <w:rPr>
          <w:rFonts w:cs="Times New Roman"/>
          <w:i/>
          <w:iCs/>
          <w:spacing w:val="4"/>
          <w:kern w:val="24"/>
          <w:szCs w:val="22"/>
        </w:rPr>
        <w:t>S</w:t>
      </w:r>
    </w:p>
    <w:p w:rsidR="00C645C9" w:rsidRDefault="00F955D9">
      <w:pPr>
        <w:widowControl w:val="0"/>
        <w:adjustRightInd w:val="0"/>
        <w:snapToGrid w:val="0"/>
        <w:spacing w:line="360" w:lineRule="auto"/>
        <w:ind w:firstLineChars="200" w:firstLine="496"/>
        <w:jc w:val="both"/>
        <w:rPr>
          <w:rFonts w:cs="Times New Roman"/>
          <w:spacing w:val="4"/>
          <w:kern w:val="24"/>
          <w:szCs w:val="22"/>
        </w:rPr>
      </w:pPr>
      <w:r>
        <w:rPr>
          <w:rFonts w:cs="Times New Roman" w:hint="eastAsia"/>
          <w:spacing w:val="4"/>
          <w:kern w:val="24"/>
          <w:szCs w:val="22"/>
        </w:rPr>
        <w:t>式中：</w:t>
      </w:r>
      <w:r>
        <w:rPr>
          <w:rFonts w:cs="Times New Roman"/>
          <w:i/>
          <w:iCs/>
          <w:spacing w:val="4"/>
          <w:kern w:val="24"/>
          <w:szCs w:val="22"/>
        </w:rPr>
        <w:t>S</w:t>
      </w:r>
      <w:r>
        <w:rPr>
          <w:rFonts w:cs="Times New Roman"/>
          <w:spacing w:val="4"/>
          <w:kern w:val="24"/>
          <w:szCs w:val="22"/>
          <w:vertAlign w:val="subscript"/>
        </w:rPr>
        <w:t>b</w:t>
      </w:r>
      <w:r w:rsidRPr="005718BB">
        <w:rPr>
          <w:rFonts w:cs="Times New Roman"/>
        </w:rPr>
        <w:t>——</w:t>
      </w:r>
      <w:r>
        <w:rPr>
          <w:rFonts w:cs="Times New Roman"/>
          <w:spacing w:val="4"/>
          <w:kern w:val="24"/>
          <w:szCs w:val="22"/>
        </w:rPr>
        <w:t>单位质量土壤中某种物质的现状值，</w:t>
      </w:r>
      <w:r>
        <w:rPr>
          <w:rFonts w:cs="Times New Roman"/>
          <w:spacing w:val="4"/>
          <w:kern w:val="24"/>
          <w:szCs w:val="22"/>
        </w:rPr>
        <w:t>g/kg</w:t>
      </w:r>
      <w:r>
        <w:rPr>
          <w:rFonts w:cs="Times New Roman"/>
          <w:spacing w:val="4"/>
          <w:kern w:val="24"/>
          <w:szCs w:val="22"/>
        </w:rPr>
        <w:t>；</w:t>
      </w:r>
    </w:p>
    <w:p w:rsidR="00C645C9" w:rsidRDefault="00F955D9">
      <w:pPr>
        <w:widowControl w:val="0"/>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S</w:t>
      </w:r>
      <w:r>
        <w:rPr>
          <w:rFonts w:cs="Times New Roman"/>
          <w:lang w:val="zh-CN"/>
        </w:rPr>
        <w:t>——</w:t>
      </w:r>
      <w:r>
        <w:rPr>
          <w:rFonts w:cs="Times New Roman"/>
          <w:spacing w:val="4"/>
          <w:kern w:val="24"/>
          <w:szCs w:val="22"/>
        </w:rPr>
        <w:t>单位质量土壤中某种物质的预测值，</w:t>
      </w:r>
      <w:r>
        <w:rPr>
          <w:rFonts w:cs="Times New Roman"/>
          <w:spacing w:val="4"/>
          <w:kern w:val="24"/>
          <w:szCs w:val="22"/>
        </w:rPr>
        <w:t>g/kg</w:t>
      </w:r>
      <w:r>
        <w:rPr>
          <w:rFonts w:cs="Times New Roman"/>
          <w:spacing w:val="4"/>
          <w:kern w:val="24"/>
          <w:szCs w:val="22"/>
        </w:rPr>
        <w:t>。</w:t>
      </w:r>
    </w:p>
    <w:p w:rsidR="00C645C9" w:rsidRDefault="00F955D9">
      <w:pPr>
        <w:widowControl w:val="0"/>
        <w:adjustRightInd w:val="0"/>
        <w:snapToGrid w:val="0"/>
        <w:spacing w:line="360" w:lineRule="auto"/>
        <w:ind w:firstLineChars="200" w:firstLine="496"/>
        <w:jc w:val="both"/>
        <w:rPr>
          <w:rFonts w:cs="Times New Roman"/>
          <w:spacing w:val="4"/>
          <w:kern w:val="24"/>
          <w:szCs w:val="22"/>
        </w:rPr>
      </w:pPr>
      <w:r>
        <w:rPr>
          <w:rFonts w:cs="Times New Roman" w:hint="eastAsia"/>
          <w:spacing w:val="4"/>
          <w:kern w:val="24"/>
          <w:szCs w:val="22"/>
        </w:rPr>
        <w:t>本工程</w:t>
      </w:r>
      <w:r>
        <w:rPr>
          <w:rFonts w:cs="Times New Roman"/>
          <w:spacing w:val="4"/>
          <w:kern w:val="24"/>
          <w:szCs w:val="22"/>
        </w:rPr>
        <w:t>所处区域气候干燥，年降雨量较小，</w:t>
      </w:r>
      <w:r>
        <w:rPr>
          <w:rFonts w:cs="Times New Roman" w:hint="eastAsia"/>
          <w:spacing w:val="4"/>
          <w:kern w:val="24"/>
          <w:szCs w:val="22"/>
        </w:rPr>
        <w:t>本工程</w:t>
      </w:r>
      <w:r>
        <w:rPr>
          <w:rFonts w:cs="Times New Roman"/>
          <w:spacing w:val="4"/>
          <w:kern w:val="24"/>
          <w:szCs w:val="22"/>
        </w:rPr>
        <w:t>考虑最不利情况，</w:t>
      </w:r>
      <w:r>
        <w:rPr>
          <w:rFonts w:cs="Times New Roman"/>
          <w:i/>
          <w:iCs/>
          <w:spacing w:val="4"/>
          <w:kern w:val="24"/>
          <w:szCs w:val="22"/>
        </w:rPr>
        <w:t>L</w:t>
      </w:r>
      <w:r>
        <w:rPr>
          <w:rFonts w:cs="Times New Roman"/>
          <w:i/>
          <w:iCs/>
          <w:spacing w:val="4"/>
          <w:kern w:val="24"/>
          <w:szCs w:val="22"/>
          <w:vertAlign w:val="subscript"/>
        </w:rPr>
        <w:t>s</w:t>
      </w:r>
      <w:r>
        <w:rPr>
          <w:rFonts w:cs="Times New Roman"/>
          <w:spacing w:val="4"/>
          <w:kern w:val="24"/>
          <w:szCs w:val="22"/>
        </w:rPr>
        <w:t>和</w:t>
      </w:r>
      <w:r>
        <w:rPr>
          <w:rFonts w:cs="Times New Roman"/>
          <w:i/>
          <w:iCs/>
          <w:spacing w:val="4"/>
          <w:kern w:val="24"/>
          <w:szCs w:val="22"/>
        </w:rPr>
        <w:t>R</w:t>
      </w:r>
      <w:r>
        <w:rPr>
          <w:rFonts w:cs="Times New Roman"/>
          <w:i/>
          <w:iCs/>
          <w:spacing w:val="4"/>
          <w:kern w:val="24"/>
          <w:szCs w:val="22"/>
          <w:vertAlign w:val="subscript"/>
        </w:rPr>
        <w:t>s</w:t>
      </w:r>
      <w:r>
        <w:rPr>
          <w:rFonts w:cs="Times New Roman"/>
          <w:spacing w:val="4"/>
          <w:kern w:val="24"/>
          <w:szCs w:val="22"/>
        </w:rPr>
        <w:t>取值均为</w:t>
      </w:r>
      <w:r>
        <w:rPr>
          <w:rFonts w:cs="Times New Roman"/>
          <w:spacing w:val="4"/>
          <w:kern w:val="24"/>
          <w:szCs w:val="22"/>
        </w:rPr>
        <w:t>0</w:t>
      </w:r>
      <w:r>
        <w:rPr>
          <w:rFonts w:cs="Times New Roman"/>
          <w:spacing w:val="4"/>
          <w:kern w:val="24"/>
          <w:szCs w:val="22"/>
        </w:rPr>
        <w:t>，预测评价范围为以泄漏点为中心</w:t>
      </w:r>
      <w:r>
        <w:rPr>
          <w:rFonts w:cs="Times New Roman"/>
          <w:spacing w:val="4"/>
          <w:kern w:val="24"/>
          <w:szCs w:val="22"/>
        </w:rPr>
        <w:t>20m×20m</w:t>
      </w:r>
      <w:r>
        <w:rPr>
          <w:rFonts w:cs="Times New Roman"/>
          <w:spacing w:val="4"/>
          <w:kern w:val="24"/>
          <w:szCs w:val="22"/>
        </w:rPr>
        <w:t>范围，表层土壤容重根据区域土壤理化特性调查取值为</w:t>
      </w:r>
      <w:r>
        <w:rPr>
          <w:rFonts w:cs="Times New Roman" w:hint="eastAsia"/>
          <w:spacing w:val="4"/>
          <w:kern w:val="24"/>
          <w:szCs w:val="22"/>
        </w:rPr>
        <w:t>1.5</w:t>
      </w:r>
      <w:r>
        <w:rPr>
          <w:rFonts w:cs="Times New Roman"/>
          <w:spacing w:val="4"/>
          <w:kern w:val="24"/>
          <w:szCs w:val="22"/>
        </w:rPr>
        <w:t>×10</w:t>
      </w:r>
      <w:r>
        <w:rPr>
          <w:rFonts w:cs="Times New Roman"/>
          <w:spacing w:val="4"/>
          <w:kern w:val="24"/>
          <w:szCs w:val="22"/>
          <w:vertAlign w:val="superscript"/>
        </w:rPr>
        <w:t>3</w:t>
      </w:r>
      <w:r>
        <w:rPr>
          <w:rFonts w:cs="Times New Roman"/>
          <w:spacing w:val="4"/>
          <w:kern w:val="24"/>
          <w:szCs w:val="22"/>
        </w:rPr>
        <w:t>kg/m</w:t>
      </w:r>
      <w:r>
        <w:rPr>
          <w:rFonts w:cs="Times New Roman"/>
          <w:spacing w:val="4"/>
          <w:kern w:val="24"/>
          <w:szCs w:val="22"/>
          <w:vertAlign w:val="superscript"/>
        </w:rPr>
        <w:t>3</w:t>
      </w:r>
      <w:r>
        <w:rPr>
          <w:rFonts w:cs="Times New Roman"/>
          <w:spacing w:val="4"/>
          <w:kern w:val="24"/>
          <w:szCs w:val="22"/>
        </w:rPr>
        <w:t>，根据区域土壤盐分监测结果，单位质量土壤中盐分含量的现状值为</w:t>
      </w:r>
      <w:r>
        <w:rPr>
          <w:rFonts w:cs="Times New Roman" w:hint="eastAsia"/>
          <w:spacing w:val="4"/>
          <w:kern w:val="24"/>
          <w:szCs w:val="22"/>
        </w:rPr>
        <w:t>8.1</w:t>
      </w:r>
      <w:r>
        <w:rPr>
          <w:rFonts w:cs="Times New Roman"/>
          <w:spacing w:val="4"/>
          <w:kern w:val="24"/>
          <w:szCs w:val="22"/>
        </w:rPr>
        <w:t>g/kg</w:t>
      </w:r>
      <w:r>
        <w:rPr>
          <w:rFonts w:cs="Times New Roman"/>
          <w:spacing w:val="4"/>
          <w:kern w:val="24"/>
          <w:szCs w:val="22"/>
        </w:rPr>
        <w:t>。预测年份为</w:t>
      </w:r>
      <w:r>
        <w:rPr>
          <w:rFonts w:cs="Times New Roman"/>
          <w:spacing w:val="4"/>
          <w:kern w:val="24"/>
          <w:szCs w:val="22"/>
        </w:rPr>
        <w:t>0.027a</w:t>
      </w:r>
      <w:r>
        <w:rPr>
          <w:rFonts w:cs="Times New Roman"/>
          <w:spacing w:val="4"/>
          <w:kern w:val="24"/>
          <w:szCs w:val="22"/>
        </w:rPr>
        <w:t>（</w:t>
      </w:r>
      <w:r>
        <w:rPr>
          <w:rFonts w:cs="Times New Roman"/>
          <w:spacing w:val="4"/>
          <w:kern w:val="24"/>
          <w:szCs w:val="22"/>
        </w:rPr>
        <w:t>10</w:t>
      </w:r>
      <w:r>
        <w:rPr>
          <w:rFonts w:cs="Times New Roman"/>
          <w:spacing w:val="4"/>
          <w:kern w:val="24"/>
          <w:szCs w:val="22"/>
        </w:rPr>
        <w:t>天</w:t>
      </w:r>
      <w:r>
        <w:rPr>
          <w:rFonts w:cs="Times New Roman"/>
          <w:spacing w:val="4"/>
          <w:kern w:val="24"/>
          <w:szCs w:val="22"/>
        </w:rPr>
        <w:t>）</w:t>
      </w:r>
      <w:r>
        <w:rPr>
          <w:rFonts w:cs="Times New Roman"/>
          <w:spacing w:val="4"/>
          <w:kern w:val="24"/>
          <w:szCs w:val="22"/>
        </w:rPr>
        <w:t>。</w:t>
      </w:r>
    </w:p>
    <w:p w:rsidR="00C645C9" w:rsidRDefault="00F955D9">
      <w:pPr>
        <w:widowControl w:val="0"/>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lastRenderedPageBreak/>
        <w:t>根据上述计算结果，在</w:t>
      </w:r>
      <w:r>
        <w:rPr>
          <w:rFonts w:cs="Times New Roman"/>
          <w:spacing w:val="4"/>
          <w:kern w:val="24"/>
          <w:szCs w:val="22"/>
        </w:rPr>
        <w:t>10</w:t>
      </w:r>
      <w:r>
        <w:rPr>
          <w:rFonts w:cs="Times New Roman"/>
          <w:spacing w:val="4"/>
          <w:kern w:val="24"/>
          <w:szCs w:val="22"/>
        </w:rPr>
        <w:t>天内，单位质量土壤中盐分含量的增量为</w:t>
      </w:r>
      <w:r>
        <w:rPr>
          <w:kern w:val="2"/>
          <w:szCs w:val="32"/>
        </w:rPr>
        <w:t>0.</w:t>
      </w:r>
      <w:r>
        <w:rPr>
          <w:rFonts w:hint="eastAsia"/>
          <w:kern w:val="2"/>
          <w:szCs w:val="32"/>
        </w:rPr>
        <w:t>0025</w:t>
      </w:r>
      <w:r>
        <w:rPr>
          <w:kern w:val="2"/>
          <w:szCs w:val="32"/>
        </w:rPr>
        <w:t>g/kg</w:t>
      </w:r>
      <w:r>
        <w:rPr>
          <w:kern w:val="2"/>
          <w:szCs w:val="32"/>
        </w:rPr>
        <w:t>，叠加现状值后的预测值为</w:t>
      </w:r>
      <w:r>
        <w:rPr>
          <w:rFonts w:hint="eastAsia"/>
          <w:kern w:val="2"/>
          <w:szCs w:val="32"/>
        </w:rPr>
        <w:t>15.7025</w:t>
      </w:r>
      <w:r>
        <w:rPr>
          <w:kern w:val="2"/>
          <w:szCs w:val="32"/>
        </w:rPr>
        <w:t>g/kg</w:t>
      </w:r>
      <w:r>
        <w:rPr>
          <w:rFonts w:cs="Times New Roman"/>
          <w:spacing w:val="4"/>
          <w:kern w:val="24"/>
          <w:szCs w:val="22"/>
        </w:rPr>
        <w:t>。</w:t>
      </w:r>
    </w:p>
    <w:p w:rsidR="00C645C9" w:rsidRDefault="00F955D9">
      <w:pPr>
        <w:adjustRightInd w:val="0"/>
        <w:snapToGrid w:val="0"/>
        <w:spacing w:line="360" w:lineRule="auto"/>
        <w:ind w:firstLine="496"/>
        <w:rPr>
          <w:rFonts w:ascii="宋体" w:hAnsi="宋体"/>
        </w:rPr>
      </w:pPr>
      <w:r>
        <w:rPr>
          <w:rFonts w:cs="Times New Roman"/>
          <w:szCs w:val="22"/>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r>
        <w:rPr>
          <w:rFonts w:cs="Times New Roman" w:hint="eastAsia"/>
          <w:szCs w:val="22"/>
        </w:rPr>
        <w:t>。</w:t>
      </w:r>
    </w:p>
    <w:p w:rsidR="00C645C9" w:rsidRDefault="00F955D9">
      <w:pPr>
        <w:widowControl w:val="0"/>
        <w:spacing w:line="360" w:lineRule="auto"/>
        <w:ind w:firstLineChars="200" w:firstLine="480"/>
        <w:rPr>
          <w:rFonts w:cs="Times New Roman"/>
        </w:rPr>
      </w:pPr>
      <w:r>
        <w:rPr>
          <w:rFonts w:cs="Times New Roman"/>
        </w:rPr>
        <w:t>（</w:t>
      </w:r>
      <w:r>
        <w:rPr>
          <w:rFonts w:cs="Times New Roman"/>
        </w:rPr>
        <w:t>2</w:t>
      </w:r>
      <w:r>
        <w:rPr>
          <w:rFonts w:cs="Times New Roman"/>
        </w:rPr>
        <w:t>）污染影响型</w:t>
      </w:r>
    </w:p>
    <w:p w:rsidR="00C645C9" w:rsidRDefault="00F955D9">
      <w:pPr>
        <w:spacing w:line="360" w:lineRule="auto"/>
        <w:ind w:firstLineChars="200" w:firstLine="496"/>
        <w:jc w:val="both"/>
        <w:rPr>
          <w:rFonts w:cs="Times New Roman"/>
          <w:spacing w:val="4"/>
          <w:kern w:val="24"/>
          <w:szCs w:val="22"/>
        </w:rPr>
      </w:pPr>
      <w:r>
        <w:rPr>
          <w:rFonts w:cs="Times New Roman"/>
          <w:spacing w:val="4"/>
          <w:kern w:val="24"/>
          <w:szCs w:val="22"/>
        </w:rPr>
        <w:t>考虑事故状态下，</w:t>
      </w:r>
      <w:r>
        <w:rPr>
          <w:rFonts w:asciiTheme="majorHAnsi" w:hAnsiTheme="majorHAnsi"/>
          <w:kern w:val="2"/>
          <w:szCs w:val="32"/>
        </w:rPr>
        <w:t>影响途径主要为运营期</w:t>
      </w:r>
      <w:r>
        <w:rPr>
          <w:rFonts w:asciiTheme="majorHAnsi" w:hAnsiTheme="majorHAnsi" w:hint="eastAsia"/>
          <w:kern w:val="2"/>
          <w:szCs w:val="32"/>
        </w:rPr>
        <w:t>井场</w:t>
      </w:r>
      <w:r>
        <w:rPr>
          <w:rFonts w:asciiTheme="majorHAnsi" w:hAnsiTheme="majorHAnsi"/>
          <w:kern w:val="2"/>
          <w:szCs w:val="32"/>
        </w:rPr>
        <w:t>污染物以垂直入渗方式进入土壤环境</w:t>
      </w:r>
      <w:r>
        <w:rPr>
          <w:rFonts w:asciiTheme="majorHAnsi" w:hAnsiTheme="majorHAnsi" w:hint="eastAsia"/>
          <w:kern w:val="2"/>
          <w:szCs w:val="32"/>
        </w:rPr>
        <w:t>。</w:t>
      </w:r>
      <w:r>
        <w:rPr>
          <w:rFonts w:cs="Times New Roman"/>
          <w:spacing w:val="4"/>
          <w:kern w:val="24"/>
          <w:szCs w:val="22"/>
        </w:rPr>
        <w:t>本次预测采用</w:t>
      </w:r>
      <w:r>
        <w:rPr>
          <w:rFonts w:cs="Times New Roman"/>
          <w:kern w:val="2"/>
          <w:szCs w:val="32"/>
          <w:lang w:bidi="ar"/>
        </w:rPr>
        <w:t>《环境影响评价技术导则</w:t>
      </w:r>
      <w:r>
        <w:rPr>
          <w:rFonts w:cs="Times New Roman"/>
          <w:kern w:val="2"/>
          <w:szCs w:val="32"/>
          <w:lang w:bidi="ar"/>
        </w:rPr>
        <w:t xml:space="preserve"> </w:t>
      </w:r>
      <w:r>
        <w:rPr>
          <w:rFonts w:cs="Times New Roman"/>
          <w:kern w:val="2"/>
          <w:szCs w:val="32"/>
          <w:lang w:bidi="ar"/>
        </w:rPr>
        <w:t>土壤环境</w:t>
      </w:r>
      <w:r>
        <w:rPr>
          <w:rFonts w:cs="Times New Roman"/>
          <w:kern w:val="2"/>
          <w:szCs w:val="32"/>
          <w:lang w:bidi="ar"/>
        </w:rPr>
        <w:t>（</w:t>
      </w:r>
      <w:r>
        <w:rPr>
          <w:rFonts w:cs="Times New Roman"/>
          <w:kern w:val="2"/>
          <w:szCs w:val="32"/>
          <w:lang w:bidi="ar"/>
        </w:rPr>
        <w:t>试行</w:t>
      </w:r>
      <w:r>
        <w:rPr>
          <w:rFonts w:cs="Times New Roman"/>
          <w:kern w:val="2"/>
          <w:szCs w:val="32"/>
          <w:lang w:bidi="ar"/>
        </w:rPr>
        <w:t>）</w:t>
      </w:r>
      <w:r>
        <w:rPr>
          <w:rFonts w:cs="Times New Roman"/>
          <w:kern w:val="2"/>
          <w:szCs w:val="32"/>
          <w:lang w:bidi="ar"/>
        </w:rPr>
        <w:t>》</w:t>
      </w:r>
      <w:r>
        <w:rPr>
          <w:rFonts w:cs="Times New Roman"/>
          <w:kern w:val="2"/>
          <w:szCs w:val="32"/>
          <w:lang w:bidi="ar"/>
        </w:rPr>
        <w:t>（</w:t>
      </w:r>
      <w:r>
        <w:rPr>
          <w:rFonts w:cs="Times New Roman"/>
          <w:kern w:val="2"/>
          <w:szCs w:val="32"/>
          <w:lang w:bidi="ar"/>
        </w:rPr>
        <w:t>HJ964-2018</w:t>
      </w:r>
      <w:r>
        <w:rPr>
          <w:rFonts w:cs="Times New Roman"/>
          <w:kern w:val="2"/>
          <w:szCs w:val="32"/>
          <w:lang w:bidi="ar"/>
        </w:rPr>
        <w:t>）</w:t>
      </w:r>
      <w:r>
        <w:rPr>
          <w:rFonts w:cs="Times New Roman"/>
        </w:rPr>
        <w:t>附录</w:t>
      </w:r>
      <w:r>
        <w:rPr>
          <w:rFonts w:cs="Times New Roman"/>
        </w:rPr>
        <w:t>E</w:t>
      </w:r>
      <w:r>
        <w:rPr>
          <w:rFonts w:cs="Times New Roman"/>
          <w:spacing w:val="4"/>
          <w:kern w:val="24"/>
          <w:szCs w:val="22"/>
        </w:rPr>
        <w:t>.</w:t>
      </w:r>
      <w:r>
        <w:rPr>
          <w:rFonts w:cs="Times New Roman" w:hint="eastAsia"/>
          <w:spacing w:val="4"/>
          <w:kern w:val="24"/>
          <w:szCs w:val="22"/>
        </w:rPr>
        <w:t>2.2</w:t>
      </w:r>
      <w:r>
        <w:rPr>
          <w:rFonts w:cs="Times New Roman"/>
          <w:spacing w:val="4"/>
          <w:kern w:val="24"/>
          <w:szCs w:val="22"/>
        </w:rPr>
        <w:t>中预测方法，预测公式如下：</w:t>
      </w:r>
    </w:p>
    <w:p w:rsidR="00C645C9" w:rsidRDefault="00F955D9" w:rsidP="005718BB">
      <w:pPr>
        <w:spacing w:line="360" w:lineRule="auto"/>
        <w:ind w:firstLineChars="200" w:firstLine="480"/>
        <w:jc w:val="both"/>
        <w:rPr>
          <w:rFonts w:asciiTheme="majorHAnsi" w:hAnsiTheme="majorHAnsi"/>
          <w:kern w:val="2"/>
          <w:szCs w:val="32"/>
        </w:rPr>
      </w:pPr>
      <w:r>
        <w:rPr>
          <w:rFonts w:cs="Times New Roman"/>
          <w:spacing w:val="4"/>
          <w:kern w:val="24"/>
          <w:szCs w:val="22"/>
        </w:rPr>
        <w:fldChar w:fldCharType="begin"/>
      </w:r>
      <w:r>
        <w:rPr>
          <w:rFonts w:cs="Times New Roman"/>
          <w:spacing w:val="4"/>
          <w:kern w:val="24"/>
          <w:szCs w:val="22"/>
        </w:rPr>
        <w:instrText xml:space="preserve"> = 1 \* GB3 \* MERGEFORMAT </w:instrText>
      </w:r>
      <w:r>
        <w:rPr>
          <w:rFonts w:cs="Times New Roman"/>
          <w:spacing w:val="4"/>
          <w:kern w:val="24"/>
          <w:szCs w:val="22"/>
        </w:rPr>
        <w:fldChar w:fldCharType="separate"/>
      </w:r>
      <w:r>
        <w:t>①</w:t>
      </w:r>
      <w:r>
        <w:rPr>
          <w:rFonts w:cs="Times New Roman"/>
          <w:spacing w:val="4"/>
          <w:kern w:val="24"/>
          <w:szCs w:val="22"/>
        </w:rPr>
        <w:fldChar w:fldCharType="end"/>
      </w:r>
      <w:r>
        <w:rPr>
          <w:rFonts w:asciiTheme="majorHAnsi" w:hAnsiTheme="majorHAnsi"/>
          <w:kern w:val="2"/>
          <w:szCs w:val="32"/>
        </w:rPr>
        <w:t>一维非饱和溶质垂向运移控制方程：</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noProof/>
          <w:kern w:val="2"/>
          <w:szCs w:val="32"/>
        </w:rPr>
        <w:drawing>
          <wp:anchor distT="0" distB="0" distL="114300" distR="114300" simplePos="0" relativeHeight="251667968" behindDoc="0" locked="0" layoutInCell="1" allowOverlap="1">
            <wp:simplePos x="0" y="0"/>
            <wp:positionH relativeFrom="column">
              <wp:posOffset>1819275</wp:posOffset>
            </wp:positionH>
            <wp:positionV relativeFrom="paragraph">
              <wp:posOffset>76200</wp:posOffset>
            </wp:positionV>
            <wp:extent cx="1990725" cy="447675"/>
            <wp:effectExtent l="0" t="0" r="9525" b="9525"/>
            <wp:wrapNone/>
            <wp:docPr id="247" name="图片 38" descr="03WLWFV$9X]0TJX9QGWWS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8" descr="03WLWFV$9X]0TJX9QGWWSJU"/>
                    <pic:cNvPicPr>
                      <a:picLocks noChangeAspect="1"/>
                    </pic:cNvPicPr>
                  </pic:nvPicPr>
                  <pic:blipFill>
                    <a:blip r:embed="rId43"/>
                    <a:stretch>
                      <a:fillRect/>
                    </a:stretch>
                  </pic:blipFill>
                  <pic:spPr>
                    <a:xfrm>
                      <a:off x="0" y="0"/>
                      <a:ext cx="1990725" cy="447675"/>
                    </a:xfrm>
                    <a:prstGeom prst="rect">
                      <a:avLst/>
                    </a:prstGeom>
                    <a:noFill/>
                    <a:ln>
                      <a:noFill/>
                    </a:ln>
                  </pic:spPr>
                </pic:pic>
              </a:graphicData>
            </a:graphic>
          </wp:anchor>
        </w:drawing>
      </w:r>
    </w:p>
    <w:p w:rsidR="00C645C9" w:rsidRDefault="00C645C9">
      <w:pPr>
        <w:spacing w:line="360" w:lineRule="auto"/>
        <w:ind w:firstLineChars="200" w:firstLine="480"/>
        <w:jc w:val="both"/>
        <w:rPr>
          <w:rFonts w:asciiTheme="majorHAnsi" w:hAnsiTheme="majorHAnsi"/>
          <w:kern w:val="2"/>
          <w:szCs w:val="32"/>
        </w:rPr>
      </w:pPr>
    </w:p>
    <w:p w:rsidR="00C645C9" w:rsidRDefault="00F955D9">
      <w:pPr>
        <w:spacing w:line="360" w:lineRule="auto"/>
        <w:ind w:firstLineChars="200" w:firstLine="480"/>
        <w:jc w:val="both"/>
        <w:rPr>
          <w:rFonts w:cs="Times New Roman"/>
          <w:kern w:val="2"/>
          <w:szCs w:val="32"/>
        </w:rPr>
      </w:pPr>
      <w:r>
        <w:rPr>
          <w:rFonts w:cs="Times New Roman"/>
          <w:kern w:val="2"/>
          <w:szCs w:val="32"/>
        </w:rPr>
        <w:t>式中：</w:t>
      </w:r>
      <w:r>
        <w:rPr>
          <w:rFonts w:cs="Times New Roman"/>
          <w:i/>
          <w:iCs/>
          <w:kern w:val="2"/>
          <w:szCs w:val="32"/>
        </w:rPr>
        <w:t>c</w:t>
      </w:r>
      <w:bookmarkStart w:id="1555" w:name="OLE_LINK670"/>
      <w:r>
        <w:rPr>
          <w:rFonts w:cs="Times New Roman"/>
          <w:lang w:val="zh-CN"/>
        </w:rPr>
        <w:t>——</w:t>
      </w:r>
      <w:bookmarkEnd w:id="1555"/>
      <w:r>
        <w:rPr>
          <w:rFonts w:cs="Times New Roman"/>
          <w:kern w:val="2"/>
          <w:szCs w:val="32"/>
        </w:rPr>
        <w:t>污染物介质中的浓度，</w:t>
      </w:r>
      <w:r>
        <w:rPr>
          <w:rFonts w:cs="Times New Roman"/>
          <w:kern w:val="2"/>
          <w:szCs w:val="32"/>
        </w:rPr>
        <w:t>mg/L</w:t>
      </w:r>
      <w:r>
        <w:rPr>
          <w:rFonts w:cs="Times New Roman" w:hint="eastAsia"/>
          <w:kern w:val="2"/>
          <w:szCs w:val="32"/>
        </w:rPr>
        <w:t>；</w:t>
      </w:r>
    </w:p>
    <w:p w:rsidR="00C645C9" w:rsidRDefault="00F955D9">
      <w:pPr>
        <w:spacing w:line="360" w:lineRule="auto"/>
        <w:ind w:firstLineChars="500" w:firstLine="1200"/>
        <w:jc w:val="both"/>
        <w:rPr>
          <w:rFonts w:cs="Times New Roman"/>
          <w:kern w:val="2"/>
          <w:szCs w:val="32"/>
        </w:rPr>
      </w:pPr>
      <w:r>
        <w:rPr>
          <w:rFonts w:cs="Times New Roman"/>
          <w:i/>
          <w:iCs/>
          <w:kern w:val="2"/>
          <w:szCs w:val="32"/>
        </w:rPr>
        <w:t>D</w:t>
      </w:r>
      <w:r>
        <w:rPr>
          <w:rFonts w:cs="Times New Roman"/>
          <w:lang w:val="zh-CN"/>
        </w:rPr>
        <w:t>——</w:t>
      </w:r>
      <w:r>
        <w:rPr>
          <w:rFonts w:cs="Times New Roman"/>
          <w:kern w:val="2"/>
          <w:szCs w:val="32"/>
        </w:rPr>
        <w:t>弥散系数，</w:t>
      </w:r>
      <w:r>
        <w:rPr>
          <w:rFonts w:cs="Times New Roman"/>
          <w:kern w:val="2"/>
          <w:szCs w:val="32"/>
        </w:rPr>
        <w:t>m</w:t>
      </w:r>
      <w:r>
        <w:rPr>
          <w:rFonts w:cs="Times New Roman"/>
          <w:kern w:val="2"/>
          <w:szCs w:val="32"/>
          <w:vertAlign w:val="superscript"/>
        </w:rPr>
        <w:t>2</w:t>
      </w:r>
      <w:r>
        <w:rPr>
          <w:rFonts w:cs="Times New Roman"/>
          <w:kern w:val="2"/>
          <w:szCs w:val="32"/>
        </w:rPr>
        <w:t>/d</w:t>
      </w:r>
      <w:r>
        <w:rPr>
          <w:rFonts w:cs="Times New Roman"/>
          <w:kern w:val="2"/>
          <w:szCs w:val="32"/>
        </w:rPr>
        <w:t>；</w:t>
      </w:r>
    </w:p>
    <w:p w:rsidR="00C645C9" w:rsidRDefault="00F955D9">
      <w:pPr>
        <w:spacing w:line="360" w:lineRule="auto"/>
        <w:ind w:firstLineChars="500" w:firstLine="1200"/>
        <w:jc w:val="both"/>
        <w:rPr>
          <w:rFonts w:cs="Times New Roman"/>
          <w:kern w:val="2"/>
          <w:szCs w:val="32"/>
        </w:rPr>
      </w:pPr>
      <w:r>
        <w:rPr>
          <w:rFonts w:cs="Times New Roman"/>
          <w:i/>
          <w:iCs/>
          <w:kern w:val="2"/>
          <w:szCs w:val="32"/>
        </w:rPr>
        <w:t>q</w:t>
      </w:r>
      <w:r>
        <w:rPr>
          <w:rFonts w:cs="Times New Roman"/>
          <w:lang w:val="zh-CN"/>
        </w:rPr>
        <w:t>——</w:t>
      </w:r>
      <w:r>
        <w:rPr>
          <w:rFonts w:cs="Times New Roman"/>
          <w:kern w:val="2"/>
          <w:szCs w:val="32"/>
        </w:rPr>
        <w:t>渗透速度，</w:t>
      </w:r>
      <w:r>
        <w:rPr>
          <w:rFonts w:cs="Times New Roman"/>
          <w:kern w:val="2"/>
          <w:szCs w:val="32"/>
        </w:rPr>
        <w:t>m/d</w:t>
      </w:r>
      <w:r>
        <w:rPr>
          <w:rFonts w:cs="Times New Roman"/>
          <w:kern w:val="2"/>
          <w:szCs w:val="32"/>
        </w:rPr>
        <w:t>；</w:t>
      </w:r>
    </w:p>
    <w:p w:rsidR="00C645C9" w:rsidRDefault="00F955D9">
      <w:pPr>
        <w:spacing w:line="360" w:lineRule="auto"/>
        <w:ind w:firstLineChars="500" w:firstLine="1200"/>
        <w:jc w:val="both"/>
        <w:rPr>
          <w:rFonts w:cs="Times New Roman"/>
          <w:kern w:val="2"/>
          <w:szCs w:val="32"/>
        </w:rPr>
      </w:pPr>
      <w:r>
        <w:rPr>
          <w:rFonts w:cs="Times New Roman"/>
          <w:i/>
          <w:iCs/>
          <w:kern w:val="2"/>
          <w:szCs w:val="32"/>
        </w:rPr>
        <w:t>z</w:t>
      </w:r>
      <w:r>
        <w:rPr>
          <w:rFonts w:cs="Times New Roman"/>
          <w:lang w:val="zh-CN"/>
        </w:rPr>
        <w:t>——</w:t>
      </w:r>
      <w:r>
        <w:rPr>
          <w:rFonts w:cs="Times New Roman"/>
          <w:kern w:val="2"/>
          <w:szCs w:val="32"/>
        </w:rPr>
        <w:t>沿</w:t>
      </w:r>
      <w:r>
        <w:rPr>
          <w:rFonts w:cs="Times New Roman"/>
          <w:i/>
          <w:iCs/>
          <w:kern w:val="2"/>
          <w:szCs w:val="32"/>
        </w:rPr>
        <w:t>z</w:t>
      </w:r>
      <w:r>
        <w:rPr>
          <w:rFonts w:cs="Times New Roman"/>
          <w:kern w:val="2"/>
          <w:szCs w:val="32"/>
        </w:rPr>
        <w:t>轴的距离，</w:t>
      </w:r>
      <w:r>
        <w:rPr>
          <w:rFonts w:cs="Times New Roman"/>
          <w:kern w:val="2"/>
          <w:szCs w:val="32"/>
        </w:rPr>
        <w:t>m</w:t>
      </w:r>
      <w:r>
        <w:rPr>
          <w:rFonts w:cs="Times New Roman"/>
          <w:kern w:val="2"/>
          <w:szCs w:val="32"/>
        </w:rPr>
        <w:t>；</w:t>
      </w:r>
    </w:p>
    <w:p w:rsidR="00C645C9" w:rsidRDefault="00F955D9">
      <w:pPr>
        <w:spacing w:line="360" w:lineRule="auto"/>
        <w:ind w:firstLineChars="500" w:firstLine="1200"/>
        <w:jc w:val="both"/>
        <w:rPr>
          <w:rFonts w:cs="Times New Roman"/>
          <w:kern w:val="2"/>
          <w:szCs w:val="32"/>
        </w:rPr>
      </w:pPr>
      <w:r>
        <w:rPr>
          <w:rFonts w:cs="Times New Roman"/>
          <w:i/>
          <w:iCs/>
          <w:kern w:val="2"/>
          <w:szCs w:val="32"/>
        </w:rPr>
        <w:t>t</w:t>
      </w:r>
      <w:r>
        <w:rPr>
          <w:rFonts w:cs="Times New Roman"/>
          <w:lang w:val="zh-CN"/>
        </w:rPr>
        <w:t>——</w:t>
      </w:r>
      <w:r>
        <w:rPr>
          <w:rFonts w:cs="Times New Roman"/>
          <w:kern w:val="2"/>
          <w:szCs w:val="32"/>
        </w:rPr>
        <w:t>时间变量，</w:t>
      </w:r>
      <w:r>
        <w:rPr>
          <w:rFonts w:cs="Times New Roman"/>
          <w:kern w:val="2"/>
          <w:szCs w:val="32"/>
        </w:rPr>
        <w:t>d</w:t>
      </w:r>
      <w:r>
        <w:rPr>
          <w:rFonts w:cs="Times New Roman"/>
          <w:kern w:val="2"/>
          <w:szCs w:val="32"/>
        </w:rPr>
        <w:t>；</w:t>
      </w:r>
    </w:p>
    <w:p w:rsidR="00C645C9" w:rsidRDefault="00F955D9">
      <w:pPr>
        <w:spacing w:line="360" w:lineRule="auto"/>
        <w:ind w:firstLineChars="500" w:firstLine="1200"/>
        <w:jc w:val="both"/>
        <w:rPr>
          <w:rFonts w:asciiTheme="majorHAnsi" w:hAnsiTheme="majorHAnsi"/>
          <w:kern w:val="2"/>
          <w:szCs w:val="32"/>
        </w:rPr>
      </w:pPr>
      <w:r>
        <w:rPr>
          <w:rFonts w:cs="Times New Roman"/>
          <w:i/>
          <w:iCs/>
          <w:kern w:val="2"/>
          <w:szCs w:val="32"/>
        </w:rPr>
        <w:t>θ</w:t>
      </w:r>
      <w:r>
        <w:rPr>
          <w:rFonts w:cs="Times New Roman"/>
          <w:lang w:val="zh-CN"/>
        </w:rPr>
        <w:t>——</w:t>
      </w:r>
      <w:r>
        <w:rPr>
          <w:rFonts w:cs="Times New Roman"/>
          <w:kern w:val="2"/>
          <w:szCs w:val="32"/>
        </w:rPr>
        <w:t>土</w:t>
      </w:r>
      <w:r>
        <w:rPr>
          <w:rFonts w:asciiTheme="majorHAnsi" w:hAnsiTheme="majorHAnsi"/>
          <w:kern w:val="2"/>
          <w:szCs w:val="32"/>
        </w:rPr>
        <w:t>壤含水率，</w:t>
      </w:r>
      <w:r>
        <w:rPr>
          <w:rFonts w:asciiTheme="majorHAnsi" w:hAnsiTheme="majorHAnsi"/>
          <w:kern w:val="2"/>
          <w:szCs w:val="32"/>
        </w:rPr>
        <w:t>%</w:t>
      </w:r>
      <w:r>
        <w:rPr>
          <w:rFonts w:asciiTheme="majorHAnsi" w:hAnsiTheme="majorHAnsi"/>
          <w:kern w:val="2"/>
          <w:szCs w:val="32"/>
        </w:rPr>
        <w:t>。</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kern w:val="2"/>
          <w:szCs w:val="32"/>
        </w:rPr>
        <w:fldChar w:fldCharType="begin"/>
      </w:r>
      <w:r>
        <w:rPr>
          <w:rFonts w:asciiTheme="majorHAnsi" w:hAnsiTheme="majorHAnsi"/>
          <w:kern w:val="2"/>
          <w:szCs w:val="32"/>
        </w:rPr>
        <w:instrText xml:space="preserve"> = 2 \* GB3 \* MERGEFORMAT </w:instrText>
      </w:r>
      <w:r>
        <w:rPr>
          <w:rFonts w:asciiTheme="majorHAnsi" w:hAnsiTheme="majorHAnsi"/>
          <w:kern w:val="2"/>
          <w:szCs w:val="32"/>
        </w:rPr>
        <w:fldChar w:fldCharType="separate"/>
      </w:r>
      <w:r>
        <w:t>②</w:t>
      </w:r>
      <w:r>
        <w:rPr>
          <w:rFonts w:asciiTheme="majorHAnsi" w:hAnsiTheme="majorHAnsi"/>
          <w:kern w:val="2"/>
          <w:szCs w:val="32"/>
        </w:rPr>
        <w:fldChar w:fldCharType="end"/>
      </w:r>
      <w:r>
        <w:rPr>
          <w:rFonts w:asciiTheme="majorHAnsi" w:hAnsiTheme="majorHAnsi"/>
          <w:kern w:val="2"/>
          <w:szCs w:val="32"/>
        </w:rPr>
        <w:t>初始条件</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noProof/>
          <w:kern w:val="2"/>
          <w:szCs w:val="32"/>
        </w:rPr>
        <w:drawing>
          <wp:anchor distT="0" distB="0" distL="114300" distR="114300" simplePos="0" relativeHeight="251668992" behindDoc="0" locked="0" layoutInCell="1" allowOverlap="1">
            <wp:simplePos x="0" y="0"/>
            <wp:positionH relativeFrom="column">
              <wp:posOffset>1304925</wp:posOffset>
            </wp:positionH>
            <wp:positionV relativeFrom="paragraph">
              <wp:posOffset>57150</wp:posOffset>
            </wp:positionV>
            <wp:extent cx="2390775" cy="428625"/>
            <wp:effectExtent l="0" t="0" r="9525" b="9525"/>
            <wp:wrapNone/>
            <wp:docPr id="249" name="图片 1419" descr="8$DSABZ[KDW}4OP(X2PH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19" descr="8$DSABZ[KDW}4OP(X2PHVUO"/>
                    <pic:cNvPicPr>
                      <a:picLocks noChangeAspect="1"/>
                    </pic:cNvPicPr>
                  </pic:nvPicPr>
                  <pic:blipFill>
                    <a:blip r:embed="rId44"/>
                    <a:stretch>
                      <a:fillRect/>
                    </a:stretch>
                  </pic:blipFill>
                  <pic:spPr>
                    <a:xfrm>
                      <a:off x="0" y="0"/>
                      <a:ext cx="2390775" cy="428625"/>
                    </a:xfrm>
                    <a:prstGeom prst="rect">
                      <a:avLst/>
                    </a:prstGeom>
                    <a:noFill/>
                    <a:ln>
                      <a:noFill/>
                    </a:ln>
                  </pic:spPr>
                </pic:pic>
              </a:graphicData>
            </a:graphic>
          </wp:anchor>
        </w:drawing>
      </w:r>
    </w:p>
    <w:p w:rsidR="00C645C9" w:rsidRDefault="00C645C9">
      <w:pPr>
        <w:spacing w:line="360" w:lineRule="auto"/>
        <w:ind w:firstLineChars="200" w:firstLine="480"/>
        <w:jc w:val="both"/>
        <w:rPr>
          <w:rFonts w:cs="Times New Roman"/>
          <w:kern w:val="2"/>
          <w:szCs w:val="32"/>
        </w:rPr>
      </w:pPr>
    </w:p>
    <w:p w:rsidR="00C645C9" w:rsidRDefault="00F955D9">
      <w:pPr>
        <w:spacing w:line="360" w:lineRule="auto"/>
        <w:ind w:firstLineChars="200" w:firstLine="480"/>
        <w:jc w:val="both"/>
        <w:rPr>
          <w:rFonts w:cs="Times New Roman"/>
          <w:kern w:val="2"/>
          <w:szCs w:val="32"/>
        </w:rPr>
      </w:pPr>
      <w:r>
        <w:rPr>
          <w:rFonts w:cs="Times New Roman"/>
          <w:kern w:val="2"/>
          <w:szCs w:val="32"/>
        </w:rPr>
        <w:fldChar w:fldCharType="begin"/>
      </w:r>
      <w:r>
        <w:rPr>
          <w:rFonts w:cs="Times New Roman"/>
          <w:kern w:val="2"/>
          <w:szCs w:val="32"/>
        </w:rPr>
        <w:instrText xml:space="preserve"> = 3 \* GB3 \* MERGEFORMAT </w:instrText>
      </w:r>
      <w:r>
        <w:rPr>
          <w:rFonts w:cs="Times New Roman"/>
          <w:kern w:val="2"/>
          <w:szCs w:val="32"/>
        </w:rPr>
        <w:fldChar w:fldCharType="separate"/>
      </w:r>
      <w:r>
        <w:rPr>
          <w:rFonts w:cs="Times New Roman"/>
        </w:rPr>
        <w:t>③</w:t>
      </w:r>
      <w:r>
        <w:rPr>
          <w:rFonts w:cs="Times New Roman"/>
          <w:kern w:val="2"/>
          <w:szCs w:val="32"/>
        </w:rPr>
        <w:fldChar w:fldCharType="end"/>
      </w:r>
      <w:r>
        <w:rPr>
          <w:rFonts w:cs="Times New Roman"/>
          <w:kern w:val="2"/>
          <w:szCs w:val="32"/>
        </w:rPr>
        <w:t>边界条件</w:t>
      </w:r>
    </w:p>
    <w:p w:rsidR="00C645C9" w:rsidRDefault="00F955D9">
      <w:pPr>
        <w:spacing w:line="360" w:lineRule="auto"/>
        <w:ind w:firstLineChars="200" w:firstLine="480"/>
        <w:jc w:val="both"/>
        <w:rPr>
          <w:rFonts w:cs="Times New Roman"/>
          <w:kern w:val="2"/>
          <w:szCs w:val="32"/>
        </w:rPr>
      </w:pPr>
      <w:r>
        <w:rPr>
          <w:rFonts w:cs="Times New Roman"/>
          <w:kern w:val="2"/>
          <w:szCs w:val="32"/>
        </w:rPr>
        <w:t>第一类</w:t>
      </w:r>
      <w:r>
        <w:rPr>
          <w:rFonts w:cs="Times New Roman"/>
          <w:kern w:val="2"/>
          <w:szCs w:val="32"/>
        </w:rPr>
        <w:t>Dirichlet</w:t>
      </w:r>
      <w:r>
        <w:rPr>
          <w:rFonts w:cs="Times New Roman"/>
          <w:kern w:val="2"/>
          <w:szCs w:val="32"/>
        </w:rPr>
        <w:t>边界条件：</w:t>
      </w:r>
    </w:p>
    <w:p w:rsidR="00C645C9" w:rsidRDefault="00F955D9">
      <w:pPr>
        <w:spacing w:line="360" w:lineRule="auto"/>
        <w:jc w:val="both"/>
        <w:rPr>
          <w:rFonts w:asciiTheme="majorHAnsi" w:hAnsiTheme="majorHAnsi"/>
          <w:kern w:val="2"/>
          <w:szCs w:val="32"/>
        </w:rPr>
      </w:pPr>
      <w:r>
        <w:rPr>
          <w:rFonts w:asciiTheme="majorHAnsi" w:hAnsiTheme="majorHAnsi"/>
          <w:noProof/>
          <w:kern w:val="2"/>
          <w:szCs w:val="32"/>
        </w:rPr>
        <w:drawing>
          <wp:anchor distT="0" distB="0" distL="114300" distR="114300" simplePos="0" relativeHeight="251670016" behindDoc="0" locked="0" layoutInCell="1" allowOverlap="1">
            <wp:simplePos x="0" y="0"/>
            <wp:positionH relativeFrom="column">
              <wp:posOffset>1285875</wp:posOffset>
            </wp:positionH>
            <wp:positionV relativeFrom="paragraph">
              <wp:posOffset>62865</wp:posOffset>
            </wp:positionV>
            <wp:extent cx="2238375" cy="361950"/>
            <wp:effectExtent l="0" t="0" r="9525" b="0"/>
            <wp:wrapNone/>
            <wp:docPr id="250" name="图片 1420" descr="QX66]~IUJTWXGI9G_}~~{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20" descr="QX66]~IUJTWXGI9G_}~~{M6"/>
                    <pic:cNvPicPr>
                      <a:picLocks noChangeAspect="1"/>
                    </pic:cNvPicPr>
                  </pic:nvPicPr>
                  <pic:blipFill>
                    <a:blip r:embed="rId45"/>
                    <a:stretch>
                      <a:fillRect/>
                    </a:stretch>
                  </pic:blipFill>
                  <pic:spPr>
                    <a:xfrm>
                      <a:off x="0" y="0"/>
                      <a:ext cx="2238375" cy="361950"/>
                    </a:xfrm>
                    <a:prstGeom prst="rect">
                      <a:avLst/>
                    </a:prstGeom>
                    <a:noFill/>
                    <a:ln>
                      <a:noFill/>
                    </a:ln>
                  </pic:spPr>
                </pic:pic>
              </a:graphicData>
            </a:graphic>
          </wp:anchor>
        </w:drawing>
      </w:r>
    </w:p>
    <w:p w:rsidR="00C645C9" w:rsidRDefault="00C645C9">
      <w:pPr>
        <w:spacing w:line="360" w:lineRule="auto"/>
        <w:ind w:firstLineChars="200" w:firstLine="480"/>
        <w:jc w:val="both"/>
        <w:rPr>
          <w:rFonts w:asciiTheme="majorHAnsi" w:hAnsiTheme="majorHAnsi"/>
          <w:kern w:val="2"/>
          <w:szCs w:val="32"/>
        </w:rPr>
      </w:pP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noProof/>
          <w:kern w:val="2"/>
          <w:szCs w:val="32"/>
        </w:rPr>
        <w:drawing>
          <wp:anchor distT="0" distB="0" distL="114300" distR="114300" simplePos="0" relativeHeight="251671040" behindDoc="0" locked="0" layoutInCell="1" allowOverlap="1">
            <wp:simplePos x="0" y="0"/>
            <wp:positionH relativeFrom="column">
              <wp:posOffset>1348740</wp:posOffset>
            </wp:positionH>
            <wp:positionV relativeFrom="paragraph">
              <wp:posOffset>8890</wp:posOffset>
            </wp:positionV>
            <wp:extent cx="2047875" cy="523875"/>
            <wp:effectExtent l="0" t="0" r="9525" b="9525"/>
            <wp:wrapNone/>
            <wp:docPr id="252" name="图片 1421" descr="U}7]C~PQ%R8~ASPJ@TIIP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421" descr="U}7]C~PQ%R8~ASPJ@TIIPB7"/>
                    <pic:cNvPicPr>
                      <a:picLocks noChangeAspect="1"/>
                    </pic:cNvPicPr>
                  </pic:nvPicPr>
                  <pic:blipFill>
                    <a:blip r:embed="rId46"/>
                    <a:stretch>
                      <a:fillRect/>
                    </a:stretch>
                  </pic:blipFill>
                  <pic:spPr>
                    <a:xfrm>
                      <a:off x="0" y="0"/>
                      <a:ext cx="2047875" cy="523875"/>
                    </a:xfrm>
                    <a:prstGeom prst="rect">
                      <a:avLst/>
                    </a:prstGeom>
                    <a:noFill/>
                    <a:ln>
                      <a:noFill/>
                    </a:ln>
                  </pic:spPr>
                </pic:pic>
              </a:graphicData>
            </a:graphic>
          </wp:anchor>
        </w:drawing>
      </w:r>
    </w:p>
    <w:p w:rsidR="00C645C9" w:rsidRDefault="00C645C9">
      <w:pPr>
        <w:spacing w:line="360" w:lineRule="auto"/>
        <w:ind w:firstLineChars="200" w:firstLine="480"/>
        <w:jc w:val="both"/>
        <w:rPr>
          <w:rFonts w:asciiTheme="majorHAnsi" w:hAnsiTheme="majorHAnsi"/>
          <w:kern w:val="2"/>
          <w:szCs w:val="32"/>
        </w:rPr>
      </w:pPr>
    </w:p>
    <w:p w:rsidR="00C645C9" w:rsidRDefault="00F955D9">
      <w:pPr>
        <w:spacing w:line="360" w:lineRule="auto"/>
        <w:ind w:firstLineChars="200" w:firstLine="480"/>
        <w:jc w:val="both"/>
        <w:rPr>
          <w:rFonts w:cs="Times New Roman"/>
          <w:kern w:val="2"/>
          <w:szCs w:val="32"/>
        </w:rPr>
      </w:pPr>
      <w:r>
        <w:rPr>
          <w:rFonts w:cs="Times New Roman"/>
          <w:kern w:val="2"/>
          <w:szCs w:val="32"/>
        </w:rPr>
        <w:t>第二类</w:t>
      </w:r>
      <w:r>
        <w:rPr>
          <w:rFonts w:cs="Times New Roman"/>
          <w:kern w:val="2"/>
          <w:szCs w:val="32"/>
        </w:rPr>
        <w:t>Neumann</w:t>
      </w:r>
      <w:r>
        <w:rPr>
          <w:rFonts w:cs="Times New Roman"/>
          <w:kern w:val="2"/>
          <w:szCs w:val="32"/>
        </w:rPr>
        <w:t>零梯度边界条件：</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noProof/>
          <w:kern w:val="2"/>
          <w:szCs w:val="32"/>
        </w:rPr>
        <w:drawing>
          <wp:anchor distT="0" distB="0" distL="114300" distR="114300" simplePos="0" relativeHeight="251672064" behindDoc="0" locked="0" layoutInCell="1" allowOverlap="1">
            <wp:simplePos x="0" y="0"/>
            <wp:positionH relativeFrom="column">
              <wp:posOffset>1333500</wp:posOffset>
            </wp:positionH>
            <wp:positionV relativeFrom="paragraph">
              <wp:posOffset>63500</wp:posOffset>
            </wp:positionV>
            <wp:extent cx="2200275" cy="457200"/>
            <wp:effectExtent l="0" t="0" r="9525" b="0"/>
            <wp:wrapNone/>
            <wp:docPr id="253" name="图片 1422" descr="Y6Q`J$_CIO(JCWW(2OC_I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422" descr="Y6Q`J$_CIO(JCWW(2OC_I92"/>
                    <pic:cNvPicPr>
                      <a:picLocks noChangeAspect="1"/>
                    </pic:cNvPicPr>
                  </pic:nvPicPr>
                  <pic:blipFill>
                    <a:blip r:embed="rId47"/>
                    <a:stretch>
                      <a:fillRect/>
                    </a:stretch>
                  </pic:blipFill>
                  <pic:spPr>
                    <a:xfrm>
                      <a:off x="0" y="0"/>
                      <a:ext cx="2200275" cy="457200"/>
                    </a:xfrm>
                    <a:prstGeom prst="rect">
                      <a:avLst/>
                    </a:prstGeom>
                    <a:noFill/>
                    <a:ln>
                      <a:noFill/>
                    </a:ln>
                  </pic:spPr>
                </pic:pic>
              </a:graphicData>
            </a:graphic>
          </wp:anchor>
        </w:drawing>
      </w:r>
    </w:p>
    <w:p w:rsidR="00C645C9" w:rsidRDefault="00C645C9">
      <w:pPr>
        <w:spacing w:line="360" w:lineRule="auto"/>
        <w:ind w:firstLineChars="200" w:firstLine="480"/>
        <w:jc w:val="both"/>
        <w:rPr>
          <w:rFonts w:asciiTheme="majorHAnsi" w:hAnsiTheme="majorHAnsi"/>
          <w:kern w:val="2"/>
          <w:szCs w:val="32"/>
        </w:rPr>
      </w:pPr>
    </w:p>
    <w:p w:rsidR="00C645C9" w:rsidRDefault="00F955D9">
      <w:pPr>
        <w:spacing w:line="360" w:lineRule="auto"/>
        <w:ind w:firstLineChars="200" w:firstLine="480"/>
        <w:jc w:val="both"/>
        <w:rPr>
          <w:rFonts w:cs="Times New Roman"/>
          <w:kern w:val="2"/>
          <w:szCs w:val="32"/>
        </w:rPr>
      </w:pPr>
      <w:r>
        <w:rPr>
          <w:rFonts w:asciiTheme="majorHAnsi" w:hAnsiTheme="majorHAnsi"/>
          <w:kern w:val="2"/>
          <w:szCs w:val="32"/>
        </w:rPr>
        <w:fldChar w:fldCharType="begin"/>
      </w:r>
      <w:r>
        <w:rPr>
          <w:rFonts w:asciiTheme="majorHAnsi" w:hAnsiTheme="majorHAnsi"/>
          <w:kern w:val="2"/>
          <w:szCs w:val="32"/>
        </w:rPr>
        <w:instrText xml:space="preserve"> = 4 \* GB3 \* MERGEFORMAT </w:instrText>
      </w:r>
      <w:r>
        <w:rPr>
          <w:rFonts w:asciiTheme="majorHAnsi" w:hAnsiTheme="majorHAnsi"/>
          <w:kern w:val="2"/>
          <w:szCs w:val="32"/>
        </w:rPr>
        <w:fldChar w:fldCharType="separate"/>
      </w:r>
      <w:r>
        <w:t>④</w:t>
      </w:r>
      <w:r>
        <w:rPr>
          <w:rFonts w:asciiTheme="majorHAnsi" w:hAnsiTheme="majorHAnsi"/>
          <w:kern w:val="2"/>
          <w:szCs w:val="32"/>
        </w:rPr>
        <w:fldChar w:fldCharType="end"/>
      </w:r>
      <w:r>
        <w:rPr>
          <w:rFonts w:asciiTheme="majorHAnsi" w:hAnsiTheme="majorHAnsi"/>
          <w:kern w:val="2"/>
          <w:szCs w:val="32"/>
        </w:rPr>
        <w:t>模型边界条件的概</w:t>
      </w:r>
      <w:r>
        <w:rPr>
          <w:rFonts w:cs="Times New Roman"/>
          <w:kern w:val="2"/>
          <w:szCs w:val="32"/>
        </w:rPr>
        <w:t>化</w:t>
      </w:r>
    </w:p>
    <w:p w:rsidR="00C645C9" w:rsidRDefault="00F955D9">
      <w:pPr>
        <w:spacing w:line="360" w:lineRule="auto"/>
        <w:ind w:firstLineChars="200" w:firstLine="480"/>
        <w:jc w:val="both"/>
        <w:rPr>
          <w:rFonts w:cs="Times New Roman"/>
          <w:kern w:val="2"/>
          <w:szCs w:val="32"/>
        </w:rPr>
      </w:pPr>
      <w:r>
        <w:rPr>
          <w:rFonts w:cs="Times New Roman"/>
          <w:kern w:val="2"/>
          <w:szCs w:val="32"/>
        </w:rPr>
        <w:t>土壤类型概化</w:t>
      </w:r>
      <w:r>
        <w:rPr>
          <w:rFonts w:cs="Times New Roman"/>
          <w:kern w:val="2"/>
          <w:szCs w:val="32"/>
        </w:rPr>
        <w:t>，</w:t>
      </w:r>
      <w:r>
        <w:rPr>
          <w:rFonts w:cs="Times New Roman"/>
          <w:kern w:val="2"/>
          <w:szCs w:val="32"/>
        </w:rPr>
        <w:t>结合区域水文地质调查及本工程土壤现状调查结果，将预测储罐底部以下土壤概化为一层，埋深</w:t>
      </w:r>
      <w:r>
        <w:rPr>
          <w:rFonts w:cs="Times New Roman"/>
          <w:kern w:val="2"/>
          <w:szCs w:val="32"/>
        </w:rPr>
        <w:t>3</w:t>
      </w:r>
      <w:r>
        <w:rPr>
          <w:rFonts w:cs="Times New Roman"/>
          <w:kern w:val="2"/>
          <w:szCs w:val="32"/>
        </w:rPr>
        <w:t>00cm</w:t>
      </w:r>
      <w:r>
        <w:rPr>
          <w:rFonts w:cs="Times New Roman"/>
          <w:kern w:val="2"/>
          <w:szCs w:val="32"/>
        </w:rPr>
        <w:t>土层。</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kern w:val="2"/>
          <w:szCs w:val="32"/>
        </w:rPr>
        <w:fldChar w:fldCharType="begin"/>
      </w:r>
      <w:r>
        <w:rPr>
          <w:rFonts w:asciiTheme="majorHAnsi" w:hAnsiTheme="majorHAnsi"/>
          <w:kern w:val="2"/>
          <w:szCs w:val="32"/>
        </w:rPr>
        <w:instrText xml:space="preserve"> = 5 \* GB3 \* MERGEFORMAT </w:instrText>
      </w:r>
      <w:r>
        <w:rPr>
          <w:rFonts w:asciiTheme="majorHAnsi" w:hAnsiTheme="majorHAnsi"/>
          <w:kern w:val="2"/>
          <w:szCs w:val="32"/>
        </w:rPr>
        <w:fldChar w:fldCharType="separate"/>
      </w:r>
      <w:r>
        <w:t>⑤</w:t>
      </w:r>
      <w:r>
        <w:rPr>
          <w:rFonts w:asciiTheme="majorHAnsi" w:hAnsiTheme="majorHAnsi"/>
          <w:kern w:val="2"/>
          <w:szCs w:val="32"/>
        </w:rPr>
        <w:fldChar w:fldCharType="end"/>
      </w:r>
      <w:r>
        <w:rPr>
          <w:rFonts w:asciiTheme="majorHAnsi" w:hAnsiTheme="majorHAnsi"/>
          <w:kern w:val="2"/>
          <w:szCs w:val="32"/>
        </w:rPr>
        <w:t>边界条件</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kern w:val="2"/>
          <w:szCs w:val="32"/>
        </w:rPr>
        <w:t>模型为一维垂向模型，上边界概化为稳定的污染物定</w:t>
      </w:r>
      <w:r>
        <w:rPr>
          <w:rFonts w:asciiTheme="majorHAnsi" w:hAnsiTheme="majorHAnsi" w:hint="eastAsia"/>
          <w:kern w:val="2"/>
          <w:szCs w:val="32"/>
        </w:rPr>
        <w:t>压力</w:t>
      </w:r>
      <w:r>
        <w:rPr>
          <w:rFonts w:asciiTheme="majorHAnsi" w:hAnsiTheme="majorHAnsi"/>
          <w:kern w:val="2"/>
          <w:szCs w:val="32"/>
        </w:rPr>
        <w:t>水头补给边界，下边界为自由</w:t>
      </w:r>
      <w:r>
        <w:rPr>
          <w:rFonts w:asciiTheme="majorHAnsi" w:hAnsiTheme="majorHAnsi" w:hint="eastAsia"/>
          <w:kern w:val="2"/>
          <w:szCs w:val="32"/>
        </w:rPr>
        <w:t>排水</w:t>
      </w:r>
      <w:r>
        <w:rPr>
          <w:rFonts w:asciiTheme="majorHAnsi" w:hAnsiTheme="majorHAnsi"/>
          <w:kern w:val="2"/>
          <w:szCs w:val="32"/>
        </w:rPr>
        <w:t>边界。</w:t>
      </w:r>
    </w:p>
    <w:p w:rsidR="00C645C9" w:rsidRDefault="00F955D9">
      <w:pPr>
        <w:spacing w:line="360" w:lineRule="auto"/>
        <w:ind w:firstLineChars="200" w:firstLine="480"/>
        <w:jc w:val="both"/>
        <w:rPr>
          <w:rFonts w:asciiTheme="majorHAnsi" w:hAnsiTheme="majorHAnsi"/>
          <w:kern w:val="2"/>
          <w:szCs w:val="32"/>
        </w:rPr>
      </w:pPr>
      <w:r>
        <w:rPr>
          <w:rFonts w:asciiTheme="majorHAnsi" w:hAnsiTheme="majorHAnsi"/>
          <w:kern w:val="2"/>
          <w:szCs w:val="32"/>
        </w:rPr>
        <w:fldChar w:fldCharType="begin"/>
      </w:r>
      <w:r>
        <w:rPr>
          <w:rFonts w:asciiTheme="majorHAnsi" w:hAnsiTheme="majorHAnsi"/>
          <w:kern w:val="2"/>
          <w:szCs w:val="32"/>
        </w:rPr>
        <w:instrText xml:space="preserve"> = 6 \* GB3 \* MERGEFORMAT </w:instrText>
      </w:r>
      <w:r>
        <w:rPr>
          <w:rFonts w:asciiTheme="majorHAnsi" w:hAnsiTheme="majorHAnsi"/>
          <w:kern w:val="2"/>
          <w:szCs w:val="32"/>
        </w:rPr>
        <w:fldChar w:fldCharType="separate"/>
      </w:r>
      <w:r>
        <w:t>⑥</w:t>
      </w:r>
      <w:r>
        <w:rPr>
          <w:rFonts w:asciiTheme="majorHAnsi" w:hAnsiTheme="majorHAnsi"/>
          <w:kern w:val="2"/>
          <w:szCs w:val="32"/>
        </w:rPr>
        <w:fldChar w:fldCharType="end"/>
      </w:r>
      <w:r>
        <w:rPr>
          <w:rFonts w:asciiTheme="majorHAnsi" w:hAnsiTheme="majorHAnsi"/>
          <w:kern w:val="2"/>
          <w:szCs w:val="32"/>
        </w:rPr>
        <w:t>预测分析结果</w:t>
      </w:r>
    </w:p>
    <w:p w:rsidR="00C645C9" w:rsidRDefault="00F955D9">
      <w:pPr>
        <w:spacing w:line="360" w:lineRule="auto"/>
        <w:ind w:firstLineChars="200" w:firstLine="480"/>
        <w:jc w:val="both"/>
        <w:rPr>
          <w:kern w:val="2"/>
          <w:szCs w:val="32"/>
        </w:rPr>
      </w:pPr>
      <w:r>
        <w:rPr>
          <w:rFonts w:asciiTheme="majorHAnsi" w:hAnsiTheme="majorHAnsi"/>
          <w:kern w:val="2"/>
          <w:szCs w:val="32"/>
        </w:rPr>
        <w:t>非正常状况下</w:t>
      </w:r>
      <w:bookmarkStart w:id="1556" w:name="OLE_LINK658"/>
      <w:r>
        <w:rPr>
          <w:rFonts w:cs="Times New Roman" w:hint="eastAsia"/>
          <w:spacing w:val="4"/>
          <w:kern w:val="24"/>
          <w:szCs w:val="22"/>
        </w:rPr>
        <w:t>凝析油</w:t>
      </w:r>
      <w:bookmarkEnd w:id="1556"/>
      <w:r>
        <w:rPr>
          <w:rFonts w:cs="Times New Roman" w:hint="eastAsia"/>
          <w:snapToGrid w:val="0"/>
          <w:spacing w:val="4"/>
          <w:kern w:val="2"/>
        </w:rPr>
        <w:t>多功能储集器</w:t>
      </w:r>
      <w:r>
        <w:rPr>
          <w:rFonts w:asciiTheme="majorHAnsi" w:hAnsiTheme="majorHAnsi"/>
          <w:kern w:val="2"/>
          <w:szCs w:val="32"/>
        </w:rPr>
        <w:t>破损泄漏，</w:t>
      </w:r>
      <w:r>
        <w:rPr>
          <w:rFonts w:cs="Times New Roman" w:hint="eastAsia"/>
          <w:spacing w:val="4"/>
          <w:kern w:val="24"/>
          <w:szCs w:val="22"/>
        </w:rPr>
        <w:t>凝析油</w:t>
      </w:r>
      <w:r>
        <w:rPr>
          <w:rFonts w:hint="eastAsia"/>
          <w:kern w:val="2"/>
          <w:szCs w:val="32"/>
        </w:rPr>
        <w:t>中的污染物石油烃持续渗入土壤并不断向下运移，预测时段</w:t>
      </w:r>
      <w:r>
        <w:rPr>
          <w:rFonts w:hint="eastAsia"/>
          <w:kern w:val="2"/>
          <w:szCs w:val="32"/>
        </w:rPr>
        <w:t>T1~T5</w:t>
      </w:r>
      <w:r>
        <w:rPr>
          <w:rFonts w:hint="eastAsia"/>
          <w:kern w:val="2"/>
          <w:szCs w:val="32"/>
        </w:rPr>
        <w:t>分别为</w:t>
      </w:r>
      <w:r>
        <w:rPr>
          <w:rFonts w:hint="eastAsia"/>
          <w:kern w:val="2"/>
          <w:szCs w:val="32"/>
        </w:rPr>
        <w:t>1d</w:t>
      </w:r>
      <w:r>
        <w:rPr>
          <w:rFonts w:hint="eastAsia"/>
          <w:kern w:val="2"/>
          <w:szCs w:val="32"/>
        </w:rPr>
        <w:t>、</w:t>
      </w:r>
      <w:r>
        <w:rPr>
          <w:rFonts w:hint="eastAsia"/>
          <w:kern w:val="2"/>
          <w:szCs w:val="32"/>
        </w:rPr>
        <w:t>10d</w:t>
      </w:r>
      <w:r>
        <w:rPr>
          <w:rFonts w:hint="eastAsia"/>
          <w:kern w:val="2"/>
          <w:szCs w:val="32"/>
        </w:rPr>
        <w:t>、</w:t>
      </w:r>
      <w:r>
        <w:rPr>
          <w:rFonts w:hint="eastAsia"/>
          <w:kern w:val="2"/>
          <w:szCs w:val="32"/>
        </w:rPr>
        <w:t>30d</w:t>
      </w:r>
      <w:r>
        <w:rPr>
          <w:rFonts w:hint="eastAsia"/>
          <w:kern w:val="2"/>
          <w:szCs w:val="32"/>
        </w:rPr>
        <w:t>、</w:t>
      </w:r>
      <w:r>
        <w:rPr>
          <w:rFonts w:hint="eastAsia"/>
          <w:kern w:val="2"/>
          <w:szCs w:val="32"/>
        </w:rPr>
        <w:t>100d</w:t>
      </w:r>
      <w:r>
        <w:rPr>
          <w:rFonts w:hint="eastAsia"/>
          <w:kern w:val="2"/>
          <w:szCs w:val="32"/>
        </w:rPr>
        <w:t>、</w:t>
      </w:r>
      <w:r>
        <w:rPr>
          <w:rFonts w:hint="eastAsia"/>
          <w:kern w:val="2"/>
          <w:szCs w:val="32"/>
        </w:rPr>
        <w:t>365d</w:t>
      </w:r>
      <w:r>
        <w:rPr>
          <w:rFonts w:hint="eastAsia"/>
          <w:kern w:val="2"/>
          <w:szCs w:val="32"/>
        </w:rPr>
        <w:t>，观测点</w:t>
      </w:r>
      <w:r>
        <w:rPr>
          <w:rFonts w:hint="eastAsia"/>
          <w:kern w:val="2"/>
          <w:szCs w:val="32"/>
        </w:rPr>
        <w:t>N1~N5</w:t>
      </w:r>
      <w:r>
        <w:rPr>
          <w:rFonts w:hint="eastAsia"/>
          <w:kern w:val="2"/>
          <w:szCs w:val="32"/>
        </w:rPr>
        <w:t>距储罐底部深度分别为</w:t>
      </w:r>
      <w:r>
        <w:rPr>
          <w:rFonts w:hint="eastAsia"/>
          <w:kern w:val="2"/>
          <w:szCs w:val="32"/>
        </w:rPr>
        <w:t>10cm</w:t>
      </w:r>
      <w:r>
        <w:rPr>
          <w:rFonts w:hint="eastAsia"/>
          <w:kern w:val="2"/>
          <w:szCs w:val="32"/>
        </w:rPr>
        <w:t>、</w:t>
      </w:r>
      <w:r>
        <w:rPr>
          <w:rFonts w:hint="eastAsia"/>
          <w:kern w:val="2"/>
          <w:szCs w:val="32"/>
        </w:rPr>
        <w:t>20cm</w:t>
      </w:r>
      <w:r>
        <w:rPr>
          <w:rFonts w:hint="eastAsia"/>
          <w:kern w:val="2"/>
          <w:szCs w:val="32"/>
        </w:rPr>
        <w:t>、</w:t>
      </w:r>
      <w:r>
        <w:rPr>
          <w:rFonts w:hint="eastAsia"/>
          <w:kern w:val="2"/>
          <w:szCs w:val="32"/>
        </w:rPr>
        <w:t>50cm</w:t>
      </w:r>
      <w:r>
        <w:rPr>
          <w:rFonts w:hint="eastAsia"/>
          <w:kern w:val="2"/>
          <w:szCs w:val="32"/>
        </w:rPr>
        <w:t>、</w:t>
      </w:r>
      <w:r>
        <w:rPr>
          <w:rFonts w:hint="eastAsia"/>
          <w:kern w:val="2"/>
          <w:szCs w:val="32"/>
        </w:rPr>
        <w:t>100cm</w:t>
      </w:r>
      <w:r>
        <w:rPr>
          <w:rFonts w:hint="eastAsia"/>
          <w:kern w:val="2"/>
          <w:szCs w:val="32"/>
        </w:rPr>
        <w:t>、</w:t>
      </w:r>
      <w:r>
        <w:rPr>
          <w:rFonts w:hint="eastAsia"/>
          <w:kern w:val="2"/>
          <w:szCs w:val="32"/>
        </w:rPr>
        <w:t>200cm</w:t>
      </w:r>
      <w:r>
        <w:rPr>
          <w:rFonts w:hint="eastAsia"/>
          <w:kern w:val="2"/>
          <w:szCs w:val="32"/>
        </w:rPr>
        <w:t>，污染物浓度穿透曲线图和在不同水平年沿土壤迁移模拟结果见</w:t>
      </w:r>
      <w:r>
        <w:rPr>
          <w:rFonts w:hint="eastAsia"/>
          <w:kern w:val="2"/>
          <w:szCs w:val="32"/>
        </w:rPr>
        <w:t>图</w:t>
      </w:r>
      <w:r>
        <w:rPr>
          <w:kern w:val="2"/>
          <w:szCs w:val="32"/>
        </w:rPr>
        <w:t>5.</w:t>
      </w:r>
      <w:r>
        <w:rPr>
          <w:rFonts w:hint="eastAsia"/>
          <w:kern w:val="2"/>
          <w:szCs w:val="32"/>
        </w:rPr>
        <w:t>4</w:t>
      </w:r>
      <w:r>
        <w:rPr>
          <w:kern w:val="2"/>
          <w:szCs w:val="32"/>
        </w:rPr>
        <w:t>-1~2</w:t>
      </w:r>
      <w:r>
        <w:rPr>
          <w:kern w:val="2"/>
          <w:szCs w:val="32"/>
        </w:rPr>
        <w:t>。</w:t>
      </w:r>
    </w:p>
    <w:p w:rsidR="00C645C9" w:rsidRDefault="00C645C9">
      <w:pPr>
        <w:adjustRightInd w:val="0"/>
        <w:snapToGrid w:val="0"/>
        <w:jc w:val="center"/>
        <w:rPr>
          <w:szCs w:val="20"/>
          <w:lang w:bidi="ar"/>
        </w:rPr>
      </w:pP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t>图</w:t>
      </w:r>
      <w:r>
        <w:rPr>
          <w:rFonts w:eastAsia="黑体" w:cs="Times New Roman"/>
          <w:sz w:val="21"/>
          <w:szCs w:val="21"/>
        </w:rPr>
        <w:t>5.</w:t>
      </w:r>
      <w:r>
        <w:rPr>
          <w:rFonts w:eastAsia="黑体" w:cs="Times New Roman" w:hint="eastAsia"/>
          <w:sz w:val="21"/>
          <w:szCs w:val="21"/>
        </w:rPr>
        <w:t>4</w:t>
      </w:r>
      <w:r>
        <w:rPr>
          <w:rFonts w:eastAsia="黑体" w:cs="Times New Roman"/>
          <w:sz w:val="21"/>
          <w:szCs w:val="21"/>
        </w:rPr>
        <w:t xml:space="preserve">-1   </w:t>
      </w:r>
      <w:r>
        <w:rPr>
          <w:rFonts w:eastAsia="黑体" w:cs="Times New Roman"/>
          <w:sz w:val="21"/>
          <w:szCs w:val="21"/>
        </w:rPr>
        <w:t>不同深度观测点石油类浓度穿透曲线图</w:t>
      </w:r>
    </w:p>
    <w:p w:rsidR="00C645C9" w:rsidRDefault="00C645C9">
      <w:pPr>
        <w:adjustRightInd w:val="0"/>
        <w:snapToGrid w:val="0"/>
        <w:jc w:val="center"/>
        <w:rPr>
          <w:szCs w:val="20"/>
          <w:lang w:bidi="ar"/>
        </w:rPr>
      </w:pPr>
    </w:p>
    <w:p w:rsidR="00C645C9" w:rsidRDefault="00F955D9">
      <w:pPr>
        <w:widowControl w:val="0"/>
        <w:adjustRightInd w:val="0"/>
        <w:snapToGrid w:val="0"/>
        <w:jc w:val="center"/>
        <w:rPr>
          <w:rFonts w:eastAsia="黑体" w:cs="Times New Roman"/>
          <w:sz w:val="21"/>
          <w:szCs w:val="21"/>
        </w:rPr>
      </w:pPr>
      <w:r>
        <w:rPr>
          <w:rFonts w:eastAsia="黑体" w:cs="Times New Roman"/>
          <w:sz w:val="21"/>
          <w:szCs w:val="21"/>
        </w:rPr>
        <w:t>图</w:t>
      </w:r>
      <w:r>
        <w:rPr>
          <w:rFonts w:eastAsia="黑体" w:cs="Times New Roman"/>
          <w:sz w:val="21"/>
          <w:szCs w:val="21"/>
        </w:rPr>
        <w:t>5.</w:t>
      </w:r>
      <w:r>
        <w:rPr>
          <w:rFonts w:eastAsia="黑体" w:cs="Times New Roman" w:hint="eastAsia"/>
          <w:sz w:val="21"/>
          <w:szCs w:val="21"/>
        </w:rPr>
        <w:t>4</w:t>
      </w:r>
      <w:r>
        <w:rPr>
          <w:rFonts w:eastAsia="黑体" w:cs="Times New Roman"/>
          <w:sz w:val="21"/>
          <w:szCs w:val="21"/>
        </w:rPr>
        <w:t xml:space="preserve">-2   </w:t>
      </w:r>
      <w:r>
        <w:rPr>
          <w:rFonts w:eastAsia="黑体" w:cs="Times New Roman"/>
          <w:sz w:val="21"/>
          <w:szCs w:val="21"/>
        </w:rPr>
        <w:t>石油类在不同水平年沿土壤迁移情况图</w:t>
      </w:r>
    </w:p>
    <w:p w:rsidR="00C645C9" w:rsidRDefault="00F955D9">
      <w:pPr>
        <w:widowControl w:val="0"/>
        <w:spacing w:line="360" w:lineRule="auto"/>
        <w:ind w:firstLineChars="200" w:firstLine="480"/>
        <w:rPr>
          <w:rFonts w:cs="Times New Roman"/>
        </w:rPr>
      </w:pPr>
      <w:r>
        <w:rPr>
          <w:rFonts w:cs="Times New Roman"/>
        </w:rPr>
        <w:t>由上述土壤预测结果可知，土壤深度在</w:t>
      </w:r>
      <w:r>
        <w:rPr>
          <w:rFonts w:cs="Times New Roman"/>
        </w:rPr>
        <w:t>10cm</w:t>
      </w:r>
      <w:r>
        <w:rPr>
          <w:rFonts w:cs="Times New Roman"/>
        </w:rPr>
        <w:t>的时候，污染物浓度最快达到峰值，在</w:t>
      </w:r>
      <w:r>
        <w:rPr>
          <w:rFonts w:cs="Times New Roman"/>
        </w:rPr>
        <w:t>365d</w:t>
      </w:r>
      <w:r>
        <w:rPr>
          <w:rFonts w:cs="Times New Roman"/>
        </w:rPr>
        <w:t>时污染物浓度出现最高值。而土层深度在</w:t>
      </w:r>
      <w:r>
        <w:rPr>
          <w:rFonts w:cs="Times New Roman"/>
        </w:rPr>
        <w:t>200cm</w:t>
      </w:r>
      <w:r>
        <w:rPr>
          <w:rFonts w:cs="Times New Roman"/>
        </w:rPr>
        <w:t>的土壤，在</w:t>
      </w:r>
      <w:r>
        <w:rPr>
          <w:rFonts w:cs="Times New Roman"/>
        </w:rPr>
        <w:t>365</w:t>
      </w:r>
      <w:r>
        <w:rPr>
          <w:rFonts w:cs="Times New Roman"/>
        </w:rPr>
        <w:t>天时污染物浓度达到最高。说明最表层土壤最快被污染物污染，浓度也最高。而深度达到</w:t>
      </w:r>
      <w:r>
        <w:rPr>
          <w:rFonts w:cs="Times New Roman"/>
        </w:rPr>
        <w:t>200cm</w:t>
      </w:r>
      <w:r>
        <w:rPr>
          <w:rFonts w:cs="Times New Roman"/>
        </w:rPr>
        <w:t>处的土壤</w:t>
      </w:r>
      <w:r>
        <w:rPr>
          <w:rFonts w:cs="Times New Roman"/>
        </w:rPr>
        <w:t>125</w:t>
      </w:r>
      <w:r>
        <w:rPr>
          <w:rFonts w:cs="Times New Roman"/>
        </w:rPr>
        <w:t>天内被污染的程度较低。污染物泄漏</w:t>
      </w:r>
      <w:r>
        <w:rPr>
          <w:rFonts w:cs="Times New Roman"/>
        </w:rPr>
        <w:t>1d</w:t>
      </w:r>
      <w:r>
        <w:rPr>
          <w:rFonts w:cs="Times New Roman"/>
        </w:rPr>
        <w:t>时，在最表层</w:t>
      </w:r>
      <w:r>
        <w:rPr>
          <w:rFonts w:cs="Times New Roman"/>
        </w:rPr>
        <w:t>0cm</w:t>
      </w:r>
      <w:r>
        <w:rPr>
          <w:rFonts w:cs="Times New Roman"/>
        </w:rPr>
        <w:t>的土壤被污染的程度最大，被污染的土壤深度达</w:t>
      </w:r>
      <w:r>
        <w:rPr>
          <w:rFonts w:cs="Times New Roman"/>
        </w:rPr>
        <w:t>16cm</w:t>
      </w:r>
      <w:r>
        <w:rPr>
          <w:rFonts w:cs="Times New Roman"/>
        </w:rPr>
        <w:t>。随着污染时间的持续增加，污染天数达到</w:t>
      </w:r>
      <w:r>
        <w:rPr>
          <w:rFonts w:cs="Times New Roman"/>
        </w:rPr>
        <w:t>365d</w:t>
      </w:r>
      <w:r>
        <w:rPr>
          <w:rFonts w:cs="Times New Roman"/>
        </w:rPr>
        <w:t>时，表层土壤的污染物将全部被污染，而被污染的土层深度也将随着时间的增加而增加，污染物最深可达</w:t>
      </w:r>
      <w:r>
        <w:rPr>
          <w:rFonts w:cs="Times New Roman"/>
        </w:rPr>
        <w:t>200cm</w:t>
      </w:r>
      <w:r>
        <w:rPr>
          <w:rFonts w:cs="Times New Roman"/>
        </w:rPr>
        <w:t>处的土层。</w:t>
      </w:r>
    </w:p>
    <w:p w:rsidR="00C645C9" w:rsidRDefault="00F955D9">
      <w:pPr>
        <w:widowControl w:val="0"/>
        <w:spacing w:line="360" w:lineRule="auto"/>
        <w:ind w:firstLineChars="200" w:firstLine="480"/>
        <w:rPr>
          <w:rFonts w:cs="Times New Roman"/>
        </w:rPr>
      </w:pPr>
      <w:r>
        <w:rPr>
          <w:rFonts w:cs="Times New Roman"/>
        </w:rPr>
        <w:t>由以上分析可以看出，发生泄漏后，最先污染表层土壤，落地油积存于表层会影响表层土壤通透性，影响土壤养分的释放，降低土壤动物及微生物的活性，使土壤的综合肥力下降，最终影响植物根系的</w:t>
      </w:r>
      <w:r>
        <w:rPr>
          <w:rFonts w:cs="Times New Roman" w:hint="eastAsia"/>
        </w:rPr>
        <w:t>呼吸作用</w:t>
      </w:r>
      <w:r>
        <w:rPr>
          <w:rFonts w:cs="Times New Roman"/>
        </w:rPr>
        <w:t>和吸收作用。时间越久，</w:t>
      </w:r>
      <w:r>
        <w:rPr>
          <w:rFonts w:cs="Times New Roman"/>
        </w:rPr>
        <w:lastRenderedPageBreak/>
        <w:t>污染物向土壤下方运移越深，泄漏发生后短期内对表层土壤环境影响相对严重。在设定情景下在不同时刻、不同土壤深度的</w:t>
      </w:r>
      <w:bookmarkStart w:id="1557" w:name="OLE_LINK975"/>
      <w:r>
        <w:rPr>
          <w:rFonts w:cs="Times New Roman"/>
        </w:rPr>
        <w:t>石油烃</w:t>
      </w:r>
      <w:bookmarkEnd w:id="1557"/>
      <w:r>
        <w:rPr>
          <w:rFonts w:cs="Times New Roman"/>
        </w:rPr>
        <w:t>（</w:t>
      </w:r>
      <w:bookmarkStart w:id="1558" w:name="OLE_LINK1015"/>
      <w:r>
        <w:rPr>
          <w:rFonts w:cs="Times New Roman"/>
        </w:rPr>
        <w:t>C</w:t>
      </w:r>
      <w:r>
        <w:rPr>
          <w:rFonts w:cs="Times New Roman"/>
          <w:vertAlign w:val="subscript"/>
        </w:rPr>
        <w:t>10</w:t>
      </w:r>
      <w:r>
        <w:rPr>
          <w:rFonts w:cs="Times New Roman" w:hint="eastAsia"/>
        </w:rPr>
        <w:t>-</w:t>
      </w:r>
      <w:r>
        <w:rPr>
          <w:rFonts w:cs="Times New Roman"/>
        </w:rPr>
        <w:t>C</w:t>
      </w:r>
      <w:r>
        <w:rPr>
          <w:rFonts w:cs="Times New Roman"/>
          <w:vertAlign w:val="subscript"/>
        </w:rPr>
        <w:t>40</w:t>
      </w:r>
      <w:bookmarkEnd w:id="1558"/>
      <w:r>
        <w:rPr>
          <w:rFonts w:cs="Times New Roman"/>
        </w:rPr>
        <w:t>）浓度均满足</w:t>
      </w:r>
      <w:r>
        <w:rPr>
          <w:rFonts w:cs="Times New Roman"/>
        </w:rPr>
        <w:t>《土壤环境质量</w:t>
      </w:r>
      <w:r>
        <w:rPr>
          <w:rFonts w:cs="Times New Roman"/>
        </w:rPr>
        <w:t xml:space="preserve"> </w:t>
      </w:r>
      <w:r>
        <w:rPr>
          <w:rFonts w:cs="Times New Roman"/>
        </w:rPr>
        <w:t>建设用地土壤污染风险管控标准（试行）》</w:t>
      </w:r>
      <w:r>
        <w:rPr>
          <w:rFonts w:cs="Times New Roman" w:hint="eastAsia"/>
        </w:rPr>
        <w:t>（</w:t>
      </w:r>
      <w:r>
        <w:rPr>
          <w:rFonts w:cs="Times New Roman"/>
        </w:rPr>
        <w:t>GB36600-2018</w:t>
      </w:r>
      <w:r>
        <w:rPr>
          <w:rFonts w:cs="Times New Roman" w:hint="eastAsia"/>
        </w:rPr>
        <w:t>）</w:t>
      </w:r>
      <w:r>
        <w:rPr>
          <w:rFonts w:cs="Times New Roman"/>
        </w:rPr>
        <w:t>中第二类用地风险筛选值（</w:t>
      </w:r>
      <w:r>
        <w:rPr>
          <w:rFonts w:cs="Times New Roman"/>
        </w:rPr>
        <w:t>4500mg/kg</w:t>
      </w:r>
      <w:r>
        <w:rPr>
          <w:rFonts w:cs="Times New Roman"/>
        </w:rPr>
        <w:t>）。综上所述，</w:t>
      </w:r>
      <w:bookmarkStart w:id="1559" w:name="OLE_LINK1084"/>
      <w:r>
        <w:rPr>
          <w:rFonts w:cs="Times New Roman" w:hint="eastAsia"/>
        </w:rPr>
        <w:t>本工程</w:t>
      </w:r>
      <w:bookmarkEnd w:id="1559"/>
      <w:r>
        <w:rPr>
          <w:rFonts w:cs="Times New Roman"/>
        </w:rPr>
        <w:t>经垂直入渗途径影响土</w:t>
      </w:r>
      <w:r>
        <w:rPr>
          <w:rFonts w:cs="Times New Roman"/>
        </w:rPr>
        <w:t>壤环境的深度较小，浓度很低。本工程储罐区进行防渗处理，同时生产过程中加强管理，规范生产操作。在采取有效的污染防治措施后，</w:t>
      </w:r>
      <w:r>
        <w:rPr>
          <w:rFonts w:cs="Times New Roman" w:hint="eastAsia"/>
        </w:rPr>
        <w:t>本工程</w:t>
      </w:r>
      <w:r>
        <w:rPr>
          <w:rFonts w:cs="Times New Roman"/>
        </w:rPr>
        <w:t>对土壤环境影响很小。</w:t>
      </w:r>
    </w:p>
    <w:p w:rsidR="00C645C9" w:rsidRDefault="00F955D9">
      <w:pPr>
        <w:widowControl w:val="0"/>
        <w:spacing w:line="360" w:lineRule="auto"/>
        <w:ind w:firstLineChars="200" w:firstLine="480"/>
        <w:rPr>
          <w:rFonts w:cs="Times New Roman"/>
        </w:rPr>
      </w:pPr>
      <w:r>
        <w:rPr>
          <w:rFonts w:cs="Times New Roman" w:hint="eastAsia"/>
        </w:rPr>
        <w:t>运营期</w:t>
      </w:r>
      <w:r>
        <w:rPr>
          <w:rFonts w:cs="Times New Roman"/>
        </w:rPr>
        <w:t>须定期检查，若发现有破损或破裂部位须及时进行修补。故在</w:t>
      </w:r>
      <w:r>
        <w:rPr>
          <w:rFonts w:cs="Times New Roman" w:hint="eastAsia"/>
        </w:rPr>
        <w:t>本工程</w:t>
      </w:r>
      <w:r>
        <w:rPr>
          <w:rFonts w:cs="Times New Roman"/>
        </w:rPr>
        <w:t>运行期间，需加强管理和监督检查，杜绝非正常情况的发生，避免污染物进入土壤及地下水含水层中。在工程做好防渗、定期监测、严格执行本次环评提出的污染防治措施的前提下本工程对土壤环境影响可接受。</w:t>
      </w:r>
    </w:p>
    <w:p w:rsidR="00C645C9" w:rsidRDefault="00F955D9">
      <w:pPr>
        <w:widowControl w:val="0"/>
        <w:spacing w:line="360" w:lineRule="auto"/>
        <w:ind w:firstLineChars="200" w:firstLine="480"/>
        <w:rPr>
          <w:rFonts w:cs="Times New Roman"/>
        </w:rPr>
      </w:pPr>
      <w:r>
        <w:rPr>
          <w:rFonts w:cs="Times New Roman"/>
        </w:rPr>
        <w:t>综上，本工程正常工况下无废水及固废等污染物外排，不会造成土壤环境污染。如果发生装置泄漏等事故，泄漏的</w:t>
      </w:r>
      <w:r>
        <w:rPr>
          <w:rFonts w:cs="Times New Roman" w:hint="eastAsia"/>
        </w:rPr>
        <w:t>凝析油</w:t>
      </w:r>
      <w:r>
        <w:rPr>
          <w:rFonts w:cs="Times New Roman"/>
        </w:rPr>
        <w:t>会对土壤环境产生一定的影响，泄漏的石油覆盖于地表可使土壤透气性下降、土壤理化性状发生变化。泄漏的油品如果进入土壤，从而使土壤质地、结构发生改变，影响到土地功能，进而影响地表植被的生长。根据环境风险分析可知，本工程风险潜势很低，发生泄漏事故的可能性很小，在做好源头控制、过程防控等措施的前提下，可避免工程实施对土壤环境产生污染影响。</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560" w:name="OLE_LINK504"/>
      <w:r>
        <w:rPr>
          <w:rFonts w:ascii="Times New Roman" w:hAnsi="Times New Roman" w:cs="Times New Roman"/>
          <w:color w:val="auto"/>
          <w:lang w:eastAsia="zh-CN"/>
        </w:rPr>
        <w:t>5.4.3</w:t>
      </w:r>
      <w:r>
        <w:rPr>
          <w:rFonts w:ascii="Times New Roman" w:hAnsi="Times New Roman" w:cs="Times New Roman"/>
          <w:color w:val="auto"/>
          <w:lang w:eastAsia="zh-CN"/>
        </w:rPr>
        <w:t>退役期土壤环境影响分析</w:t>
      </w:r>
    </w:p>
    <w:p w:rsidR="00C645C9" w:rsidRDefault="00F955D9">
      <w:pPr>
        <w:adjustRightInd w:val="0"/>
        <w:snapToGrid w:val="0"/>
        <w:spacing w:line="360" w:lineRule="auto"/>
        <w:ind w:firstLineChars="200" w:firstLine="480"/>
        <w:jc w:val="both"/>
        <w:rPr>
          <w:rFonts w:asciiTheme="majorHAnsi" w:hAnsiTheme="majorHAnsi"/>
          <w:kern w:val="2"/>
          <w:szCs w:val="32"/>
        </w:rPr>
      </w:pPr>
      <w:bookmarkStart w:id="1561" w:name="OLE_LINK660"/>
      <w:r>
        <w:rPr>
          <w:rFonts w:asciiTheme="majorHAnsi" w:hAnsiTheme="majorHAnsi"/>
          <w:kern w:val="2"/>
          <w:szCs w:val="32"/>
        </w:rPr>
        <w:t>退</w:t>
      </w:r>
      <w:bookmarkEnd w:id="1561"/>
      <w:r>
        <w:rPr>
          <w:rFonts w:asciiTheme="majorHAnsi" w:hAnsiTheme="majorHAnsi"/>
          <w:kern w:val="2"/>
          <w:szCs w:val="32"/>
        </w:rPr>
        <w:t>役期拆除设备时所用的时间较少，生活污水、固体废物均妥善处置的情况下，对土壤环境影响很小</w:t>
      </w:r>
      <w:r>
        <w:rPr>
          <w:rFonts w:asciiTheme="majorHAnsi" w:hAnsiTheme="majorHAnsi" w:hint="eastAsia"/>
          <w:kern w:val="2"/>
          <w:szCs w:val="32"/>
        </w:rPr>
        <w:t>。</w:t>
      </w:r>
    </w:p>
    <w:bookmarkEnd w:id="1560"/>
    <w:p w:rsidR="00C645C9" w:rsidRDefault="00F955D9">
      <w:pPr>
        <w:pStyle w:val="3"/>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5.4.4</w:t>
      </w:r>
      <w:r>
        <w:rPr>
          <w:rFonts w:ascii="Times New Roman" w:hAnsi="Times New Roman" w:cs="Times New Roman"/>
          <w:color w:val="auto"/>
          <w:lang w:eastAsia="zh-CN"/>
        </w:rPr>
        <w:t>土壤环境影响评价结论</w:t>
      </w:r>
    </w:p>
    <w:p w:rsidR="00C645C9" w:rsidRDefault="00F955D9">
      <w:pPr>
        <w:adjustRightInd w:val="0"/>
        <w:snapToGrid w:val="0"/>
        <w:spacing w:line="360" w:lineRule="auto"/>
        <w:ind w:firstLineChars="200" w:firstLine="480"/>
        <w:jc w:val="both"/>
        <w:rPr>
          <w:rFonts w:cs="Times New Roman"/>
          <w:kern w:val="2"/>
          <w:szCs w:val="32"/>
        </w:rPr>
      </w:pPr>
      <w:r>
        <w:rPr>
          <w:rFonts w:asciiTheme="majorHAnsi" w:hAnsiTheme="majorHAnsi"/>
          <w:kern w:val="2"/>
          <w:szCs w:val="32"/>
        </w:rPr>
        <w:t>综上，本</w:t>
      </w:r>
      <w:r>
        <w:rPr>
          <w:rFonts w:asciiTheme="majorHAnsi" w:hAnsiTheme="majorHAnsi" w:hint="eastAsia"/>
          <w:kern w:val="2"/>
          <w:szCs w:val="32"/>
        </w:rPr>
        <w:t>工程</w:t>
      </w:r>
      <w:r>
        <w:rPr>
          <w:rFonts w:asciiTheme="majorHAnsi" w:hAnsiTheme="majorHAnsi"/>
          <w:kern w:val="2"/>
          <w:szCs w:val="32"/>
        </w:rPr>
        <w:t>为试采工程</w:t>
      </w:r>
      <w:r>
        <w:rPr>
          <w:rFonts w:asciiTheme="majorHAnsi" w:hAnsiTheme="majorHAnsi"/>
          <w:kern w:val="2"/>
          <w:szCs w:val="32"/>
        </w:rPr>
        <w:t>，天然气采用密闭流程，</w:t>
      </w:r>
      <w:bookmarkStart w:id="1562" w:name="OLE_LINK661"/>
      <w:r>
        <w:rPr>
          <w:rFonts w:asciiTheme="majorHAnsi" w:hAnsiTheme="majorHAnsi" w:hint="eastAsia"/>
          <w:kern w:val="2"/>
          <w:szCs w:val="32"/>
        </w:rPr>
        <w:t>凝析</w:t>
      </w:r>
      <w:bookmarkEnd w:id="1562"/>
      <w:r>
        <w:rPr>
          <w:rFonts w:asciiTheme="majorHAnsi" w:hAnsiTheme="majorHAnsi"/>
          <w:kern w:val="2"/>
          <w:szCs w:val="32"/>
        </w:rPr>
        <w:t>油采用装车拉运，装车过程采用气相平衡，正常工况下无废水及固废等污染物外排，不会造成土壤环境污染。如果发生</w:t>
      </w:r>
      <w:bookmarkStart w:id="1563" w:name="OLE_LINK663"/>
      <w:r>
        <w:rPr>
          <w:rFonts w:asciiTheme="majorHAnsi" w:hAnsiTheme="majorHAnsi" w:hint="eastAsia"/>
          <w:kern w:val="2"/>
          <w:szCs w:val="32"/>
        </w:rPr>
        <w:t>凝析</w:t>
      </w:r>
      <w:r>
        <w:rPr>
          <w:rFonts w:asciiTheme="majorHAnsi" w:hAnsiTheme="majorHAnsi"/>
          <w:kern w:val="2"/>
          <w:szCs w:val="32"/>
        </w:rPr>
        <w:t>油</w:t>
      </w:r>
      <w:bookmarkEnd w:id="1563"/>
      <w:r>
        <w:rPr>
          <w:rFonts w:cs="Times New Roman" w:hint="eastAsia"/>
          <w:snapToGrid w:val="0"/>
          <w:spacing w:val="4"/>
          <w:kern w:val="2"/>
        </w:rPr>
        <w:t>多功能储集器</w:t>
      </w:r>
      <w:r>
        <w:rPr>
          <w:rFonts w:asciiTheme="majorHAnsi" w:hAnsiTheme="majorHAnsi"/>
          <w:kern w:val="2"/>
          <w:szCs w:val="32"/>
        </w:rPr>
        <w:t>泄漏等事故，泄漏的</w:t>
      </w:r>
      <w:r>
        <w:rPr>
          <w:rFonts w:asciiTheme="majorHAnsi" w:hAnsiTheme="majorHAnsi" w:hint="eastAsia"/>
          <w:kern w:val="2"/>
          <w:szCs w:val="32"/>
        </w:rPr>
        <w:t>凝析</w:t>
      </w:r>
      <w:r>
        <w:rPr>
          <w:rFonts w:asciiTheme="majorHAnsi" w:hAnsiTheme="majorHAnsi"/>
          <w:kern w:val="2"/>
          <w:szCs w:val="32"/>
        </w:rPr>
        <w:t>油会对土壤环境产生一定的影响，泄漏的油类物质覆盖于地表可使土壤透气性下降、土壤理化性状发生变化。泄漏的油品如果进入土壤，从而使土壤质地、结构发生改变，影响到土地功能，进而影响地表植被的生长。根据环境风险分析可知，本工程风险</w:t>
      </w:r>
      <w:r>
        <w:rPr>
          <w:rFonts w:asciiTheme="majorHAnsi" w:hAnsiTheme="majorHAnsi"/>
          <w:kern w:val="2"/>
          <w:szCs w:val="32"/>
        </w:rPr>
        <w:lastRenderedPageBreak/>
        <w:t>潜势很低，发生泄漏</w:t>
      </w:r>
      <w:r>
        <w:rPr>
          <w:rFonts w:cs="Times New Roman"/>
          <w:kern w:val="2"/>
          <w:szCs w:val="32"/>
        </w:rPr>
        <w:t>事故的可能性很小，在做好源头控制、过程防控等措施的前提下，可避免</w:t>
      </w:r>
      <w:r>
        <w:rPr>
          <w:rFonts w:cs="Times New Roman"/>
          <w:kern w:val="2"/>
          <w:szCs w:val="32"/>
        </w:rPr>
        <w:t>本工程</w:t>
      </w:r>
      <w:r>
        <w:rPr>
          <w:rFonts w:cs="Times New Roman"/>
          <w:kern w:val="2"/>
          <w:szCs w:val="32"/>
        </w:rPr>
        <w:t>实施对土壤环境产生污染影响</w:t>
      </w:r>
      <w:r>
        <w:rPr>
          <w:rFonts w:cs="Times New Roman"/>
          <w:kern w:val="2"/>
          <w:szCs w:val="32"/>
        </w:rPr>
        <w:t>。</w:t>
      </w:r>
    </w:p>
    <w:p w:rsidR="00C645C9" w:rsidRDefault="00F955D9">
      <w:pPr>
        <w:pStyle w:val="11"/>
        <w:adjustRightInd w:val="0"/>
        <w:snapToGrid w:val="0"/>
        <w:spacing w:line="360" w:lineRule="auto"/>
        <w:rPr>
          <w:snapToGrid w:val="0"/>
          <w:kern w:val="0"/>
          <w:szCs w:val="21"/>
        </w:rPr>
      </w:pPr>
      <w:r>
        <w:rPr>
          <w:snapToGrid w:val="0"/>
          <w:kern w:val="0"/>
          <w:szCs w:val="21"/>
        </w:rPr>
        <w:t>5.4.5</w:t>
      </w:r>
      <w:r>
        <w:rPr>
          <w:snapToGrid w:val="0"/>
          <w:kern w:val="0"/>
          <w:szCs w:val="21"/>
        </w:rPr>
        <w:t>土壤环境影响自查表</w:t>
      </w:r>
    </w:p>
    <w:p w:rsidR="00C645C9" w:rsidRDefault="00F955D9">
      <w:pPr>
        <w:adjustRightInd w:val="0"/>
        <w:snapToGrid w:val="0"/>
        <w:spacing w:line="360" w:lineRule="auto"/>
        <w:ind w:firstLineChars="200" w:firstLine="480"/>
        <w:jc w:val="both"/>
        <w:rPr>
          <w:rFonts w:cs="Times New Roman"/>
          <w:kern w:val="2"/>
          <w:szCs w:val="32"/>
        </w:rPr>
      </w:pPr>
      <w:r>
        <w:rPr>
          <w:rFonts w:cs="Times New Roman"/>
          <w:kern w:val="2"/>
          <w:szCs w:val="32"/>
        </w:rPr>
        <w:t>土壤环境影响自查表详见表</w:t>
      </w:r>
      <w:bookmarkStart w:id="1564" w:name="OLE_LINK664"/>
      <w:r>
        <w:rPr>
          <w:rFonts w:cs="Times New Roman"/>
          <w:kern w:val="2"/>
          <w:szCs w:val="32"/>
        </w:rPr>
        <w:t>5.4-1</w:t>
      </w:r>
      <w:bookmarkEnd w:id="1564"/>
      <w:r>
        <w:rPr>
          <w:rFonts w:cs="Times New Roman"/>
          <w:kern w:val="2"/>
          <w:szCs w:val="32"/>
        </w:rPr>
        <w:t>。</w:t>
      </w:r>
    </w:p>
    <w:p w:rsidR="00C645C9" w:rsidRDefault="00F955D9" w:rsidP="005718BB">
      <w:pPr>
        <w:widowControl w:val="0"/>
        <w:adjustRightInd w:val="0"/>
        <w:snapToGrid w:val="0"/>
        <w:ind w:firstLineChars="196" w:firstLine="412"/>
        <w:jc w:val="center"/>
        <w:rPr>
          <w:rFonts w:cs="Times New Roman"/>
          <w:b/>
          <w:bCs/>
          <w:spacing w:val="5"/>
          <w:sz w:val="21"/>
          <w:szCs w:val="21"/>
        </w:rPr>
      </w:pPr>
      <w:r>
        <w:rPr>
          <w:rFonts w:eastAsia="黑体" w:cs="Times New Roman"/>
          <w:sz w:val="21"/>
          <w:szCs w:val="21"/>
        </w:rPr>
        <w:t>表</w:t>
      </w:r>
      <w:r>
        <w:rPr>
          <w:rFonts w:eastAsia="黑体" w:cs="Times New Roman"/>
          <w:sz w:val="21"/>
          <w:szCs w:val="21"/>
        </w:rPr>
        <w:t>5.4-</w:t>
      </w:r>
      <w:r>
        <w:rPr>
          <w:rFonts w:eastAsia="黑体" w:cs="Times New Roman" w:hint="eastAsia"/>
          <w:sz w:val="21"/>
          <w:szCs w:val="21"/>
        </w:rPr>
        <w:t>1</w:t>
      </w:r>
      <w:r>
        <w:rPr>
          <w:rFonts w:eastAsia="黑体" w:cs="Times New Roman"/>
          <w:sz w:val="21"/>
          <w:szCs w:val="21"/>
        </w:rPr>
        <w:t xml:space="preserve">   </w:t>
      </w:r>
      <w:r>
        <w:rPr>
          <w:rFonts w:eastAsia="黑体" w:cs="Times New Roman"/>
          <w:sz w:val="21"/>
          <w:szCs w:val="21"/>
        </w:rPr>
        <w:t>土壤环境影响自查表</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725"/>
        <w:gridCol w:w="1322"/>
        <w:gridCol w:w="482"/>
        <w:gridCol w:w="871"/>
        <w:gridCol w:w="933"/>
        <w:gridCol w:w="435"/>
        <w:gridCol w:w="1370"/>
        <w:gridCol w:w="1323"/>
      </w:tblGrid>
      <w:tr w:rsidR="00C645C9">
        <w:trPr>
          <w:trHeight w:val="20"/>
          <w:jc w:val="center"/>
        </w:trPr>
        <w:tc>
          <w:tcPr>
            <w:tcW w:w="396" w:type="dxa"/>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工作内容</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eastAsiaTheme="minorEastAsia" w:cs="Times New Roman" w:hint="eastAsia"/>
                <w:kern w:val="2"/>
                <w:sz w:val="21"/>
                <w:szCs w:val="21"/>
              </w:rPr>
              <w:t>新北区块试采工程</w:t>
            </w:r>
          </w:p>
        </w:tc>
        <w:tc>
          <w:tcPr>
            <w:tcW w:w="1323"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备注</w:t>
            </w:r>
          </w:p>
        </w:tc>
      </w:tr>
      <w:tr w:rsidR="00C645C9">
        <w:trPr>
          <w:trHeight w:val="20"/>
          <w:jc w:val="center"/>
        </w:trPr>
        <w:tc>
          <w:tcPr>
            <w:tcW w:w="396" w:type="dxa"/>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影响识别</w:t>
            </w: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影响类型</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污染影响型</w:t>
            </w:r>
            <w:r>
              <w:rPr>
                <w:rFonts w:cs="Times New Roman" w:hint="eastAsia"/>
                <w:sz w:val="21"/>
                <w:szCs w:val="21"/>
              </w:rPr>
              <w:t>□</w:t>
            </w:r>
            <w:r>
              <w:rPr>
                <w:rFonts w:cs="Times New Roman"/>
                <w:sz w:val="21"/>
                <w:szCs w:val="21"/>
              </w:rPr>
              <w:t>；生态影响型</w:t>
            </w:r>
            <w:r>
              <w:rPr>
                <w:rFonts w:cs="Times New Roman" w:hint="eastAsia"/>
                <w:sz w:val="21"/>
                <w:szCs w:val="21"/>
              </w:rPr>
              <w:t>□</w:t>
            </w:r>
            <w:r>
              <w:rPr>
                <w:rFonts w:cs="Times New Roman"/>
                <w:sz w:val="21"/>
                <w:szCs w:val="21"/>
              </w:rPr>
              <w:t>；两种兼有</w:t>
            </w:r>
            <w:r>
              <w:rPr>
                <w:rFonts w:cs="Times New Roman"/>
                <w:sz w:val="21"/>
                <w:szCs w:val="21"/>
              </w:rPr>
              <w:t xml:space="preserve"> </w:t>
            </w:r>
            <w:r>
              <w:rPr>
                <w:rFonts w:cs="Times New Roman"/>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土地利用类型</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建设用地</w:t>
            </w:r>
            <w:r>
              <w:rPr>
                <w:rFonts w:cs="Times New Roman" w:hint="eastAsia"/>
                <w:sz w:val="21"/>
                <w:szCs w:val="21"/>
              </w:rPr>
              <w:t>☑</w:t>
            </w:r>
            <w:r>
              <w:rPr>
                <w:rFonts w:cs="Times New Roman"/>
                <w:sz w:val="21"/>
                <w:szCs w:val="21"/>
              </w:rPr>
              <w:t>；农用地</w:t>
            </w:r>
            <w:r>
              <w:rPr>
                <w:rFonts w:cs="Times New Roman" w:hint="eastAsia"/>
                <w:sz w:val="21"/>
                <w:szCs w:val="21"/>
              </w:rPr>
              <w:t>☑</w:t>
            </w:r>
            <w:r>
              <w:rPr>
                <w:rFonts w:cs="Times New Roman"/>
                <w:sz w:val="21"/>
                <w:szCs w:val="21"/>
              </w:rPr>
              <w:t>；未利用地</w:t>
            </w:r>
            <w:r>
              <w:rPr>
                <w:rFonts w:cs="Times New Roman"/>
                <w:sz w:val="21"/>
                <w:szCs w:val="21"/>
              </w:rPr>
              <w:t>□</w:t>
            </w:r>
          </w:p>
        </w:tc>
        <w:tc>
          <w:tcPr>
            <w:tcW w:w="1323"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土地利用</w:t>
            </w:r>
          </w:p>
          <w:p w:rsidR="00C645C9" w:rsidRDefault="00F955D9">
            <w:pPr>
              <w:widowControl w:val="0"/>
              <w:adjustRightInd w:val="0"/>
              <w:snapToGrid w:val="0"/>
              <w:jc w:val="center"/>
              <w:rPr>
                <w:rFonts w:cs="Times New Roman"/>
                <w:sz w:val="21"/>
                <w:szCs w:val="21"/>
              </w:rPr>
            </w:pPr>
            <w:r>
              <w:rPr>
                <w:rFonts w:cs="Times New Roman"/>
                <w:sz w:val="21"/>
                <w:szCs w:val="21"/>
              </w:rPr>
              <w:t>类型图</w:t>
            </w: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占地规模</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r>
              <w:rPr>
                <w:rFonts w:cs="Times New Roman" w:hint="eastAsia"/>
                <w:sz w:val="21"/>
                <w:szCs w:val="21"/>
              </w:rPr>
              <w:t>4.09</w:t>
            </w:r>
            <w:r>
              <w:rPr>
                <w:rFonts w:cs="Times New Roman"/>
                <w:sz w:val="21"/>
                <w:szCs w:val="21"/>
              </w:rPr>
              <w:t>）</w:t>
            </w:r>
            <w:r>
              <w:rPr>
                <w:rFonts w:cs="Times New Roman"/>
                <w:sz w:val="21"/>
                <w:szCs w:val="21"/>
              </w:rPr>
              <w:t>hm</w:t>
            </w:r>
            <w:r>
              <w:rPr>
                <w:rFonts w:cs="Times New Roman"/>
                <w:sz w:val="21"/>
                <w:szCs w:val="21"/>
                <w:vertAlign w:val="superscript"/>
              </w:rPr>
              <w:t>2</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敏感目标信息</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敏感目标（）、方位（内）、距离（）</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影响途径</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大气沉降</w:t>
            </w:r>
            <w:r>
              <w:rPr>
                <w:rFonts w:cs="Times New Roman" w:hint="eastAsia"/>
                <w:sz w:val="21"/>
                <w:szCs w:val="21"/>
              </w:rPr>
              <w:t>□</w:t>
            </w:r>
            <w:r>
              <w:rPr>
                <w:rFonts w:cs="Times New Roman"/>
                <w:sz w:val="21"/>
                <w:szCs w:val="21"/>
              </w:rPr>
              <w:t>；地面漫流</w:t>
            </w:r>
            <w:r>
              <w:rPr>
                <w:rFonts w:cs="Times New Roman"/>
                <w:sz w:val="21"/>
                <w:szCs w:val="21"/>
              </w:rPr>
              <w:t xml:space="preserve"> </w:t>
            </w:r>
            <w:r>
              <w:rPr>
                <w:rFonts w:cs="Times New Roman" w:hint="eastAsia"/>
                <w:sz w:val="21"/>
                <w:szCs w:val="21"/>
              </w:rPr>
              <w:t>□</w:t>
            </w:r>
            <w:r>
              <w:rPr>
                <w:rFonts w:cs="Times New Roman"/>
                <w:sz w:val="21"/>
                <w:szCs w:val="21"/>
              </w:rPr>
              <w:t>；垂直入渗</w:t>
            </w:r>
            <w:r>
              <w:rPr>
                <w:rFonts w:cs="Times New Roman" w:hint="eastAsia"/>
                <w:sz w:val="21"/>
                <w:szCs w:val="21"/>
              </w:rPr>
              <w:t>☑</w:t>
            </w:r>
            <w:r>
              <w:rPr>
                <w:rFonts w:cs="Times New Roman"/>
                <w:sz w:val="21"/>
                <w:szCs w:val="21"/>
              </w:rPr>
              <w:t>；地下水位</w:t>
            </w:r>
            <w:r>
              <w:rPr>
                <w:rFonts w:cs="Times New Roman" w:hint="eastAsia"/>
                <w:sz w:val="21"/>
                <w:szCs w:val="21"/>
              </w:rPr>
              <w:t>□</w:t>
            </w:r>
            <w:r>
              <w:rPr>
                <w:rFonts w:cs="Times New Roman"/>
                <w:sz w:val="21"/>
                <w:szCs w:val="21"/>
              </w:rPr>
              <w:t>；其他（）</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全部污染物</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石油类</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特征因子</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石油烃</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所属土壤环境影响评价项目类别</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Ⅰ</w:t>
            </w:r>
            <w:r>
              <w:rPr>
                <w:rFonts w:cs="Times New Roman"/>
                <w:sz w:val="21"/>
                <w:szCs w:val="21"/>
              </w:rPr>
              <w:t>类</w:t>
            </w:r>
            <w:r>
              <w:rPr>
                <w:rFonts w:cs="Times New Roman" w:hint="eastAsia"/>
                <w:sz w:val="21"/>
                <w:szCs w:val="21"/>
              </w:rPr>
              <w:t>□</w:t>
            </w:r>
            <w:r>
              <w:rPr>
                <w:rFonts w:cs="Times New Roman"/>
                <w:sz w:val="21"/>
                <w:szCs w:val="21"/>
              </w:rPr>
              <w:t>；</w:t>
            </w:r>
            <w:r>
              <w:rPr>
                <w:rFonts w:cs="Times New Roman"/>
                <w:sz w:val="21"/>
                <w:szCs w:val="21"/>
              </w:rPr>
              <w:t xml:space="preserve"> Ⅱ</w:t>
            </w:r>
            <w:r>
              <w:rPr>
                <w:rFonts w:cs="Times New Roman"/>
                <w:sz w:val="21"/>
                <w:szCs w:val="21"/>
              </w:rPr>
              <w:t>类</w:t>
            </w:r>
            <w:r>
              <w:rPr>
                <w:rFonts w:cs="Times New Roman" w:hint="eastAsia"/>
                <w:sz w:val="21"/>
                <w:szCs w:val="21"/>
              </w:rPr>
              <w:t>☑</w:t>
            </w:r>
            <w:r>
              <w:rPr>
                <w:rFonts w:cs="Times New Roman"/>
                <w:sz w:val="21"/>
                <w:szCs w:val="21"/>
              </w:rPr>
              <w:t>；</w:t>
            </w:r>
            <w:r>
              <w:rPr>
                <w:rFonts w:cs="Times New Roman"/>
                <w:sz w:val="21"/>
                <w:szCs w:val="21"/>
              </w:rPr>
              <w:t xml:space="preserve"> Ⅲ</w:t>
            </w:r>
            <w:r>
              <w:rPr>
                <w:rFonts w:cs="Times New Roman"/>
                <w:sz w:val="21"/>
                <w:szCs w:val="21"/>
              </w:rPr>
              <w:t>类</w:t>
            </w:r>
            <w:r>
              <w:rPr>
                <w:rFonts w:cs="Times New Roman" w:hint="eastAsia"/>
                <w:sz w:val="21"/>
                <w:szCs w:val="21"/>
              </w:rPr>
              <w:t>□</w:t>
            </w:r>
            <w:r>
              <w:rPr>
                <w:rFonts w:cs="Times New Roman"/>
                <w:sz w:val="21"/>
                <w:szCs w:val="21"/>
              </w:rPr>
              <w:t>；</w:t>
            </w:r>
            <w:r>
              <w:rPr>
                <w:rFonts w:cs="Times New Roman"/>
                <w:sz w:val="21"/>
                <w:szCs w:val="21"/>
              </w:rPr>
              <w:t xml:space="preserve"> Ⅳ</w:t>
            </w:r>
            <w:r>
              <w:rPr>
                <w:rFonts w:cs="Times New Roman"/>
                <w:sz w:val="21"/>
                <w:szCs w:val="21"/>
              </w:rPr>
              <w:t>类</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敏感程度</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敏感</w:t>
            </w:r>
            <w:r>
              <w:rPr>
                <w:rFonts w:cs="Times New Roman" w:hint="eastAsia"/>
                <w:sz w:val="21"/>
                <w:szCs w:val="21"/>
              </w:rPr>
              <w:t>☑</w:t>
            </w:r>
            <w:r>
              <w:rPr>
                <w:rFonts w:cs="Times New Roman"/>
                <w:sz w:val="21"/>
                <w:szCs w:val="21"/>
              </w:rPr>
              <w:t>；较敏感</w:t>
            </w:r>
            <w:r>
              <w:rPr>
                <w:rFonts w:cs="Times New Roman" w:hint="eastAsia"/>
                <w:sz w:val="21"/>
                <w:szCs w:val="21"/>
              </w:rPr>
              <w:t>□</w:t>
            </w:r>
            <w:r>
              <w:rPr>
                <w:rFonts w:cs="Times New Roman"/>
                <w:sz w:val="21"/>
                <w:szCs w:val="21"/>
              </w:rPr>
              <w:t>；不敏感</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评价工作等级</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一级</w:t>
            </w:r>
            <w:r>
              <w:rPr>
                <w:rFonts w:cs="Times New Roman" w:hint="eastAsia"/>
                <w:sz w:val="21"/>
                <w:szCs w:val="21"/>
              </w:rPr>
              <w:t>□</w:t>
            </w:r>
            <w:r>
              <w:rPr>
                <w:rFonts w:cs="Times New Roman"/>
                <w:sz w:val="21"/>
                <w:szCs w:val="21"/>
              </w:rPr>
              <w:t>；二级</w:t>
            </w:r>
            <w:r>
              <w:rPr>
                <w:rFonts w:cs="Times New Roman" w:hint="eastAsia"/>
                <w:sz w:val="21"/>
                <w:szCs w:val="21"/>
              </w:rPr>
              <w:t>☑</w:t>
            </w:r>
            <w:r>
              <w:rPr>
                <w:rFonts w:cs="Times New Roman"/>
                <w:sz w:val="21"/>
                <w:szCs w:val="21"/>
              </w:rPr>
              <w:t>；三级</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restart"/>
          </w:tcPr>
          <w:p w:rsidR="00C645C9" w:rsidRDefault="00F955D9">
            <w:pPr>
              <w:widowControl w:val="0"/>
              <w:adjustRightInd w:val="0"/>
              <w:snapToGrid w:val="0"/>
              <w:jc w:val="center"/>
              <w:rPr>
                <w:rFonts w:cs="Times New Roman"/>
                <w:sz w:val="21"/>
                <w:szCs w:val="21"/>
              </w:rPr>
            </w:pPr>
            <w:r>
              <w:rPr>
                <w:rFonts w:cs="Times New Roman"/>
                <w:sz w:val="21"/>
                <w:szCs w:val="21"/>
              </w:rPr>
              <w:t>现状调查内容</w:t>
            </w: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资料收集</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a</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b</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c</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 xml:space="preserve"> d</w:t>
            </w:r>
            <w:r>
              <w:rPr>
                <w:rFonts w:cs="Times New Roman"/>
                <w:sz w:val="21"/>
                <w:szCs w:val="21"/>
              </w:rPr>
              <w:t>）</w:t>
            </w:r>
            <w:r>
              <w:rPr>
                <w:rFonts w:cs="Times New Roman" w:hint="eastAsia"/>
                <w:sz w:val="21"/>
                <w:szCs w:val="21"/>
              </w:rPr>
              <w:t>□</w:t>
            </w:r>
            <w:r>
              <w:rPr>
                <w:rFonts w:cs="Times New Roman"/>
                <w:sz w:val="21"/>
                <w:szCs w:val="21"/>
              </w:rPr>
              <w:t xml:space="preserve"> </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理化特性</w:t>
            </w:r>
          </w:p>
        </w:tc>
        <w:tc>
          <w:tcPr>
            <w:tcW w:w="5413" w:type="dxa"/>
            <w:gridSpan w:val="6"/>
          </w:tcPr>
          <w:p w:rsidR="00C645C9" w:rsidRDefault="00C645C9">
            <w:pPr>
              <w:widowControl w:val="0"/>
              <w:adjustRightInd w:val="0"/>
              <w:snapToGrid w:val="0"/>
              <w:jc w:val="center"/>
              <w:rPr>
                <w:rFonts w:cs="Times New Roman"/>
                <w:sz w:val="21"/>
                <w:szCs w:val="21"/>
              </w:rPr>
            </w:pPr>
          </w:p>
        </w:tc>
        <w:tc>
          <w:tcPr>
            <w:tcW w:w="1323"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同附录</w:t>
            </w:r>
            <w:r>
              <w:rPr>
                <w:rFonts w:cs="Times New Roman"/>
                <w:sz w:val="21"/>
                <w:szCs w:val="21"/>
              </w:rPr>
              <w:t xml:space="preserve"> C</w:t>
            </w: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现状监测点位</w:t>
            </w:r>
          </w:p>
        </w:tc>
        <w:tc>
          <w:tcPr>
            <w:tcW w:w="1322" w:type="dxa"/>
          </w:tcPr>
          <w:p w:rsidR="00C645C9" w:rsidRDefault="00C645C9">
            <w:pPr>
              <w:widowControl w:val="0"/>
              <w:adjustRightInd w:val="0"/>
              <w:snapToGrid w:val="0"/>
              <w:jc w:val="center"/>
              <w:rPr>
                <w:rFonts w:cs="Times New Roman"/>
                <w:sz w:val="21"/>
                <w:szCs w:val="21"/>
              </w:rPr>
            </w:pPr>
          </w:p>
        </w:tc>
        <w:tc>
          <w:tcPr>
            <w:tcW w:w="1353"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占地范围内</w:t>
            </w:r>
          </w:p>
        </w:tc>
        <w:tc>
          <w:tcPr>
            <w:tcW w:w="1368"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占地范围外</w:t>
            </w:r>
          </w:p>
        </w:tc>
        <w:tc>
          <w:tcPr>
            <w:tcW w:w="1370"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深度</w:t>
            </w:r>
          </w:p>
        </w:tc>
        <w:tc>
          <w:tcPr>
            <w:tcW w:w="1323" w:type="dxa"/>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点位</w:t>
            </w:r>
          </w:p>
          <w:p w:rsidR="00C645C9" w:rsidRDefault="00F955D9">
            <w:pPr>
              <w:widowControl w:val="0"/>
              <w:adjustRightInd w:val="0"/>
              <w:snapToGrid w:val="0"/>
              <w:jc w:val="center"/>
              <w:rPr>
                <w:rFonts w:cs="Times New Roman"/>
                <w:sz w:val="21"/>
                <w:szCs w:val="21"/>
              </w:rPr>
            </w:pPr>
            <w:r>
              <w:rPr>
                <w:rFonts w:cs="Times New Roman"/>
                <w:sz w:val="21"/>
                <w:szCs w:val="21"/>
              </w:rPr>
              <w:t>布置图</w:t>
            </w: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Merge/>
            <w:vAlign w:val="center"/>
          </w:tcPr>
          <w:p w:rsidR="00C645C9" w:rsidRDefault="00C645C9">
            <w:pPr>
              <w:widowControl w:val="0"/>
              <w:adjustRightInd w:val="0"/>
              <w:snapToGrid w:val="0"/>
              <w:jc w:val="center"/>
              <w:rPr>
                <w:rFonts w:cs="Times New Roman"/>
                <w:sz w:val="21"/>
                <w:szCs w:val="21"/>
              </w:rPr>
            </w:pPr>
          </w:p>
        </w:tc>
        <w:tc>
          <w:tcPr>
            <w:tcW w:w="1322"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表层样点数</w:t>
            </w:r>
          </w:p>
        </w:tc>
        <w:tc>
          <w:tcPr>
            <w:tcW w:w="1353" w:type="dxa"/>
            <w:gridSpan w:val="2"/>
            <w:vAlign w:val="center"/>
          </w:tcPr>
          <w:p w:rsidR="00C645C9" w:rsidRDefault="00F955D9">
            <w:pPr>
              <w:widowControl w:val="0"/>
              <w:adjustRightInd w:val="0"/>
              <w:snapToGrid w:val="0"/>
              <w:jc w:val="center"/>
              <w:rPr>
                <w:rFonts w:cs="Times New Roman"/>
                <w:sz w:val="21"/>
                <w:szCs w:val="21"/>
              </w:rPr>
            </w:pPr>
            <w:r>
              <w:rPr>
                <w:rFonts w:cs="Times New Roman" w:hint="eastAsia"/>
                <w:sz w:val="21"/>
                <w:szCs w:val="21"/>
              </w:rPr>
              <w:t>3</w:t>
            </w:r>
          </w:p>
        </w:tc>
        <w:tc>
          <w:tcPr>
            <w:tcW w:w="1368" w:type="dxa"/>
            <w:gridSpan w:val="2"/>
            <w:vAlign w:val="center"/>
          </w:tcPr>
          <w:p w:rsidR="00C645C9" w:rsidRDefault="00F955D9">
            <w:pPr>
              <w:widowControl w:val="0"/>
              <w:adjustRightInd w:val="0"/>
              <w:snapToGrid w:val="0"/>
              <w:jc w:val="center"/>
              <w:rPr>
                <w:rFonts w:cs="Times New Roman"/>
                <w:sz w:val="21"/>
                <w:szCs w:val="21"/>
              </w:rPr>
            </w:pPr>
            <w:r>
              <w:rPr>
                <w:rFonts w:cs="Times New Roman" w:hint="eastAsia"/>
                <w:sz w:val="21"/>
                <w:szCs w:val="21"/>
              </w:rPr>
              <w:t>4</w:t>
            </w:r>
          </w:p>
        </w:tc>
        <w:tc>
          <w:tcPr>
            <w:tcW w:w="1370"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20cm</w:t>
            </w:r>
          </w:p>
        </w:tc>
        <w:tc>
          <w:tcPr>
            <w:tcW w:w="1323" w:type="dxa"/>
            <w:vMerge/>
            <w:vAlign w:val="center"/>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Merge/>
            <w:vAlign w:val="center"/>
          </w:tcPr>
          <w:p w:rsidR="00C645C9" w:rsidRDefault="00C645C9">
            <w:pPr>
              <w:widowControl w:val="0"/>
              <w:adjustRightInd w:val="0"/>
              <w:snapToGrid w:val="0"/>
              <w:jc w:val="center"/>
              <w:rPr>
                <w:rFonts w:cs="Times New Roman"/>
                <w:sz w:val="21"/>
                <w:szCs w:val="21"/>
              </w:rPr>
            </w:pPr>
          </w:p>
        </w:tc>
        <w:tc>
          <w:tcPr>
            <w:tcW w:w="1322"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柱状样点数</w:t>
            </w:r>
          </w:p>
        </w:tc>
        <w:tc>
          <w:tcPr>
            <w:tcW w:w="1353" w:type="dxa"/>
            <w:gridSpan w:val="2"/>
            <w:vAlign w:val="center"/>
          </w:tcPr>
          <w:p w:rsidR="00C645C9" w:rsidRDefault="00F955D9">
            <w:pPr>
              <w:widowControl w:val="0"/>
              <w:adjustRightInd w:val="0"/>
              <w:snapToGrid w:val="0"/>
              <w:jc w:val="center"/>
              <w:rPr>
                <w:rFonts w:cs="Times New Roman"/>
                <w:sz w:val="21"/>
                <w:szCs w:val="21"/>
              </w:rPr>
            </w:pPr>
            <w:r>
              <w:rPr>
                <w:rFonts w:cs="Times New Roman" w:hint="eastAsia"/>
                <w:sz w:val="21"/>
                <w:szCs w:val="21"/>
              </w:rPr>
              <w:t>3</w:t>
            </w:r>
          </w:p>
        </w:tc>
        <w:tc>
          <w:tcPr>
            <w:tcW w:w="1368"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c>
          <w:tcPr>
            <w:tcW w:w="1370"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0~0.5m</w:t>
            </w:r>
            <w:r>
              <w:rPr>
                <w:rFonts w:cs="Times New Roman"/>
                <w:sz w:val="21"/>
                <w:szCs w:val="21"/>
              </w:rPr>
              <w:t>，</w:t>
            </w:r>
            <w:r>
              <w:rPr>
                <w:rFonts w:cs="Times New Roman"/>
                <w:sz w:val="21"/>
                <w:szCs w:val="21"/>
              </w:rPr>
              <w:t>0.5~1.5m</w:t>
            </w:r>
            <w:r>
              <w:rPr>
                <w:rFonts w:cs="Times New Roman"/>
                <w:sz w:val="21"/>
                <w:szCs w:val="21"/>
              </w:rPr>
              <w:t>，</w:t>
            </w:r>
            <w:r>
              <w:rPr>
                <w:rFonts w:cs="Times New Roman"/>
                <w:sz w:val="21"/>
                <w:szCs w:val="21"/>
              </w:rPr>
              <w:t>1.5~3m</w:t>
            </w:r>
          </w:p>
        </w:tc>
        <w:tc>
          <w:tcPr>
            <w:tcW w:w="1323" w:type="dxa"/>
            <w:vMerge/>
            <w:vAlign w:val="center"/>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现状监测因子</w:t>
            </w:r>
          </w:p>
        </w:tc>
        <w:tc>
          <w:tcPr>
            <w:tcW w:w="5413" w:type="dxa"/>
            <w:gridSpan w:val="6"/>
            <w:vAlign w:val="center"/>
          </w:tcPr>
          <w:p w:rsidR="00C645C9" w:rsidRDefault="00F955D9">
            <w:pPr>
              <w:widowControl w:val="0"/>
              <w:adjustRightInd w:val="0"/>
              <w:snapToGrid w:val="0"/>
              <w:jc w:val="both"/>
              <w:rPr>
                <w:rFonts w:cs="Times New Roman"/>
                <w:sz w:val="21"/>
                <w:szCs w:val="21"/>
              </w:rPr>
            </w:pPr>
            <w:r>
              <w:rPr>
                <w:rFonts w:cs="Times New Roman"/>
                <w:sz w:val="21"/>
                <w:szCs w:val="21"/>
              </w:rPr>
              <w:t>《土壤环境质量</w:t>
            </w:r>
            <w:r>
              <w:rPr>
                <w:rFonts w:cs="Times New Roman"/>
                <w:sz w:val="21"/>
                <w:szCs w:val="21"/>
              </w:rPr>
              <w:t xml:space="preserve"> </w:t>
            </w:r>
            <w:r>
              <w:rPr>
                <w:rFonts w:cs="Times New Roman"/>
                <w:sz w:val="21"/>
                <w:szCs w:val="21"/>
              </w:rPr>
              <w:t>建设用地土壤污染风险管控标准</w:t>
            </w:r>
            <w:r>
              <w:rPr>
                <w:rFonts w:cs="Times New Roman"/>
                <w:sz w:val="21"/>
                <w:szCs w:val="21"/>
              </w:rPr>
              <w:t>（</w:t>
            </w:r>
            <w:r>
              <w:rPr>
                <w:rFonts w:cs="Times New Roman"/>
                <w:sz w:val="21"/>
                <w:szCs w:val="21"/>
              </w:rPr>
              <w:t>试行</w:t>
            </w:r>
            <w:r>
              <w:rPr>
                <w:rFonts w:cs="Times New Roman"/>
                <w:sz w:val="21"/>
                <w:szCs w:val="21"/>
              </w:rPr>
              <w:t>）</w:t>
            </w:r>
            <w:r>
              <w:rPr>
                <w:rFonts w:cs="Times New Roman"/>
                <w:sz w:val="21"/>
                <w:szCs w:val="21"/>
              </w:rPr>
              <w:t>》（</w:t>
            </w:r>
            <w:r>
              <w:rPr>
                <w:rFonts w:cs="Times New Roman"/>
                <w:sz w:val="21"/>
                <w:szCs w:val="21"/>
              </w:rPr>
              <w:t>GB36600-2018</w:t>
            </w:r>
            <w:r>
              <w:rPr>
                <w:rFonts w:cs="Times New Roman"/>
                <w:sz w:val="21"/>
                <w:szCs w:val="21"/>
              </w:rPr>
              <w:t>）基</w:t>
            </w:r>
            <w:r>
              <w:rPr>
                <w:rFonts w:cs="Times New Roman" w:hint="eastAsia"/>
                <w:sz w:val="21"/>
                <w:szCs w:val="21"/>
              </w:rPr>
              <w:t>本工程</w:t>
            </w:r>
            <w:r>
              <w:rPr>
                <w:rFonts w:cs="Times New Roman"/>
                <w:sz w:val="21"/>
                <w:szCs w:val="21"/>
              </w:rPr>
              <w:t>45</w:t>
            </w:r>
            <w:r>
              <w:rPr>
                <w:rFonts w:cs="Times New Roman"/>
                <w:sz w:val="21"/>
                <w:szCs w:val="21"/>
              </w:rPr>
              <w:t>项和</w:t>
            </w:r>
            <w:r>
              <w:rPr>
                <w:rFonts w:cs="Times New Roman"/>
                <w:sz w:val="21"/>
                <w:szCs w:val="21"/>
              </w:rPr>
              <w:t>pH</w:t>
            </w:r>
            <w:r>
              <w:rPr>
                <w:rFonts w:cs="Times New Roman"/>
                <w:sz w:val="21"/>
                <w:szCs w:val="21"/>
              </w:rPr>
              <w:t>、</w:t>
            </w:r>
            <w:r>
              <w:rPr>
                <w:rFonts w:cs="Times New Roman"/>
                <w:sz w:val="21"/>
                <w:szCs w:val="21"/>
              </w:rPr>
              <w:t>土壤盐分、</w:t>
            </w:r>
            <w:r>
              <w:rPr>
                <w:rFonts w:cs="Times New Roman"/>
                <w:sz w:val="21"/>
                <w:szCs w:val="21"/>
              </w:rPr>
              <w:t>石油烃；《土壤环境质量</w:t>
            </w:r>
            <w:r>
              <w:rPr>
                <w:rFonts w:cs="Times New Roman"/>
                <w:sz w:val="21"/>
                <w:szCs w:val="21"/>
              </w:rPr>
              <w:t xml:space="preserve"> </w:t>
            </w:r>
            <w:r>
              <w:rPr>
                <w:rFonts w:cs="Times New Roman"/>
                <w:sz w:val="21"/>
                <w:szCs w:val="21"/>
              </w:rPr>
              <w:t>农用地土壤污染风险管控标准（试行）》（</w:t>
            </w:r>
            <w:r>
              <w:rPr>
                <w:rFonts w:cs="Times New Roman"/>
                <w:sz w:val="21"/>
                <w:szCs w:val="21"/>
              </w:rPr>
              <w:t>GB15618-2018</w:t>
            </w:r>
            <w:r>
              <w:rPr>
                <w:rFonts w:cs="Times New Roman"/>
                <w:sz w:val="21"/>
                <w:szCs w:val="21"/>
              </w:rPr>
              <w:t>）基</w:t>
            </w:r>
            <w:r>
              <w:rPr>
                <w:rFonts w:cs="Times New Roman" w:hint="eastAsia"/>
                <w:sz w:val="21"/>
                <w:szCs w:val="21"/>
              </w:rPr>
              <w:t>本工程</w:t>
            </w:r>
            <w:r>
              <w:rPr>
                <w:rFonts w:cs="Times New Roman"/>
                <w:sz w:val="21"/>
                <w:szCs w:val="21"/>
              </w:rPr>
              <w:t>8</w:t>
            </w:r>
            <w:r>
              <w:rPr>
                <w:rFonts w:cs="Times New Roman"/>
                <w:sz w:val="21"/>
                <w:szCs w:val="21"/>
              </w:rPr>
              <w:t>项和</w:t>
            </w:r>
            <w:r>
              <w:rPr>
                <w:rFonts w:cs="Times New Roman"/>
                <w:sz w:val="21"/>
                <w:szCs w:val="21"/>
              </w:rPr>
              <w:t>pH</w:t>
            </w:r>
            <w:r>
              <w:rPr>
                <w:rFonts w:cs="Times New Roman"/>
                <w:sz w:val="21"/>
                <w:szCs w:val="21"/>
              </w:rPr>
              <w:t>、石油烃</w:t>
            </w:r>
            <w:r>
              <w:rPr>
                <w:rFonts w:cs="Times New Roman"/>
                <w:sz w:val="21"/>
                <w:szCs w:val="21"/>
              </w:rPr>
              <w:t>、</w:t>
            </w:r>
            <w:r>
              <w:rPr>
                <w:rFonts w:cs="Times New Roman"/>
                <w:sz w:val="21"/>
                <w:szCs w:val="21"/>
              </w:rPr>
              <w:t>土壤盐分</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restart"/>
          </w:tcPr>
          <w:p w:rsidR="00C645C9" w:rsidRDefault="00F955D9">
            <w:pPr>
              <w:widowControl w:val="0"/>
              <w:adjustRightInd w:val="0"/>
              <w:snapToGrid w:val="0"/>
              <w:jc w:val="center"/>
              <w:rPr>
                <w:rFonts w:cs="Times New Roman"/>
                <w:sz w:val="21"/>
                <w:szCs w:val="21"/>
              </w:rPr>
            </w:pPr>
            <w:r>
              <w:rPr>
                <w:rFonts w:cs="Times New Roman"/>
                <w:sz w:val="21"/>
                <w:szCs w:val="21"/>
              </w:rPr>
              <w:t>现状评价</w:t>
            </w: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评价因子</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石油烃等</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评价标准</w:t>
            </w:r>
          </w:p>
        </w:tc>
        <w:tc>
          <w:tcPr>
            <w:tcW w:w="5413" w:type="dxa"/>
            <w:gridSpan w:val="6"/>
            <w:vAlign w:val="center"/>
          </w:tcPr>
          <w:p w:rsidR="00C645C9" w:rsidRDefault="00F955D9">
            <w:pPr>
              <w:widowControl w:val="0"/>
              <w:adjustRightInd w:val="0"/>
              <w:snapToGrid w:val="0"/>
              <w:jc w:val="both"/>
              <w:rPr>
                <w:rFonts w:cs="Times New Roman"/>
                <w:sz w:val="21"/>
                <w:szCs w:val="21"/>
              </w:rPr>
            </w:pPr>
            <w:r>
              <w:rPr>
                <w:rFonts w:cs="Times New Roman"/>
                <w:sz w:val="21"/>
                <w:szCs w:val="21"/>
              </w:rPr>
              <w:t>GB 15618</w:t>
            </w:r>
            <w:r>
              <w:rPr>
                <w:rFonts w:cs="Times New Roman" w:hint="eastAsia"/>
                <w:sz w:val="21"/>
                <w:szCs w:val="21"/>
              </w:rPr>
              <w:t>☑</w:t>
            </w:r>
            <w:r>
              <w:rPr>
                <w:rFonts w:cs="Times New Roman"/>
                <w:sz w:val="21"/>
                <w:szCs w:val="21"/>
              </w:rPr>
              <w:t>；</w:t>
            </w:r>
            <w:r>
              <w:rPr>
                <w:rFonts w:cs="Times New Roman"/>
                <w:sz w:val="21"/>
                <w:szCs w:val="21"/>
              </w:rPr>
              <w:t>GB 36600</w:t>
            </w:r>
            <w:r>
              <w:rPr>
                <w:rFonts w:cs="Times New Roman" w:hint="eastAsia"/>
                <w:sz w:val="21"/>
                <w:szCs w:val="21"/>
              </w:rPr>
              <w:t>☑</w:t>
            </w:r>
            <w:r>
              <w:rPr>
                <w:rFonts w:cs="Times New Roman"/>
                <w:sz w:val="21"/>
                <w:szCs w:val="21"/>
              </w:rPr>
              <w:t>；表</w:t>
            </w:r>
            <w:r>
              <w:rPr>
                <w:rFonts w:cs="Times New Roman"/>
                <w:sz w:val="21"/>
                <w:szCs w:val="21"/>
              </w:rPr>
              <w:t>D.1</w:t>
            </w:r>
            <w:r>
              <w:rPr>
                <w:rFonts w:cs="Times New Roman" w:hint="eastAsia"/>
                <w:sz w:val="21"/>
                <w:szCs w:val="21"/>
              </w:rPr>
              <w:t>□</w:t>
            </w:r>
            <w:r>
              <w:rPr>
                <w:rFonts w:cs="Times New Roman"/>
                <w:sz w:val="21"/>
                <w:szCs w:val="21"/>
              </w:rPr>
              <w:t>；表</w:t>
            </w:r>
            <w:r>
              <w:rPr>
                <w:rFonts w:cs="Times New Roman"/>
                <w:sz w:val="21"/>
                <w:szCs w:val="21"/>
              </w:rPr>
              <w:t>D.2</w:t>
            </w:r>
            <w:r>
              <w:rPr>
                <w:rFonts w:cs="Times New Roman" w:hint="eastAsia"/>
                <w:sz w:val="21"/>
                <w:szCs w:val="21"/>
              </w:rPr>
              <w:t>□</w:t>
            </w:r>
            <w:r>
              <w:rPr>
                <w:rFonts w:cs="Times New Roman"/>
                <w:sz w:val="21"/>
                <w:szCs w:val="21"/>
              </w:rPr>
              <w:t>；其他</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现状评价结论</w:t>
            </w:r>
          </w:p>
        </w:tc>
        <w:tc>
          <w:tcPr>
            <w:tcW w:w="5413" w:type="dxa"/>
            <w:gridSpan w:val="6"/>
          </w:tcPr>
          <w:p w:rsidR="00C645C9" w:rsidRDefault="00F955D9">
            <w:pPr>
              <w:widowControl w:val="0"/>
              <w:adjustRightInd w:val="0"/>
              <w:snapToGrid w:val="0"/>
              <w:jc w:val="center"/>
              <w:rPr>
                <w:rFonts w:cs="Times New Roman"/>
                <w:sz w:val="21"/>
                <w:szCs w:val="21"/>
              </w:rPr>
            </w:pPr>
            <w:r>
              <w:rPr>
                <w:rFonts w:cs="Times New Roman"/>
                <w:sz w:val="21"/>
                <w:szCs w:val="21"/>
              </w:rPr>
              <w:t>土壤中各项监测因子满足《土壤环境质量</w:t>
            </w:r>
            <w:r>
              <w:rPr>
                <w:rFonts w:cs="Times New Roman"/>
                <w:sz w:val="21"/>
                <w:szCs w:val="21"/>
              </w:rPr>
              <w:t xml:space="preserve"> </w:t>
            </w:r>
            <w:r>
              <w:rPr>
                <w:rFonts w:cs="Times New Roman"/>
                <w:sz w:val="21"/>
                <w:szCs w:val="21"/>
              </w:rPr>
              <w:t>建设用地土壤污染风险管控标准（试行）》（</w:t>
            </w:r>
            <w:r>
              <w:rPr>
                <w:rFonts w:cs="Times New Roman"/>
                <w:sz w:val="21"/>
                <w:szCs w:val="21"/>
              </w:rPr>
              <w:t>GB36600-2018</w:t>
            </w:r>
            <w:r>
              <w:rPr>
                <w:rFonts w:cs="Times New Roman"/>
                <w:sz w:val="21"/>
                <w:szCs w:val="21"/>
              </w:rPr>
              <w:t>）第二类用地风险筛选值要求、《土壤环境质量</w:t>
            </w:r>
            <w:r>
              <w:rPr>
                <w:rFonts w:cs="Times New Roman"/>
                <w:sz w:val="21"/>
                <w:szCs w:val="21"/>
              </w:rPr>
              <w:t xml:space="preserve"> </w:t>
            </w:r>
            <w:r>
              <w:rPr>
                <w:rFonts w:cs="Times New Roman"/>
                <w:sz w:val="21"/>
                <w:szCs w:val="21"/>
              </w:rPr>
              <w:t>农用地土壤污染风险管控标准</w:t>
            </w:r>
            <w:r>
              <w:rPr>
                <w:rFonts w:cs="Times New Roman"/>
                <w:sz w:val="21"/>
                <w:szCs w:val="21"/>
              </w:rPr>
              <w:t>（</w:t>
            </w:r>
            <w:r>
              <w:rPr>
                <w:rFonts w:cs="Times New Roman"/>
                <w:sz w:val="21"/>
                <w:szCs w:val="21"/>
              </w:rPr>
              <w:t>试行</w:t>
            </w:r>
            <w:r>
              <w:rPr>
                <w:rFonts w:cs="Times New Roman"/>
                <w:sz w:val="21"/>
                <w:szCs w:val="21"/>
              </w:rPr>
              <w:t>）</w:t>
            </w:r>
            <w:r>
              <w:rPr>
                <w:rFonts w:cs="Times New Roman"/>
                <w:sz w:val="21"/>
                <w:szCs w:val="21"/>
              </w:rPr>
              <w:t>》</w:t>
            </w:r>
            <w:r>
              <w:rPr>
                <w:rFonts w:cs="Times New Roman"/>
                <w:sz w:val="21"/>
                <w:szCs w:val="21"/>
              </w:rPr>
              <w:t>（</w:t>
            </w:r>
            <w:r>
              <w:rPr>
                <w:rFonts w:cs="Times New Roman"/>
                <w:sz w:val="21"/>
                <w:szCs w:val="21"/>
              </w:rPr>
              <w:t>GB15618-2018</w:t>
            </w:r>
            <w:r>
              <w:rPr>
                <w:rFonts w:cs="Times New Roman"/>
                <w:sz w:val="21"/>
                <w:szCs w:val="21"/>
              </w:rPr>
              <w:t>）</w:t>
            </w:r>
            <w:r>
              <w:rPr>
                <w:rFonts w:cs="Times New Roman"/>
                <w:sz w:val="21"/>
                <w:szCs w:val="21"/>
              </w:rPr>
              <w:t xml:space="preserve"> </w:t>
            </w:r>
            <w:r>
              <w:rPr>
                <w:rFonts w:cs="Times New Roman"/>
                <w:sz w:val="21"/>
                <w:szCs w:val="21"/>
              </w:rPr>
              <w:t>筛选值标准要求</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影响预测</w:t>
            </w: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预测因子</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石油烃</w:t>
            </w:r>
            <w:r>
              <w:rPr>
                <w:rFonts w:cs="Times New Roman"/>
                <w:sz w:val="21"/>
                <w:szCs w:val="21"/>
              </w:rPr>
              <w:t>、</w:t>
            </w:r>
            <w:r>
              <w:rPr>
                <w:rFonts w:cs="Times New Roman"/>
                <w:sz w:val="21"/>
                <w:szCs w:val="21"/>
              </w:rPr>
              <w:t>盐分含量</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预测方法</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附录</w:t>
            </w:r>
            <w:r>
              <w:rPr>
                <w:rFonts w:cs="Times New Roman"/>
                <w:sz w:val="21"/>
                <w:szCs w:val="21"/>
              </w:rPr>
              <w:t xml:space="preserve"> E□</w:t>
            </w:r>
            <w:r>
              <w:rPr>
                <w:rFonts w:cs="Times New Roman"/>
                <w:sz w:val="21"/>
                <w:szCs w:val="21"/>
              </w:rPr>
              <w:t>；附录</w:t>
            </w:r>
            <w:r>
              <w:rPr>
                <w:rFonts w:cs="Times New Roman"/>
                <w:sz w:val="21"/>
                <w:szCs w:val="21"/>
              </w:rPr>
              <w:t xml:space="preserve"> F□</w:t>
            </w:r>
            <w:r>
              <w:rPr>
                <w:rFonts w:cs="Times New Roman"/>
                <w:sz w:val="21"/>
                <w:szCs w:val="21"/>
              </w:rPr>
              <w:t>；其他</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预测分析内容</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影响范围</w:t>
            </w:r>
            <w:r>
              <w:rPr>
                <w:rFonts w:cs="Times New Roman" w:hint="eastAsia"/>
                <w:sz w:val="21"/>
                <w:szCs w:val="21"/>
              </w:rPr>
              <w:t>□；</w:t>
            </w:r>
            <w:r>
              <w:rPr>
                <w:rFonts w:cs="Times New Roman"/>
                <w:sz w:val="21"/>
                <w:szCs w:val="21"/>
              </w:rPr>
              <w:t>影响程度</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ign w:val="center"/>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预测结论</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达标结论：</w:t>
            </w:r>
            <w:r>
              <w:rPr>
                <w:rFonts w:cs="Times New Roman"/>
                <w:sz w:val="21"/>
                <w:szCs w:val="21"/>
              </w:rPr>
              <w:t xml:space="preserve"> a</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 xml:space="preserve"> b</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 xml:space="preserve"> c</w:t>
            </w:r>
            <w:r>
              <w:rPr>
                <w:rFonts w:cs="Times New Roman"/>
                <w:sz w:val="21"/>
                <w:szCs w:val="21"/>
              </w:rPr>
              <w:t>）</w:t>
            </w:r>
            <w:r>
              <w:rPr>
                <w:rFonts w:cs="Times New Roman" w:hint="eastAsia"/>
                <w:sz w:val="21"/>
                <w:szCs w:val="21"/>
              </w:rPr>
              <w:t>☑</w:t>
            </w:r>
          </w:p>
          <w:p w:rsidR="00C645C9" w:rsidRDefault="00F955D9">
            <w:pPr>
              <w:widowControl w:val="0"/>
              <w:adjustRightInd w:val="0"/>
              <w:snapToGrid w:val="0"/>
              <w:jc w:val="center"/>
              <w:rPr>
                <w:rFonts w:cs="Times New Roman"/>
                <w:sz w:val="21"/>
                <w:szCs w:val="21"/>
              </w:rPr>
            </w:pPr>
            <w:r>
              <w:rPr>
                <w:rFonts w:cs="Times New Roman"/>
                <w:sz w:val="21"/>
                <w:szCs w:val="21"/>
              </w:rPr>
              <w:t>不达标结论：</w:t>
            </w:r>
            <w:r>
              <w:rPr>
                <w:rFonts w:cs="Times New Roman"/>
                <w:sz w:val="21"/>
                <w:szCs w:val="21"/>
              </w:rPr>
              <w:t xml:space="preserve"> a</w:t>
            </w:r>
            <w:r>
              <w:rPr>
                <w:rFonts w:cs="Times New Roman"/>
                <w:sz w:val="21"/>
                <w:szCs w:val="21"/>
              </w:rPr>
              <w:t>）</w:t>
            </w:r>
            <w:r>
              <w:rPr>
                <w:rFonts w:cs="Times New Roman" w:hint="eastAsia"/>
                <w:sz w:val="21"/>
                <w:szCs w:val="21"/>
              </w:rPr>
              <w:t>□</w:t>
            </w:r>
            <w:r>
              <w:rPr>
                <w:rFonts w:cs="Times New Roman"/>
                <w:sz w:val="21"/>
                <w:szCs w:val="21"/>
              </w:rPr>
              <w:t>；</w:t>
            </w:r>
            <w:r>
              <w:rPr>
                <w:rFonts w:cs="Times New Roman"/>
                <w:sz w:val="21"/>
                <w:szCs w:val="21"/>
              </w:rPr>
              <w:t xml:space="preserve"> b</w:t>
            </w:r>
            <w:r>
              <w:rPr>
                <w:rFonts w:cs="Times New Roman"/>
                <w:sz w:val="21"/>
                <w:szCs w:val="21"/>
              </w:rPr>
              <w:t>）</w:t>
            </w:r>
            <w:r>
              <w:rPr>
                <w:rFonts w:cs="Times New Roman" w:hint="eastAsia"/>
                <w:sz w:val="21"/>
                <w:szCs w:val="21"/>
              </w:rPr>
              <w:t>□</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val="restart"/>
          </w:tcPr>
          <w:p w:rsidR="00C645C9" w:rsidRDefault="00F955D9">
            <w:pPr>
              <w:widowControl w:val="0"/>
              <w:adjustRightInd w:val="0"/>
              <w:snapToGrid w:val="0"/>
              <w:jc w:val="center"/>
              <w:rPr>
                <w:rFonts w:cs="Times New Roman"/>
                <w:sz w:val="21"/>
                <w:szCs w:val="21"/>
              </w:rPr>
            </w:pPr>
            <w:r>
              <w:rPr>
                <w:rFonts w:cs="Times New Roman"/>
                <w:sz w:val="21"/>
                <w:szCs w:val="21"/>
              </w:rPr>
              <w:t>防治措施</w:t>
            </w: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防控措施</w:t>
            </w:r>
          </w:p>
        </w:tc>
        <w:tc>
          <w:tcPr>
            <w:tcW w:w="5413" w:type="dxa"/>
            <w:gridSpan w:val="6"/>
            <w:vAlign w:val="center"/>
          </w:tcPr>
          <w:p w:rsidR="00C645C9" w:rsidRDefault="00F955D9">
            <w:pPr>
              <w:widowControl w:val="0"/>
              <w:adjustRightInd w:val="0"/>
              <w:snapToGrid w:val="0"/>
              <w:jc w:val="center"/>
              <w:rPr>
                <w:rFonts w:cs="Times New Roman"/>
                <w:sz w:val="21"/>
                <w:szCs w:val="21"/>
              </w:rPr>
            </w:pPr>
            <w:r>
              <w:rPr>
                <w:rFonts w:cs="Times New Roman"/>
                <w:sz w:val="21"/>
                <w:szCs w:val="21"/>
              </w:rPr>
              <w:t>土壤环境质量现状保障</w:t>
            </w:r>
            <w:r>
              <w:rPr>
                <w:rFonts w:cs="Times New Roman" w:hint="eastAsia"/>
                <w:sz w:val="21"/>
                <w:szCs w:val="21"/>
              </w:rPr>
              <w:t>☑</w:t>
            </w:r>
            <w:r>
              <w:rPr>
                <w:rFonts w:cs="Times New Roman"/>
                <w:sz w:val="21"/>
                <w:szCs w:val="21"/>
              </w:rPr>
              <w:t>；源头控制</w:t>
            </w:r>
            <w:r>
              <w:rPr>
                <w:rFonts w:cs="Times New Roman" w:hint="eastAsia"/>
                <w:sz w:val="21"/>
                <w:szCs w:val="21"/>
              </w:rPr>
              <w:t>☑</w:t>
            </w:r>
            <w:r>
              <w:rPr>
                <w:rFonts w:cs="Times New Roman"/>
                <w:sz w:val="21"/>
                <w:szCs w:val="21"/>
              </w:rPr>
              <w:t>；过程防控</w:t>
            </w:r>
            <w:r>
              <w:rPr>
                <w:rFonts w:cs="Times New Roman" w:hint="eastAsia"/>
                <w:sz w:val="21"/>
                <w:szCs w:val="21"/>
              </w:rPr>
              <w:t>☑</w:t>
            </w:r>
            <w:r>
              <w:rPr>
                <w:rFonts w:cs="Times New Roman"/>
                <w:sz w:val="21"/>
                <w:szCs w:val="21"/>
              </w:rPr>
              <w:t>；其他（）</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Merge w:val="restart"/>
            <w:vAlign w:val="center"/>
          </w:tcPr>
          <w:p w:rsidR="00C645C9" w:rsidRDefault="00F955D9">
            <w:pPr>
              <w:widowControl w:val="0"/>
              <w:adjustRightInd w:val="0"/>
              <w:snapToGrid w:val="0"/>
              <w:jc w:val="center"/>
              <w:rPr>
                <w:rFonts w:cs="Times New Roman"/>
                <w:sz w:val="21"/>
                <w:szCs w:val="21"/>
              </w:rPr>
            </w:pPr>
            <w:r>
              <w:rPr>
                <w:rFonts w:cs="Times New Roman"/>
                <w:sz w:val="21"/>
                <w:szCs w:val="21"/>
              </w:rPr>
              <w:t>跟踪监测</w:t>
            </w:r>
          </w:p>
        </w:tc>
        <w:tc>
          <w:tcPr>
            <w:tcW w:w="1804"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监测点数</w:t>
            </w:r>
          </w:p>
        </w:tc>
        <w:tc>
          <w:tcPr>
            <w:tcW w:w="1804"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监测指标</w:t>
            </w:r>
          </w:p>
        </w:tc>
        <w:tc>
          <w:tcPr>
            <w:tcW w:w="1805"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监测频次</w:t>
            </w:r>
          </w:p>
        </w:tc>
        <w:tc>
          <w:tcPr>
            <w:tcW w:w="1323" w:type="dxa"/>
            <w:vMerge w:val="restart"/>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Merge/>
            <w:vAlign w:val="center"/>
          </w:tcPr>
          <w:p w:rsidR="00C645C9" w:rsidRDefault="00C645C9">
            <w:pPr>
              <w:widowControl w:val="0"/>
              <w:adjustRightInd w:val="0"/>
              <w:snapToGrid w:val="0"/>
              <w:jc w:val="center"/>
              <w:rPr>
                <w:rFonts w:cs="Times New Roman"/>
                <w:sz w:val="21"/>
                <w:szCs w:val="21"/>
              </w:rPr>
            </w:pPr>
          </w:p>
        </w:tc>
        <w:tc>
          <w:tcPr>
            <w:tcW w:w="1804" w:type="dxa"/>
            <w:gridSpan w:val="2"/>
          </w:tcPr>
          <w:p w:rsidR="00C645C9" w:rsidRDefault="00F955D9">
            <w:pPr>
              <w:widowControl w:val="0"/>
              <w:adjustRightInd w:val="0"/>
              <w:snapToGrid w:val="0"/>
              <w:jc w:val="center"/>
              <w:rPr>
                <w:rFonts w:cs="Times New Roman"/>
                <w:sz w:val="21"/>
                <w:szCs w:val="21"/>
              </w:rPr>
            </w:pPr>
            <w:r>
              <w:rPr>
                <w:rFonts w:cs="Times New Roman" w:hint="eastAsia"/>
                <w:sz w:val="21"/>
                <w:szCs w:val="21"/>
              </w:rPr>
              <w:t>井</w:t>
            </w:r>
            <w:r>
              <w:rPr>
                <w:rFonts w:cs="Times New Roman"/>
                <w:sz w:val="21"/>
                <w:szCs w:val="21"/>
              </w:rPr>
              <w:t>场</w:t>
            </w:r>
          </w:p>
        </w:tc>
        <w:tc>
          <w:tcPr>
            <w:tcW w:w="1804"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石油烃</w:t>
            </w:r>
          </w:p>
        </w:tc>
        <w:tc>
          <w:tcPr>
            <w:tcW w:w="1805" w:type="dxa"/>
            <w:gridSpan w:val="2"/>
            <w:vAlign w:val="center"/>
          </w:tcPr>
          <w:p w:rsidR="00C645C9" w:rsidRDefault="00F955D9">
            <w:pPr>
              <w:widowControl w:val="0"/>
              <w:adjustRightInd w:val="0"/>
              <w:snapToGrid w:val="0"/>
              <w:jc w:val="center"/>
              <w:rPr>
                <w:rFonts w:cs="Times New Roman"/>
                <w:sz w:val="21"/>
                <w:szCs w:val="21"/>
              </w:rPr>
            </w:pPr>
            <w:r>
              <w:rPr>
                <w:rFonts w:cs="Times New Roman"/>
                <w:sz w:val="21"/>
                <w:szCs w:val="21"/>
              </w:rPr>
              <w:t>1</w:t>
            </w:r>
            <w:r>
              <w:rPr>
                <w:rFonts w:cs="Times New Roman"/>
                <w:sz w:val="21"/>
                <w:szCs w:val="21"/>
              </w:rPr>
              <w:t>次</w:t>
            </w:r>
            <w:r>
              <w:rPr>
                <w:rFonts w:cs="Times New Roman"/>
                <w:sz w:val="21"/>
                <w:szCs w:val="21"/>
              </w:rPr>
              <w:t>/3</w:t>
            </w:r>
            <w:r>
              <w:rPr>
                <w:rFonts w:cs="Times New Roman"/>
                <w:sz w:val="21"/>
                <w:szCs w:val="21"/>
              </w:rPr>
              <w:t>年</w:t>
            </w:r>
          </w:p>
        </w:tc>
        <w:tc>
          <w:tcPr>
            <w:tcW w:w="1323" w:type="dxa"/>
            <w:vMerge/>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396" w:type="dxa"/>
            <w:vMerge/>
          </w:tcPr>
          <w:p w:rsidR="00C645C9" w:rsidRDefault="00C645C9">
            <w:pPr>
              <w:widowControl w:val="0"/>
              <w:adjustRightInd w:val="0"/>
              <w:snapToGrid w:val="0"/>
              <w:jc w:val="center"/>
              <w:rPr>
                <w:rFonts w:cs="Times New Roman"/>
                <w:sz w:val="21"/>
                <w:szCs w:val="21"/>
              </w:rPr>
            </w:pPr>
          </w:p>
        </w:tc>
        <w:tc>
          <w:tcPr>
            <w:tcW w:w="1725" w:type="dxa"/>
            <w:vAlign w:val="center"/>
          </w:tcPr>
          <w:p w:rsidR="00C645C9" w:rsidRDefault="00F955D9">
            <w:pPr>
              <w:widowControl w:val="0"/>
              <w:adjustRightInd w:val="0"/>
              <w:snapToGrid w:val="0"/>
              <w:jc w:val="center"/>
              <w:rPr>
                <w:rFonts w:cs="Times New Roman"/>
                <w:sz w:val="21"/>
                <w:szCs w:val="21"/>
              </w:rPr>
            </w:pPr>
            <w:r>
              <w:rPr>
                <w:rFonts w:cs="Times New Roman"/>
                <w:sz w:val="21"/>
                <w:szCs w:val="21"/>
              </w:rPr>
              <w:t>信息公开指标</w:t>
            </w:r>
          </w:p>
        </w:tc>
        <w:tc>
          <w:tcPr>
            <w:tcW w:w="5413" w:type="dxa"/>
            <w:gridSpan w:val="6"/>
          </w:tcPr>
          <w:p w:rsidR="00C645C9" w:rsidRDefault="00C645C9">
            <w:pPr>
              <w:widowControl w:val="0"/>
              <w:adjustRightInd w:val="0"/>
              <w:snapToGrid w:val="0"/>
              <w:jc w:val="center"/>
              <w:rPr>
                <w:rFonts w:cs="Times New Roman"/>
                <w:sz w:val="21"/>
                <w:szCs w:val="21"/>
              </w:rPr>
            </w:pPr>
          </w:p>
        </w:tc>
        <w:tc>
          <w:tcPr>
            <w:tcW w:w="1323" w:type="dxa"/>
            <w:vMerge/>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2121" w:type="dxa"/>
            <w:gridSpan w:val="2"/>
          </w:tcPr>
          <w:p w:rsidR="00C645C9" w:rsidRDefault="00F955D9">
            <w:pPr>
              <w:widowControl w:val="0"/>
              <w:adjustRightInd w:val="0"/>
              <w:snapToGrid w:val="0"/>
              <w:jc w:val="center"/>
              <w:rPr>
                <w:rFonts w:cs="Times New Roman"/>
                <w:sz w:val="21"/>
                <w:szCs w:val="21"/>
              </w:rPr>
            </w:pPr>
            <w:r>
              <w:rPr>
                <w:rFonts w:cs="Times New Roman"/>
                <w:sz w:val="21"/>
                <w:szCs w:val="21"/>
              </w:rPr>
              <w:t>评价结论</w:t>
            </w:r>
          </w:p>
        </w:tc>
        <w:tc>
          <w:tcPr>
            <w:tcW w:w="5413" w:type="dxa"/>
            <w:gridSpan w:val="6"/>
          </w:tcPr>
          <w:p w:rsidR="00C645C9" w:rsidRDefault="00F955D9">
            <w:pPr>
              <w:widowControl w:val="0"/>
              <w:adjustRightInd w:val="0"/>
              <w:snapToGrid w:val="0"/>
              <w:jc w:val="both"/>
              <w:rPr>
                <w:rFonts w:cs="Times New Roman"/>
                <w:sz w:val="21"/>
                <w:szCs w:val="21"/>
              </w:rPr>
            </w:pPr>
            <w:r>
              <w:rPr>
                <w:rFonts w:cs="Times New Roman"/>
                <w:sz w:val="21"/>
                <w:szCs w:val="21"/>
              </w:rPr>
              <w:t>项目区占地范围主要土壤类型是</w:t>
            </w:r>
            <w:r>
              <w:rPr>
                <w:rFonts w:cs="Times New Roman" w:hint="eastAsia"/>
                <w:sz w:val="21"/>
                <w:szCs w:val="21"/>
              </w:rPr>
              <w:t>潮</w:t>
            </w:r>
            <w:r>
              <w:rPr>
                <w:rFonts w:cs="Times New Roman"/>
                <w:sz w:val="21"/>
                <w:szCs w:val="21"/>
              </w:rPr>
              <w:t>土</w:t>
            </w:r>
            <w:r>
              <w:rPr>
                <w:rFonts w:cs="Times New Roman"/>
                <w:sz w:val="21"/>
                <w:szCs w:val="21"/>
              </w:rPr>
              <w:t>。油田开发对土壤影响，呈点块状（如</w:t>
            </w:r>
            <w:r>
              <w:rPr>
                <w:rFonts w:cs="Times New Roman" w:hint="eastAsia"/>
                <w:sz w:val="21"/>
                <w:szCs w:val="21"/>
              </w:rPr>
              <w:t>井</w:t>
            </w:r>
            <w:r>
              <w:rPr>
                <w:rFonts w:cs="Times New Roman"/>
                <w:sz w:val="21"/>
                <w:szCs w:val="21"/>
              </w:rPr>
              <w:t>场</w:t>
            </w:r>
            <w:r>
              <w:rPr>
                <w:rFonts w:cs="Times New Roman"/>
                <w:sz w:val="21"/>
                <w:szCs w:val="21"/>
              </w:rPr>
              <w:t>等）分布，影响范围明确。本</w:t>
            </w:r>
            <w:r>
              <w:rPr>
                <w:rFonts w:cs="Times New Roman"/>
                <w:sz w:val="21"/>
                <w:szCs w:val="21"/>
              </w:rPr>
              <w:t>工程</w:t>
            </w:r>
            <w:r>
              <w:rPr>
                <w:rFonts w:cs="Times New Roman"/>
                <w:sz w:val="21"/>
                <w:szCs w:val="21"/>
              </w:rPr>
              <w:t>在施工期对土壤环境影响较大，运营期一般影响较小。</w:t>
            </w:r>
          </w:p>
        </w:tc>
        <w:tc>
          <w:tcPr>
            <w:tcW w:w="1323" w:type="dxa"/>
          </w:tcPr>
          <w:p w:rsidR="00C645C9" w:rsidRDefault="00C645C9">
            <w:pPr>
              <w:widowControl w:val="0"/>
              <w:adjustRightInd w:val="0"/>
              <w:snapToGrid w:val="0"/>
              <w:jc w:val="center"/>
              <w:rPr>
                <w:rFonts w:cs="Times New Roman"/>
                <w:sz w:val="21"/>
                <w:szCs w:val="21"/>
              </w:rPr>
            </w:pPr>
          </w:p>
        </w:tc>
      </w:tr>
      <w:tr w:rsidR="00C645C9">
        <w:trPr>
          <w:trHeight w:val="20"/>
          <w:jc w:val="center"/>
        </w:trPr>
        <w:tc>
          <w:tcPr>
            <w:tcW w:w="8857" w:type="dxa"/>
            <w:gridSpan w:val="9"/>
          </w:tcPr>
          <w:p w:rsidR="00C645C9" w:rsidRDefault="00F955D9">
            <w:pPr>
              <w:widowControl w:val="0"/>
              <w:adjustRightInd w:val="0"/>
              <w:snapToGrid w:val="0"/>
              <w:jc w:val="center"/>
              <w:rPr>
                <w:rFonts w:cs="Times New Roman"/>
                <w:sz w:val="21"/>
                <w:szCs w:val="21"/>
              </w:rPr>
            </w:pPr>
            <w:r>
              <w:rPr>
                <w:rFonts w:cs="Times New Roman"/>
                <w:sz w:val="21"/>
                <w:szCs w:val="21"/>
              </w:rPr>
              <w:t>注</w:t>
            </w:r>
            <w:r>
              <w:rPr>
                <w:rFonts w:cs="Times New Roman"/>
                <w:sz w:val="21"/>
                <w:szCs w:val="21"/>
              </w:rPr>
              <w:t xml:space="preserve"> 1</w:t>
            </w:r>
            <w:r>
              <w:rPr>
                <w:rFonts w:cs="Times New Roman"/>
                <w:sz w:val="21"/>
                <w:szCs w:val="21"/>
              </w:rPr>
              <w:t>：</w:t>
            </w:r>
            <w:r>
              <w:rPr>
                <w:rFonts w:cs="Times New Roman"/>
                <w:sz w:val="21"/>
                <w:szCs w:val="21"/>
              </w:rPr>
              <w:t xml:space="preserve"> “□”</w:t>
            </w:r>
            <w:r>
              <w:rPr>
                <w:rFonts w:cs="Times New Roman"/>
                <w:sz w:val="21"/>
                <w:szCs w:val="21"/>
              </w:rPr>
              <w:t>为勾选项，可</w:t>
            </w:r>
            <w:r>
              <w:rPr>
                <w:rFonts w:cs="Times New Roman"/>
                <w:sz w:val="21"/>
                <w:szCs w:val="21"/>
              </w:rPr>
              <w:t xml:space="preserve"> √</w:t>
            </w:r>
            <w:r>
              <w:rPr>
                <w:rFonts w:cs="Times New Roman"/>
                <w:sz w:val="21"/>
                <w:szCs w:val="21"/>
              </w:rPr>
              <w:t>；</w:t>
            </w:r>
            <w:r>
              <w:rPr>
                <w:rFonts w:cs="Times New Roman"/>
                <w:sz w:val="21"/>
                <w:szCs w:val="21"/>
              </w:rPr>
              <w:t xml:space="preserve"> “</w:t>
            </w:r>
            <w:r>
              <w:rPr>
                <w:rFonts w:cs="Times New Roman"/>
                <w:sz w:val="21"/>
                <w:szCs w:val="21"/>
              </w:rPr>
              <w:t>（）</w:t>
            </w:r>
            <w:r>
              <w:rPr>
                <w:rFonts w:cs="Times New Roman"/>
                <w:sz w:val="21"/>
                <w:szCs w:val="21"/>
              </w:rPr>
              <w:t xml:space="preserve"> ”</w:t>
            </w:r>
            <w:r>
              <w:rPr>
                <w:rFonts w:cs="Times New Roman"/>
                <w:sz w:val="21"/>
                <w:szCs w:val="21"/>
              </w:rPr>
              <w:t>为内容填写项；</w:t>
            </w:r>
            <w:r>
              <w:rPr>
                <w:rFonts w:cs="Times New Roman"/>
                <w:sz w:val="21"/>
                <w:szCs w:val="21"/>
              </w:rPr>
              <w:t xml:space="preserve"> “</w:t>
            </w:r>
            <w:r>
              <w:rPr>
                <w:rFonts w:cs="Times New Roman"/>
                <w:sz w:val="21"/>
                <w:szCs w:val="21"/>
              </w:rPr>
              <w:t>备注</w:t>
            </w:r>
            <w:r>
              <w:rPr>
                <w:rFonts w:cs="Times New Roman"/>
                <w:sz w:val="21"/>
                <w:szCs w:val="21"/>
              </w:rPr>
              <w:t xml:space="preserve"> ”</w:t>
            </w:r>
            <w:r>
              <w:rPr>
                <w:rFonts w:cs="Times New Roman"/>
                <w:sz w:val="21"/>
                <w:szCs w:val="21"/>
              </w:rPr>
              <w:t>为其他补充内容。注</w:t>
            </w:r>
            <w:r>
              <w:rPr>
                <w:rFonts w:cs="Times New Roman"/>
                <w:sz w:val="21"/>
                <w:szCs w:val="21"/>
              </w:rPr>
              <w:t xml:space="preserve"> 2</w:t>
            </w:r>
            <w:r>
              <w:rPr>
                <w:rFonts w:cs="Times New Roman"/>
                <w:sz w:val="21"/>
                <w:szCs w:val="21"/>
              </w:rPr>
              <w:t>：需要分别开展土壤环境影响</w:t>
            </w:r>
            <w:r>
              <w:rPr>
                <w:rFonts w:cs="Times New Roman" w:hint="eastAsia"/>
                <w:sz w:val="21"/>
                <w:szCs w:val="21"/>
              </w:rPr>
              <w:t>评价</w:t>
            </w:r>
            <w:r>
              <w:rPr>
                <w:rFonts w:cs="Times New Roman"/>
                <w:sz w:val="21"/>
                <w:szCs w:val="21"/>
              </w:rPr>
              <w:t>工作的，分别填写自查表。</w:t>
            </w:r>
          </w:p>
        </w:tc>
      </w:tr>
    </w:tbl>
    <w:p w:rsidR="00C645C9" w:rsidRDefault="00F955D9">
      <w:pPr>
        <w:pStyle w:val="2"/>
        <w:adjustRightInd w:val="0"/>
        <w:snapToGrid w:val="0"/>
        <w:spacing w:after="0" w:line="360" w:lineRule="auto"/>
        <w:rPr>
          <w:rFonts w:ascii="Times New Roman" w:hAnsi="Times New Roman" w:cs="Times New Roman"/>
          <w:color w:val="auto"/>
          <w:lang w:eastAsia="zh-CN"/>
        </w:rPr>
      </w:pPr>
      <w:bookmarkStart w:id="1565" w:name="_Toc22724"/>
      <w:r>
        <w:rPr>
          <w:rFonts w:ascii="Times New Roman" w:hAnsi="Times New Roman" w:cs="Times New Roman"/>
          <w:color w:val="auto"/>
          <w:lang w:eastAsia="zh-CN"/>
        </w:rPr>
        <w:t>5.</w:t>
      </w:r>
      <w:bookmarkEnd w:id="1467"/>
      <w:bookmarkEnd w:id="1468"/>
      <w:bookmarkEnd w:id="1469"/>
      <w:bookmarkEnd w:id="1470"/>
      <w:bookmarkEnd w:id="1471"/>
      <w:bookmarkEnd w:id="1472"/>
      <w:bookmarkEnd w:id="1473"/>
      <w:r>
        <w:rPr>
          <w:rFonts w:ascii="Times New Roman" w:hAnsi="Times New Roman" w:cs="Times New Roman"/>
          <w:color w:val="auto"/>
          <w:lang w:eastAsia="zh-CN"/>
        </w:rPr>
        <w:t>5</w:t>
      </w:r>
      <w:r>
        <w:rPr>
          <w:rFonts w:ascii="Times New Roman" w:hAnsi="Times New Roman" w:cs="Times New Roman"/>
          <w:color w:val="auto"/>
          <w:lang w:eastAsia="zh-CN"/>
        </w:rPr>
        <w:t>大气环境影响评价</w:t>
      </w:r>
      <w:bookmarkEnd w:id="1565"/>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566" w:name="_Toc28186"/>
      <w:bookmarkStart w:id="1567" w:name="_Toc28719"/>
      <w:bookmarkStart w:id="1568" w:name="_Toc5070"/>
      <w:r>
        <w:rPr>
          <w:rFonts w:ascii="Times New Roman" w:hAnsi="Times New Roman" w:cs="Times New Roman"/>
          <w:color w:val="auto"/>
          <w:lang w:eastAsia="zh-CN"/>
        </w:rPr>
        <w:t>5.</w:t>
      </w:r>
      <w:bookmarkEnd w:id="1566"/>
      <w:bookmarkEnd w:id="1567"/>
      <w:bookmarkEnd w:id="1568"/>
      <w:r>
        <w:rPr>
          <w:rFonts w:ascii="Times New Roman" w:hAnsi="Times New Roman" w:cs="Times New Roman"/>
          <w:color w:val="auto"/>
          <w:lang w:eastAsia="zh-CN"/>
        </w:rPr>
        <w:t>5.1</w:t>
      </w:r>
      <w:r>
        <w:rPr>
          <w:rFonts w:ascii="Times New Roman" w:hAnsi="Times New Roman" w:cs="Times New Roman"/>
          <w:color w:val="auto"/>
          <w:lang w:eastAsia="zh-CN"/>
        </w:rPr>
        <w:t>施工期大气环境影响分析</w:t>
      </w:r>
    </w:p>
    <w:p w:rsidR="00C645C9" w:rsidRDefault="00F955D9">
      <w:pPr>
        <w:adjustRightInd w:val="0"/>
        <w:snapToGrid w:val="0"/>
        <w:spacing w:line="360" w:lineRule="auto"/>
        <w:ind w:firstLineChars="200" w:firstLine="480"/>
        <w:rPr>
          <w:rFonts w:cs="Times New Roman"/>
        </w:rPr>
      </w:pPr>
      <w:r>
        <w:rPr>
          <w:rFonts w:cs="Times New Roman"/>
          <w:lang w:bidi="ar"/>
        </w:rPr>
        <w:t>（</w:t>
      </w:r>
      <w:r>
        <w:rPr>
          <w:rFonts w:cs="Times New Roman"/>
          <w:lang w:bidi="ar"/>
        </w:rPr>
        <w:t>1</w:t>
      </w:r>
      <w:r>
        <w:rPr>
          <w:rFonts w:cs="Times New Roman"/>
          <w:lang w:bidi="ar"/>
        </w:rPr>
        <w:t>）</w:t>
      </w:r>
      <w:bookmarkStart w:id="1569" w:name="OLE_LINK1180"/>
      <w:r>
        <w:rPr>
          <w:rFonts w:cs="Times New Roman"/>
          <w:lang w:bidi="ar"/>
        </w:rPr>
        <w:t>钻井废气</w:t>
      </w:r>
      <w:bookmarkEnd w:id="1569"/>
      <w:r>
        <w:rPr>
          <w:rFonts w:cs="Times New Roman"/>
          <w:lang w:bidi="ar"/>
        </w:rPr>
        <w:t>影响分析</w:t>
      </w:r>
    </w:p>
    <w:p w:rsidR="00C645C9" w:rsidRDefault="00F955D9">
      <w:pPr>
        <w:adjustRightInd w:val="0"/>
        <w:snapToGrid w:val="0"/>
        <w:spacing w:line="360" w:lineRule="auto"/>
        <w:ind w:firstLineChars="200" w:firstLine="480"/>
        <w:rPr>
          <w:rFonts w:cs="Times New Roman"/>
        </w:rPr>
      </w:pPr>
      <w:r>
        <w:rPr>
          <w:rFonts w:cs="Times New Roman"/>
          <w:lang w:bidi="ar"/>
        </w:rPr>
        <w:t>本工程</w:t>
      </w:r>
      <w:r>
        <w:rPr>
          <w:rFonts w:cs="Times New Roman"/>
          <w:lang w:bidi="ar"/>
        </w:rPr>
        <w:t>新钻井</w:t>
      </w:r>
      <w:r>
        <w:rPr>
          <w:rFonts w:cs="Times New Roman"/>
          <w:lang w:bidi="ar"/>
        </w:rPr>
        <w:t>1</w:t>
      </w:r>
      <w:r>
        <w:rPr>
          <w:rFonts w:cs="Times New Roman"/>
          <w:lang w:bidi="ar"/>
        </w:rPr>
        <w:t>口（</w:t>
      </w:r>
      <w:r>
        <w:rPr>
          <w:rFonts w:cs="Times New Roman"/>
          <w:lang w:bidi="ar"/>
        </w:rPr>
        <w:t>新北</w:t>
      </w:r>
      <w:r>
        <w:rPr>
          <w:rFonts w:cs="Times New Roman"/>
          <w:lang w:bidi="ar"/>
        </w:rPr>
        <w:t>7</w:t>
      </w:r>
      <w:r>
        <w:rPr>
          <w:rFonts w:cs="Times New Roman"/>
          <w:lang w:bidi="ar"/>
        </w:rPr>
        <w:t>井</w:t>
      </w:r>
      <w:r>
        <w:rPr>
          <w:rFonts w:cs="Times New Roman"/>
          <w:lang w:bidi="ar"/>
        </w:rPr>
        <w:t>）。钻井工程基本作业程序包括确定井位、井场准备、钻井、完井和连接生产管线</w:t>
      </w:r>
      <w:r>
        <w:rPr>
          <w:rFonts w:cs="Times New Roman"/>
          <w:lang w:bidi="ar"/>
        </w:rPr>
        <w:t>5</w:t>
      </w:r>
      <w:r>
        <w:rPr>
          <w:rFonts w:cs="Times New Roman"/>
          <w:lang w:bidi="ar"/>
        </w:rPr>
        <w:t>个主要步骤。</w:t>
      </w:r>
    </w:p>
    <w:p w:rsidR="00C645C9" w:rsidRDefault="00F955D9">
      <w:pPr>
        <w:adjustRightInd w:val="0"/>
        <w:snapToGrid w:val="0"/>
        <w:spacing w:line="360" w:lineRule="auto"/>
        <w:ind w:firstLineChars="200" w:firstLine="480"/>
        <w:rPr>
          <w:rFonts w:cs="Times New Roman"/>
        </w:rPr>
      </w:pPr>
      <w:bookmarkStart w:id="1570" w:name="OLE_LINK1181"/>
      <w:r>
        <w:rPr>
          <w:rFonts w:cs="Times New Roman"/>
          <w:lang w:bidi="ar"/>
        </w:rPr>
        <w:t>本工程钻井期间用电优先由区域现有供电系统提供，柴油发电机作为备用电源。</w:t>
      </w:r>
      <w:bookmarkEnd w:id="1570"/>
      <w:r>
        <w:rPr>
          <w:rFonts w:cs="Times New Roman"/>
          <w:lang w:bidi="ar"/>
        </w:rPr>
        <w:t>燃料燃烧将向大气中排放废气，其中主要的污染物为烃类、</w:t>
      </w:r>
      <w:r>
        <w:rPr>
          <w:rFonts w:cs="Times New Roman"/>
          <w:lang w:bidi="ar"/>
        </w:rPr>
        <w:t>CO</w:t>
      </w:r>
      <w:r>
        <w:rPr>
          <w:rFonts w:cs="Times New Roman"/>
          <w:lang w:bidi="ar"/>
        </w:rPr>
        <w:t>、</w:t>
      </w:r>
      <w:r>
        <w:rPr>
          <w:rFonts w:cs="Times New Roman"/>
          <w:lang w:bidi="ar"/>
        </w:rPr>
        <w:t>NOx</w:t>
      </w:r>
      <w:r>
        <w:rPr>
          <w:rFonts w:cs="Times New Roman"/>
          <w:lang w:bidi="ar"/>
        </w:rPr>
        <w:t>、</w:t>
      </w:r>
      <w:r>
        <w:rPr>
          <w:rFonts w:cs="Times New Roman"/>
          <w:lang w:bidi="ar"/>
        </w:rPr>
        <w:t>SO</w:t>
      </w:r>
      <w:r>
        <w:rPr>
          <w:rFonts w:cs="Times New Roman"/>
          <w:vertAlign w:val="subscript"/>
          <w:lang w:bidi="ar"/>
        </w:rPr>
        <w:t>2</w:t>
      </w:r>
      <w:r>
        <w:rPr>
          <w:rFonts w:cs="Times New Roman"/>
          <w:lang w:bidi="ar"/>
        </w:rPr>
        <w:t>等。本工程使用环保检验合格的柴油发电机，钻井作业柴油机烟气排放集中在钻井施工期的短暂时段，且平均日排放量不大，加之大气环境影响评价范围内地域辽阔，扩散条件较好，因此柴油发电机组废气不会对周围环境产生明显影响</w:t>
      </w:r>
      <w:r>
        <w:rPr>
          <w:rFonts w:cs="Times New Roman" w:hint="eastAsia"/>
          <w:lang w:bidi="ar"/>
        </w:rPr>
        <w:t>。</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hint="eastAsia"/>
        </w:rPr>
        <w:t>2</w:t>
      </w:r>
      <w:r>
        <w:rPr>
          <w:rFonts w:cs="Times New Roman"/>
        </w:rPr>
        <w:t>）施工扬尘</w:t>
      </w:r>
      <w:bookmarkStart w:id="1571" w:name="OLE_LINK1185"/>
      <w:r>
        <w:rPr>
          <w:rFonts w:cs="Times New Roman"/>
        </w:rPr>
        <w:t>影响</w:t>
      </w:r>
      <w:r>
        <w:rPr>
          <w:rFonts w:cs="Times New Roman"/>
        </w:rPr>
        <w:t>分析</w:t>
      </w:r>
      <w:bookmarkEnd w:id="1571"/>
    </w:p>
    <w:p w:rsidR="00C645C9" w:rsidRDefault="00F955D9">
      <w:pPr>
        <w:adjustRightInd w:val="0"/>
        <w:snapToGrid w:val="0"/>
        <w:spacing w:line="360" w:lineRule="auto"/>
        <w:ind w:firstLineChars="200" w:firstLine="480"/>
        <w:jc w:val="both"/>
        <w:rPr>
          <w:rFonts w:cs="Times New Roman"/>
        </w:rPr>
      </w:pPr>
      <w:r>
        <w:rPr>
          <w:rFonts w:cs="Times New Roman"/>
        </w:rPr>
        <w:t>施工扬尘污染主要来自场地平整和车辆运输过程</w:t>
      </w:r>
      <w:r>
        <w:rPr>
          <w:rFonts w:cs="Times New Roman" w:hint="eastAsia"/>
        </w:rPr>
        <w:t>。</w:t>
      </w:r>
      <w:r>
        <w:rPr>
          <w:rFonts w:cs="Times New Roman"/>
        </w:rPr>
        <w:t>地基路基开挖</w:t>
      </w:r>
      <w:r>
        <w:rPr>
          <w:rFonts w:cs="Times New Roman" w:hint="eastAsia"/>
        </w:rPr>
        <w:t>及</w:t>
      </w:r>
      <w:r>
        <w:rPr>
          <w:rFonts w:cs="Times New Roman"/>
        </w:rPr>
        <w:t>土地平整等施工过程，遇大风天气，会造成粉尘、扬尘等大气污染；水泥、砂石</w:t>
      </w:r>
      <w:r>
        <w:rPr>
          <w:rFonts w:cs="Times New Roman" w:hint="eastAsia"/>
        </w:rPr>
        <w:t>及</w:t>
      </w:r>
      <w:r>
        <w:rPr>
          <w:rFonts w:cs="Times New Roman"/>
        </w:rPr>
        <w:t>混凝土</w:t>
      </w:r>
      <w:r>
        <w:rPr>
          <w:rFonts w:cs="Times New Roman"/>
        </w:rPr>
        <w:t>等建筑材料的运输、装卸和仓储过程不可避免会产生一定的泄漏，产生扬尘污染；灰土拌和、混凝土拌和加工都会产生扬尘和粉尘；物料运输车辆在施工场地运行过程中将产生大量尘土。</w:t>
      </w:r>
    </w:p>
    <w:p w:rsidR="00C645C9" w:rsidRDefault="00F955D9">
      <w:pPr>
        <w:adjustRightInd w:val="0"/>
        <w:snapToGrid w:val="0"/>
        <w:spacing w:line="360" w:lineRule="auto"/>
        <w:ind w:firstLineChars="200" w:firstLine="480"/>
        <w:jc w:val="both"/>
        <w:rPr>
          <w:rFonts w:cs="Times New Roman"/>
        </w:rPr>
      </w:pPr>
      <w:r>
        <w:rPr>
          <w:rFonts w:cs="Times New Roman"/>
        </w:rPr>
        <w:t>施工期扬尘最大产生时间出现在土方开挖阶段，由于该阶段裸露浮土较多，产尘量较大。</w:t>
      </w:r>
      <w:r>
        <w:rPr>
          <w:rFonts w:cs="Times New Roman"/>
        </w:rPr>
        <w:t>本工程</w:t>
      </w:r>
      <w:r>
        <w:rPr>
          <w:rFonts w:cs="Times New Roman"/>
        </w:rPr>
        <w:t>的土方运输量较大，比较容易造成物料沿路</w:t>
      </w:r>
      <w:r>
        <w:rPr>
          <w:rFonts w:cs="Times New Roman" w:hint="eastAsia"/>
        </w:rPr>
        <w:t>洒落</w:t>
      </w:r>
      <w:r>
        <w:rPr>
          <w:rFonts w:cs="Times New Roman"/>
        </w:rPr>
        <w:t>后风吹起尘，同时随着大型车辆的行驶和碾压，在工程区内和道路上较易带起扬尘，污染环境。因此必须做到施工现场及场外道路泥土及时清理，减少二次扬尘。</w:t>
      </w:r>
      <w:r>
        <w:rPr>
          <w:rFonts w:cs="Times New Roman" w:hint="eastAsia"/>
        </w:rPr>
        <w:t>本工程</w:t>
      </w:r>
      <w:r>
        <w:rPr>
          <w:rFonts w:cs="Times New Roman"/>
        </w:rPr>
        <w:t>施工在混</w:t>
      </w:r>
      <w:r>
        <w:rPr>
          <w:rFonts w:cs="Times New Roman"/>
        </w:rPr>
        <w:t>凝土</w:t>
      </w:r>
      <w:r>
        <w:rPr>
          <w:rFonts w:cs="Times New Roman"/>
        </w:rPr>
        <w:t>工序阶段，灰土拌和、混凝土拌和是扬尘的主要来源。必须采取封闭作业或洒水措施，控制扬尘量。</w:t>
      </w:r>
    </w:p>
    <w:p w:rsidR="00C645C9" w:rsidRDefault="00F955D9">
      <w:pPr>
        <w:adjustRightInd w:val="0"/>
        <w:snapToGrid w:val="0"/>
        <w:spacing w:line="360" w:lineRule="auto"/>
        <w:ind w:firstLineChars="200" w:firstLine="480"/>
      </w:pPr>
      <w:r>
        <w:rPr>
          <w:rFonts w:cs="Times New Roman" w:hint="eastAsia"/>
        </w:rPr>
        <w:t>施工期</w:t>
      </w:r>
      <w:r>
        <w:rPr>
          <w:rFonts w:cs="Times New Roman"/>
        </w:rPr>
        <w:t>由于地面建筑施工，区块内大量出入中型车辆，车辆行驶的扬尘污染较重，要求采用洒水降尘，在施工场地实施每天洒水抑尘作业</w:t>
      </w:r>
      <w:r>
        <w:rPr>
          <w:rFonts w:cs="Times New Roman"/>
        </w:rPr>
        <w:t>4~5</w:t>
      </w:r>
      <w:r>
        <w:rPr>
          <w:rFonts w:cs="Times New Roman"/>
        </w:rPr>
        <w:t>次，其扬尘造成的污染距离可缩小到</w:t>
      </w:r>
      <w:r>
        <w:rPr>
          <w:rFonts w:cs="Times New Roman"/>
        </w:rPr>
        <w:t>20~50m</w:t>
      </w:r>
      <w:r>
        <w:rPr>
          <w:rFonts w:cs="Times New Roman"/>
        </w:rPr>
        <w:t>范围，减轻污染。合理规划、选择最短的运输路</w:t>
      </w:r>
      <w:r>
        <w:rPr>
          <w:rFonts w:cs="Times New Roman"/>
        </w:rPr>
        <w:lastRenderedPageBreak/>
        <w:t>线，利用油气田现有公路网络，禁止随意开辟道路，运输车辆应以中、低速行驶，减少车辆行驶动力起尘。</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hint="eastAsia"/>
        </w:rPr>
        <w:t>3</w:t>
      </w:r>
      <w:r>
        <w:rPr>
          <w:rFonts w:cs="Times New Roman"/>
        </w:rPr>
        <w:t>）</w:t>
      </w:r>
      <w:bookmarkStart w:id="1572" w:name="OLE_LINK1186"/>
      <w:r>
        <w:rPr>
          <w:rFonts w:cs="Times New Roman"/>
        </w:rPr>
        <w:t>焊接</w:t>
      </w:r>
      <w:r>
        <w:rPr>
          <w:rFonts w:cs="Times New Roman"/>
        </w:rPr>
        <w:t>废气</w:t>
      </w:r>
      <w:bookmarkStart w:id="1573" w:name="OLE_LINK1187"/>
      <w:bookmarkEnd w:id="1572"/>
      <w:r>
        <w:rPr>
          <w:rFonts w:cs="Times New Roman"/>
        </w:rPr>
        <w:t>影响</w:t>
      </w:r>
      <w:r>
        <w:rPr>
          <w:rFonts w:cs="Times New Roman"/>
        </w:rPr>
        <w:t>分析</w:t>
      </w:r>
      <w:bookmarkEnd w:id="1573"/>
    </w:p>
    <w:p w:rsidR="00C645C9" w:rsidRDefault="00F955D9">
      <w:pPr>
        <w:adjustRightInd w:val="0"/>
        <w:snapToGrid w:val="0"/>
        <w:spacing w:line="360" w:lineRule="auto"/>
        <w:ind w:firstLineChars="200" w:firstLine="480"/>
        <w:rPr>
          <w:rFonts w:cs="Times New Roman"/>
        </w:rPr>
      </w:pPr>
      <w:r>
        <w:rPr>
          <w:rFonts w:cs="Times New Roman"/>
          <w:kern w:val="2"/>
        </w:rPr>
        <w:t>金属材质管线连接过程中会产生一定量的</w:t>
      </w:r>
      <w:r>
        <w:rPr>
          <w:rFonts w:cs="Times New Roman"/>
        </w:rPr>
        <w:t>焊接</w:t>
      </w:r>
      <w:r>
        <w:rPr>
          <w:rFonts w:cs="Times New Roman"/>
        </w:rPr>
        <w:t>废气</w:t>
      </w:r>
      <w:r>
        <w:rPr>
          <w:rFonts w:cs="Times New Roman"/>
          <w:kern w:val="2"/>
        </w:rPr>
        <w:t>，污染物主要为颗粒物。管线焊接时间一般都较短，从影响范围和程度来看，</w:t>
      </w:r>
      <w:r>
        <w:rPr>
          <w:rFonts w:cs="Times New Roman"/>
        </w:rPr>
        <w:t>焊接</w:t>
      </w:r>
      <w:r>
        <w:rPr>
          <w:rFonts w:cs="Times New Roman"/>
        </w:rPr>
        <w:t>废气</w:t>
      </w:r>
      <w:r>
        <w:rPr>
          <w:rFonts w:cs="Times New Roman"/>
          <w:szCs w:val="20"/>
        </w:rPr>
        <w:t>对周围大气环境的影响是有限的</w:t>
      </w:r>
      <w:r>
        <w:rPr>
          <w:rFonts w:cs="Times New Roman" w:hint="eastAsia"/>
          <w:szCs w:val="20"/>
        </w:rPr>
        <w:t>。</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hint="eastAsia"/>
        </w:rPr>
        <w:t>4</w:t>
      </w:r>
      <w:r>
        <w:rPr>
          <w:rFonts w:cs="Times New Roman"/>
        </w:rPr>
        <w:t>）施工机械废气及运输车辆尾气</w:t>
      </w:r>
      <w:r>
        <w:rPr>
          <w:rFonts w:cs="Times New Roman"/>
        </w:rPr>
        <w:t>影响</w:t>
      </w:r>
      <w:r>
        <w:rPr>
          <w:rFonts w:cs="Times New Roman"/>
        </w:rPr>
        <w:t>分析</w:t>
      </w:r>
    </w:p>
    <w:p w:rsidR="00C645C9" w:rsidRDefault="00F955D9">
      <w:pPr>
        <w:pStyle w:val="24"/>
        <w:adjustRightInd w:val="0"/>
        <w:snapToGrid w:val="0"/>
        <w:spacing w:after="0" w:line="360" w:lineRule="auto"/>
        <w:ind w:leftChars="0" w:left="0" w:firstLine="480"/>
        <w:jc w:val="both"/>
        <w:rPr>
          <w:rFonts w:ascii="Times New Roman" w:hAnsi="Times New Roman"/>
          <w:b w:val="0"/>
          <w:bCs/>
          <w:sz w:val="24"/>
          <w:szCs w:val="24"/>
        </w:rPr>
      </w:pPr>
      <w:r>
        <w:rPr>
          <w:rFonts w:ascii="Times New Roman" w:hAnsi="Times New Roman"/>
          <w:b w:val="0"/>
          <w:bCs/>
          <w:sz w:val="24"/>
          <w:szCs w:val="24"/>
        </w:rPr>
        <w:t>在油气田</w:t>
      </w:r>
      <w:bookmarkStart w:id="1574" w:name="OLE_LINK1188"/>
      <w:r>
        <w:rPr>
          <w:rFonts w:ascii="Times New Roman" w:hAnsi="Times New Roman"/>
          <w:b w:val="0"/>
          <w:bCs/>
          <w:sz w:val="24"/>
          <w:szCs w:val="24"/>
        </w:rPr>
        <w:t>钻井工程和</w:t>
      </w:r>
      <w:bookmarkEnd w:id="1574"/>
      <w:r>
        <w:rPr>
          <w:rFonts w:ascii="Times New Roman" w:hAnsi="Times New Roman"/>
          <w:b w:val="0"/>
          <w:bCs/>
          <w:sz w:val="24"/>
          <w:szCs w:val="24"/>
        </w:rPr>
        <w:t>地面工程施工中使用多种燃油机动设备和运输车辆，会产生机械设备和车辆内燃机燃料燃烧废气，其污染物主要有</w:t>
      </w:r>
      <w:r>
        <w:rPr>
          <w:rFonts w:ascii="Times New Roman" w:hAnsi="Times New Roman"/>
          <w:b w:val="0"/>
          <w:bCs/>
          <w:sz w:val="24"/>
          <w:szCs w:val="24"/>
        </w:rPr>
        <w:t>SO</w:t>
      </w:r>
      <w:r>
        <w:rPr>
          <w:rFonts w:ascii="Times New Roman" w:hAnsi="Times New Roman"/>
          <w:b w:val="0"/>
          <w:bCs/>
          <w:sz w:val="24"/>
          <w:szCs w:val="24"/>
          <w:vertAlign w:val="subscript"/>
        </w:rPr>
        <w:t>2</w:t>
      </w:r>
      <w:r>
        <w:rPr>
          <w:rFonts w:ascii="Times New Roman" w:hAnsi="Times New Roman"/>
          <w:b w:val="0"/>
          <w:bCs/>
          <w:sz w:val="24"/>
          <w:szCs w:val="24"/>
        </w:rPr>
        <w:t>、</w:t>
      </w:r>
      <w:r>
        <w:rPr>
          <w:rFonts w:ascii="Times New Roman" w:hAnsi="Times New Roman"/>
          <w:b w:val="0"/>
          <w:bCs/>
          <w:sz w:val="24"/>
          <w:szCs w:val="24"/>
        </w:rPr>
        <w:t>NO</w:t>
      </w:r>
      <w:r>
        <w:rPr>
          <w:rFonts w:ascii="Times New Roman" w:hAnsi="Times New Roman"/>
          <w:b w:val="0"/>
          <w:bCs/>
          <w:sz w:val="24"/>
          <w:szCs w:val="24"/>
          <w:vertAlign w:val="subscript"/>
        </w:rPr>
        <w:t>X</w:t>
      </w:r>
      <w:r>
        <w:rPr>
          <w:rFonts w:ascii="Times New Roman" w:hAnsi="Times New Roman"/>
          <w:b w:val="0"/>
          <w:bCs/>
          <w:sz w:val="24"/>
          <w:szCs w:val="24"/>
        </w:rPr>
        <w:t>、</w:t>
      </w:r>
      <w:r>
        <w:rPr>
          <w:rFonts w:ascii="Times New Roman" w:hAnsi="Times New Roman"/>
          <w:b w:val="0"/>
          <w:bCs/>
          <w:sz w:val="24"/>
          <w:szCs w:val="24"/>
          <w:lang w:val="de-DE"/>
        </w:rPr>
        <w:t>C</w:t>
      </w:r>
      <w:r>
        <w:rPr>
          <w:rFonts w:ascii="Times New Roman" w:hAnsi="Times New Roman"/>
          <w:b w:val="0"/>
          <w:bCs/>
          <w:sz w:val="24"/>
          <w:szCs w:val="24"/>
          <w:vertAlign w:val="subscript"/>
          <w:lang w:val="de-DE"/>
        </w:rPr>
        <w:t>m</w:t>
      </w:r>
      <w:r>
        <w:rPr>
          <w:rFonts w:ascii="Times New Roman" w:hAnsi="Times New Roman"/>
          <w:b w:val="0"/>
          <w:bCs/>
          <w:sz w:val="24"/>
          <w:szCs w:val="24"/>
          <w:lang w:val="de-DE"/>
        </w:rPr>
        <w:t>H</w:t>
      </w:r>
      <w:r>
        <w:rPr>
          <w:rFonts w:ascii="Times New Roman" w:hAnsi="Times New Roman"/>
          <w:b w:val="0"/>
          <w:bCs/>
          <w:sz w:val="24"/>
          <w:szCs w:val="24"/>
          <w:vertAlign w:val="subscript"/>
          <w:lang w:val="de-DE"/>
        </w:rPr>
        <w:t>n</w:t>
      </w:r>
      <w:r>
        <w:rPr>
          <w:rFonts w:ascii="Times New Roman" w:hAnsi="Times New Roman"/>
          <w:b w:val="0"/>
          <w:bCs/>
          <w:sz w:val="24"/>
          <w:szCs w:val="24"/>
        </w:rPr>
        <w:t>等</w:t>
      </w:r>
      <w:r>
        <w:rPr>
          <w:rFonts w:ascii="Times New Roman" w:hAnsi="Times New Roman" w:hint="eastAsia"/>
          <w:b w:val="0"/>
          <w:bCs/>
          <w:sz w:val="24"/>
          <w:szCs w:val="24"/>
        </w:rPr>
        <w:t>。</w:t>
      </w:r>
      <w:r>
        <w:rPr>
          <w:rFonts w:ascii="Times New Roman" w:hAnsi="Times New Roman"/>
          <w:b w:val="0"/>
          <w:kern w:val="2"/>
          <w:sz w:val="24"/>
          <w:szCs w:val="24"/>
        </w:rPr>
        <w:t>施工前期准备过程中应检修设备和车辆，保证设备正常稳定运行，燃用合格的燃料，设备和车辆不超负荷运行，从而从源头减少设备和车辆废气对环境的影响。</w:t>
      </w:r>
      <w:r>
        <w:rPr>
          <w:rFonts w:ascii="Times New Roman" w:hAnsi="Times New Roman"/>
          <w:b w:val="0"/>
          <w:bCs/>
          <w:sz w:val="24"/>
          <w:szCs w:val="20"/>
        </w:rPr>
        <w:t>施工机械和运输车辆运行时间一般都较短，</w:t>
      </w:r>
      <w:r>
        <w:rPr>
          <w:rFonts w:ascii="Times New Roman" w:hAnsi="Times New Roman"/>
          <w:b w:val="0"/>
          <w:bCs/>
          <w:kern w:val="2"/>
          <w:sz w:val="24"/>
          <w:szCs w:val="24"/>
        </w:rPr>
        <w:t>对周围大气环境的影响是有限的，其对评价区域空气环境产生的影响可为环境所接受。</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575" w:name="_Toc6355"/>
      <w:bookmarkStart w:id="1576" w:name="_Toc23846"/>
      <w:bookmarkStart w:id="1577" w:name="_Toc19009"/>
      <w:r>
        <w:rPr>
          <w:rFonts w:ascii="Times New Roman" w:hAnsi="Times New Roman" w:cs="Times New Roman"/>
          <w:color w:val="auto"/>
          <w:lang w:eastAsia="zh-CN"/>
        </w:rPr>
        <w:t>5.</w:t>
      </w:r>
      <w:bookmarkStart w:id="1578" w:name="OLE_LINK995"/>
      <w:bookmarkEnd w:id="1575"/>
      <w:bookmarkEnd w:id="1576"/>
      <w:bookmarkEnd w:id="1577"/>
      <w:r>
        <w:rPr>
          <w:rFonts w:ascii="Times New Roman" w:hAnsi="Times New Roman" w:cs="Times New Roman"/>
          <w:color w:val="auto"/>
          <w:lang w:eastAsia="zh-CN"/>
        </w:rPr>
        <w:t>5.2</w:t>
      </w:r>
      <w:bookmarkEnd w:id="1578"/>
      <w:r>
        <w:rPr>
          <w:rFonts w:ascii="Times New Roman" w:hAnsi="Times New Roman" w:cs="Times New Roman"/>
          <w:color w:val="auto"/>
          <w:lang w:eastAsia="zh-CN"/>
        </w:rPr>
        <w:t>运营期大气环境影响评价</w:t>
      </w:r>
    </w:p>
    <w:p w:rsidR="00C645C9" w:rsidRDefault="00F955D9">
      <w:pPr>
        <w:pStyle w:val="4"/>
        <w:adjustRightInd w:val="0"/>
        <w:snapToGrid w:val="0"/>
        <w:rPr>
          <w:rFonts w:ascii="Times New Roman" w:hAnsi="Times New Roman" w:cs="Times New Roman"/>
          <w:color w:val="auto"/>
          <w:lang w:eastAsia="zh-CN"/>
        </w:rPr>
      </w:pPr>
      <w:r>
        <w:rPr>
          <w:rFonts w:ascii="Times New Roman" w:hAnsi="Times New Roman" w:cs="Times New Roman"/>
          <w:color w:val="auto"/>
          <w:lang w:eastAsia="zh-CN"/>
        </w:rPr>
        <w:t>5.5.2.1</w:t>
      </w:r>
      <w:r>
        <w:rPr>
          <w:rFonts w:ascii="Times New Roman" w:hAnsi="Times New Roman" w:cs="Times New Roman"/>
          <w:color w:val="auto"/>
          <w:lang w:eastAsia="zh-CN"/>
        </w:rPr>
        <w:t>区域地面污染气象特征分析</w:t>
      </w:r>
    </w:p>
    <w:p w:rsidR="00C645C9" w:rsidRDefault="00F955D9">
      <w:pPr>
        <w:widowControl w:val="0"/>
        <w:wordWrap w:val="0"/>
        <w:adjustRightInd w:val="0"/>
        <w:snapToGrid w:val="0"/>
        <w:spacing w:line="360" w:lineRule="auto"/>
        <w:ind w:firstLineChars="200" w:firstLine="480"/>
        <w:rPr>
          <w:rFonts w:cs="Times New Roman"/>
          <w:kern w:val="24"/>
        </w:rPr>
      </w:pPr>
      <w:r>
        <w:rPr>
          <w:rFonts w:cs="Times New Roman"/>
          <w:kern w:val="24"/>
        </w:rPr>
        <w:t>（</w:t>
      </w:r>
      <w:r>
        <w:rPr>
          <w:rFonts w:cs="Times New Roman"/>
          <w:kern w:val="24"/>
        </w:rPr>
        <w:t>1</w:t>
      </w:r>
      <w:r>
        <w:rPr>
          <w:rFonts w:cs="Times New Roman"/>
          <w:kern w:val="24"/>
        </w:rPr>
        <w:t>）常规气象资料分析</w:t>
      </w:r>
    </w:p>
    <w:p w:rsidR="00C645C9" w:rsidRDefault="00F955D9">
      <w:pPr>
        <w:adjustRightInd w:val="0"/>
        <w:snapToGrid w:val="0"/>
        <w:spacing w:line="360" w:lineRule="auto"/>
        <w:ind w:firstLineChars="200" w:firstLine="480"/>
        <w:rPr>
          <w:rFonts w:cs="Times New Roman"/>
          <w:kern w:val="24"/>
        </w:rPr>
      </w:pPr>
      <w:bookmarkStart w:id="1579" w:name="OLE_LINK1189"/>
      <w:r>
        <w:rPr>
          <w:rFonts w:cs="Times New Roman"/>
          <w:kern w:val="24"/>
        </w:rPr>
        <w:t>新和县</w:t>
      </w:r>
      <w:bookmarkEnd w:id="1579"/>
      <w:r>
        <w:rPr>
          <w:rFonts w:cs="Times New Roman"/>
          <w:kern w:val="24"/>
        </w:rPr>
        <w:t>地处欧亚大陆腹地，天山中段南麓，塔里木盆地北缘，由于深入大陆腹地，距离水汽源地较远，气候干旱，环境水分的时空分布极少且不均匀，属暖温带大陆干旱性气候。夏季炎热，冬季</w:t>
      </w:r>
      <w:r>
        <w:rPr>
          <w:rFonts w:cs="Times New Roman"/>
        </w:rPr>
        <w:t>干冷</w:t>
      </w:r>
      <w:r>
        <w:rPr>
          <w:rFonts w:cs="Times New Roman"/>
          <w:kern w:val="24"/>
        </w:rPr>
        <w:t>，昼夜温差大，降雪、降雨量少，气候干燥，</w:t>
      </w:r>
      <w:r>
        <w:rPr>
          <w:rFonts w:cs="Times New Roman" w:hint="eastAsia"/>
          <w:kern w:val="24"/>
        </w:rPr>
        <w:t>日</w:t>
      </w:r>
      <w:r>
        <w:rPr>
          <w:rFonts w:cs="Times New Roman"/>
          <w:kern w:val="24"/>
        </w:rPr>
        <w:t>照时间长，光热气候资源丰富。多年平均风速为</w:t>
      </w:r>
      <w:bookmarkStart w:id="1580" w:name="OLE_LINK1190"/>
      <w:r>
        <w:rPr>
          <w:rFonts w:cs="Times New Roman"/>
          <w:kern w:val="24"/>
        </w:rPr>
        <w:t>1.5</w:t>
      </w:r>
      <w:bookmarkEnd w:id="1580"/>
      <w:r>
        <w:rPr>
          <w:rFonts w:cs="Times New Roman"/>
          <w:kern w:val="24"/>
        </w:rPr>
        <w:t>m/s</w:t>
      </w:r>
      <w:r>
        <w:rPr>
          <w:rFonts w:cs="Times New Roman"/>
          <w:kern w:val="24"/>
        </w:rPr>
        <w:t>，最大风速为</w:t>
      </w:r>
      <w:r>
        <w:rPr>
          <w:rFonts w:cs="Times New Roman"/>
          <w:kern w:val="24"/>
        </w:rPr>
        <w:t>2.1m/s</w:t>
      </w:r>
      <w:r>
        <w:rPr>
          <w:rFonts w:cs="Times New Roman"/>
          <w:kern w:val="24"/>
        </w:rPr>
        <w:t>，全年盛行东北风。年平均气温为</w:t>
      </w:r>
      <w:r>
        <w:rPr>
          <w:rFonts w:cs="Times New Roman"/>
          <w:kern w:val="24"/>
        </w:rPr>
        <w:t>11.4℃</w:t>
      </w:r>
      <w:r>
        <w:rPr>
          <w:rFonts w:cs="Times New Roman"/>
          <w:kern w:val="24"/>
        </w:rPr>
        <w:t>，夏季最高气温</w:t>
      </w:r>
      <w:r>
        <w:rPr>
          <w:rFonts w:cs="Times New Roman"/>
          <w:kern w:val="24"/>
        </w:rPr>
        <w:t>25.2℃</w:t>
      </w:r>
      <w:r>
        <w:rPr>
          <w:rFonts w:cs="Times New Roman"/>
          <w:kern w:val="24"/>
        </w:rPr>
        <w:t>，冬季最低气温</w:t>
      </w:r>
      <w:r>
        <w:rPr>
          <w:rFonts w:cs="Times New Roman"/>
          <w:kern w:val="24"/>
        </w:rPr>
        <w:t>-7.4℃</w:t>
      </w:r>
      <w:r>
        <w:rPr>
          <w:rFonts w:cs="Times New Roman"/>
          <w:kern w:val="24"/>
        </w:rPr>
        <w:t>。</w:t>
      </w:r>
    </w:p>
    <w:p w:rsidR="00C645C9" w:rsidRDefault="00F955D9">
      <w:pPr>
        <w:widowControl w:val="0"/>
        <w:wordWrap w:val="0"/>
        <w:adjustRightInd w:val="0"/>
        <w:snapToGrid w:val="0"/>
        <w:spacing w:line="360" w:lineRule="auto"/>
        <w:ind w:firstLineChars="200" w:firstLine="480"/>
        <w:rPr>
          <w:rFonts w:cs="Times New Roman"/>
          <w:kern w:val="24"/>
        </w:rPr>
      </w:pPr>
      <w:r>
        <w:rPr>
          <w:rFonts w:cs="Times New Roman"/>
          <w:kern w:val="24"/>
        </w:rPr>
        <w:t>（</w:t>
      </w:r>
      <w:r>
        <w:rPr>
          <w:rFonts w:cs="Times New Roman"/>
          <w:kern w:val="24"/>
        </w:rPr>
        <w:t>2</w:t>
      </w:r>
      <w:r>
        <w:rPr>
          <w:rFonts w:cs="Times New Roman"/>
          <w:kern w:val="24"/>
        </w:rPr>
        <w:t>）风向、风速</w:t>
      </w:r>
    </w:p>
    <w:p w:rsidR="00C645C9" w:rsidRDefault="00F955D9">
      <w:pPr>
        <w:adjustRightInd w:val="0"/>
        <w:snapToGrid w:val="0"/>
        <w:spacing w:line="360" w:lineRule="auto"/>
        <w:ind w:firstLineChars="200" w:firstLine="480"/>
        <w:rPr>
          <w:rFonts w:cs="Times New Roman"/>
          <w:kern w:val="24"/>
        </w:rPr>
      </w:pPr>
      <w:r>
        <w:rPr>
          <w:rFonts w:cs="Times New Roman"/>
          <w:kern w:val="24"/>
        </w:rPr>
        <w:t>①</w:t>
      </w:r>
      <w:r>
        <w:rPr>
          <w:rFonts w:cs="Times New Roman"/>
          <w:kern w:val="24"/>
        </w:rPr>
        <w:t>全年及四季风向频率分布和平均风速</w:t>
      </w:r>
    </w:p>
    <w:p w:rsidR="00C645C9" w:rsidRDefault="00F955D9">
      <w:pPr>
        <w:adjustRightInd w:val="0"/>
        <w:snapToGrid w:val="0"/>
        <w:spacing w:line="360" w:lineRule="auto"/>
        <w:ind w:firstLineChars="200" w:firstLine="480"/>
        <w:rPr>
          <w:rFonts w:cs="Times New Roman"/>
        </w:rPr>
      </w:pPr>
      <w:r>
        <w:rPr>
          <w:rFonts w:cs="Times New Roman"/>
          <w:kern w:val="24"/>
        </w:rPr>
        <w:t>风向和风速决定了大气污染物的输送方向及速度，对污染物地面浓度影响作用重大。本次环评采用</w:t>
      </w:r>
      <w:r>
        <w:rPr>
          <w:rFonts w:cs="Times New Roman"/>
        </w:rPr>
        <w:t>新和县</w:t>
      </w:r>
      <w:r>
        <w:rPr>
          <w:rFonts w:cs="Times New Roman"/>
        </w:rPr>
        <w:t>气象站</w:t>
      </w:r>
      <w:r>
        <w:rPr>
          <w:rFonts w:cs="Times New Roman"/>
          <w:kern w:val="24"/>
        </w:rPr>
        <w:t>的气象观测数据。地面风速资料进行统计分析</w:t>
      </w:r>
      <w:r>
        <w:rPr>
          <w:rFonts w:cs="Times New Roman"/>
          <w:kern w:val="24"/>
        </w:rPr>
        <w:t>。</w:t>
      </w:r>
      <w:r>
        <w:rPr>
          <w:rFonts w:cs="Times New Roman"/>
        </w:rPr>
        <w:t>新和县</w:t>
      </w:r>
      <w:r>
        <w:rPr>
          <w:rFonts w:cs="Times New Roman"/>
        </w:rPr>
        <w:t>气象站的年平均风速为</w:t>
      </w:r>
      <w:r>
        <w:rPr>
          <w:rFonts w:cs="Times New Roman"/>
        </w:rPr>
        <w:t>1.</w:t>
      </w:r>
      <w:r>
        <w:rPr>
          <w:rFonts w:cs="Times New Roman"/>
        </w:rPr>
        <w:t>5</w:t>
      </w:r>
      <w:r>
        <w:rPr>
          <w:rFonts w:cs="Times New Roman"/>
        </w:rPr>
        <w:t>m/s</w:t>
      </w:r>
      <w:r>
        <w:rPr>
          <w:rFonts w:cs="Times New Roman"/>
        </w:rPr>
        <w:t>，其中以</w:t>
      </w:r>
      <w:r>
        <w:rPr>
          <w:rFonts w:cs="Times New Roman"/>
        </w:rPr>
        <w:t>5</w:t>
      </w:r>
      <w:r>
        <w:rPr>
          <w:rFonts w:cs="Times New Roman"/>
        </w:rPr>
        <w:t>月份风速最大（</w:t>
      </w:r>
      <w:r>
        <w:rPr>
          <w:rFonts w:cs="Times New Roman"/>
        </w:rPr>
        <w:t>2.1</w:t>
      </w:r>
      <w:r>
        <w:rPr>
          <w:rFonts w:cs="Times New Roman"/>
        </w:rPr>
        <w:t>m/s</w:t>
      </w:r>
      <w:r>
        <w:rPr>
          <w:rFonts w:cs="Times New Roman"/>
        </w:rPr>
        <w:t>），以</w:t>
      </w:r>
      <w:r>
        <w:rPr>
          <w:rFonts w:cs="Times New Roman"/>
        </w:rPr>
        <w:t>11</w:t>
      </w:r>
      <w:r>
        <w:rPr>
          <w:rFonts w:cs="Times New Roman"/>
        </w:rPr>
        <w:t>月</w:t>
      </w:r>
      <w:r>
        <w:rPr>
          <w:rFonts w:cs="Times New Roman"/>
        </w:rPr>
        <w:t>、</w:t>
      </w:r>
      <w:r>
        <w:rPr>
          <w:rFonts w:cs="Times New Roman"/>
        </w:rPr>
        <w:t>12</w:t>
      </w:r>
      <w:r>
        <w:rPr>
          <w:rFonts w:cs="Times New Roman"/>
        </w:rPr>
        <w:t>月、</w:t>
      </w:r>
      <w:r>
        <w:rPr>
          <w:rFonts w:cs="Times New Roman"/>
        </w:rPr>
        <w:t>1</w:t>
      </w:r>
      <w:r>
        <w:rPr>
          <w:rFonts w:cs="Times New Roman"/>
        </w:rPr>
        <w:t>月</w:t>
      </w:r>
      <w:r>
        <w:rPr>
          <w:rFonts w:cs="Times New Roman"/>
        </w:rPr>
        <w:t>份风速最小（</w:t>
      </w:r>
      <w:r>
        <w:rPr>
          <w:rFonts w:cs="Times New Roman"/>
        </w:rPr>
        <w:t>1.</w:t>
      </w:r>
      <w:r>
        <w:rPr>
          <w:rFonts w:cs="Times New Roman"/>
        </w:rPr>
        <w:t>1</w:t>
      </w:r>
      <w:r>
        <w:rPr>
          <w:rFonts w:cs="Times New Roman"/>
        </w:rPr>
        <w:t>m/s</w:t>
      </w:r>
      <w:r>
        <w:rPr>
          <w:rFonts w:cs="Times New Roman"/>
        </w:rPr>
        <w:t>），区域各月平均风速统计见表</w:t>
      </w:r>
      <w:r>
        <w:rPr>
          <w:rFonts w:cs="Times New Roman"/>
        </w:rPr>
        <w:t>5.</w:t>
      </w:r>
      <w:r>
        <w:rPr>
          <w:rFonts w:cs="Times New Roman"/>
        </w:rPr>
        <w:t>5</w:t>
      </w:r>
      <w:r>
        <w:rPr>
          <w:rFonts w:cs="Times New Roman"/>
        </w:rPr>
        <w:t>-</w:t>
      </w:r>
      <w:r>
        <w:rPr>
          <w:rFonts w:cs="Times New Roman"/>
        </w:rPr>
        <w:t>2</w:t>
      </w:r>
      <w:r>
        <w:rPr>
          <w:rFonts w:cs="Times New Roman"/>
        </w:rPr>
        <w:t>。平均风速的全年各月变化曲线见图</w:t>
      </w:r>
      <w:r>
        <w:rPr>
          <w:rFonts w:cs="Times New Roman"/>
        </w:rPr>
        <w:t>5.</w:t>
      </w:r>
      <w:r>
        <w:rPr>
          <w:rFonts w:cs="Times New Roman"/>
        </w:rPr>
        <w:t>5</w:t>
      </w:r>
      <w:r>
        <w:rPr>
          <w:rFonts w:cs="Times New Roman"/>
        </w:rPr>
        <w:t>-</w:t>
      </w:r>
      <w:r>
        <w:rPr>
          <w:rFonts w:cs="Times New Roman"/>
        </w:rPr>
        <w:t>2</w:t>
      </w:r>
      <w:r>
        <w:rPr>
          <w:rFonts w:cs="Times New Roman"/>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②</w:t>
      </w:r>
      <w:r>
        <w:rPr>
          <w:rFonts w:cs="Times New Roman"/>
          <w:spacing w:val="4"/>
          <w:kern w:val="24"/>
        </w:rPr>
        <w:t>月平均温度及风速</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lastRenderedPageBreak/>
        <w:t>Ⅰ</w:t>
      </w:r>
      <w:r>
        <w:rPr>
          <w:rFonts w:cs="Times New Roman"/>
          <w:spacing w:val="4"/>
          <w:kern w:val="24"/>
        </w:rPr>
        <w:t>月平均温度统计</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月平均温度统计见表</w:t>
      </w:r>
      <w:r>
        <w:rPr>
          <w:rFonts w:cs="Times New Roman"/>
          <w:spacing w:val="4"/>
          <w:kern w:val="24"/>
        </w:rPr>
        <w:t>5.</w:t>
      </w:r>
      <w:r>
        <w:rPr>
          <w:rFonts w:cs="Times New Roman"/>
          <w:spacing w:val="4"/>
          <w:kern w:val="24"/>
        </w:rPr>
        <w:t>5</w:t>
      </w:r>
      <w:r>
        <w:rPr>
          <w:rFonts w:cs="Times New Roman"/>
          <w:spacing w:val="4"/>
          <w:kern w:val="24"/>
        </w:rPr>
        <w:t>-1</w:t>
      </w:r>
      <w:r>
        <w:rPr>
          <w:rFonts w:cs="Times New Roman"/>
          <w:spacing w:val="4"/>
          <w:kern w:val="24"/>
        </w:rPr>
        <w:t>及图</w:t>
      </w:r>
      <w:r>
        <w:rPr>
          <w:rFonts w:cs="Times New Roman"/>
          <w:spacing w:val="4"/>
          <w:kern w:val="24"/>
        </w:rPr>
        <w:t>5.</w:t>
      </w:r>
      <w:r>
        <w:rPr>
          <w:rFonts w:cs="Times New Roman"/>
          <w:spacing w:val="4"/>
          <w:kern w:val="24"/>
        </w:rPr>
        <w:t>5</w:t>
      </w:r>
      <w:r>
        <w:rPr>
          <w:rFonts w:cs="Times New Roman"/>
          <w:spacing w:val="4"/>
          <w:kern w:val="24"/>
        </w:rPr>
        <w:t>-</w:t>
      </w:r>
      <w:r>
        <w:rPr>
          <w:rFonts w:cs="Times New Roman"/>
          <w:spacing w:val="4"/>
          <w:kern w:val="24"/>
        </w:rPr>
        <w:t>1</w:t>
      </w:r>
      <w:r>
        <w:rPr>
          <w:rFonts w:cs="Times New Roman"/>
          <w:spacing w:val="4"/>
          <w:kern w:val="24"/>
        </w:rPr>
        <w:t>。</w:t>
      </w:r>
    </w:p>
    <w:p w:rsidR="00C645C9" w:rsidRDefault="00F955D9" w:rsidP="005718BB">
      <w:pPr>
        <w:widowControl w:val="0"/>
        <w:adjustRightInd w:val="0"/>
        <w:snapToGrid w:val="0"/>
        <w:ind w:firstLineChars="196" w:firstLine="412"/>
        <w:jc w:val="center"/>
        <w:rPr>
          <w:rFonts w:eastAsia="黑体" w:cs="Times New Roman"/>
          <w:sz w:val="21"/>
          <w:szCs w:val="21"/>
        </w:rPr>
      </w:pPr>
      <w:r>
        <w:rPr>
          <w:rFonts w:eastAsia="黑体" w:cs="Times New Roman"/>
          <w:sz w:val="21"/>
          <w:szCs w:val="21"/>
        </w:rPr>
        <w:t>表</w:t>
      </w:r>
      <w:r>
        <w:rPr>
          <w:rFonts w:eastAsia="黑体" w:cs="Times New Roman"/>
          <w:sz w:val="21"/>
          <w:szCs w:val="21"/>
        </w:rPr>
        <w:t xml:space="preserve">5.5-1   </w:t>
      </w:r>
      <w:r>
        <w:rPr>
          <w:rFonts w:eastAsia="黑体" w:cs="Times New Roman"/>
          <w:sz w:val="21"/>
          <w:szCs w:val="21"/>
        </w:rPr>
        <w:t>平均温度月变化统计表</w:t>
      </w:r>
      <w:r>
        <w:rPr>
          <w:rFonts w:eastAsia="黑体" w:cs="Times New Roman"/>
          <w:sz w:val="21"/>
          <w:szCs w:val="21"/>
        </w:rPr>
        <w:t xml:space="preserve">   </w:t>
      </w:r>
      <w:r>
        <w:rPr>
          <w:rFonts w:eastAsia="黑体" w:cs="Times New Roman"/>
          <w:sz w:val="21"/>
          <w:szCs w:val="21"/>
        </w:rPr>
        <w:t>单位：</w:t>
      </w:r>
      <w:r>
        <w:rPr>
          <w:rFonts w:eastAsia="黑体" w:cs="Times New Roman"/>
          <w:sz w:val="21"/>
          <w:szCs w:val="21"/>
        </w:rPr>
        <w:t>℃</w:t>
      </w:r>
    </w:p>
    <w:tbl>
      <w:tblPr>
        <w:tblW w:w="520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5"/>
        <w:gridCol w:w="607"/>
        <w:gridCol w:w="607"/>
        <w:gridCol w:w="607"/>
        <w:gridCol w:w="607"/>
        <w:gridCol w:w="607"/>
        <w:gridCol w:w="608"/>
        <w:gridCol w:w="608"/>
        <w:gridCol w:w="608"/>
        <w:gridCol w:w="608"/>
        <w:gridCol w:w="687"/>
        <w:gridCol w:w="687"/>
        <w:gridCol w:w="687"/>
        <w:gridCol w:w="687"/>
      </w:tblGrid>
      <w:tr w:rsidR="00C645C9">
        <w:trPr>
          <w:trHeight w:val="268"/>
          <w:jc w:val="center"/>
        </w:trPr>
        <w:tc>
          <w:tcPr>
            <w:tcW w:w="369"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月份</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3</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4</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5</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6</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7</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8</w:t>
            </w:r>
            <w:r>
              <w:t>月</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9</w:t>
            </w:r>
            <w:r>
              <w:t>月</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10</w:t>
            </w:r>
            <w:r>
              <w:t>月</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11</w:t>
            </w:r>
            <w:r>
              <w:t>月</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12</w:t>
            </w:r>
            <w:r>
              <w:t>月</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年</w:t>
            </w:r>
            <w:r>
              <w:rPr>
                <w:rFonts w:hint="eastAsia"/>
              </w:rPr>
              <w:t>均</w:t>
            </w:r>
          </w:p>
        </w:tc>
      </w:tr>
      <w:tr w:rsidR="00C645C9">
        <w:trPr>
          <w:trHeight w:val="508"/>
          <w:jc w:val="center"/>
        </w:trPr>
        <w:tc>
          <w:tcPr>
            <w:tcW w:w="369"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温度</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-7.</w:t>
            </w:r>
            <w:r>
              <w:t>4</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-0.</w:t>
            </w:r>
            <w:r>
              <w:t>8</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7.</w:t>
            </w:r>
            <w:r>
              <w:t>9</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15.</w:t>
            </w:r>
            <w:r>
              <w:t>9</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20.5</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w:t>
            </w:r>
            <w:r>
              <w:t>4.0</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w:t>
            </w:r>
            <w:r>
              <w:t>5.2</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23.</w:t>
            </w:r>
            <w:r>
              <w:t>9</w:t>
            </w:r>
          </w:p>
        </w:tc>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w:t>
            </w:r>
            <w:r>
              <w:t>9.1</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w:t>
            </w:r>
            <w:r>
              <w:t>1.2</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2.</w:t>
            </w:r>
            <w:r>
              <w:t>6</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-5.</w:t>
            </w:r>
            <w:r>
              <w:t>0</w:t>
            </w:r>
          </w:p>
        </w:tc>
        <w:tc>
          <w:tcPr>
            <w:tcW w:w="386"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spacing w:line="240" w:lineRule="auto"/>
            </w:pPr>
            <w:r>
              <w:t>11.4</w:t>
            </w:r>
          </w:p>
        </w:tc>
      </w:tr>
    </w:tbl>
    <w:p w:rsidR="00C645C9" w:rsidRDefault="00C645C9">
      <w:pPr>
        <w:pStyle w:val="aff8"/>
        <w:adjustRightInd w:val="0"/>
        <w:snapToGrid w:val="0"/>
        <w:ind w:firstLineChars="0" w:firstLine="0"/>
        <w:rPr>
          <w:rFonts w:cs="Times New Roman"/>
        </w:rPr>
      </w:pPr>
    </w:p>
    <w:p w:rsidR="00C645C9" w:rsidRDefault="00F955D9" w:rsidP="005718BB">
      <w:pPr>
        <w:widowControl w:val="0"/>
        <w:adjustRightInd w:val="0"/>
        <w:snapToGrid w:val="0"/>
        <w:ind w:firstLineChars="196" w:firstLine="412"/>
        <w:jc w:val="center"/>
        <w:rPr>
          <w:rFonts w:eastAsia="黑体" w:cs="Times New Roman"/>
          <w:sz w:val="21"/>
          <w:szCs w:val="21"/>
        </w:rPr>
      </w:pPr>
      <w:r>
        <w:rPr>
          <w:rFonts w:eastAsia="黑体" w:cs="Times New Roman"/>
          <w:sz w:val="21"/>
          <w:szCs w:val="21"/>
        </w:rPr>
        <w:t>图</w:t>
      </w:r>
      <w:r>
        <w:rPr>
          <w:rFonts w:eastAsia="黑体" w:cs="Times New Roman"/>
          <w:sz w:val="21"/>
          <w:szCs w:val="21"/>
        </w:rPr>
        <w:t xml:space="preserve">5.5-1   </w:t>
      </w:r>
      <w:r>
        <w:rPr>
          <w:rFonts w:eastAsia="黑体" w:cs="Times New Roman"/>
          <w:sz w:val="21"/>
          <w:szCs w:val="21"/>
        </w:rPr>
        <w:t>平均温度月变化统计图</w:t>
      </w:r>
    </w:p>
    <w:p w:rsidR="00C645C9" w:rsidRDefault="00F955D9">
      <w:pPr>
        <w:spacing w:line="360" w:lineRule="auto"/>
        <w:ind w:firstLineChars="200" w:firstLine="496"/>
        <w:rPr>
          <w:rFonts w:cs="Times New Roman"/>
          <w:spacing w:val="4"/>
          <w:kern w:val="24"/>
        </w:rPr>
      </w:pPr>
      <w:r>
        <w:rPr>
          <w:rFonts w:cs="Times New Roman"/>
          <w:spacing w:val="4"/>
          <w:kern w:val="24"/>
        </w:rPr>
        <w:t>由表</w:t>
      </w:r>
      <w:r>
        <w:rPr>
          <w:rFonts w:cs="Times New Roman"/>
          <w:spacing w:val="4"/>
          <w:kern w:val="24"/>
        </w:rPr>
        <w:t>5.</w:t>
      </w:r>
      <w:r>
        <w:rPr>
          <w:rFonts w:cs="Times New Roman"/>
          <w:spacing w:val="4"/>
          <w:kern w:val="24"/>
        </w:rPr>
        <w:t>5</w:t>
      </w:r>
      <w:r>
        <w:rPr>
          <w:rFonts w:cs="Times New Roman"/>
          <w:spacing w:val="4"/>
          <w:kern w:val="24"/>
        </w:rPr>
        <w:t>-1</w:t>
      </w:r>
      <w:r>
        <w:rPr>
          <w:rFonts w:cs="Times New Roman"/>
          <w:spacing w:val="4"/>
          <w:kern w:val="24"/>
        </w:rPr>
        <w:t>和图</w:t>
      </w:r>
      <w:r>
        <w:rPr>
          <w:rFonts w:cs="Times New Roman"/>
          <w:spacing w:val="4"/>
          <w:kern w:val="24"/>
        </w:rPr>
        <w:t>5.</w:t>
      </w:r>
      <w:r>
        <w:rPr>
          <w:rFonts w:cs="Times New Roman"/>
          <w:spacing w:val="4"/>
          <w:kern w:val="24"/>
        </w:rPr>
        <w:t>5</w:t>
      </w:r>
      <w:r>
        <w:rPr>
          <w:rFonts w:cs="Times New Roman"/>
          <w:spacing w:val="4"/>
          <w:kern w:val="24"/>
        </w:rPr>
        <w:t>-</w:t>
      </w:r>
      <w:r>
        <w:rPr>
          <w:rFonts w:cs="Times New Roman"/>
          <w:spacing w:val="4"/>
          <w:kern w:val="24"/>
        </w:rPr>
        <w:t>1</w:t>
      </w:r>
      <w:r>
        <w:rPr>
          <w:rFonts w:cs="Times New Roman"/>
          <w:spacing w:val="4"/>
          <w:kern w:val="24"/>
        </w:rPr>
        <w:t>可见，新和县气温变化明显，四季分明，其中冬季</w:t>
      </w:r>
      <w:r>
        <w:rPr>
          <w:rFonts w:cs="Times New Roman"/>
          <w:spacing w:val="4"/>
          <w:kern w:val="24"/>
        </w:rPr>
        <w:t>12</w:t>
      </w:r>
      <w:r>
        <w:rPr>
          <w:rFonts w:cs="Times New Roman"/>
          <w:spacing w:val="4"/>
          <w:kern w:val="24"/>
        </w:rPr>
        <w:t>月、</w:t>
      </w:r>
      <w:r>
        <w:rPr>
          <w:rFonts w:cs="Times New Roman"/>
          <w:spacing w:val="4"/>
          <w:kern w:val="24"/>
        </w:rPr>
        <w:t>1</w:t>
      </w:r>
      <w:r>
        <w:rPr>
          <w:rFonts w:cs="Times New Roman"/>
          <w:spacing w:val="4"/>
          <w:kern w:val="24"/>
        </w:rPr>
        <w:t>月、</w:t>
      </w:r>
      <w:r>
        <w:rPr>
          <w:rFonts w:cs="Times New Roman"/>
          <w:spacing w:val="4"/>
          <w:kern w:val="24"/>
        </w:rPr>
        <w:t>2</w:t>
      </w:r>
      <w:r>
        <w:rPr>
          <w:rFonts w:cs="Times New Roman"/>
          <w:spacing w:val="4"/>
          <w:kern w:val="24"/>
        </w:rPr>
        <w:t>月平均气温在冰点以下，以</w:t>
      </w:r>
      <w:r>
        <w:rPr>
          <w:rFonts w:cs="Times New Roman"/>
          <w:spacing w:val="4"/>
          <w:kern w:val="24"/>
        </w:rPr>
        <w:t>1</w:t>
      </w:r>
      <w:r>
        <w:rPr>
          <w:rFonts w:cs="Times New Roman"/>
          <w:spacing w:val="4"/>
          <w:kern w:val="24"/>
        </w:rPr>
        <w:t>月气温最低，为</w:t>
      </w:r>
      <w:r>
        <w:rPr>
          <w:rFonts w:cs="Times New Roman"/>
          <w:spacing w:val="4"/>
          <w:kern w:val="24"/>
        </w:rPr>
        <w:t>-7.4℃</w:t>
      </w:r>
      <w:r>
        <w:rPr>
          <w:rFonts w:cs="Times New Roman"/>
          <w:spacing w:val="4"/>
          <w:kern w:val="24"/>
        </w:rPr>
        <w:t>；夏季</w:t>
      </w:r>
      <w:r>
        <w:rPr>
          <w:rFonts w:cs="Times New Roman"/>
          <w:spacing w:val="4"/>
          <w:kern w:val="24"/>
        </w:rPr>
        <w:t>7</w:t>
      </w:r>
      <w:r>
        <w:rPr>
          <w:rFonts w:cs="Times New Roman"/>
          <w:spacing w:val="4"/>
          <w:kern w:val="24"/>
        </w:rPr>
        <w:t>月温度最高，平均气温为</w:t>
      </w:r>
      <w:r>
        <w:rPr>
          <w:rFonts w:cs="Times New Roman"/>
          <w:spacing w:val="4"/>
          <w:kern w:val="24"/>
        </w:rPr>
        <w:t>25.2℃</w:t>
      </w:r>
      <w:r>
        <w:rPr>
          <w:rFonts w:cs="Times New Roman"/>
          <w:spacing w:val="4"/>
          <w:kern w:val="24"/>
        </w:rPr>
        <w:t>。</w:t>
      </w:r>
    </w:p>
    <w:p w:rsidR="00C645C9" w:rsidRDefault="00F955D9">
      <w:pPr>
        <w:spacing w:line="360" w:lineRule="auto"/>
        <w:ind w:firstLineChars="200" w:firstLine="496"/>
        <w:rPr>
          <w:rFonts w:cs="Times New Roman"/>
          <w:spacing w:val="4"/>
          <w:kern w:val="24"/>
        </w:rPr>
      </w:pPr>
      <w:r>
        <w:rPr>
          <w:rFonts w:cs="Times New Roman"/>
          <w:spacing w:val="4"/>
          <w:kern w:val="24"/>
        </w:rPr>
        <w:t>Ⅱ</w:t>
      </w:r>
      <w:r>
        <w:rPr>
          <w:rFonts w:cs="Times New Roman"/>
          <w:spacing w:val="4"/>
          <w:kern w:val="24"/>
        </w:rPr>
        <w:t>月平均风速统计</w:t>
      </w:r>
    </w:p>
    <w:p w:rsidR="00C645C9" w:rsidRDefault="00F955D9">
      <w:pPr>
        <w:spacing w:line="360" w:lineRule="auto"/>
        <w:ind w:firstLineChars="200" w:firstLine="496"/>
        <w:rPr>
          <w:rFonts w:cs="Times New Roman"/>
        </w:rPr>
      </w:pPr>
      <w:r>
        <w:rPr>
          <w:rFonts w:cs="Times New Roman"/>
          <w:spacing w:val="4"/>
          <w:kern w:val="24"/>
        </w:rPr>
        <w:t>月平均风速统计见表</w:t>
      </w:r>
      <w:r>
        <w:rPr>
          <w:rFonts w:cs="Times New Roman"/>
          <w:spacing w:val="4"/>
          <w:kern w:val="24"/>
        </w:rPr>
        <w:t>5.</w:t>
      </w:r>
      <w:r>
        <w:rPr>
          <w:rFonts w:cs="Times New Roman"/>
          <w:spacing w:val="4"/>
          <w:kern w:val="24"/>
        </w:rPr>
        <w:t>5</w:t>
      </w:r>
      <w:r>
        <w:rPr>
          <w:rFonts w:cs="Times New Roman"/>
          <w:spacing w:val="4"/>
          <w:kern w:val="24"/>
        </w:rPr>
        <w:t>-2</w:t>
      </w:r>
      <w:r>
        <w:rPr>
          <w:rFonts w:cs="Times New Roman"/>
          <w:spacing w:val="4"/>
          <w:kern w:val="24"/>
        </w:rPr>
        <w:t>及图</w:t>
      </w:r>
      <w:r>
        <w:rPr>
          <w:rFonts w:cs="Times New Roman"/>
          <w:spacing w:val="4"/>
          <w:kern w:val="24"/>
        </w:rPr>
        <w:t>5.</w:t>
      </w:r>
      <w:r>
        <w:rPr>
          <w:rFonts w:cs="Times New Roman"/>
          <w:spacing w:val="4"/>
          <w:kern w:val="24"/>
        </w:rPr>
        <w:t>5</w:t>
      </w:r>
      <w:r>
        <w:rPr>
          <w:rFonts w:cs="Times New Roman"/>
          <w:spacing w:val="4"/>
          <w:kern w:val="24"/>
        </w:rPr>
        <w:t>-</w:t>
      </w:r>
      <w:r>
        <w:rPr>
          <w:rFonts w:cs="Times New Roman"/>
          <w:spacing w:val="4"/>
          <w:kern w:val="24"/>
        </w:rPr>
        <w:t>2</w:t>
      </w:r>
      <w:r>
        <w:rPr>
          <w:rFonts w:cs="Times New Roman"/>
          <w:spacing w:val="4"/>
          <w:kern w:val="24"/>
        </w:rPr>
        <w:t>。</w:t>
      </w:r>
    </w:p>
    <w:p w:rsidR="00C645C9" w:rsidRDefault="00F955D9" w:rsidP="005718BB">
      <w:pPr>
        <w:widowControl w:val="0"/>
        <w:adjustRightInd w:val="0"/>
        <w:snapToGrid w:val="0"/>
        <w:ind w:firstLineChars="196" w:firstLine="412"/>
        <w:jc w:val="center"/>
        <w:rPr>
          <w:rFonts w:eastAsia="黑体" w:cs="Times New Roman"/>
          <w:sz w:val="21"/>
          <w:szCs w:val="21"/>
        </w:rPr>
      </w:pPr>
      <w:r>
        <w:rPr>
          <w:rFonts w:eastAsia="黑体" w:cs="Times New Roman"/>
          <w:sz w:val="21"/>
          <w:szCs w:val="21"/>
        </w:rPr>
        <w:t>表</w:t>
      </w:r>
      <w:r>
        <w:rPr>
          <w:rFonts w:eastAsia="黑体" w:cs="Times New Roman"/>
          <w:sz w:val="21"/>
          <w:szCs w:val="21"/>
        </w:rPr>
        <w:t xml:space="preserve">5.5-2   </w:t>
      </w:r>
      <w:r>
        <w:rPr>
          <w:rFonts w:eastAsia="黑体" w:cs="Times New Roman"/>
          <w:sz w:val="21"/>
          <w:szCs w:val="21"/>
        </w:rPr>
        <w:t>平均风速的月变化统计表</w:t>
      </w:r>
      <w:r>
        <w:rPr>
          <w:rFonts w:eastAsia="黑体" w:cs="Times New Roman"/>
          <w:sz w:val="21"/>
          <w:szCs w:val="21"/>
        </w:rPr>
        <w:t xml:space="preserve">   </w:t>
      </w:r>
      <w:r>
        <w:rPr>
          <w:rFonts w:eastAsia="黑体" w:cs="Times New Roman"/>
          <w:sz w:val="21"/>
          <w:szCs w:val="21"/>
        </w:rPr>
        <w:t>单位：</w:t>
      </w:r>
      <w:r>
        <w:rPr>
          <w:rFonts w:eastAsia="黑体" w:cs="Times New Roman"/>
          <w:sz w:val="21"/>
          <w:szCs w:val="21"/>
        </w:rPr>
        <w:t>m/s</w:t>
      </w:r>
    </w:p>
    <w:tbl>
      <w:tblPr>
        <w:tblW w:w="520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4"/>
        <w:gridCol w:w="605"/>
        <w:gridCol w:w="606"/>
        <w:gridCol w:w="606"/>
        <w:gridCol w:w="606"/>
        <w:gridCol w:w="606"/>
        <w:gridCol w:w="606"/>
        <w:gridCol w:w="606"/>
        <w:gridCol w:w="606"/>
        <w:gridCol w:w="606"/>
        <w:gridCol w:w="695"/>
        <w:gridCol w:w="695"/>
        <w:gridCol w:w="694"/>
        <w:gridCol w:w="696"/>
      </w:tblGrid>
      <w:tr w:rsidR="00C645C9">
        <w:trPr>
          <w:trHeight w:val="296"/>
          <w:jc w:val="center"/>
        </w:trPr>
        <w:tc>
          <w:tcPr>
            <w:tcW w:w="362"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月份</w:t>
            </w:r>
          </w:p>
        </w:tc>
        <w:tc>
          <w:tcPr>
            <w:tcW w:w="340"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1</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2</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3</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4</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5</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6</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7</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8</w:t>
            </w:r>
            <w:r>
              <w:rPr>
                <w:rFonts w:cs="Times New Roman"/>
                <w:spacing w:val="-2"/>
                <w:kern w:val="2"/>
                <w:sz w:val="21"/>
                <w:szCs w:val="21"/>
              </w:rPr>
              <w:t>月</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9</w:t>
            </w:r>
            <w:r>
              <w:rPr>
                <w:rFonts w:cs="Times New Roman"/>
                <w:spacing w:val="-2"/>
                <w:kern w:val="2"/>
                <w:sz w:val="21"/>
                <w:szCs w:val="21"/>
              </w:rPr>
              <w:t>月</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10</w:t>
            </w:r>
            <w:r>
              <w:rPr>
                <w:rFonts w:cs="Times New Roman"/>
                <w:spacing w:val="-2"/>
                <w:kern w:val="2"/>
                <w:sz w:val="21"/>
                <w:szCs w:val="21"/>
              </w:rPr>
              <w:t>月</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11</w:t>
            </w:r>
            <w:r>
              <w:rPr>
                <w:rFonts w:cs="Times New Roman"/>
                <w:spacing w:val="-2"/>
                <w:kern w:val="2"/>
                <w:sz w:val="21"/>
                <w:szCs w:val="21"/>
              </w:rPr>
              <w:t>月</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12</w:t>
            </w:r>
            <w:r>
              <w:rPr>
                <w:rFonts w:cs="Times New Roman"/>
                <w:spacing w:val="-2"/>
                <w:kern w:val="2"/>
                <w:sz w:val="21"/>
                <w:szCs w:val="21"/>
              </w:rPr>
              <w:t>月</w:t>
            </w:r>
          </w:p>
        </w:tc>
        <w:tc>
          <w:tcPr>
            <w:tcW w:w="392"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年均</w:t>
            </w:r>
          </w:p>
        </w:tc>
      </w:tr>
      <w:tr w:rsidR="00C645C9">
        <w:trPr>
          <w:trHeight w:val="300"/>
          <w:jc w:val="center"/>
        </w:trPr>
        <w:tc>
          <w:tcPr>
            <w:tcW w:w="362" w:type="pct"/>
            <w:tcBorders>
              <w:top w:val="single" w:sz="2" w:space="0" w:color="auto"/>
              <w:left w:val="single" w:sz="2" w:space="0" w:color="auto"/>
              <w:bottom w:val="single" w:sz="2" w:space="0" w:color="auto"/>
              <w:right w:val="single" w:sz="2" w:space="0" w:color="auto"/>
            </w:tcBorders>
            <w:vAlign w:val="center"/>
          </w:tcPr>
          <w:p w:rsidR="00C645C9" w:rsidRDefault="00F955D9">
            <w:pPr>
              <w:widowControl w:val="0"/>
              <w:spacing w:before="36" w:line="207" w:lineRule="auto"/>
              <w:jc w:val="center"/>
              <w:rPr>
                <w:rFonts w:cs="Times New Roman"/>
                <w:spacing w:val="-2"/>
                <w:kern w:val="2"/>
                <w:sz w:val="21"/>
                <w:szCs w:val="21"/>
              </w:rPr>
            </w:pPr>
            <w:r>
              <w:rPr>
                <w:rFonts w:cs="Times New Roman"/>
                <w:spacing w:val="-2"/>
                <w:kern w:val="2"/>
                <w:sz w:val="21"/>
                <w:szCs w:val="21"/>
              </w:rPr>
              <w:t>风速</w:t>
            </w:r>
          </w:p>
        </w:tc>
        <w:tc>
          <w:tcPr>
            <w:tcW w:w="340"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t>1.1</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1.4</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1.6</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1.9</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2.1</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2.0</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1.8</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1.7</w:t>
            </w:r>
          </w:p>
        </w:tc>
        <w:tc>
          <w:tcPr>
            <w:tcW w:w="34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1.5</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1.2</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1.1</w:t>
            </w:r>
          </w:p>
        </w:tc>
        <w:tc>
          <w:tcPr>
            <w:tcW w:w="391"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1.1</w:t>
            </w:r>
          </w:p>
        </w:tc>
        <w:tc>
          <w:tcPr>
            <w:tcW w:w="392" w:type="pct"/>
            <w:tcBorders>
              <w:top w:val="single" w:sz="2" w:space="0" w:color="auto"/>
              <w:left w:val="single" w:sz="2" w:space="0" w:color="auto"/>
              <w:bottom w:val="single" w:sz="2" w:space="0" w:color="auto"/>
              <w:right w:val="single" w:sz="2" w:space="0" w:color="auto"/>
            </w:tcBorders>
            <w:vAlign w:val="center"/>
          </w:tcPr>
          <w:p w:rsidR="00C645C9" w:rsidRDefault="00F955D9">
            <w:pPr>
              <w:pStyle w:val="afb"/>
              <w:rPr>
                <w:spacing w:val="-2"/>
                <w:kern w:val="2"/>
                <w:szCs w:val="21"/>
              </w:rPr>
            </w:pPr>
            <w:r>
              <w:rPr>
                <w:spacing w:val="-2"/>
                <w:kern w:val="2"/>
                <w:szCs w:val="21"/>
              </w:rPr>
              <w:t>1.5</w:t>
            </w:r>
          </w:p>
        </w:tc>
      </w:tr>
    </w:tbl>
    <w:p w:rsidR="00C645C9" w:rsidRDefault="00C645C9">
      <w:pPr>
        <w:pStyle w:val="afb"/>
        <w:adjustRightInd w:val="0"/>
        <w:snapToGrid w:val="0"/>
        <w:spacing w:line="240" w:lineRule="auto"/>
      </w:pPr>
    </w:p>
    <w:p w:rsidR="00C645C9" w:rsidRDefault="00F955D9" w:rsidP="005718BB">
      <w:pPr>
        <w:pStyle w:val="aff8"/>
        <w:adjustRightInd w:val="0"/>
        <w:snapToGrid w:val="0"/>
        <w:ind w:firstLine="512"/>
        <w:rPr>
          <w:rFonts w:eastAsia="黑体" w:cs="Times New Roman"/>
          <w:b w:val="0"/>
          <w:sz w:val="21"/>
          <w:szCs w:val="21"/>
        </w:rPr>
      </w:pPr>
      <w:r>
        <w:rPr>
          <w:rFonts w:eastAsia="黑体" w:cs="Times New Roman"/>
          <w:b w:val="0"/>
          <w:sz w:val="21"/>
          <w:szCs w:val="21"/>
        </w:rPr>
        <w:t>图</w:t>
      </w:r>
      <w:r>
        <w:rPr>
          <w:rFonts w:eastAsia="黑体" w:cs="Times New Roman"/>
          <w:b w:val="0"/>
          <w:sz w:val="21"/>
          <w:szCs w:val="21"/>
        </w:rPr>
        <w:t xml:space="preserve">5.5-2   </w:t>
      </w:r>
      <w:r>
        <w:rPr>
          <w:rFonts w:eastAsia="黑体" w:cs="Times New Roman"/>
          <w:b w:val="0"/>
          <w:sz w:val="21"/>
          <w:szCs w:val="21"/>
        </w:rPr>
        <w:t>平均风速的月变化统计图</w:t>
      </w:r>
    </w:p>
    <w:p w:rsidR="00C645C9" w:rsidRDefault="00F955D9">
      <w:pPr>
        <w:spacing w:line="360" w:lineRule="auto"/>
        <w:ind w:firstLineChars="200" w:firstLine="496"/>
        <w:rPr>
          <w:rFonts w:cs="Times New Roman"/>
          <w:spacing w:val="4"/>
          <w:kern w:val="24"/>
        </w:rPr>
      </w:pPr>
      <w:r>
        <w:rPr>
          <w:rFonts w:cs="Times New Roman"/>
          <w:spacing w:val="4"/>
          <w:kern w:val="24"/>
        </w:rPr>
        <w:t>由表</w:t>
      </w:r>
      <w:r>
        <w:rPr>
          <w:rFonts w:cs="Times New Roman"/>
          <w:spacing w:val="4"/>
          <w:kern w:val="24"/>
        </w:rPr>
        <w:t>5.</w:t>
      </w:r>
      <w:r>
        <w:rPr>
          <w:rFonts w:cs="Times New Roman"/>
          <w:spacing w:val="4"/>
          <w:kern w:val="24"/>
        </w:rPr>
        <w:t>5</w:t>
      </w:r>
      <w:r>
        <w:rPr>
          <w:rFonts w:cs="Times New Roman"/>
          <w:spacing w:val="4"/>
          <w:kern w:val="24"/>
        </w:rPr>
        <w:t>-2</w:t>
      </w:r>
      <w:r>
        <w:rPr>
          <w:rFonts w:cs="Times New Roman"/>
          <w:spacing w:val="4"/>
          <w:kern w:val="24"/>
        </w:rPr>
        <w:t>及图</w:t>
      </w:r>
      <w:r>
        <w:rPr>
          <w:rFonts w:cs="Times New Roman"/>
          <w:spacing w:val="4"/>
          <w:kern w:val="24"/>
        </w:rPr>
        <w:t>5.</w:t>
      </w:r>
      <w:r>
        <w:rPr>
          <w:rFonts w:cs="Times New Roman"/>
          <w:spacing w:val="4"/>
          <w:kern w:val="24"/>
        </w:rPr>
        <w:t>5</w:t>
      </w:r>
      <w:r>
        <w:rPr>
          <w:rFonts w:cs="Times New Roman"/>
          <w:spacing w:val="4"/>
          <w:kern w:val="24"/>
        </w:rPr>
        <w:t>-2</w:t>
      </w:r>
      <w:r>
        <w:rPr>
          <w:rFonts w:cs="Times New Roman"/>
          <w:spacing w:val="4"/>
          <w:kern w:val="24"/>
        </w:rPr>
        <w:t>可知，新和县近</w:t>
      </w:r>
      <w:r>
        <w:rPr>
          <w:rFonts w:cs="Times New Roman"/>
          <w:spacing w:val="4"/>
          <w:kern w:val="24"/>
        </w:rPr>
        <w:t>20</w:t>
      </w:r>
      <w:r>
        <w:rPr>
          <w:rFonts w:cs="Times New Roman"/>
          <w:spacing w:val="4"/>
          <w:kern w:val="24"/>
        </w:rPr>
        <w:t>年平均风速为</w:t>
      </w:r>
      <w:r>
        <w:rPr>
          <w:rFonts w:cs="Times New Roman"/>
          <w:spacing w:val="4"/>
          <w:kern w:val="24"/>
        </w:rPr>
        <w:t>1.5m/s</w:t>
      </w:r>
      <w:r>
        <w:rPr>
          <w:rFonts w:cs="Times New Roman"/>
          <w:spacing w:val="4"/>
          <w:kern w:val="24"/>
        </w:rPr>
        <w:t>，</w:t>
      </w:r>
      <w:r>
        <w:rPr>
          <w:rFonts w:cs="Times New Roman"/>
          <w:spacing w:val="4"/>
          <w:kern w:val="24"/>
        </w:rPr>
        <w:t>5</w:t>
      </w:r>
      <w:r>
        <w:rPr>
          <w:rFonts w:cs="Times New Roman"/>
          <w:spacing w:val="4"/>
          <w:kern w:val="24"/>
        </w:rPr>
        <w:t>月风速最大，平均风速为</w:t>
      </w:r>
      <w:r>
        <w:rPr>
          <w:rFonts w:cs="Times New Roman"/>
          <w:spacing w:val="4"/>
          <w:kern w:val="24"/>
        </w:rPr>
        <w:t>2.1m/s</w:t>
      </w:r>
      <w:r>
        <w:rPr>
          <w:rFonts w:cs="Times New Roman"/>
          <w:spacing w:val="4"/>
          <w:kern w:val="24"/>
        </w:rPr>
        <w:t>，</w:t>
      </w:r>
      <w:r>
        <w:rPr>
          <w:rFonts w:cs="Times New Roman"/>
          <w:spacing w:val="4"/>
          <w:kern w:val="24"/>
        </w:rPr>
        <w:t>11</w:t>
      </w:r>
      <w:r>
        <w:rPr>
          <w:rFonts w:cs="Times New Roman"/>
          <w:spacing w:val="4"/>
          <w:kern w:val="24"/>
        </w:rPr>
        <w:t>月到次年</w:t>
      </w:r>
      <w:r>
        <w:rPr>
          <w:rFonts w:cs="Times New Roman"/>
          <w:spacing w:val="4"/>
          <w:kern w:val="24"/>
        </w:rPr>
        <w:t>1</w:t>
      </w:r>
      <w:r>
        <w:rPr>
          <w:rFonts w:cs="Times New Roman"/>
          <w:spacing w:val="4"/>
          <w:kern w:val="24"/>
        </w:rPr>
        <w:t>月份平均风速最低为</w:t>
      </w:r>
      <w:r>
        <w:rPr>
          <w:rFonts w:cs="Times New Roman"/>
          <w:spacing w:val="4"/>
          <w:kern w:val="24"/>
        </w:rPr>
        <w:t>1.1m/s</w:t>
      </w:r>
      <w:r>
        <w:rPr>
          <w:rFonts w:cs="Times New Roman"/>
          <w:spacing w:val="4"/>
          <w:kern w:val="24"/>
        </w:rPr>
        <w:t>。</w:t>
      </w:r>
    </w:p>
    <w:p w:rsidR="00C645C9" w:rsidRDefault="00F955D9">
      <w:pPr>
        <w:spacing w:line="360" w:lineRule="auto"/>
        <w:ind w:firstLineChars="200" w:firstLine="496"/>
        <w:rPr>
          <w:rFonts w:cs="Times New Roman"/>
          <w:spacing w:val="4"/>
          <w:kern w:val="24"/>
        </w:rPr>
      </w:pPr>
      <w:r>
        <w:rPr>
          <w:rFonts w:cs="Times New Roman"/>
          <w:spacing w:val="4"/>
          <w:kern w:val="24"/>
        </w:rPr>
        <w:t>Ⅲ</w:t>
      </w:r>
      <w:r>
        <w:rPr>
          <w:rFonts w:cs="Times New Roman"/>
          <w:spacing w:val="4"/>
          <w:kern w:val="24"/>
        </w:rPr>
        <w:t>风频、风向</w:t>
      </w:r>
    </w:p>
    <w:p w:rsidR="00C645C9" w:rsidRDefault="00F955D9">
      <w:pPr>
        <w:adjustRightInd w:val="0"/>
        <w:ind w:firstLineChars="200" w:firstLine="480"/>
        <w:textAlignment w:val="baseline"/>
        <w:rPr>
          <w:rFonts w:cs="Times New Roman"/>
          <w:szCs w:val="20"/>
        </w:rPr>
      </w:pPr>
      <w:r>
        <w:rPr>
          <w:rFonts w:cs="Times New Roman"/>
          <w:szCs w:val="20"/>
        </w:rPr>
        <w:t>区域近</w:t>
      </w:r>
      <w:r>
        <w:rPr>
          <w:rFonts w:cs="Times New Roman"/>
          <w:szCs w:val="20"/>
        </w:rPr>
        <w:t>20</w:t>
      </w:r>
      <w:r>
        <w:rPr>
          <w:rFonts w:cs="Times New Roman"/>
          <w:szCs w:val="20"/>
        </w:rPr>
        <w:t>年平均各风向风频变化情况见表</w:t>
      </w:r>
      <w:r>
        <w:rPr>
          <w:rFonts w:cs="Times New Roman"/>
          <w:szCs w:val="20"/>
        </w:rPr>
        <w:t>5.</w:t>
      </w:r>
      <w:r>
        <w:rPr>
          <w:rFonts w:cs="Times New Roman"/>
          <w:szCs w:val="20"/>
        </w:rPr>
        <w:t>5</w:t>
      </w:r>
      <w:r>
        <w:rPr>
          <w:rFonts w:cs="Times New Roman"/>
          <w:szCs w:val="20"/>
        </w:rPr>
        <w:t>-</w:t>
      </w:r>
      <w:r>
        <w:rPr>
          <w:rFonts w:cs="Times New Roman"/>
          <w:szCs w:val="20"/>
        </w:rPr>
        <w:t>3</w:t>
      </w:r>
      <w:r>
        <w:rPr>
          <w:rFonts w:cs="Times New Roman"/>
          <w:szCs w:val="20"/>
        </w:rPr>
        <w:t>，近</w:t>
      </w:r>
      <w:r>
        <w:rPr>
          <w:rFonts w:cs="Times New Roman"/>
          <w:szCs w:val="20"/>
        </w:rPr>
        <w:t>30</w:t>
      </w:r>
      <w:r>
        <w:rPr>
          <w:rFonts w:cs="Times New Roman"/>
          <w:szCs w:val="20"/>
        </w:rPr>
        <w:t>年风频玫瑰图见图</w:t>
      </w:r>
      <w:r>
        <w:rPr>
          <w:rFonts w:cs="Times New Roman"/>
          <w:szCs w:val="20"/>
        </w:rPr>
        <w:t>5.</w:t>
      </w:r>
      <w:r>
        <w:rPr>
          <w:rFonts w:cs="Times New Roman"/>
          <w:szCs w:val="20"/>
        </w:rPr>
        <w:t>5</w:t>
      </w:r>
      <w:r>
        <w:rPr>
          <w:rFonts w:cs="Times New Roman"/>
          <w:szCs w:val="20"/>
        </w:rPr>
        <w:t>-</w:t>
      </w:r>
      <w:r>
        <w:rPr>
          <w:rFonts w:cs="Times New Roman"/>
          <w:szCs w:val="20"/>
        </w:rPr>
        <w:t>3</w:t>
      </w:r>
      <w:r>
        <w:rPr>
          <w:rFonts w:cs="Times New Roman"/>
          <w:szCs w:val="20"/>
        </w:rPr>
        <w:t>。</w:t>
      </w:r>
    </w:p>
    <w:p w:rsidR="00C645C9" w:rsidRDefault="00F955D9" w:rsidP="005718BB">
      <w:pPr>
        <w:pStyle w:val="aff8"/>
        <w:ind w:firstLine="512"/>
        <w:rPr>
          <w:rFonts w:eastAsia="黑体" w:cs="Times New Roman"/>
          <w:b w:val="0"/>
          <w:sz w:val="21"/>
          <w:szCs w:val="21"/>
        </w:rPr>
      </w:pPr>
      <w:r>
        <w:rPr>
          <w:rFonts w:eastAsia="黑体" w:cs="Times New Roman"/>
          <w:b w:val="0"/>
          <w:sz w:val="21"/>
          <w:szCs w:val="21"/>
        </w:rPr>
        <w:t>表</w:t>
      </w:r>
      <w:r>
        <w:rPr>
          <w:rFonts w:eastAsia="黑体" w:cs="Times New Roman"/>
          <w:b w:val="0"/>
          <w:sz w:val="21"/>
          <w:szCs w:val="21"/>
        </w:rPr>
        <w:t xml:space="preserve">5.5-3  </w:t>
      </w:r>
      <w:r>
        <w:rPr>
          <w:rFonts w:eastAsia="黑体" w:cs="Times New Roman"/>
          <w:b w:val="0"/>
          <w:sz w:val="21"/>
          <w:szCs w:val="21"/>
        </w:rPr>
        <w:t>近</w:t>
      </w:r>
      <w:r>
        <w:rPr>
          <w:rFonts w:eastAsia="黑体" w:cs="Times New Roman"/>
          <w:b w:val="0"/>
          <w:sz w:val="21"/>
          <w:szCs w:val="21"/>
        </w:rPr>
        <w:t>20</w:t>
      </w:r>
      <w:r>
        <w:rPr>
          <w:rFonts w:eastAsia="黑体" w:cs="Times New Roman"/>
          <w:b w:val="0"/>
          <w:sz w:val="21"/>
          <w:szCs w:val="21"/>
        </w:rPr>
        <w:t>年各月、各季及全年平均风向频率统计一览表</w:t>
      </w:r>
    </w:p>
    <w:tbl>
      <w:tblPr>
        <w:tblW w:w="5303" w:type="pct"/>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46"/>
        <w:gridCol w:w="462"/>
        <w:gridCol w:w="460"/>
        <w:gridCol w:w="464"/>
        <w:gridCol w:w="460"/>
        <w:gridCol w:w="460"/>
        <w:gridCol w:w="447"/>
        <w:gridCol w:w="442"/>
        <w:gridCol w:w="445"/>
        <w:gridCol w:w="442"/>
        <w:gridCol w:w="457"/>
        <w:gridCol w:w="460"/>
        <w:gridCol w:w="503"/>
        <w:gridCol w:w="475"/>
        <w:gridCol w:w="509"/>
        <w:gridCol w:w="447"/>
        <w:gridCol w:w="474"/>
        <w:gridCol w:w="716"/>
      </w:tblGrid>
      <w:tr w:rsidR="00C645C9">
        <w:trPr>
          <w:trHeight w:val="369"/>
        </w:trPr>
        <w:tc>
          <w:tcPr>
            <w:tcW w:w="746" w:type="dxa"/>
            <w:tcBorders>
              <w:tl2br w:val="nil"/>
              <w:tr2bl w:val="nil"/>
            </w:tcBorders>
            <w:vAlign w:val="center"/>
          </w:tcPr>
          <w:p w:rsidR="00C645C9" w:rsidRDefault="00F955D9">
            <w:pPr>
              <w:pStyle w:val="afb"/>
              <w:ind w:leftChars="-50" w:left="-120" w:rightChars="-50" w:right="-120"/>
            </w:pPr>
            <w:r>
              <w:t>月份</w:t>
            </w:r>
          </w:p>
        </w:tc>
        <w:tc>
          <w:tcPr>
            <w:tcW w:w="462" w:type="dxa"/>
            <w:tcBorders>
              <w:tl2br w:val="nil"/>
              <w:tr2bl w:val="nil"/>
            </w:tcBorders>
            <w:vAlign w:val="center"/>
          </w:tcPr>
          <w:p w:rsidR="00C645C9" w:rsidRDefault="00F955D9">
            <w:pPr>
              <w:pStyle w:val="afb"/>
              <w:ind w:leftChars="-50" w:left="-120" w:rightChars="-50" w:right="-120"/>
            </w:pPr>
            <w:r>
              <w:t>N</w:t>
            </w:r>
          </w:p>
        </w:tc>
        <w:tc>
          <w:tcPr>
            <w:tcW w:w="460" w:type="dxa"/>
            <w:tcBorders>
              <w:tl2br w:val="nil"/>
              <w:tr2bl w:val="nil"/>
            </w:tcBorders>
            <w:vAlign w:val="center"/>
          </w:tcPr>
          <w:p w:rsidR="00C645C9" w:rsidRDefault="00F955D9">
            <w:pPr>
              <w:pStyle w:val="afb"/>
              <w:ind w:leftChars="-50" w:left="-120" w:rightChars="-50" w:right="-120"/>
            </w:pPr>
            <w:r>
              <w:t>NNE</w:t>
            </w:r>
          </w:p>
        </w:tc>
        <w:tc>
          <w:tcPr>
            <w:tcW w:w="464" w:type="dxa"/>
            <w:tcBorders>
              <w:tl2br w:val="nil"/>
              <w:tr2bl w:val="nil"/>
            </w:tcBorders>
            <w:vAlign w:val="center"/>
          </w:tcPr>
          <w:p w:rsidR="00C645C9" w:rsidRDefault="00F955D9">
            <w:pPr>
              <w:pStyle w:val="afb"/>
              <w:ind w:leftChars="-50" w:left="-120" w:rightChars="-50" w:right="-120"/>
            </w:pPr>
            <w:r>
              <w:t>NE</w:t>
            </w:r>
          </w:p>
        </w:tc>
        <w:tc>
          <w:tcPr>
            <w:tcW w:w="460" w:type="dxa"/>
            <w:tcBorders>
              <w:tl2br w:val="nil"/>
              <w:tr2bl w:val="nil"/>
            </w:tcBorders>
            <w:vAlign w:val="center"/>
          </w:tcPr>
          <w:p w:rsidR="00C645C9" w:rsidRDefault="00F955D9">
            <w:pPr>
              <w:pStyle w:val="afb"/>
              <w:ind w:leftChars="-50" w:left="-120" w:rightChars="-50" w:right="-120"/>
            </w:pPr>
            <w:r>
              <w:t>ENE</w:t>
            </w:r>
          </w:p>
        </w:tc>
        <w:tc>
          <w:tcPr>
            <w:tcW w:w="460" w:type="dxa"/>
            <w:tcBorders>
              <w:tl2br w:val="nil"/>
              <w:tr2bl w:val="nil"/>
            </w:tcBorders>
            <w:vAlign w:val="center"/>
          </w:tcPr>
          <w:p w:rsidR="00C645C9" w:rsidRDefault="00F955D9">
            <w:pPr>
              <w:pStyle w:val="afb"/>
              <w:ind w:leftChars="-50" w:left="-120" w:rightChars="-50" w:right="-120"/>
            </w:pPr>
            <w:r>
              <w:t>E</w:t>
            </w:r>
          </w:p>
        </w:tc>
        <w:tc>
          <w:tcPr>
            <w:tcW w:w="447" w:type="dxa"/>
            <w:tcBorders>
              <w:tl2br w:val="nil"/>
              <w:tr2bl w:val="nil"/>
            </w:tcBorders>
            <w:vAlign w:val="center"/>
          </w:tcPr>
          <w:p w:rsidR="00C645C9" w:rsidRDefault="00F955D9">
            <w:pPr>
              <w:pStyle w:val="afb"/>
              <w:ind w:leftChars="-50" w:left="-120" w:rightChars="-50" w:right="-120"/>
            </w:pPr>
            <w:r>
              <w:t>ESE</w:t>
            </w:r>
          </w:p>
        </w:tc>
        <w:tc>
          <w:tcPr>
            <w:tcW w:w="442" w:type="dxa"/>
            <w:tcBorders>
              <w:tl2br w:val="nil"/>
              <w:tr2bl w:val="nil"/>
            </w:tcBorders>
            <w:vAlign w:val="center"/>
          </w:tcPr>
          <w:p w:rsidR="00C645C9" w:rsidRDefault="00F955D9">
            <w:pPr>
              <w:pStyle w:val="afb"/>
              <w:ind w:leftChars="-50" w:left="-120" w:rightChars="-50" w:right="-120"/>
            </w:pPr>
            <w:r>
              <w:t>SE</w:t>
            </w:r>
          </w:p>
        </w:tc>
        <w:tc>
          <w:tcPr>
            <w:tcW w:w="445" w:type="dxa"/>
            <w:tcBorders>
              <w:tl2br w:val="nil"/>
              <w:tr2bl w:val="nil"/>
            </w:tcBorders>
            <w:vAlign w:val="center"/>
          </w:tcPr>
          <w:p w:rsidR="00C645C9" w:rsidRDefault="00F955D9">
            <w:pPr>
              <w:pStyle w:val="afb"/>
              <w:ind w:leftChars="-50" w:left="-120" w:rightChars="-50" w:right="-120"/>
            </w:pPr>
            <w:r>
              <w:t>SSE</w:t>
            </w:r>
          </w:p>
        </w:tc>
        <w:tc>
          <w:tcPr>
            <w:tcW w:w="442" w:type="dxa"/>
            <w:tcBorders>
              <w:tl2br w:val="nil"/>
              <w:tr2bl w:val="nil"/>
            </w:tcBorders>
            <w:vAlign w:val="center"/>
          </w:tcPr>
          <w:p w:rsidR="00C645C9" w:rsidRDefault="00F955D9">
            <w:pPr>
              <w:pStyle w:val="afb"/>
              <w:ind w:leftChars="-50" w:left="-120" w:rightChars="-50" w:right="-120"/>
            </w:pPr>
            <w:r>
              <w:t>S</w:t>
            </w:r>
          </w:p>
        </w:tc>
        <w:tc>
          <w:tcPr>
            <w:tcW w:w="457" w:type="dxa"/>
            <w:tcBorders>
              <w:tl2br w:val="nil"/>
              <w:tr2bl w:val="nil"/>
            </w:tcBorders>
            <w:vAlign w:val="center"/>
          </w:tcPr>
          <w:p w:rsidR="00C645C9" w:rsidRDefault="00F955D9">
            <w:pPr>
              <w:pStyle w:val="afb"/>
              <w:ind w:leftChars="-50" w:left="-120" w:rightChars="-50" w:right="-120"/>
            </w:pPr>
            <w:r>
              <w:t>SSW</w:t>
            </w:r>
          </w:p>
        </w:tc>
        <w:tc>
          <w:tcPr>
            <w:tcW w:w="460" w:type="dxa"/>
            <w:tcBorders>
              <w:tl2br w:val="nil"/>
              <w:tr2bl w:val="nil"/>
            </w:tcBorders>
            <w:vAlign w:val="center"/>
          </w:tcPr>
          <w:p w:rsidR="00C645C9" w:rsidRDefault="00F955D9">
            <w:pPr>
              <w:pStyle w:val="afb"/>
              <w:ind w:leftChars="-50" w:left="-120" w:rightChars="-50" w:right="-120"/>
            </w:pPr>
            <w:r>
              <w:t>SW</w:t>
            </w:r>
          </w:p>
        </w:tc>
        <w:tc>
          <w:tcPr>
            <w:tcW w:w="503" w:type="dxa"/>
            <w:tcBorders>
              <w:tl2br w:val="nil"/>
              <w:tr2bl w:val="nil"/>
            </w:tcBorders>
            <w:vAlign w:val="center"/>
          </w:tcPr>
          <w:p w:rsidR="00C645C9" w:rsidRDefault="00F955D9">
            <w:pPr>
              <w:pStyle w:val="afb"/>
              <w:ind w:leftChars="-50" w:left="-120" w:rightChars="-50" w:right="-120"/>
            </w:pPr>
            <w:r>
              <w:t>WSW</w:t>
            </w:r>
          </w:p>
        </w:tc>
        <w:tc>
          <w:tcPr>
            <w:tcW w:w="475" w:type="dxa"/>
            <w:tcBorders>
              <w:tl2br w:val="nil"/>
              <w:tr2bl w:val="nil"/>
            </w:tcBorders>
            <w:vAlign w:val="center"/>
          </w:tcPr>
          <w:p w:rsidR="00C645C9" w:rsidRDefault="00F955D9">
            <w:pPr>
              <w:pStyle w:val="afb"/>
              <w:ind w:leftChars="-50" w:left="-120" w:rightChars="-50" w:right="-120"/>
            </w:pPr>
            <w:r>
              <w:t>W</w:t>
            </w:r>
          </w:p>
        </w:tc>
        <w:tc>
          <w:tcPr>
            <w:tcW w:w="509" w:type="dxa"/>
            <w:tcBorders>
              <w:tl2br w:val="nil"/>
              <w:tr2bl w:val="nil"/>
            </w:tcBorders>
            <w:vAlign w:val="center"/>
          </w:tcPr>
          <w:p w:rsidR="00C645C9" w:rsidRDefault="00F955D9">
            <w:pPr>
              <w:pStyle w:val="afb"/>
              <w:ind w:leftChars="-50" w:left="-120" w:rightChars="-50" w:right="-120"/>
            </w:pPr>
            <w:r>
              <w:t>WNW</w:t>
            </w:r>
          </w:p>
        </w:tc>
        <w:tc>
          <w:tcPr>
            <w:tcW w:w="447" w:type="dxa"/>
            <w:tcBorders>
              <w:tl2br w:val="nil"/>
              <w:tr2bl w:val="nil"/>
            </w:tcBorders>
            <w:vAlign w:val="center"/>
          </w:tcPr>
          <w:p w:rsidR="00C645C9" w:rsidRDefault="00F955D9">
            <w:pPr>
              <w:pStyle w:val="afb"/>
              <w:ind w:leftChars="-50" w:left="-120" w:rightChars="-50" w:right="-120"/>
            </w:pPr>
            <w:r>
              <w:t>NW</w:t>
            </w:r>
          </w:p>
        </w:tc>
        <w:tc>
          <w:tcPr>
            <w:tcW w:w="474" w:type="dxa"/>
            <w:tcBorders>
              <w:tl2br w:val="nil"/>
              <w:tr2bl w:val="nil"/>
            </w:tcBorders>
            <w:vAlign w:val="center"/>
          </w:tcPr>
          <w:p w:rsidR="00C645C9" w:rsidRDefault="00F955D9">
            <w:pPr>
              <w:pStyle w:val="afb"/>
              <w:ind w:leftChars="-50" w:left="-120" w:rightChars="-50" w:right="-120"/>
            </w:pPr>
            <w:r>
              <w:t>NNW</w:t>
            </w:r>
          </w:p>
        </w:tc>
        <w:tc>
          <w:tcPr>
            <w:tcW w:w="716" w:type="dxa"/>
            <w:tcBorders>
              <w:tl2br w:val="nil"/>
              <w:tr2bl w:val="nil"/>
            </w:tcBorders>
            <w:vAlign w:val="center"/>
          </w:tcPr>
          <w:p w:rsidR="00C645C9" w:rsidRDefault="00F955D9">
            <w:pPr>
              <w:pStyle w:val="afb"/>
              <w:ind w:leftChars="-50" w:left="-120" w:rightChars="-50" w:right="-120"/>
            </w:pPr>
            <w:r>
              <w:t xml:space="preserve"> </w:t>
            </w:r>
            <w:r>
              <w:t>静风</w:t>
            </w:r>
          </w:p>
        </w:tc>
      </w:tr>
      <w:tr w:rsidR="00C645C9">
        <w:trPr>
          <w:trHeight w:val="369"/>
        </w:trPr>
        <w:tc>
          <w:tcPr>
            <w:tcW w:w="746" w:type="dxa"/>
            <w:tcBorders>
              <w:tl2br w:val="nil"/>
              <w:tr2bl w:val="nil"/>
            </w:tcBorders>
            <w:vAlign w:val="center"/>
          </w:tcPr>
          <w:p w:rsidR="00C645C9" w:rsidRDefault="00F955D9">
            <w:pPr>
              <w:pStyle w:val="afb"/>
            </w:pPr>
            <w:r>
              <w:t>1</w:t>
            </w:r>
            <w:r>
              <w:t>月</w:t>
            </w:r>
          </w:p>
        </w:tc>
        <w:tc>
          <w:tcPr>
            <w:tcW w:w="462" w:type="dxa"/>
            <w:tcBorders>
              <w:tl2br w:val="nil"/>
              <w:tr2bl w:val="nil"/>
            </w:tcBorders>
            <w:vAlign w:val="center"/>
          </w:tcPr>
          <w:p w:rsidR="00C645C9" w:rsidRDefault="00F955D9">
            <w:pPr>
              <w:pStyle w:val="afb"/>
            </w:pPr>
            <w:r>
              <w:t>3</w:t>
            </w:r>
          </w:p>
        </w:tc>
        <w:tc>
          <w:tcPr>
            <w:tcW w:w="460" w:type="dxa"/>
            <w:tcBorders>
              <w:tl2br w:val="nil"/>
              <w:tr2bl w:val="nil"/>
            </w:tcBorders>
            <w:vAlign w:val="center"/>
          </w:tcPr>
          <w:p w:rsidR="00C645C9" w:rsidRDefault="00F955D9">
            <w:pPr>
              <w:pStyle w:val="afb"/>
            </w:pPr>
            <w:r>
              <w:t>2</w:t>
            </w:r>
          </w:p>
        </w:tc>
        <w:tc>
          <w:tcPr>
            <w:tcW w:w="464" w:type="dxa"/>
            <w:tcBorders>
              <w:tl2br w:val="nil"/>
              <w:tr2bl w:val="nil"/>
            </w:tcBorders>
            <w:vAlign w:val="center"/>
          </w:tcPr>
          <w:p w:rsidR="00C645C9" w:rsidRDefault="00F955D9">
            <w:pPr>
              <w:pStyle w:val="afb"/>
            </w:pPr>
            <w:r>
              <w:t>9</w:t>
            </w:r>
          </w:p>
        </w:tc>
        <w:tc>
          <w:tcPr>
            <w:tcW w:w="460" w:type="dxa"/>
            <w:tcBorders>
              <w:tl2br w:val="nil"/>
              <w:tr2bl w:val="nil"/>
            </w:tcBorders>
            <w:vAlign w:val="center"/>
          </w:tcPr>
          <w:p w:rsidR="00C645C9" w:rsidRDefault="00F955D9">
            <w:pPr>
              <w:pStyle w:val="afb"/>
            </w:pPr>
            <w:r>
              <w:t>6</w:t>
            </w:r>
          </w:p>
        </w:tc>
        <w:tc>
          <w:tcPr>
            <w:tcW w:w="460" w:type="dxa"/>
            <w:tcBorders>
              <w:tl2br w:val="nil"/>
              <w:tr2bl w:val="nil"/>
            </w:tcBorders>
            <w:vAlign w:val="center"/>
          </w:tcPr>
          <w:p w:rsidR="00C645C9" w:rsidRDefault="00F955D9">
            <w:pPr>
              <w:pStyle w:val="afb"/>
            </w:pPr>
            <w:r>
              <w:t>6</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2</w:t>
            </w:r>
          </w:p>
        </w:tc>
        <w:tc>
          <w:tcPr>
            <w:tcW w:w="445"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7</w:t>
            </w:r>
          </w:p>
        </w:tc>
        <w:tc>
          <w:tcPr>
            <w:tcW w:w="503" w:type="dxa"/>
            <w:tcBorders>
              <w:tl2br w:val="nil"/>
              <w:tr2bl w:val="nil"/>
            </w:tcBorders>
            <w:vAlign w:val="center"/>
          </w:tcPr>
          <w:p w:rsidR="00C645C9" w:rsidRDefault="00F955D9">
            <w:pPr>
              <w:pStyle w:val="afb"/>
            </w:pPr>
            <w:r>
              <w:t>5</w:t>
            </w:r>
          </w:p>
        </w:tc>
        <w:tc>
          <w:tcPr>
            <w:tcW w:w="475" w:type="dxa"/>
            <w:tcBorders>
              <w:tl2br w:val="nil"/>
              <w:tr2bl w:val="nil"/>
            </w:tcBorders>
            <w:vAlign w:val="center"/>
          </w:tcPr>
          <w:p w:rsidR="00C645C9" w:rsidRDefault="00F955D9">
            <w:pPr>
              <w:pStyle w:val="afb"/>
            </w:pPr>
            <w:r>
              <w:t>6</w:t>
            </w:r>
          </w:p>
        </w:tc>
        <w:tc>
          <w:tcPr>
            <w:tcW w:w="509" w:type="dxa"/>
            <w:tcBorders>
              <w:tl2br w:val="nil"/>
              <w:tr2bl w:val="nil"/>
            </w:tcBorders>
            <w:vAlign w:val="center"/>
          </w:tcPr>
          <w:p w:rsidR="00C645C9" w:rsidRDefault="00F955D9">
            <w:pPr>
              <w:pStyle w:val="afb"/>
            </w:pPr>
            <w:r>
              <w:t>2</w:t>
            </w:r>
          </w:p>
        </w:tc>
        <w:tc>
          <w:tcPr>
            <w:tcW w:w="447" w:type="dxa"/>
            <w:tcBorders>
              <w:tl2br w:val="nil"/>
              <w:tr2bl w:val="nil"/>
            </w:tcBorders>
            <w:vAlign w:val="center"/>
          </w:tcPr>
          <w:p w:rsidR="00C645C9" w:rsidRDefault="00F955D9">
            <w:pPr>
              <w:pStyle w:val="afb"/>
            </w:pPr>
            <w:r>
              <w:t>2</w:t>
            </w:r>
          </w:p>
        </w:tc>
        <w:tc>
          <w:tcPr>
            <w:tcW w:w="474" w:type="dxa"/>
            <w:tcBorders>
              <w:tl2br w:val="nil"/>
              <w:tr2bl w:val="nil"/>
            </w:tcBorders>
            <w:vAlign w:val="center"/>
          </w:tcPr>
          <w:p w:rsidR="00C645C9" w:rsidRDefault="00F955D9">
            <w:pPr>
              <w:pStyle w:val="afb"/>
            </w:pPr>
            <w:r>
              <w:t>1</w:t>
            </w:r>
          </w:p>
        </w:tc>
        <w:tc>
          <w:tcPr>
            <w:tcW w:w="716" w:type="dxa"/>
            <w:tcBorders>
              <w:tl2br w:val="nil"/>
              <w:tr2bl w:val="nil"/>
            </w:tcBorders>
            <w:vAlign w:val="center"/>
          </w:tcPr>
          <w:p w:rsidR="00C645C9" w:rsidRDefault="00F955D9">
            <w:pPr>
              <w:pStyle w:val="afb"/>
            </w:pPr>
            <w:r>
              <w:t>47</w:t>
            </w:r>
          </w:p>
        </w:tc>
      </w:tr>
      <w:tr w:rsidR="00C645C9">
        <w:trPr>
          <w:trHeight w:val="369"/>
        </w:trPr>
        <w:tc>
          <w:tcPr>
            <w:tcW w:w="746" w:type="dxa"/>
            <w:tcBorders>
              <w:tl2br w:val="nil"/>
              <w:tr2bl w:val="nil"/>
            </w:tcBorders>
            <w:vAlign w:val="center"/>
          </w:tcPr>
          <w:p w:rsidR="00C645C9" w:rsidRDefault="00F955D9">
            <w:pPr>
              <w:pStyle w:val="afb"/>
            </w:pPr>
            <w:r>
              <w:t>2</w:t>
            </w:r>
            <w:r>
              <w:t>月</w:t>
            </w:r>
          </w:p>
        </w:tc>
        <w:tc>
          <w:tcPr>
            <w:tcW w:w="462" w:type="dxa"/>
            <w:tcBorders>
              <w:tl2br w:val="nil"/>
              <w:tr2bl w:val="nil"/>
            </w:tcBorders>
            <w:vAlign w:val="center"/>
          </w:tcPr>
          <w:p w:rsidR="00C645C9" w:rsidRDefault="00F955D9">
            <w:pPr>
              <w:pStyle w:val="afb"/>
            </w:pPr>
            <w:r>
              <w:t>3</w:t>
            </w:r>
          </w:p>
        </w:tc>
        <w:tc>
          <w:tcPr>
            <w:tcW w:w="460" w:type="dxa"/>
            <w:tcBorders>
              <w:tl2br w:val="nil"/>
              <w:tr2bl w:val="nil"/>
            </w:tcBorders>
            <w:vAlign w:val="center"/>
          </w:tcPr>
          <w:p w:rsidR="00C645C9" w:rsidRDefault="00F955D9">
            <w:pPr>
              <w:pStyle w:val="afb"/>
            </w:pPr>
            <w:r>
              <w:t>0</w:t>
            </w:r>
          </w:p>
        </w:tc>
        <w:tc>
          <w:tcPr>
            <w:tcW w:w="464"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5</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2</w:t>
            </w:r>
          </w:p>
        </w:tc>
        <w:tc>
          <w:tcPr>
            <w:tcW w:w="445" w:type="dxa"/>
            <w:tcBorders>
              <w:tl2br w:val="nil"/>
              <w:tr2bl w:val="nil"/>
            </w:tcBorders>
            <w:vAlign w:val="center"/>
          </w:tcPr>
          <w:p w:rsidR="00C645C9" w:rsidRDefault="00F955D9">
            <w:pPr>
              <w:pStyle w:val="afb"/>
            </w:pPr>
            <w:r>
              <w:t>0</w:t>
            </w:r>
          </w:p>
        </w:tc>
        <w:tc>
          <w:tcPr>
            <w:tcW w:w="442" w:type="dxa"/>
            <w:tcBorders>
              <w:tl2br w:val="nil"/>
              <w:tr2bl w:val="nil"/>
            </w:tcBorders>
            <w:vAlign w:val="center"/>
          </w:tcPr>
          <w:p w:rsidR="00C645C9" w:rsidRDefault="00F955D9">
            <w:pPr>
              <w:pStyle w:val="afb"/>
            </w:pPr>
            <w:r>
              <w:t>2</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11</w:t>
            </w:r>
          </w:p>
        </w:tc>
        <w:tc>
          <w:tcPr>
            <w:tcW w:w="503" w:type="dxa"/>
            <w:tcBorders>
              <w:tl2br w:val="nil"/>
              <w:tr2bl w:val="nil"/>
            </w:tcBorders>
            <w:vAlign w:val="center"/>
          </w:tcPr>
          <w:p w:rsidR="00C645C9" w:rsidRDefault="00F955D9">
            <w:pPr>
              <w:pStyle w:val="afb"/>
            </w:pPr>
            <w:r>
              <w:t>9</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0</w:t>
            </w:r>
          </w:p>
        </w:tc>
        <w:tc>
          <w:tcPr>
            <w:tcW w:w="474" w:type="dxa"/>
            <w:tcBorders>
              <w:tl2br w:val="nil"/>
              <w:tr2bl w:val="nil"/>
            </w:tcBorders>
            <w:vAlign w:val="center"/>
          </w:tcPr>
          <w:p w:rsidR="00C645C9" w:rsidRDefault="00F955D9">
            <w:pPr>
              <w:pStyle w:val="afb"/>
            </w:pPr>
            <w:r>
              <w:t>1</w:t>
            </w:r>
          </w:p>
        </w:tc>
        <w:tc>
          <w:tcPr>
            <w:tcW w:w="716" w:type="dxa"/>
            <w:tcBorders>
              <w:tl2br w:val="nil"/>
              <w:tr2bl w:val="nil"/>
            </w:tcBorders>
            <w:vAlign w:val="center"/>
          </w:tcPr>
          <w:p w:rsidR="00C645C9" w:rsidRDefault="00F955D9">
            <w:pPr>
              <w:pStyle w:val="afb"/>
            </w:pPr>
            <w:r>
              <w:t>41</w:t>
            </w:r>
          </w:p>
        </w:tc>
      </w:tr>
      <w:tr w:rsidR="00C645C9">
        <w:trPr>
          <w:trHeight w:val="369"/>
        </w:trPr>
        <w:tc>
          <w:tcPr>
            <w:tcW w:w="746" w:type="dxa"/>
            <w:tcBorders>
              <w:tl2br w:val="nil"/>
              <w:tr2bl w:val="nil"/>
            </w:tcBorders>
            <w:vAlign w:val="center"/>
          </w:tcPr>
          <w:p w:rsidR="00C645C9" w:rsidRDefault="00F955D9">
            <w:pPr>
              <w:pStyle w:val="afb"/>
            </w:pPr>
            <w:r>
              <w:t>3</w:t>
            </w:r>
            <w:r>
              <w:t>月</w:t>
            </w:r>
          </w:p>
        </w:tc>
        <w:tc>
          <w:tcPr>
            <w:tcW w:w="462" w:type="dxa"/>
            <w:tcBorders>
              <w:tl2br w:val="nil"/>
              <w:tr2bl w:val="nil"/>
            </w:tcBorders>
            <w:vAlign w:val="center"/>
          </w:tcPr>
          <w:p w:rsidR="00C645C9" w:rsidRDefault="00F955D9">
            <w:pPr>
              <w:pStyle w:val="afb"/>
            </w:pPr>
            <w:r>
              <w:t>3</w:t>
            </w:r>
          </w:p>
        </w:tc>
        <w:tc>
          <w:tcPr>
            <w:tcW w:w="460" w:type="dxa"/>
            <w:tcBorders>
              <w:tl2br w:val="nil"/>
              <w:tr2bl w:val="nil"/>
            </w:tcBorders>
            <w:vAlign w:val="center"/>
          </w:tcPr>
          <w:p w:rsidR="00C645C9" w:rsidRDefault="00F955D9">
            <w:pPr>
              <w:pStyle w:val="afb"/>
            </w:pPr>
            <w:r>
              <w:t>1</w:t>
            </w:r>
          </w:p>
        </w:tc>
        <w:tc>
          <w:tcPr>
            <w:tcW w:w="464" w:type="dxa"/>
            <w:tcBorders>
              <w:tl2br w:val="nil"/>
              <w:tr2bl w:val="nil"/>
            </w:tcBorders>
            <w:vAlign w:val="center"/>
          </w:tcPr>
          <w:p w:rsidR="00C645C9" w:rsidRDefault="00F955D9">
            <w:pPr>
              <w:pStyle w:val="afb"/>
            </w:pPr>
            <w:r>
              <w:t>15</w:t>
            </w:r>
          </w:p>
        </w:tc>
        <w:tc>
          <w:tcPr>
            <w:tcW w:w="460"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11</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45" w:type="dxa"/>
            <w:tcBorders>
              <w:tl2br w:val="nil"/>
              <w:tr2bl w:val="nil"/>
            </w:tcBorders>
            <w:vAlign w:val="center"/>
          </w:tcPr>
          <w:p w:rsidR="00C645C9" w:rsidRDefault="00F955D9">
            <w:pPr>
              <w:pStyle w:val="afb"/>
            </w:pPr>
            <w:r>
              <w:t>0</w:t>
            </w:r>
          </w:p>
        </w:tc>
        <w:tc>
          <w:tcPr>
            <w:tcW w:w="442" w:type="dxa"/>
            <w:tcBorders>
              <w:tl2br w:val="nil"/>
              <w:tr2bl w:val="nil"/>
            </w:tcBorders>
            <w:vAlign w:val="center"/>
          </w:tcPr>
          <w:p w:rsidR="00C645C9" w:rsidRDefault="00F955D9">
            <w:pPr>
              <w:pStyle w:val="afb"/>
            </w:pPr>
            <w:r>
              <w:t>2</w:t>
            </w:r>
          </w:p>
        </w:tc>
        <w:tc>
          <w:tcPr>
            <w:tcW w:w="457"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7</w:t>
            </w:r>
          </w:p>
        </w:tc>
        <w:tc>
          <w:tcPr>
            <w:tcW w:w="503" w:type="dxa"/>
            <w:tcBorders>
              <w:tl2br w:val="nil"/>
              <w:tr2bl w:val="nil"/>
            </w:tcBorders>
            <w:vAlign w:val="center"/>
          </w:tcPr>
          <w:p w:rsidR="00C645C9" w:rsidRDefault="00F955D9">
            <w:pPr>
              <w:pStyle w:val="afb"/>
            </w:pPr>
            <w:r>
              <w:t>4</w:t>
            </w:r>
          </w:p>
        </w:tc>
        <w:tc>
          <w:tcPr>
            <w:tcW w:w="475" w:type="dxa"/>
            <w:tcBorders>
              <w:tl2br w:val="nil"/>
              <w:tr2bl w:val="nil"/>
            </w:tcBorders>
            <w:vAlign w:val="center"/>
          </w:tcPr>
          <w:p w:rsidR="00C645C9" w:rsidRDefault="00F955D9">
            <w:pPr>
              <w:pStyle w:val="afb"/>
            </w:pPr>
            <w:r>
              <w:t>6</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1</w:t>
            </w:r>
          </w:p>
        </w:tc>
        <w:tc>
          <w:tcPr>
            <w:tcW w:w="716" w:type="dxa"/>
            <w:tcBorders>
              <w:tl2br w:val="nil"/>
              <w:tr2bl w:val="nil"/>
            </w:tcBorders>
            <w:vAlign w:val="center"/>
          </w:tcPr>
          <w:p w:rsidR="00C645C9" w:rsidRDefault="00F955D9">
            <w:pPr>
              <w:pStyle w:val="afb"/>
            </w:pPr>
            <w:r>
              <w:t>32</w:t>
            </w:r>
          </w:p>
        </w:tc>
      </w:tr>
      <w:tr w:rsidR="00C645C9">
        <w:trPr>
          <w:trHeight w:val="369"/>
        </w:trPr>
        <w:tc>
          <w:tcPr>
            <w:tcW w:w="746" w:type="dxa"/>
            <w:tcBorders>
              <w:tl2br w:val="nil"/>
              <w:tr2bl w:val="nil"/>
            </w:tcBorders>
            <w:vAlign w:val="center"/>
          </w:tcPr>
          <w:p w:rsidR="00C645C9" w:rsidRDefault="00F955D9">
            <w:pPr>
              <w:pStyle w:val="afb"/>
            </w:pPr>
            <w:r>
              <w:t>4</w:t>
            </w:r>
            <w:r>
              <w:t>月</w:t>
            </w:r>
          </w:p>
        </w:tc>
        <w:tc>
          <w:tcPr>
            <w:tcW w:w="462"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3</w:t>
            </w:r>
          </w:p>
        </w:tc>
        <w:tc>
          <w:tcPr>
            <w:tcW w:w="464" w:type="dxa"/>
            <w:tcBorders>
              <w:tl2br w:val="nil"/>
              <w:tr2bl w:val="nil"/>
            </w:tcBorders>
            <w:vAlign w:val="center"/>
          </w:tcPr>
          <w:p w:rsidR="00C645C9" w:rsidRDefault="00F955D9">
            <w:pPr>
              <w:pStyle w:val="afb"/>
            </w:pPr>
            <w:r>
              <w:t>11</w:t>
            </w:r>
          </w:p>
        </w:tc>
        <w:tc>
          <w:tcPr>
            <w:tcW w:w="460" w:type="dxa"/>
            <w:tcBorders>
              <w:tl2br w:val="nil"/>
              <w:tr2bl w:val="nil"/>
            </w:tcBorders>
            <w:vAlign w:val="center"/>
          </w:tcPr>
          <w:p w:rsidR="00C645C9" w:rsidRDefault="00F955D9">
            <w:pPr>
              <w:pStyle w:val="afb"/>
            </w:pPr>
            <w:r>
              <w:t>13</w:t>
            </w:r>
          </w:p>
        </w:tc>
        <w:tc>
          <w:tcPr>
            <w:tcW w:w="460" w:type="dxa"/>
            <w:tcBorders>
              <w:tl2br w:val="nil"/>
              <w:tr2bl w:val="nil"/>
            </w:tcBorders>
            <w:vAlign w:val="center"/>
          </w:tcPr>
          <w:p w:rsidR="00C645C9" w:rsidRDefault="00F955D9">
            <w:pPr>
              <w:pStyle w:val="afb"/>
            </w:pPr>
            <w:r>
              <w:t>12</w:t>
            </w:r>
          </w:p>
        </w:tc>
        <w:tc>
          <w:tcPr>
            <w:tcW w:w="447"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3</w:t>
            </w:r>
          </w:p>
        </w:tc>
        <w:tc>
          <w:tcPr>
            <w:tcW w:w="445"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3</w:t>
            </w:r>
          </w:p>
        </w:tc>
        <w:tc>
          <w:tcPr>
            <w:tcW w:w="457"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8</w:t>
            </w:r>
          </w:p>
        </w:tc>
        <w:tc>
          <w:tcPr>
            <w:tcW w:w="503" w:type="dxa"/>
            <w:tcBorders>
              <w:tl2br w:val="nil"/>
              <w:tr2bl w:val="nil"/>
            </w:tcBorders>
            <w:vAlign w:val="center"/>
          </w:tcPr>
          <w:p w:rsidR="00C645C9" w:rsidRDefault="00F955D9">
            <w:pPr>
              <w:pStyle w:val="afb"/>
            </w:pPr>
            <w:r>
              <w:t>5</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2</w:t>
            </w:r>
          </w:p>
        </w:tc>
        <w:tc>
          <w:tcPr>
            <w:tcW w:w="716" w:type="dxa"/>
            <w:tcBorders>
              <w:tl2br w:val="nil"/>
              <w:tr2bl w:val="nil"/>
            </w:tcBorders>
            <w:vAlign w:val="center"/>
          </w:tcPr>
          <w:p w:rsidR="00C645C9" w:rsidRDefault="00F955D9">
            <w:pPr>
              <w:pStyle w:val="afb"/>
            </w:pPr>
            <w:r>
              <w:t>21</w:t>
            </w:r>
          </w:p>
        </w:tc>
      </w:tr>
      <w:tr w:rsidR="00C645C9">
        <w:trPr>
          <w:trHeight w:val="369"/>
        </w:trPr>
        <w:tc>
          <w:tcPr>
            <w:tcW w:w="746" w:type="dxa"/>
            <w:tcBorders>
              <w:tl2br w:val="nil"/>
              <w:tr2bl w:val="nil"/>
            </w:tcBorders>
            <w:vAlign w:val="center"/>
          </w:tcPr>
          <w:p w:rsidR="00C645C9" w:rsidRDefault="00F955D9">
            <w:pPr>
              <w:pStyle w:val="afb"/>
            </w:pPr>
            <w:r>
              <w:t>5</w:t>
            </w:r>
            <w:r>
              <w:t>月</w:t>
            </w:r>
          </w:p>
        </w:tc>
        <w:tc>
          <w:tcPr>
            <w:tcW w:w="462" w:type="dxa"/>
            <w:tcBorders>
              <w:tl2br w:val="nil"/>
              <w:tr2bl w:val="nil"/>
            </w:tcBorders>
            <w:vAlign w:val="center"/>
          </w:tcPr>
          <w:p w:rsidR="00C645C9" w:rsidRDefault="00F955D9">
            <w:pPr>
              <w:pStyle w:val="afb"/>
            </w:pPr>
            <w:r>
              <w:t>11</w:t>
            </w:r>
          </w:p>
        </w:tc>
        <w:tc>
          <w:tcPr>
            <w:tcW w:w="460" w:type="dxa"/>
            <w:tcBorders>
              <w:tl2br w:val="nil"/>
              <w:tr2bl w:val="nil"/>
            </w:tcBorders>
            <w:vAlign w:val="center"/>
          </w:tcPr>
          <w:p w:rsidR="00C645C9" w:rsidRDefault="00F955D9">
            <w:pPr>
              <w:pStyle w:val="afb"/>
            </w:pPr>
            <w:r>
              <w:t>4</w:t>
            </w:r>
          </w:p>
        </w:tc>
        <w:tc>
          <w:tcPr>
            <w:tcW w:w="464" w:type="dxa"/>
            <w:tcBorders>
              <w:tl2br w:val="nil"/>
              <w:tr2bl w:val="nil"/>
            </w:tcBorders>
            <w:vAlign w:val="center"/>
          </w:tcPr>
          <w:p w:rsidR="00C645C9" w:rsidRDefault="00F955D9">
            <w:pPr>
              <w:pStyle w:val="afb"/>
            </w:pPr>
            <w:r>
              <w:t>12</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11</w:t>
            </w:r>
          </w:p>
        </w:tc>
        <w:tc>
          <w:tcPr>
            <w:tcW w:w="447" w:type="dxa"/>
            <w:tcBorders>
              <w:tl2br w:val="nil"/>
              <w:tr2bl w:val="nil"/>
            </w:tcBorders>
            <w:vAlign w:val="center"/>
          </w:tcPr>
          <w:p w:rsidR="00C645C9" w:rsidRDefault="00F955D9">
            <w:pPr>
              <w:pStyle w:val="afb"/>
            </w:pPr>
            <w:r>
              <w:t>3</w:t>
            </w:r>
          </w:p>
        </w:tc>
        <w:tc>
          <w:tcPr>
            <w:tcW w:w="442" w:type="dxa"/>
            <w:tcBorders>
              <w:tl2br w:val="nil"/>
              <w:tr2bl w:val="nil"/>
            </w:tcBorders>
            <w:vAlign w:val="center"/>
          </w:tcPr>
          <w:p w:rsidR="00C645C9" w:rsidRDefault="00F955D9">
            <w:pPr>
              <w:pStyle w:val="afb"/>
            </w:pPr>
            <w:r>
              <w:t>4</w:t>
            </w:r>
          </w:p>
        </w:tc>
        <w:tc>
          <w:tcPr>
            <w:tcW w:w="445"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3</w:t>
            </w:r>
          </w:p>
        </w:tc>
        <w:tc>
          <w:tcPr>
            <w:tcW w:w="457"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7</w:t>
            </w:r>
          </w:p>
        </w:tc>
        <w:tc>
          <w:tcPr>
            <w:tcW w:w="503" w:type="dxa"/>
            <w:tcBorders>
              <w:tl2br w:val="nil"/>
              <w:tr2bl w:val="nil"/>
            </w:tcBorders>
            <w:vAlign w:val="center"/>
          </w:tcPr>
          <w:p w:rsidR="00C645C9" w:rsidRDefault="00F955D9">
            <w:pPr>
              <w:pStyle w:val="afb"/>
            </w:pPr>
            <w:r>
              <w:t>2</w:t>
            </w:r>
          </w:p>
        </w:tc>
        <w:tc>
          <w:tcPr>
            <w:tcW w:w="475" w:type="dxa"/>
            <w:tcBorders>
              <w:tl2br w:val="nil"/>
              <w:tr2bl w:val="nil"/>
            </w:tcBorders>
            <w:vAlign w:val="center"/>
          </w:tcPr>
          <w:p w:rsidR="00C645C9" w:rsidRDefault="00F955D9">
            <w:pPr>
              <w:pStyle w:val="afb"/>
            </w:pPr>
            <w:r>
              <w:t>4</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2</w:t>
            </w:r>
          </w:p>
        </w:tc>
        <w:tc>
          <w:tcPr>
            <w:tcW w:w="474" w:type="dxa"/>
            <w:tcBorders>
              <w:tl2br w:val="nil"/>
              <w:tr2bl w:val="nil"/>
            </w:tcBorders>
            <w:vAlign w:val="center"/>
          </w:tcPr>
          <w:p w:rsidR="00C645C9" w:rsidRDefault="00F955D9">
            <w:pPr>
              <w:pStyle w:val="afb"/>
            </w:pPr>
            <w:r>
              <w:t>2</w:t>
            </w:r>
          </w:p>
        </w:tc>
        <w:tc>
          <w:tcPr>
            <w:tcW w:w="716" w:type="dxa"/>
            <w:tcBorders>
              <w:tl2br w:val="nil"/>
              <w:tr2bl w:val="nil"/>
            </w:tcBorders>
            <w:vAlign w:val="center"/>
          </w:tcPr>
          <w:p w:rsidR="00C645C9" w:rsidRDefault="00F955D9">
            <w:pPr>
              <w:pStyle w:val="afb"/>
            </w:pPr>
            <w:r>
              <w:t>22</w:t>
            </w:r>
          </w:p>
        </w:tc>
      </w:tr>
      <w:tr w:rsidR="00C645C9">
        <w:trPr>
          <w:trHeight w:val="369"/>
        </w:trPr>
        <w:tc>
          <w:tcPr>
            <w:tcW w:w="746" w:type="dxa"/>
            <w:tcBorders>
              <w:tl2br w:val="nil"/>
              <w:tr2bl w:val="nil"/>
            </w:tcBorders>
            <w:vAlign w:val="center"/>
          </w:tcPr>
          <w:p w:rsidR="00C645C9" w:rsidRDefault="00F955D9">
            <w:pPr>
              <w:pStyle w:val="afb"/>
            </w:pPr>
            <w:r>
              <w:t>6</w:t>
            </w:r>
            <w:r>
              <w:t>月</w:t>
            </w:r>
          </w:p>
        </w:tc>
        <w:tc>
          <w:tcPr>
            <w:tcW w:w="462" w:type="dxa"/>
            <w:tcBorders>
              <w:tl2br w:val="nil"/>
              <w:tr2bl w:val="nil"/>
            </w:tcBorders>
            <w:vAlign w:val="center"/>
          </w:tcPr>
          <w:p w:rsidR="00C645C9" w:rsidRDefault="00F955D9">
            <w:pPr>
              <w:pStyle w:val="afb"/>
            </w:pPr>
            <w:r>
              <w:t>11</w:t>
            </w:r>
          </w:p>
        </w:tc>
        <w:tc>
          <w:tcPr>
            <w:tcW w:w="460" w:type="dxa"/>
            <w:tcBorders>
              <w:tl2br w:val="nil"/>
              <w:tr2bl w:val="nil"/>
            </w:tcBorders>
            <w:vAlign w:val="center"/>
          </w:tcPr>
          <w:p w:rsidR="00C645C9" w:rsidRDefault="00F955D9">
            <w:pPr>
              <w:pStyle w:val="afb"/>
            </w:pPr>
            <w:r>
              <w:t>4</w:t>
            </w:r>
          </w:p>
        </w:tc>
        <w:tc>
          <w:tcPr>
            <w:tcW w:w="464"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9</w:t>
            </w:r>
          </w:p>
        </w:tc>
        <w:tc>
          <w:tcPr>
            <w:tcW w:w="460" w:type="dxa"/>
            <w:tcBorders>
              <w:tl2br w:val="nil"/>
              <w:tr2bl w:val="nil"/>
            </w:tcBorders>
            <w:vAlign w:val="center"/>
          </w:tcPr>
          <w:p w:rsidR="00C645C9" w:rsidRDefault="00F955D9">
            <w:pPr>
              <w:pStyle w:val="afb"/>
            </w:pPr>
            <w:r>
              <w:t>10</w:t>
            </w:r>
          </w:p>
        </w:tc>
        <w:tc>
          <w:tcPr>
            <w:tcW w:w="447"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5</w:t>
            </w:r>
          </w:p>
        </w:tc>
        <w:tc>
          <w:tcPr>
            <w:tcW w:w="445"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4</w:t>
            </w:r>
          </w:p>
        </w:tc>
        <w:tc>
          <w:tcPr>
            <w:tcW w:w="457"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6</w:t>
            </w:r>
          </w:p>
        </w:tc>
        <w:tc>
          <w:tcPr>
            <w:tcW w:w="503" w:type="dxa"/>
            <w:tcBorders>
              <w:tl2br w:val="nil"/>
              <w:tr2bl w:val="nil"/>
            </w:tcBorders>
            <w:vAlign w:val="center"/>
          </w:tcPr>
          <w:p w:rsidR="00C645C9" w:rsidRDefault="00F955D9">
            <w:pPr>
              <w:pStyle w:val="afb"/>
            </w:pPr>
            <w:r>
              <w:t>2</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4</w:t>
            </w:r>
          </w:p>
        </w:tc>
        <w:tc>
          <w:tcPr>
            <w:tcW w:w="474" w:type="dxa"/>
            <w:tcBorders>
              <w:tl2br w:val="nil"/>
              <w:tr2bl w:val="nil"/>
            </w:tcBorders>
            <w:vAlign w:val="center"/>
          </w:tcPr>
          <w:p w:rsidR="00C645C9" w:rsidRDefault="00F955D9">
            <w:pPr>
              <w:pStyle w:val="afb"/>
            </w:pPr>
            <w:r>
              <w:t>2</w:t>
            </w:r>
          </w:p>
        </w:tc>
        <w:tc>
          <w:tcPr>
            <w:tcW w:w="716" w:type="dxa"/>
            <w:tcBorders>
              <w:tl2br w:val="nil"/>
              <w:tr2bl w:val="nil"/>
            </w:tcBorders>
            <w:vAlign w:val="center"/>
          </w:tcPr>
          <w:p w:rsidR="00C645C9" w:rsidRDefault="00F955D9">
            <w:pPr>
              <w:pStyle w:val="afb"/>
            </w:pPr>
            <w:r>
              <w:t>21</w:t>
            </w:r>
          </w:p>
        </w:tc>
      </w:tr>
      <w:tr w:rsidR="00C645C9">
        <w:trPr>
          <w:trHeight w:val="369"/>
        </w:trPr>
        <w:tc>
          <w:tcPr>
            <w:tcW w:w="746" w:type="dxa"/>
            <w:tcBorders>
              <w:tl2br w:val="nil"/>
              <w:tr2bl w:val="nil"/>
            </w:tcBorders>
            <w:vAlign w:val="center"/>
          </w:tcPr>
          <w:p w:rsidR="00C645C9" w:rsidRDefault="00F955D9">
            <w:pPr>
              <w:pStyle w:val="afb"/>
            </w:pPr>
            <w:r>
              <w:t>7</w:t>
            </w:r>
            <w:r>
              <w:t>月</w:t>
            </w:r>
          </w:p>
        </w:tc>
        <w:tc>
          <w:tcPr>
            <w:tcW w:w="462"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3</w:t>
            </w:r>
          </w:p>
        </w:tc>
        <w:tc>
          <w:tcPr>
            <w:tcW w:w="464"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8</w:t>
            </w:r>
          </w:p>
        </w:tc>
        <w:tc>
          <w:tcPr>
            <w:tcW w:w="447" w:type="dxa"/>
            <w:tcBorders>
              <w:tl2br w:val="nil"/>
              <w:tr2bl w:val="nil"/>
            </w:tcBorders>
            <w:vAlign w:val="center"/>
          </w:tcPr>
          <w:p w:rsidR="00C645C9" w:rsidRDefault="00F955D9">
            <w:pPr>
              <w:pStyle w:val="afb"/>
            </w:pPr>
            <w:r>
              <w:t>3</w:t>
            </w:r>
          </w:p>
        </w:tc>
        <w:tc>
          <w:tcPr>
            <w:tcW w:w="442" w:type="dxa"/>
            <w:tcBorders>
              <w:tl2br w:val="nil"/>
              <w:tr2bl w:val="nil"/>
            </w:tcBorders>
            <w:vAlign w:val="center"/>
          </w:tcPr>
          <w:p w:rsidR="00C645C9" w:rsidRDefault="00F955D9">
            <w:pPr>
              <w:pStyle w:val="afb"/>
            </w:pPr>
            <w:r>
              <w:t>5</w:t>
            </w:r>
          </w:p>
        </w:tc>
        <w:tc>
          <w:tcPr>
            <w:tcW w:w="445"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4</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4</w:t>
            </w:r>
          </w:p>
        </w:tc>
        <w:tc>
          <w:tcPr>
            <w:tcW w:w="503" w:type="dxa"/>
            <w:tcBorders>
              <w:tl2br w:val="nil"/>
              <w:tr2bl w:val="nil"/>
            </w:tcBorders>
            <w:vAlign w:val="center"/>
          </w:tcPr>
          <w:p w:rsidR="00C645C9" w:rsidRDefault="00F955D9">
            <w:pPr>
              <w:pStyle w:val="afb"/>
            </w:pPr>
            <w:r>
              <w:t>3</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2</w:t>
            </w:r>
          </w:p>
        </w:tc>
        <w:tc>
          <w:tcPr>
            <w:tcW w:w="447" w:type="dxa"/>
            <w:tcBorders>
              <w:tl2br w:val="nil"/>
              <w:tr2bl w:val="nil"/>
            </w:tcBorders>
            <w:vAlign w:val="center"/>
          </w:tcPr>
          <w:p w:rsidR="00C645C9" w:rsidRDefault="00F955D9">
            <w:pPr>
              <w:pStyle w:val="afb"/>
            </w:pPr>
            <w:r>
              <w:t>3</w:t>
            </w:r>
          </w:p>
        </w:tc>
        <w:tc>
          <w:tcPr>
            <w:tcW w:w="474" w:type="dxa"/>
            <w:tcBorders>
              <w:tl2br w:val="nil"/>
              <w:tr2bl w:val="nil"/>
            </w:tcBorders>
            <w:vAlign w:val="center"/>
          </w:tcPr>
          <w:p w:rsidR="00C645C9" w:rsidRDefault="00F955D9">
            <w:pPr>
              <w:pStyle w:val="afb"/>
            </w:pPr>
            <w:r>
              <w:t>3</w:t>
            </w:r>
          </w:p>
        </w:tc>
        <w:tc>
          <w:tcPr>
            <w:tcW w:w="716" w:type="dxa"/>
            <w:tcBorders>
              <w:tl2br w:val="nil"/>
              <w:tr2bl w:val="nil"/>
            </w:tcBorders>
            <w:vAlign w:val="center"/>
          </w:tcPr>
          <w:p w:rsidR="00C645C9" w:rsidRDefault="00F955D9">
            <w:pPr>
              <w:pStyle w:val="afb"/>
            </w:pPr>
            <w:r>
              <w:t>24</w:t>
            </w:r>
          </w:p>
        </w:tc>
      </w:tr>
      <w:tr w:rsidR="00C645C9">
        <w:trPr>
          <w:trHeight w:val="369"/>
        </w:trPr>
        <w:tc>
          <w:tcPr>
            <w:tcW w:w="746" w:type="dxa"/>
            <w:tcBorders>
              <w:tl2br w:val="nil"/>
              <w:tr2bl w:val="nil"/>
            </w:tcBorders>
            <w:vAlign w:val="center"/>
          </w:tcPr>
          <w:p w:rsidR="00C645C9" w:rsidRDefault="00F955D9">
            <w:pPr>
              <w:pStyle w:val="afb"/>
            </w:pPr>
            <w:r>
              <w:t>8</w:t>
            </w:r>
            <w:r>
              <w:t>月</w:t>
            </w:r>
          </w:p>
        </w:tc>
        <w:tc>
          <w:tcPr>
            <w:tcW w:w="462" w:type="dxa"/>
            <w:tcBorders>
              <w:tl2br w:val="nil"/>
              <w:tr2bl w:val="nil"/>
            </w:tcBorders>
            <w:vAlign w:val="center"/>
          </w:tcPr>
          <w:p w:rsidR="00C645C9" w:rsidRDefault="00F955D9">
            <w:pPr>
              <w:pStyle w:val="afb"/>
            </w:pPr>
            <w:r>
              <w:t>11</w:t>
            </w:r>
          </w:p>
        </w:tc>
        <w:tc>
          <w:tcPr>
            <w:tcW w:w="460" w:type="dxa"/>
            <w:tcBorders>
              <w:tl2br w:val="nil"/>
              <w:tr2bl w:val="nil"/>
            </w:tcBorders>
            <w:vAlign w:val="center"/>
          </w:tcPr>
          <w:p w:rsidR="00C645C9" w:rsidRDefault="00F955D9">
            <w:pPr>
              <w:pStyle w:val="afb"/>
            </w:pPr>
            <w:r>
              <w:t>3</w:t>
            </w:r>
          </w:p>
        </w:tc>
        <w:tc>
          <w:tcPr>
            <w:tcW w:w="464"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12</w:t>
            </w:r>
          </w:p>
        </w:tc>
        <w:tc>
          <w:tcPr>
            <w:tcW w:w="447"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6</w:t>
            </w:r>
          </w:p>
        </w:tc>
        <w:tc>
          <w:tcPr>
            <w:tcW w:w="445"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4</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2</w:t>
            </w:r>
          </w:p>
        </w:tc>
        <w:tc>
          <w:tcPr>
            <w:tcW w:w="503" w:type="dxa"/>
            <w:tcBorders>
              <w:tl2br w:val="nil"/>
              <w:tr2bl w:val="nil"/>
            </w:tcBorders>
            <w:vAlign w:val="center"/>
          </w:tcPr>
          <w:p w:rsidR="00C645C9" w:rsidRDefault="00F955D9">
            <w:pPr>
              <w:pStyle w:val="afb"/>
            </w:pPr>
            <w:r>
              <w:t>1</w:t>
            </w:r>
          </w:p>
        </w:tc>
        <w:tc>
          <w:tcPr>
            <w:tcW w:w="475" w:type="dxa"/>
            <w:tcBorders>
              <w:tl2br w:val="nil"/>
              <w:tr2bl w:val="nil"/>
            </w:tcBorders>
            <w:vAlign w:val="center"/>
          </w:tcPr>
          <w:p w:rsidR="00C645C9" w:rsidRDefault="00F955D9">
            <w:pPr>
              <w:pStyle w:val="afb"/>
            </w:pPr>
            <w:r>
              <w:t>3</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2</w:t>
            </w:r>
          </w:p>
        </w:tc>
        <w:tc>
          <w:tcPr>
            <w:tcW w:w="474" w:type="dxa"/>
            <w:tcBorders>
              <w:tl2br w:val="nil"/>
              <w:tr2bl w:val="nil"/>
            </w:tcBorders>
            <w:vAlign w:val="center"/>
          </w:tcPr>
          <w:p w:rsidR="00C645C9" w:rsidRDefault="00F955D9">
            <w:pPr>
              <w:pStyle w:val="afb"/>
            </w:pPr>
            <w:r>
              <w:t>2</w:t>
            </w:r>
          </w:p>
        </w:tc>
        <w:tc>
          <w:tcPr>
            <w:tcW w:w="716" w:type="dxa"/>
            <w:tcBorders>
              <w:tl2br w:val="nil"/>
              <w:tr2bl w:val="nil"/>
            </w:tcBorders>
            <w:vAlign w:val="center"/>
          </w:tcPr>
          <w:p w:rsidR="00C645C9" w:rsidRDefault="00F955D9">
            <w:pPr>
              <w:pStyle w:val="afb"/>
            </w:pPr>
            <w:r>
              <w:t>31</w:t>
            </w:r>
          </w:p>
        </w:tc>
      </w:tr>
      <w:tr w:rsidR="00C645C9">
        <w:trPr>
          <w:trHeight w:val="369"/>
        </w:trPr>
        <w:tc>
          <w:tcPr>
            <w:tcW w:w="746" w:type="dxa"/>
            <w:tcBorders>
              <w:tl2br w:val="nil"/>
              <w:tr2bl w:val="nil"/>
            </w:tcBorders>
            <w:vAlign w:val="center"/>
          </w:tcPr>
          <w:p w:rsidR="00C645C9" w:rsidRDefault="00F955D9">
            <w:pPr>
              <w:pStyle w:val="afb"/>
            </w:pPr>
            <w:r>
              <w:t>9</w:t>
            </w:r>
            <w:r>
              <w:t>月</w:t>
            </w:r>
          </w:p>
        </w:tc>
        <w:tc>
          <w:tcPr>
            <w:tcW w:w="462" w:type="dxa"/>
            <w:tcBorders>
              <w:tl2br w:val="nil"/>
              <w:tr2bl w:val="nil"/>
            </w:tcBorders>
            <w:vAlign w:val="center"/>
          </w:tcPr>
          <w:p w:rsidR="00C645C9" w:rsidRDefault="00F955D9">
            <w:pPr>
              <w:pStyle w:val="afb"/>
            </w:pPr>
            <w:r>
              <w:t>6</w:t>
            </w:r>
          </w:p>
        </w:tc>
        <w:tc>
          <w:tcPr>
            <w:tcW w:w="460" w:type="dxa"/>
            <w:tcBorders>
              <w:tl2br w:val="nil"/>
              <w:tr2bl w:val="nil"/>
            </w:tcBorders>
            <w:vAlign w:val="center"/>
          </w:tcPr>
          <w:p w:rsidR="00C645C9" w:rsidRDefault="00F955D9">
            <w:pPr>
              <w:pStyle w:val="afb"/>
            </w:pPr>
            <w:r>
              <w:t>2</w:t>
            </w:r>
          </w:p>
        </w:tc>
        <w:tc>
          <w:tcPr>
            <w:tcW w:w="464"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10</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4</w:t>
            </w:r>
          </w:p>
        </w:tc>
        <w:tc>
          <w:tcPr>
            <w:tcW w:w="445"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2</w:t>
            </w:r>
          </w:p>
        </w:tc>
        <w:tc>
          <w:tcPr>
            <w:tcW w:w="457"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4</w:t>
            </w:r>
          </w:p>
        </w:tc>
        <w:tc>
          <w:tcPr>
            <w:tcW w:w="503" w:type="dxa"/>
            <w:tcBorders>
              <w:tl2br w:val="nil"/>
              <w:tr2bl w:val="nil"/>
            </w:tcBorders>
            <w:vAlign w:val="center"/>
          </w:tcPr>
          <w:p w:rsidR="00C645C9" w:rsidRDefault="00F955D9">
            <w:pPr>
              <w:pStyle w:val="afb"/>
            </w:pPr>
            <w:r>
              <w:t>2</w:t>
            </w:r>
          </w:p>
        </w:tc>
        <w:tc>
          <w:tcPr>
            <w:tcW w:w="475" w:type="dxa"/>
            <w:tcBorders>
              <w:tl2br w:val="nil"/>
              <w:tr2bl w:val="nil"/>
            </w:tcBorders>
            <w:vAlign w:val="center"/>
          </w:tcPr>
          <w:p w:rsidR="00C645C9" w:rsidRDefault="00F955D9">
            <w:pPr>
              <w:pStyle w:val="afb"/>
            </w:pPr>
            <w:r>
              <w:t>2</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1</w:t>
            </w:r>
          </w:p>
        </w:tc>
        <w:tc>
          <w:tcPr>
            <w:tcW w:w="716" w:type="dxa"/>
            <w:tcBorders>
              <w:tl2br w:val="nil"/>
              <w:tr2bl w:val="nil"/>
            </w:tcBorders>
            <w:vAlign w:val="center"/>
          </w:tcPr>
          <w:p w:rsidR="00C645C9" w:rsidRDefault="00F955D9">
            <w:pPr>
              <w:pStyle w:val="afb"/>
            </w:pPr>
            <w:r>
              <w:t>41</w:t>
            </w:r>
          </w:p>
        </w:tc>
      </w:tr>
      <w:tr w:rsidR="00C645C9">
        <w:trPr>
          <w:trHeight w:val="369"/>
        </w:trPr>
        <w:tc>
          <w:tcPr>
            <w:tcW w:w="746" w:type="dxa"/>
            <w:tcBorders>
              <w:tl2br w:val="nil"/>
              <w:tr2bl w:val="nil"/>
            </w:tcBorders>
            <w:vAlign w:val="center"/>
          </w:tcPr>
          <w:p w:rsidR="00C645C9" w:rsidRDefault="00F955D9">
            <w:pPr>
              <w:pStyle w:val="afb"/>
            </w:pPr>
            <w:r>
              <w:t>10</w:t>
            </w:r>
            <w:r>
              <w:t>月</w:t>
            </w:r>
          </w:p>
        </w:tc>
        <w:tc>
          <w:tcPr>
            <w:tcW w:w="462" w:type="dxa"/>
            <w:tcBorders>
              <w:tl2br w:val="nil"/>
              <w:tr2bl w:val="nil"/>
            </w:tcBorders>
            <w:vAlign w:val="center"/>
          </w:tcPr>
          <w:p w:rsidR="00C645C9" w:rsidRDefault="00F955D9">
            <w:pPr>
              <w:pStyle w:val="afb"/>
            </w:pPr>
            <w:r>
              <w:t>3</w:t>
            </w:r>
          </w:p>
        </w:tc>
        <w:tc>
          <w:tcPr>
            <w:tcW w:w="460" w:type="dxa"/>
            <w:tcBorders>
              <w:tl2br w:val="nil"/>
              <w:tr2bl w:val="nil"/>
            </w:tcBorders>
            <w:vAlign w:val="center"/>
          </w:tcPr>
          <w:p w:rsidR="00C645C9" w:rsidRDefault="00F955D9">
            <w:pPr>
              <w:pStyle w:val="afb"/>
            </w:pPr>
            <w:r>
              <w:t>1</w:t>
            </w:r>
          </w:p>
        </w:tc>
        <w:tc>
          <w:tcPr>
            <w:tcW w:w="464"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9</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45"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5</w:t>
            </w:r>
          </w:p>
        </w:tc>
        <w:tc>
          <w:tcPr>
            <w:tcW w:w="503" w:type="dxa"/>
            <w:tcBorders>
              <w:tl2br w:val="nil"/>
              <w:tr2bl w:val="nil"/>
            </w:tcBorders>
            <w:vAlign w:val="center"/>
          </w:tcPr>
          <w:p w:rsidR="00C645C9" w:rsidRDefault="00F955D9">
            <w:pPr>
              <w:pStyle w:val="afb"/>
            </w:pPr>
            <w:r>
              <w:t>4</w:t>
            </w:r>
          </w:p>
        </w:tc>
        <w:tc>
          <w:tcPr>
            <w:tcW w:w="475" w:type="dxa"/>
            <w:tcBorders>
              <w:tl2br w:val="nil"/>
              <w:tr2bl w:val="nil"/>
            </w:tcBorders>
            <w:vAlign w:val="center"/>
          </w:tcPr>
          <w:p w:rsidR="00C645C9" w:rsidRDefault="00F955D9">
            <w:pPr>
              <w:pStyle w:val="afb"/>
            </w:pPr>
            <w:r>
              <w:t>3</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0</w:t>
            </w:r>
          </w:p>
        </w:tc>
        <w:tc>
          <w:tcPr>
            <w:tcW w:w="716" w:type="dxa"/>
            <w:tcBorders>
              <w:tl2br w:val="nil"/>
              <w:tr2bl w:val="nil"/>
            </w:tcBorders>
            <w:vAlign w:val="center"/>
          </w:tcPr>
          <w:p w:rsidR="00C645C9" w:rsidRDefault="00F955D9">
            <w:pPr>
              <w:pStyle w:val="afb"/>
            </w:pPr>
            <w:r>
              <w:t>52</w:t>
            </w:r>
          </w:p>
        </w:tc>
      </w:tr>
      <w:tr w:rsidR="00C645C9">
        <w:trPr>
          <w:trHeight w:val="369"/>
        </w:trPr>
        <w:tc>
          <w:tcPr>
            <w:tcW w:w="746" w:type="dxa"/>
            <w:tcBorders>
              <w:tl2br w:val="nil"/>
              <w:tr2bl w:val="nil"/>
            </w:tcBorders>
            <w:vAlign w:val="center"/>
          </w:tcPr>
          <w:p w:rsidR="00C645C9" w:rsidRDefault="00F955D9">
            <w:pPr>
              <w:pStyle w:val="afb"/>
            </w:pPr>
            <w:r>
              <w:t>11</w:t>
            </w:r>
            <w:r>
              <w:t>月</w:t>
            </w:r>
          </w:p>
        </w:tc>
        <w:tc>
          <w:tcPr>
            <w:tcW w:w="462"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1</w:t>
            </w:r>
          </w:p>
        </w:tc>
        <w:tc>
          <w:tcPr>
            <w:tcW w:w="464" w:type="dxa"/>
            <w:tcBorders>
              <w:tl2br w:val="nil"/>
              <w:tr2bl w:val="nil"/>
            </w:tcBorders>
            <w:vAlign w:val="center"/>
          </w:tcPr>
          <w:p w:rsidR="00C645C9" w:rsidRDefault="00F955D9">
            <w:pPr>
              <w:pStyle w:val="afb"/>
            </w:pPr>
            <w:r>
              <w:t>7</w:t>
            </w:r>
          </w:p>
        </w:tc>
        <w:tc>
          <w:tcPr>
            <w:tcW w:w="460" w:type="dxa"/>
            <w:tcBorders>
              <w:tl2br w:val="nil"/>
              <w:tr2bl w:val="nil"/>
            </w:tcBorders>
            <w:vAlign w:val="center"/>
          </w:tcPr>
          <w:p w:rsidR="00C645C9" w:rsidRDefault="00F955D9">
            <w:pPr>
              <w:pStyle w:val="afb"/>
            </w:pPr>
            <w:r>
              <w:t>6</w:t>
            </w:r>
          </w:p>
        </w:tc>
        <w:tc>
          <w:tcPr>
            <w:tcW w:w="460" w:type="dxa"/>
            <w:tcBorders>
              <w:tl2br w:val="nil"/>
              <w:tr2bl w:val="nil"/>
            </w:tcBorders>
            <w:vAlign w:val="center"/>
          </w:tcPr>
          <w:p w:rsidR="00C645C9" w:rsidRDefault="00F955D9">
            <w:pPr>
              <w:pStyle w:val="afb"/>
            </w:pPr>
            <w:r>
              <w:t>5</w:t>
            </w:r>
          </w:p>
        </w:tc>
        <w:tc>
          <w:tcPr>
            <w:tcW w:w="447"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45" w:type="dxa"/>
            <w:tcBorders>
              <w:tl2br w:val="nil"/>
              <w:tr2bl w:val="nil"/>
            </w:tcBorders>
            <w:vAlign w:val="center"/>
          </w:tcPr>
          <w:p w:rsidR="00C645C9" w:rsidRDefault="00F955D9">
            <w:pPr>
              <w:pStyle w:val="afb"/>
            </w:pPr>
            <w:r>
              <w:t>0</w:t>
            </w:r>
          </w:p>
        </w:tc>
        <w:tc>
          <w:tcPr>
            <w:tcW w:w="442" w:type="dxa"/>
            <w:tcBorders>
              <w:tl2br w:val="nil"/>
              <w:tr2bl w:val="nil"/>
            </w:tcBorders>
            <w:vAlign w:val="center"/>
          </w:tcPr>
          <w:p w:rsidR="00C645C9" w:rsidRDefault="00F955D9">
            <w:pPr>
              <w:pStyle w:val="afb"/>
            </w:pPr>
            <w:r>
              <w:t>1</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10</w:t>
            </w:r>
          </w:p>
        </w:tc>
        <w:tc>
          <w:tcPr>
            <w:tcW w:w="503" w:type="dxa"/>
            <w:tcBorders>
              <w:tl2br w:val="nil"/>
              <w:tr2bl w:val="nil"/>
            </w:tcBorders>
            <w:vAlign w:val="center"/>
          </w:tcPr>
          <w:p w:rsidR="00C645C9" w:rsidRDefault="00F955D9">
            <w:pPr>
              <w:pStyle w:val="afb"/>
            </w:pPr>
            <w:r>
              <w:t>7</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0</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0</w:t>
            </w:r>
          </w:p>
        </w:tc>
        <w:tc>
          <w:tcPr>
            <w:tcW w:w="716" w:type="dxa"/>
            <w:tcBorders>
              <w:tl2br w:val="nil"/>
              <w:tr2bl w:val="nil"/>
            </w:tcBorders>
            <w:vAlign w:val="center"/>
          </w:tcPr>
          <w:p w:rsidR="00C645C9" w:rsidRDefault="00F955D9">
            <w:pPr>
              <w:pStyle w:val="afb"/>
            </w:pPr>
            <w:r>
              <w:t>53</w:t>
            </w:r>
          </w:p>
        </w:tc>
      </w:tr>
      <w:tr w:rsidR="00C645C9">
        <w:trPr>
          <w:trHeight w:val="369"/>
        </w:trPr>
        <w:tc>
          <w:tcPr>
            <w:tcW w:w="746" w:type="dxa"/>
            <w:tcBorders>
              <w:tl2br w:val="nil"/>
              <w:tr2bl w:val="nil"/>
            </w:tcBorders>
            <w:vAlign w:val="center"/>
          </w:tcPr>
          <w:p w:rsidR="00C645C9" w:rsidRDefault="00F955D9">
            <w:pPr>
              <w:pStyle w:val="afb"/>
            </w:pPr>
            <w:r>
              <w:t>12</w:t>
            </w:r>
            <w:r>
              <w:t>月</w:t>
            </w:r>
          </w:p>
        </w:tc>
        <w:tc>
          <w:tcPr>
            <w:tcW w:w="462" w:type="dxa"/>
            <w:tcBorders>
              <w:tl2br w:val="nil"/>
              <w:tr2bl w:val="nil"/>
            </w:tcBorders>
            <w:vAlign w:val="center"/>
          </w:tcPr>
          <w:p w:rsidR="00C645C9" w:rsidRDefault="00F955D9">
            <w:pPr>
              <w:pStyle w:val="afb"/>
            </w:pPr>
            <w:r>
              <w:t>2</w:t>
            </w:r>
          </w:p>
        </w:tc>
        <w:tc>
          <w:tcPr>
            <w:tcW w:w="460" w:type="dxa"/>
            <w:tcBorders>
              <w:tl2br w:val="nil"/>
              <w:tr2bl w:val="nil"/>
            </w:tcBorders>
            <w:vAlign w:val="center"/>
          </w:tcPr>
          <w:p w:rsidR="00C645C9" w:rsidRDefault="00F955D9">
            <w:pPr>
              <w:pStyle w:val="afb"/>
            </w:pPr>
            <w:r>
              <w:t>1</w:t>
            </w:r>
          </w:p>
        </w:tc>
        <w:tc>
          <w:tcPr>
            <w:tcW w:w="464"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5</w:t>
            </w:r>
          </w:p>
        </w:tc>
        <w:tc>
          <w:tcPr>
            <w:tcW w:w="460" w:type="dxa"/>
            <w:tcBorders>
              <w:tl2br w:val="nil"/>
              <w:tr2bl w:val="nil"/>
            </w:tcBorders>
            <w:vAlign w:val="center"/>
          </w:tcPr>
          <w:p w:rsidR="00C645C9" w:rsidRDefault="00F955D9">
            <w:pPr>
              <w:pStyle w:val="afb"/>
            </w:pPr>
            <w:r>
              <w:t>4</w:t>
            </w:r>
          </w:p>
        </w:tc>
        <w:tc>
          <w:tcPr>
            <w:tcW w:w="447" w:type="dxa"/>
            <w:tcBorders>
              <w:tl2br w:val="nil"/>
              <w:tr2bl w:val="nil"/>
            </w:tcBorders>
            <w:vAlign w:val="center"/>
          </w:tcPr>
          <w:p w:rsidR="00C645C9" w:rsidRDefault="00F955D9">
            <w:pPr>
              <w:pStyle w:val="afb"/>
            </w:pPr>
            <w:r>
              <w:t>0</w:t>
            </w:r>
          </w:p>
        </w:tc>
        <w:tc>
          <w:tcPr>
            <w:tcW w:w="442" w:type="dxa"/>
            <w:tcBorders>
              <w:tl2br w:val="nil"/>
              <w:tr2bl w:val="nil"/>
            </w:tcBorders>
            <w:vAlign w:val="center"/>
          </w:tcPr>
          <w:p w:rsidR="00C645C9" w:rsidRDefault="00F955D9">
            <w:pPr>
              <w:pStyle w:val="afb"/>
            </w:pPr>
            <w:r>
              <w:t>1</w:t>
            </w:r>
          </w:p>
        </w:tc>
        <w:tc>
          <w:tcPr>
            <w:tcW w:w="445"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1</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7</w:t>
            </w:r>
          </w:p>
        </w:tc>
        <w:tc>
          <w:tcPr>
            <w:tcW w:w="503" w:type="dxa"/>
            <w:tcBorders>
              <w:tl2br w:val="nil"/>
              <w:tr2bl w:val="nil"/>
            </w:tcBorders>
            <w:vAlign w:val="center"/>
          </w:tcPr>
          <w:p w:rsidR="00C645C9" w:rsidRDefault="00F955D9">
            <w:pPr>
              <w:pStyle w:val="afb"/>
            </w:pPr>
            <w:r>
              <w:t>7</w:t>
            </w:r>
          </w:p>
        </w:tc>
        <w:tc>
          <w:tcPr>
            <w:tcW w:w="475" w:type="dxa"/>
            <w:tcBorders>
              <w:tl2br w:val="nil"/>
              <w:tr2bl w:val="nil"/>
            </w:tcBorders>
            <w:vAlign w:val="center"/>
          </w:tcPr>
          <w:p w:rsidR="00C645C9" w:rsidRDefault="00F955D9">
            <w:pPr>
              <w:pStyle w:val="afb"/>
            </w:pPr>
            <w:r>
              <w:t>6</w:t>
            </w:r>
          </w:p>
        </w:tc>
        <w:tc>
          <w:tcPr>
            <w:tcW w:w="509" w:type="dxa"/>
            <w:tcBorders>
              <w:tl2br w:val="nil"/>
              <w:tr2bl w:val="nil"/>
            </w:tcBorders>
            <w:vAlign w:val="center"/>
          </w:tcPr>
          <w:p w:rsidR="00C645C9" w:rsidRDefault="00F955D9">
            <w:pPr>
              <w:pStyle w:val="afb"/>
            </w:pPr>
            <w:r>
              <w:t>0</w:t>
            </w:r>
          </w:p>
        </w:tc>
        <w:tc>
          <w:tcPr>
            <w:tcW w:w="447" w:type="dxa"/>
            <w:tcBorders>
              <w:tl2br w:val="nil"/>
              <w:tr2bl w:val="nil"/>
            </w:tcBorders>
            <w:vAlign w:val="center"/>
          </w:tcPr>
          <w:p w:rsidR="00C645C9" w:rsidRDefault="00F955D9">
            <w:pPr>
              <w:pStyle w:val="afb"/>
            </w:pPr>
            <w:r>
              <w:t>1</w:t>
            </w:r>
          </w:p>
        </w:tc>
        <w:tc>
          <w:tcPr>
            <w:tcW w:w="474" w:type="dxa"/>
            <w:tcBorders>
              <w:tl2br w:val="nil"/>
              <w:tr2bl w:val="nil"/>
            </w:tcBorders>
            <w:vAlign w:val="center"/>
          </w:tcPr>
          <w:p w:rsidR="00C645C9" w:rsidRDefault="00F955D9">
            <w:pPr>
              <w:pStyle w:val="afb"/>
            </w:pPr>
            <w:r>
              <w:t>0</w:t>
            </w:r>
          </w:p>
        </w:tc>
        <w:tc>
          <w:tcPr>
            <w:tcW w:w="716" w:type="dxa"/>
            <w:tcBorders>
              <w:tl2br w:val="nil"/>
              <w:tr2bl w:val="nil"/>
            </w:tcBorders>
            <w:vAlign w:val="center"/>
          </w:tcPr>
          <w:p w:rsidR="00C645C9" w:rsidRDefault="00F955D9">
            <w:pPr>
              <w:pStyle w:val="afb"/>
            </w:pPr>
            <w:r>
              <w:t>54</w:t>
            </w:r>
          </w:p>
        </w:tc>
      </w:tr>
      <w:tr w:rsidR="00C645C9">
        <w:trPr>
          <w:trHeight w:val="369"/>
        </w:trPr>
        <w:tc>
          <w:tcPr>
            <w:tcW w:w="746" w:type="dxa"/>
            <w:tcBorders>
              <w:tl2br w:val="nil"/>
              <w:tr2bl w:val="nil"/>
            </w:tcBorders>
            <w:vAlign w:val="center"/>
          </w:tcPr>
          <w:p w:rsidR="00C645C9" w:rsidRDefault="00F955D9">
            <w:pPr>
              <w:pStyle w:val="afb"/>
            </w:pPr>
            <w:r>
              <w:lastRenderedPageBreak/>
              <w:t>全年</w:t>
            </w:r>
          </w:p>
        </w:tc>
        <w:tc>
          <w:tcPr>
            <w:tcW w:w="462" w:type="dxa"/>
            <w:tcBorders>
              <w:tl2br w:val="nil"/>
              <w:tr2bl w:val="nil"/>
            </w:tcBorders>
            <w:vAlign w:val="center"/>
          </w:tcPr>
          <w:p w:rsidR="00C645C9" w:rsidRDefault="00F955D9">
            <w:pPr>
              <w:pStyle w:val="afb"/>
            </w:pPr>
            <w:r>
              <w:t>6</w:t>
            </w:r>
          </w:p>
        </w:tc>
        <w:tc>
          <w:tcPr>
            <w:tcW w:w="460" w:type="dxa"/>
            <w:tcBorders>
              <w:tl2br w:val="nil"/>
              <w:tr2bl w:val="nil"/>
            </w:tcBorders>
            <w:vAlign w:val="center"/>
          </w:tcPr>
          <w:p w:rsidR="00C645C9" w:rsidRDefault="00F955D9">
            <w:pPr>
              <w:pStyle w:val="afb"/>
            </w:pPr>
            <w:r>
              <w:t>2</w:t>
            </w:r>
          </w:p>
        </w:tc>
        <w:tc>
          <w:tcPr>
            <w:tcW w:w="464" w:type="dxa"/>
            <w:tcBorders>
              <w:tl2br w:val="nil"/>
              <w:tr2bl w:val="nil"/>
            </w:tcBorders>
            <w:vAlign w:val="center"/>
          </w:tcPr>
          <w:p w:rsidR="00C645C9" w:rsidRDefault="00F955D9">
            <w:pPr>
              <w:pStyle w:val="afb"/>
            </w:pPr>
            <w:r>
              <w:t>10</w:t>
            </w:r>
          </w:p>
        </w:tc>
        <w:tc>
          <w:tcPr>
            <w:tcW w:w="460" w:type="dxa"/>
            <w:tcBorders>
              <w:tl2br w:val="nil"/>
              <w:tr2bl w:val="nil"/>
            </w:tcBorders>
            <w:vAlign w:val="center"/>
          </w:tcPr>
          <w:p w:rsidR="00C645C9" w:rsidRDefault="00F955D9">
            <w:pPr>
              <w:pStyle w:val="afb"/>
            </w:pPr>
            <w:r>
              <w:t>8</w:t>
            </w:r>
          </w:p>
        </w:tc>
        <w:tc>
          <w:tcPr>
            <w:tcW w:w="460" w:type="dxa"/>
            <w:tcBorders>
              <w:tl2br w:val="nil"/>
              <w:tr2bl w:val="nil"/>
            </w:tcBorders>
            <w:vAlign w:val="center"/>
          </w:tcPr>
          <w:p w:rsidR="00C645C9" w:rsidRDefault="00F955D9">
            <w:pPr>
              <w:pStyle w:val="afb"/>
            </w:pPr>
            <w:r>
              <w:t>9</w:t>
            </w:r>
          </w:p>
        </w:tc>
        <w:tc>
          <w:tcPr>
            <w:tcW w:w="447" w:type="dxa"/>
            <w:tcBorders>
              <w:tl2br w:val="nil"/>
              <w:tr2bl w:val="nil"/>
            </w:tcBorders>
            <w:vAlign w:val="center"/>
          </w:tcPr>
          <w:p w:rsidR="00C645C9" w:rsidRDefault="00F955D9">
            <w:pPr>
              <w:pStyle w:val="afb"/>
            </w:pPr>
            <w:r>
              <w:t>2</w:t>
            </w:r>
          </w:p>
        </w:tc>
        <w:tc>
          <w:tcPr>
            <w:tcW w:w="442" w:type="dxa"/>
            <w:tcBorders>
              <w:tl2br w:val="nil"/>
              <w:tr2bl w:val="nil"/>
            </w:tcBorders>
            <w:vAlign w:val="center"/>
          </w:tcPr>
          <w:p w:rsidR="00C645C9" w:rsidRDefault="00F955D9">
            <w:pPr>
              <w:pStyle w:val="afb"/>
            </w:pPr>
            <w:r>
              <w:t>3</w:t>
            </w:r>
          </w:p>
        </w:tc>
        <w:tc>
          <w:tcPr>
            <w:tcW w:w="445" w:type="dxa"/>
            <w:tcBorders>
              <w:tl2br w:val="nil"/>
              <w:tr2bl w:val="nil"/>
            </w:tcBorders>
            <w:vAlign w:val="center"/>
          </w:tcPr>
          <w:p w:rsidR="00C645C9" w:rsidRDefault="00F955D9">
            <w:pPr>
              <w:pStyle w:val="afb"/>
            </w:pPr>
            <w:r>
              <w:t>1</w:t>
            </w:r>
          </w:p>
        </w:tc>
        <w:tc>
          <w:tcPr>
            <w:tcW w:w="442" w:type="dxa"/>
            <w:tcBorders>
              <w:tl2br w:val="nil"/>
              <w:tr2bl w:val="nil"/>
            </w:tcBorders>
            <w:vAlign w:val="center"/>
          </w:tcPr>
          <w:p w:rsidR="00C645C9" w:rsidRDefault="00F955D9">
            <w:pPr>
              <w:pStyle w:val="afb"/>
            </w:pPr>
            <w:r>
              <w:t>3</w:t>
            </w:r>
          </w:p>
        </w:tc>
        <w:tc>
          <w:tcPr>
            <w:tcW w:w="457" w:type="dxa"/>
            <w:tcBorders>
              <w:tl2br w:val="nil"/>
              <w:tr2bl w:val="nil"/>
            </w:tcBorders>
            <w:vAlign w:val="center"/>
          </w:tcPr>
          <w:p w:rsidR="00C645C9" w:rsidRDefault="00F955D9">
            <w:pPr>
              <w:pStyle w:val="afb"/>
            </w:pPr>
            <w:r>
              <w:t>1</w:t>
            </w:r>
          </w:p>
        </w:tc>
        <w:tc>
          <w:tcPr>
            <w:tcW w:w="460" w:type="dxa"/>
            <w:tcBorders>
              <w:tl2br w:val="nil"/>
              <w:tr2bl w:val="nil"/>
            </w:tcBorders>
            <w:vAlign w:val="center"/>
          </w:tcPr>
          <w:p w:rsidR="00C645C9" w:rsidRDefault="00F955D9">
            <w:pPr>
              <w:pStyle w:val="afb"/>
            </w:pPr>
            <w:r>
              <w:t>7</w:t>
            </w:r>
          </w:p>
        </w:tc>
        <w:tc>
          <w:tcPr>
            <w:tcW w:w="503" w:type="dxa"/>
            <w:tcBorders>
              <w:tl2br w:val="nil"/>
              <w:tr2bl w:val="nil"/>
            </w:tcBorders>
            <w:vAlign w:val="center"/>
          </w:tcPr>
          <w:p w:rsidR="00C645C9" w:rsidRDefault="00F955D9">
            <w:pPr>
              <w:pStyle w:val="afb"/>
            </w:pPr>
            <w:r>
              <w:t>4</w:t>
            </w:r>
          </w:p>
        </w:tc>
        <w:tc>
          <w:tcPr>
            <w:tcW w:w="475" w:type="dxa"/>
            <w:tcBorders>
              <w:tl2br w:val="nil"/>
              <w:tr2bl w:val="nil"/>
            </w:tcBorders>
            <w:vAlign w:val="center"/>
          </w:tcPr>
          <w:p w:rsidR="00C645C9" w:rsidRDefault="00F955D9">
            <w:pPr>
              <w:pStyle w:val="afb"/>
            </w:pPr>
            <w:r>
              <w:t>5</w:t>
            </w:r>
          </w:p>
        </w:tc>
        <w:tc>
          <w:tcPr>
            <w:tcW w:w="509" w:type="dxa"/>
            <w:tcBorders>
              <w:tl2br w:val="nil"/>
              <w:tr2bl w:val="nil"/>
            </w:tcBorders>
            <w:vAlign w:val="center"/>
          </w:tcPr>
          <w:p w:rsidR="00C645C9" w:rsidRDefault="00F955D9">
            <w:pPr>
              <w:pStyle w:val="afb"/>
            </w:pPr>
            <w:r>
              <w:t>1</w:t>
            </w:r>
          </w:p>
        </w:tc>
        <w:tc>
          <w:tcPr>
            <w:tcW w:w="447" w:type="dxa"/>
            <w:tcBorders>
              <w:tl2br w:val="nil"/>
              <w:tr2bl w:val="nil"/>
            </w:tcBorders>
            <w:vAlign w:val="center"/>
          </w:tcPr>
          <w:p w:rsidR="00C645C9" w:rsidRDefault="00F955D9">
            <w:pPr>
              <w:pStyle w:val="afb"/>
            </w:pPr>
            <w:r>
              <w:t>2</w:t>
            </w:r>
          </w:p>
        </w:tc>
        <w:tc>
          <w:tcPr>
            <w:tcW w:w="474" w:type="dxa"/>
            <w:tcBorders>
              <w:tl2br w:val="nil"/>
              <w:tr2bl w:val="nil"/>
            </w:tcBorders>
            <w:vAlign w:val="center"/>
          </w:tcPr>
          <w:p w:rsidR="00C645C9" w:rsidRDefault="00F955D9">
            <w:pPr>
              <w:pStyle w:val="afb"/>
            </w:pPr>
            <w:r>
              <w:t>1</w:t>
            </w:r>
          </w:p>
        </w:tc>
        <w:tc>
          <w:tcPr>
            <w:tcW w:w="716" w:type="dxa"/>
            <w:tcBorders>
              <w:tl2br w:val="nil"/>
              <w:tr2bl w:val="nil"/>
            </w:tcBorders>
            <w:vAlign w:val="center"/>
          </w:tcPr>
          <w:p w:rsidR="00C645C9" w:rsidRDefault="00F955D9">
            <w:pPr>
              <w:pStyle w:val="afb"/>
            </w:pPr>
            <w:r>
              <w:t>37</w:t>
            </w:r>
          </w:p>
        </w:tc>
      </w:tr>
    </w:tbl>
    <w:p w:rsidR="00C645C9" w:rsidRDefault="00C645C9">
      <w:pPr>
        <w:pStyle w:val="24"/>
        <w:snapToGrid w:val="0"/>
        <w:ind w:leftChars="0" w:left="0" w:firstLineChars="0" w:firstLine="0"/>
        <w:jc w:val="center"/>
        <w:rPr>
          <w:rFonts w:ascii="Times New Roman" w:hAnsi="Times New Roman"/>
        </w:rPr>
      </w:pPr>
    </w:p>
    <w:p w:rsidR="00C645C9" w:rsidRDefault="00F955D9" w:rsidP="005718BB">
      <w:pPr>
        <w:pStyle w:val="aff8"/>
        <w:adjustRightInd w:val="0"/>
        <w:snapToGrid w:val="0"/>
        <w:ind w:firstLine="512"/>
        <w:rPr>
          <w:rFonts w:eastAsia="黑体" w:cs="Times New Roman"/>
          <w:b w:val="0"/>
          <w:sz w:val="21"/>
          <w:szCs w:val="21"/>
        </w:rPr>
      </w:pP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w:instrText>
      </w:r>
      <w:r>
        <w:rPr>
          <w:rFonts w:eastAsia="黑体" w:cs="Times New Roman"/>
          <w:b w:val="0"/>
          <w:sz w:val="21"/>
          <w:szCs w:val="21"/>
        </w:rPr>
        <w:instrText xml:space="preserve">.DES\\AppData\\Local\\Temp\\ksohtml\\wps6F4B.tmp.png"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instrText>
      </w:r>
      <w:r>
        <w:rPr>
          <w:rFonts w:eastAsia="黑体" w:cs="Times New Roman"/>
          <w:b w:val="0"/>
          <w:sz w:val="21"/>
          <w:szCs w:val="21"/>
        </w:rPr>
        <w:instrText xml:space="preserve">\wps6F4B.tmp.png"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w:instrText>
      </w:r>
      <w:r>
        <w:rPr>
          <w:rFonts w:eastAsia="黑体" w:cs="Times New Roman"/>
          <w:b w:val="0"/>
          <w:sz w:val="21"/>
          <w:szCs w:val="21"/>
        </w:rPr>
        <w:instrText xml:space="preserve">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w:instrText>
      </w:r>
      <w:r>
        <w:rPr>
          <w:rFonts w:eastAsia="黑体" w:cs="Times New Roman"/>
          <w:b w:val="0"/>
          <w:sz w:val="21"/>
          <w:szCs w:val="21"/>
        </w:rPr>
        <w:instrText xml:space="preserve">~1.DES\\AppData\\Local\\Temp\\ksohtml\\wps6F4B.tmp.png"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w:instrText>
      </w:r>
      <w:r>
        <w:rPr>
          <w:rFonts w:eastAsia="黑体" w:cs="Times New Roman"/>
          <w:b w:val="0"/>
          <w:sz w:val="21"/>
          <w:szCs w:val="21"/>
        </w:rPr>
        <w:instrText xml:space="preserve">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"C:\\Users\\ADMINI~1.DES\\AppData\\Local\\Temp\\ksohtml\\wps6F4B.tmp.png"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w:instrText>
      </w:r>
      <w:r>
        <w:rPr>
          <w:rFonts w:eastAsia="黑体" w:cs="Times New Roman"/>
          <w:b w:val="0"/>
          <w:sz w:val="21"/>
          <w:szCs w:val="21"/>
        </w:rPr>
        <w:instrText xml:space="preserve">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"E:\\..\\..\\..\\..\\..\\ADMINI~1.DES\\AppData\\Local\\Temp\\ksohtml\\wps6F4B.tmp.png"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w:instrText>
      </w:r>
      <w:r>
        <w:rPr>
          <w:rFonts w:eastAsia="黑体" w:cs="Times New Roman"/>
          <w:b w:val="0"/>
          <w:sz w:val="21"/>
          <w:szCs w:val="21"/>
        </w:rPr>
        <w:instrText xml:space="preserve">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w:instrText>
      </w:r>
      <w:r>
        <w:rPr>
          <w:rFonts w:eastAsia="黑体" w:cs="Times New Roman"/>
          <w:b w:val="0"/>
          <w:sz w:val="21"/>
          <w:szCs w:val="21"/>
        </w:rPr>
        <w:instrText xml:space="preserve">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"E:\\..\\..\\ADMINI~</w:instrText>
      </w:r>
      <w:r>
        <w:rPr>
          <w:rFonts w:eastAsia="黑体" w:cs="Times New Roman"/>
          <w:b w:val="0"/>
          <w:sz w:val="21"/>
          <w:szCs w:val="21"/>
        </w:rPr>
        <w:instrText xml:space="preserve">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"E:\\..\\..\\ADMINI~1.DES\\AppData\\Local\\Temp\\ksohtml\\wps6F4B.tmp.png"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"E:\\..\\..\\ADMINI~1.DES\\AppData\\Local\\Temp\\ksoht</w:instrText>
      </w:r>
      <w:r>
        <w:rPr>
          <w:rFonts w:eastAsia="黑体" w:cs="Times New Roman"/>
          <w:b w:val="0"/>
          <w:sz w:val="21"/>
          <w:szCs w:val="21"/>
        </w:rPr>
        <w:instrText xml:space="preserve">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"E:\\..\\..\\ADMINI~1.DES\\AppData\\Local\\Temp\\ksohtml\\wps6F4B.tmp.png"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w:instrText>
      </w:r>
      <w:r>
        <w:rPr>
          <w:rFonts w:eastAsia="黑体" w:cs="Times New Roman"/>
          <w:b w:val="0"/>
          <w:sz w:val="21"/>
          <w:szCs w:val="21"/>
        </w:rPr>
        <w:instrText xml:space="preserve">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w:instrText>
      </w:r>
      <w:r>
        <w:rPr>
          <w:rFonts w:eastAsia="黑体" w:cs="Times New Roman"/>
          <w:b w:val="0"/>
          <w:sz w:val="21"/>
          <w:szCs w:val="21"/>
        </w:rPr>
        <w:instrText xml:space="preserve">~1.DES\\AppData\\Local\\Temp\\ksohtml\\wps6F4B.tmp.png"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w:instrText>
      </w:r>
      <w:r>
        <w:rPr>
          <w:rFonts w:eastAsia="黑体" w:cs="Times New Roman"/>
          <w:b w:val="0"/>
          <w:sz w:val="21"/>
          <w:szCs w:val="21"/>
        </w:rPr>
        <w:instrText xml:space="preserve">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w:instrText>
      </w:r>
      <w:r>
        <w:rPr>
          <w:rFonts w:eastAsia="黑体" w:cs="Times New Roman"/>
          <w:b w:val="0"/>
          <w:sz w:val="21"/>
          <w:szCs w:val="21"/>
        </w:rPr>
        <w:instrText xml:space="preserve">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w:instrText>
      </w:r>
      <w:r>
        <w:rPr>
          <w:rFonts w:eastAsia="黑体" w:cs="Times New Roman"/>
          <w:b w:val="0"/>
          <w:sz w:val="21"/>
          <w:szCs w:val="21"/>
        </w:rPr>
        <w:instrText xml:space="preserve">.\\ADMINI~1.DES\\AppData\\Local\\Temp\\ksohtml\\wps6F4B.tmp.png"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"C:\\..\\..\\..\\ADMINI~1.DES\\AppData\\Loca</w:instrText>
      </w:r>
      <w:r>
        <w:rPr>
          <w:rFonts w:eastAsia="黑体" w:cs="Times New Roman"/>
          <w:b w:val="0"/>
          <w:sz w:val="21"/>
          <w:szCs w:val="21"/>
        </w:rPr>
        <w:instrText xml:space="preserve">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w:instrText>
      </w:r>
      <w:r>
        <w:rPr>
          <w:rFonts w:eastAsia="黑体" w:cs="Times New Roman"/>
          <w:b w:val="0"/>
          <w:sz w:val="21"/>
          <w:szCs w:val="21"/>
        </w:rPr>
        <w:instrText xml:space="preserve"> \* MERGEFORMATINET </w:instrText>
      </w:r>
      <w:r>
        <w:rPr>
          <w:rFonts w:eastAsia="黑体" w:cs="Times New Roman"/>
          <w:b w:val="0"/>
          <w:sz w:val="21"/>
          <w:szCs w:val="21"/>
        </w:rPr>
        <w:fldChar w:fldCharType="separate"/>
      </w:r>
      <w:r>
        <w:rPr>
          <w:rFonts w:eastAsia="黑体" w:cs="Times New Roman"/>
          <w:b w:val="0"/>
          <w:sz w:val="21"/>
          <w:szCs w:val="21"/>
        </w:rPr>
        <w:fldChar w:fldCharType="begin"/>
      </w:r>
      <w:r>
        <w:rPr>
          <w:rFonts w:eastAsia="黑体" w:cs="Times New Roman"/>
          <w:b w:val="0"/>
          <w:sz w:val="21"/>
          <w:szCs w:val="21"/>
        </w:rPr>
        <w:instrText xml:space="preserve"> INCLUDEPICTURE  "F:\\..\\..\\ADMINI~1.DES\\AppData\\Local\\Temp\\ksohtml\\wps6F4B.tmp.png" \* MERGEFORMATINET </w:instrText>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fldChar w:fldCharType="end"/>
      </w:r>
      <w:r>
        <w:rPr>
          <w:rFonts w:eastAsia="黑体" w:cs="Times New Roman"/>
          <w:b w:val="0"/>
          <w:sz w:val="21"/>
          <w:szCs w:val="21"/>
        </w:rPr>
        <w:t>图</w:t>
      </w:r>
      <w:r>
        <w:rPr>
          <w:rFonts w:eastAsia="黑体" w:cs="Times New Roman"/>
          <w:b w:val="0"/>
          <w:sz w:val="21"/>
          <w:szCs w:val="21"/>
        </w:rPr>
        <w:t xml:space="preserve">5.5-3  </w:t>
      </w:r>
      <w:r>
        <w:rPr>
          <w:rFonts w:eastAsia="黑体" w:cs="Times New Roman"/>
          <w:b w:val="0"/>
          <w:sz w:val="21"/>
          <w:szCs w:val="21"/>
        </w:rPr>
        <w:t>新和县全年风频玫瑰图</w:t>
      </w:r>
    </w:p>
    <w:p w:rsidR="00C645C9" w:rsidRDefault="00F955D9">
      <w:pPr>
        <w:spacing w:line="360" w:lineRule="auto"/>
        <w:ind w:firstLineChars="200" w:firstLine="496"/>
        <w:rPr>
          <w:rFonts w:cs="Times New Roman"/>
          <w:spacing w:val="4"/>
          <w:kern w:val="24"/>
        </w:rPr>
      </w:pPr>
      <w:r>
        <w:rPr>
          <w:rFonts w:cs="Times New Roman"/>
          <w:spacing w:val="4"/>
          <w:kern w:val="24"/>
        </w:rPr>
        <w:t>由表</w:t>
      </w:r>
      <w:r>
        <w:rPr>
          <w:rFonts w:cs="Times New Roman"/>
          <w:spacing w:val="4"/>
          <w:kern w:val="24"/>
        </w:rPr>
        <w:t>5.</w:t>
      </w:r>
      <w:r>
        <w:rPr>
          <w:rFonts w:cs="Times New Roman"/>
          <w:spacing w:val="4"/>
          <w:kern w:val="24"/>
        </w:rPr>
        <w:t>5</w:t>
      </w:r>
      <w:r>
        <w:rPr>
          <w:rFonts w:cs="Times New Roman"/>
          <w:spacing w:val="4"/>
          <w:kern w:val="24"/>
        </w:rPr>
        <w:t>-3</w:t>
      </w:r>
      <w:r>
        <w:rPr>
          <w:rFonts w:cs="Times New Roman"/>
          <w:spacing w:val="4"/>
          <w:kern w:val="24"/>
        </w:rPr>
        <w:t>分析可知，新和县近</w:t>
      </w:r>
      <w:r>
        <w:rPr>
          <w:rFonts w:cs="Times New Roman"/>
          <w:spacing w:val="4"/>
          <w:kern w:val="24"/>
        </w:rPr>
        <w:t>20</w:t>
      </w:r>
      <w:r>
        <w:rPr>
          <w:rFonts w:cs="Times New Roman"/>
          <w:spacing w:val="4"/>
          <w:kern w:val="24"/>
        </w:rPr>
        <w:t>年资料统计结果表明，该地区多年</w:t>
      </w:r>
      <w:r>
        <w:rPr>
          <w:rFonts w:cs="Times New Roman"/>
          <w:spacing w:val="4"/>
          <w:kern w:val="24"/>
        </w:rPr>
        <w:t>NE</w:t>
      </w:r>
      <w:r>
        <w:rPr>
          <w:rFonts w:cs="Times New Roman"/>
          <w:spacing w:val="4"/>
          <w:kern w:val="24"/>
        </w:rPr>
        <w:t>风向的频率最大，其次是</w:t>
      </w:r>
      <w:r>
        <w:rPr>
          <w:rFonts w:cs="Times New Roman"/>
          <w:spacing w:val="4"/>
          <w:kern w:val="24"/>
        </w:rPr>
        <w:t>E</w:t>
      </w:r>
      <w:r>
        <w:rPr>
          <w:rFonts w:cs="Times New Roman"/>
          <w:spacing w:val="4"/>
          <w:kern w:val="24"/>
        </w:rPr>
        <w:t>风向。</w:t>
      </w:r>
    </w:p>
    <w:p w:rsidR="00C645C9" w:rsidRDefault="00F955D9">
      <w:pPr>
        <w:pStyle w:val="4"/>
        <w:rPr>
          <w:rFonts w:ascii="Times New Roman" w:hAnsi="Times New Roman" w:cs="Times New Roman"/>
          <w:color w:val="auto"/>
          <w:lang w:eastAsia="zh-CN"/>
        </w:rPr>
      </w:pPr>
      <w:bookmarkStart w:id="1581" w:name="OLE_LINK996"/>
      <w:r>
        <w:rPr>
          <w:rFonts w:ascii="Times New Roman" w:hAnsi="Times New Roman" w:cs="Times New Roman"/>
          <w:color w:val="auto"/>
          <w:lang w:eastAsia="zh-CN"/>
        </w:rPr>
        <w:t>5.5.2.2</w:t>
      </w:r>
      <w:bookmarkEnd w:id="1581"/>
      <w:r>
        <w:rPr>
          <w:rFonts w:ascii="Times New Roman" w:hAnsi="Times New Roman" w:cs="Times New Roman"/>
          <w:color w:val="auto"/>
          <w:lang w:eastAsia="zh-CN"/>
        </w:rPr>
        <w:t>大气环境影响预测与评价</w:t>
      </w:r>
    </w:p>
    <w:p w:rsidR="00C645C9" w:rsidRDefault="00F955D9">
      <w:pPr>
        <w:pStyle w:val="50"/>
        <w:widowControl w:val="0"/>
        <w:wordWrap w:val="0"/>
        <w:jc w:val="both"/>
        <w:rPr>
          <w:rFonts w:ascii="Times New Roman" w:hAnsi="Times New Roman" w:cs="Times New Roman"/>
          <w:sz w:val="24"/>
        </w:rPr>
      </w:pPr>
      <w:r>
        <w:rPr>
          <w:rFonts w:ascii="Times New Roman" w:hAnsi="Times New Roman" w:cs="Times New Roman"/>
          <w:b w:val="0"/>
          <w:sz w:val="24"/>
        </w:rPr>
        <w:t>5.5.2.2</w:t>
      </w:r>
      <w:r>
        <w:rPr>
          <w:rFonts w:ascii="Times New Roman" w:hAnsi="Times New Roman" w:cs="Times New Roman"/>
          <w:b w:val="0"/>
          <w:sz w:val="24"/>
        </w:rPr>
        <w:t>.1</w:t>
      </w:r>
      <w:r>
        <w:rPr>
          <w:rFonts w:ascii="Times New Roman" w:hAnsi="Times New Roman" w:cs="Times New Roman"/>
          <w:b w:val="0"/>
          <w:sz w:val="24"/>
        </w:rPr>
        <w:t>有组织排放废气大气影响估算</w:t>
      </w:r>
    </w:p>
    <w:p w:rsidR="00C645C9" w:rsidRDefault="00F955D9">
      <w:pPr>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）污染源参数</w:t>
      </w:r>
    </w:p>
    <w:p w:rsidR="00C645C9" w:rsidRDefault="00F955D9">
      <w:pPr>
        <w:spacing w:line="360" w:lineRule="auto"/>
        <w:ind w:firstLineChars="200" w:firstLine="496"/>
        <w:rPr>
          <w:rFonts w:cs="Times New Roman"/>
          <w:spacing w:val="4"/>
          <w:kern w:val="24"/>
        </w:rPr>
      </w:pPr>
      <w:r>
        <w:rPr>
          <w:rFonts w:cs="Times New Roman"/>
          <w:spacing w:val="4"/>
          <w:kern w:val="24"/>
        </w:rPr>
        <w:t>本工程井场设置加热炉</w:t>
      </w:r>
      <w:r>
        <w:rPr>
          <w:rFonts w:cs="Times New Roman" w:hint="eastAsia"/>
          <w:spacing w:val="4"/>
          <w:kern w:val="24"/>
        </w:rPr>
        <w:t>共计</w:t>
      </w:r>
      <w:r>
        <w:rPr>
          <w:rFonts w:cs="Times New Roman"/>
          <w:spacing w:val="4"/>
          <w:kern w:val="24"/>
        </w:rPr>
        <w:t>2</w:t>
      </w:r>
      <w:r>
        <w:rPr>
          <w:rFonts w:cs="Times New Roman"/>
          <w:spacing w:val="4"/>
          <w:kern w:val="24"/>
        </w:rPr>
        <w:t>台，功率为</w:t>
      </w:r>
      <w:r>
        <w:rPr>
          <w:rFonts w:cs="Times New Roman"/>
          <w:spacing w:val="4"/>
          <w:kern w:val="24"/>
        </w:rPr>
        <w:t>200kW</w:t>
      </w:r>
      <w:r>
        <w:rPr>
          <w:rFonts w:cs="Times New Roman"/>
          <w:spacing w:val="4"/>
          <w:kern w:val="24"/>
        </w:rPr>
        <w:t>，燃料为天然气处理后的干气。根据《</w:t>
      </w:r>
      <w:bookmarkStart w:id="1582" w:name="OLE_LINK1191"/>
      <w:r>
        <w:rPr>
          <w:rFonts w:cs="Times New Roman"/>
          <w:spacing w:val="4"/>
          <w:kern w:val="24"/>
        </w:rPr>
        <w:t>环境影响评价技术导则</w:t>
      </w:r>
      <w:r>
        <w:rPr>
          <w:rFonts w:cs="Times New Roman" w:hint="eastAsia"/>
          <w:spacing w:val="4"/>
          <w:kern w:val="24"/>
        </w:rPr>
        <w:t xml:space="preserve"> </w:t>
      </w:r>
      <w:r>
        <w:rPr>
          <w:rFonts w:cs="Times New Roman"/>
          <w:spacing w:val="4"/>
          <w:kern w:val="24"/>
        </w:rPr>
        <w:t>大气环境</w:t>
      </w:r>
      <w:bookmarkEnd w:id="1582"/>
      <w:r>
        <w:rPr>
          <w:rFonts w:cs="Times New Roman"/>
          <w:spacing w:val="4"/>
          <w:kern w:val="24"/>
        </w:rPr>
        <w:t>》（</w:t>
      </w:r>
      <w:r>
        <w:rPr>
          <w:rFonts w:cs="Times New Roman"/>
          <w:spacing w:val="4"/>
          <w:kern w:val="24"/>
        </w:rPr>
        <w:t>HJ2.2-2018</w:t>
      </w:r>
      <w:r>
        <w:rPr>
          <w:rFonts w:cs="Times New Roman"/>
          <w:spacing w:val="4"/>
          <w:kern w:val="24"/>
        </w:rPr>
        <w:t>）中的规定，采用附录</w:t>
      </w:r>
      <w:r>
        <w:rPr>
          <w:rFonts w:cs="Times New Roman"/>
          <w:spacing w:val="4"/>
          <w:kern w:val="24"/>
        </w:rPr>
        <w:t>A</w:t>
      </w:r>
      <w:r>
        <w:rPr>
          <w:rFonts w:cs="Times New Roman"/>
          <w:spacing w:val="4"/>
          <w:kern w:val="24"/>
        </w:rPr>
        <w:t>推荐模型中估算模型，选取烟尘、</w:t>
      </w:r>
      <w:r>
        <w:rPr>
          <w:rFonts w:cs="Times New Roman"/>
          <w:spacing w:val="4"/>
          <w:kern w:val="24"/>
        </w:rPr>
        <w:t>NO</w:t>
      </w:r>
      <w:r>
        <w:rPr>
          <w:rFonts w:cs="Times New Roman"/>
          <w:spacing w:val="4"/>
          <w:kern w:val="24"/>
          <w:vertAlign w:val="subscript"/>
        </w:rPr>
        <w:t>X</w:t>
      </w:r>
      <w:r>
        <w:rPr>
          <w:rFonts w:cs="Times New Roman"/>
          <w:spacing w:val="4"/>
          <w:kern w:val="24"/>
        </w:rPr>
        <w:t>，</w:t>
      </w:r>
      <w:r>
        <w:rPr>
          <w:rFonts w:cs="Times New Roman"/>
          <w:spacing w:val="4"/>
          <w:kern w:val="24"/>
        </w:rPr>
        <w:t>SO</w:t>
      </w:r>
      <w:r>
        <w:rPr>
          <w:rFonts w:cs="Times New Roman"/>
          <w:spacing w:val="4"/>
          <w:kern w:val="24"/>
          <w:vertAlign w:val="subscript"/>
        </w:rPr>
        <w:t>2</w:t>
      </w:r>
      <w:r>
        <w:rPr>
          <w:rFonts w:cs="Times New Roman"/>
          <w:spacing w:val="4"/>
          <w:kern w:val="24"/>
        </w:rPr>
        <w:t>利用导则推荐模式分别计算加热炉和燃气发电机最大地面浓度占标率。估算模型参数见表</w:t>
      </w:r>
      <w:r>
        <w:rPr>
          <w:rFonts w:cs="Times New Roman"/>
          <w:spacing w:val="4"/>
          <w:kern w:val="24"/>
        </w:rPr>
        <w:t>5.</w:t>
      </w:r>
      <w:r>
        <w:rPr>
          <w:rFonts w:cs="Times New Roman"/>
          <w:spacing w:val="4"/>
          <w:kern w:val="24"/>
        </w:rPr>
        <w:t>5-4</w:t>
      </w:r>
      <w:r>
        <w:rPr>
          <w:rFonts w:cs="Times New Roman"/>
          <w:spacing w:val="4"/>
          <w:kern w:val="24"/>
        </w:rPr>
        <w:t>，污染物排放参数见表</w:t>
      </w:r>
      <w:r>
        <w:rPr>
          <w:rFonts w:cs="Times New Roman"/>
          <w:spacing w:val="4"/>
          <w:kern w:val="24"/>
        </w:rPr>
        <w:t>5.</w:t>
      </w:r>
      <w:r>
        <w:rPr>
          <w:rFonts w:cs="Times New Roman"/>
          <w:spacing w:val="4"/>
          <w:kern w:val="24"/>
        </w:rPr>
        <w:t>5-5</w:t>
      </w:r>
      <w:r>
        <w:rPr>
          <w:rFonts w:cs="Times New Roman"/>
          <w:spacing w:val="4"/>
          <w:kern w:val="24"/>
        </w:rPr>
        <w:t>。</w:t>
      </w:r>
    </w:p>
    <w:p w:rsidR="00C645C9" w:rsidRDefault="00F955D9" w:rsidP="005718BB">
      <w:pPr>
        <w:pStyle w:val="aff8"/>
        <w:adjustRightInd w:val="0"/>
        <w:snapToGrid w:val="0"/>
        <w:ind w:firstLine="512"/>
        <w:rPr>
          <w:rFonts w:eastAsia="黑体" w:cs="Times New Roman"/>
          <w:b w:val="0"/>
          <w:sz w:val="21"/>
          <w:szCs w:val="21"/>
        </w:rPr>
      </w:pPr>
      <w:r>
        <w:rPr>
          <w:rFonts w:eastAsia="黑体" w:cs="Times New Roman"/>
          <w:b w:val="0"/>
          <w:sz w:val="21"/>
          <w:szCs w:val="21"/>
        </w:rPr>
        <w:t>表</w:t>
      </w:r>
      <w:r>
        <w:rPr>
          <w:rFonts w:eastAsia="黑体" w:cs="Times New Roman"/>
          <w:b w:val="0"/>
          <w:sz w:val="21"/>
          <w:szCs w:val="21"/>
        </w:rPr>
        <w:t>5.5-4</w:t>
      </w:r>
      <w:r>
        <w:rPr>
          <w:rFonts w:eastAsia="黑体" w:cs="Times New Roman" w:hint="eastAsia"/>
          <w:b w:val="0"/>
          <w:sz w:val="21"/>
          <w:szCs w:val="21"/>
        </w:rPr>
        <w:t xml:space="preserve">   </w:t>
      </w:r>
      <w:r>
        <w:rPr>
          <w:rFonts w:eastAsia="黑体" w:cs="Times New Roman"/>
          <w:b w:val="0"/>
          <w:sz w:val="21"/>
          <w:szCs w:val="21"/>
        </w:rPr>
        <w:t>估算模型参数表</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9"/>
        <w:gridCol w:w="2227"/>
        <w:gridCol w:w="4436"/>
      </w:tblGrid>
      <w:tr w:rsidR="00C645C9">
        <w:trPr>
          <w:trHeight w:val="142"/>
          <w:jc w:val="center"/>
        </w:trPr>
        <w:tc>
          <w:tcPr>
            <w:tcW w:w="4431" w:type="dxa"/>
            <w:gridSpan w:val="2"/>
            <w:vAlign w:val="center"/>
          </w:tcPr>
          <w:p w:rsidR="00C645C9" w:rsidRDefault="00F955D9">
            <w:pPr>
              <w:pStyle w:val="afb"/>
              <w:adjustRightInd w:val="0"/>
              <w:snapToGrid w:val="0"/>
              <w:spacing w:line="240" w:lineRule="auto"/>
            </w:pPr>
            <w:r>
              <w:t>参数</w:t>
            </w:r>
          </w:p>
        </w:tc>
        <w:tc>
          <w:tcPr>
            <w:tcW w:w="4431" w:type="dxa"/>
            <w:vAlign w:val="center"/>
          </w:tcPr>
          <w:p w:rsidR="00C645C9" w:rsidRDefault="00F955D9">
            <w:pPr>
              <w:pStyle w:val="afb"/>
              <w:adjustRightInd w:val="0"/>
              <w:snapToGrid w:val="0"/>
              <w:spacing w:line="240" w:lineRule="auto"/>
            </w:pPr>
            <w:r>
              <w:t>取值</w:t>
            </w:r>
          </w:p>
        </w:tc>
      </w:tr>
      <w:tr w:rsidR="00C645C9">
        <w:trPr>
          <w:trHeight w:val="90"/>
          <w:jc w:val="center"/>
        </w:trPr>
        <w:tc>
          <w:tcPr>
            <w:tcW w:w="2207" w:type="dxa"/>
            <w:vMerge w:val="restart"/>
            <w:vAlign w:val="center"/>
          </w:tcPr>
          <w:p w:rsidR="00C645C9" w:rsidRDefault="00F955D9">
            <w:pPr>
              <w:pStyle w:val="afb"/>
              <w:adjustRightInd w:val="0"/>
              <w:snapToGrid w:val="0"/>
              <w:spacing w:line="240" w:lineRule="auto"/>
            </w:pPr>
            <w:r>
              <w:t>城市</w:t>
            </w:r>
            <w:r>
              <w:t>/</w:t>
            </w:r>
            <w:r>
              <w:t>农村选项</w:t>
            </w:r>
          </w:p>
        </w:tc>
        <w:tc>
          <w:tcPr>
            <w:tcW w:w="2224" w:type="dxa"/>
            <w:vAlign w:val="center"/>
          </w:tcPr>
          <w:p w:rsidR="00C645C9" w:rsidRDefault="00F955D9">
            <w:pPr>
              <w:pStyle w:val="afb"/>
              <w:adjustRightInd w:val="0"/>
              <w:snapToGrid w:val="0"/>
              <w:spacing w:line="240" w:lineRule="auto"/>
            </w:pPr>
            <w:r>
              <w:t>城市</w:t>
            </w:r>
            <w:r>
              <w:t>/</w:t>
            </w:r>
            <w:r>
              <w:t>农村</w:t>
            </w:r>
          </w:p>
        </w:tc>
        <w:tc>
          <w:tcPr>
            <w:tcW w:w="4431" w:type="dxa"/>
            <w:vAlign w:val="center"/>
          </w:tcPr>
          <w:p w:rsidR="00C645C9" w:rsidRDefault="00F955D9">
            <w:pPr>
              <w:pStyle w:val="afb"/>
              <w:adjustRightInd w:val="0"/>
              <w:snapToGrid w:val="0"/>
              <w:spacing w:line="240" w:lineRule="auto"/>
            </w:pPr>
            <w:r>
              <w:t>农村</w:t>
            </w:r>
          </w:p>
        </w:tc>
      </w:tr>
      <w:tr w:rsidR="00C645C9">
        <w:trPr>
          <w:trHeight w:val="196"/>
          <w:jc w:val="center"/>
        </w:trPr>
        <w:tc>
          <w:tcPr>
            <w:tcW w:w="2207" w:type="dxa"/>
            <w:vMerge/>
            <w:vAlign w:val="center"/>
          </w:tcPr>
          <w:p w:rsidR="00C645C9" w:rsidRDefault="00C645C9">
            <w:pPr>
              <w:pStyle w:val="afb"/>
              <w:adjustRightInd w:val="0"/>
              <w:snapToGrid w:val="0"/>
              <w:spacing w:line="240" w:lineRule="auto"/>
            </w:pPr>
          </w:p>
        </w:tc>
        <w:tc>
          <w:tcPr>
            <w:tcW w:w="2224" w:type="dxa"/>
            <w:vAlign w:val="center"/>
          </w:tcPr>
          <w:p w:rsidR="00C645C9" w:rsidRDefault="00F955D9">
            <w:pPr>
              <w:pStyle w:val="afb"/>
              <w:adjustRightInd w:val="0"/>
              <w:snapToGrid w:val="0"/>
              <w:spacing w:line="240" w:lineRule="auto"/>
            </w:pPr>
            <w:r>
              <w:t>人口数（城市人口数）</w:t>
            </w:r>
          </w:p>
        </w:tc>
        <w:tc>
          <w:tcPr>
            <w:tcW w:w="4431" w:type="dxa"/>
            <w:vAlign w:val="center"/>
          </w:tcPr>
          <w:p w:rsidR="00C645C9" w:rsidRDefault="00F955D9">
            <w:pPr>
              <w:pStyle w:val="afb"/>
              <w:adjustRightInd w:val="0"/>
              <w:snapToGrid w:val="0"/>
              <w:spacing w:line="240" w:lineRule="auto"/>
            </w:pPr>
            <w:r>
              <w:rPr>
                <w:rFonts w:hint="eastAsia"/>
              </w:rPr>
              <w:t>-</w:t>
            </w:r>
          </w:p>
        </w:tc>
      </w:tr>
      <w:tr w:rsidR="00C645C9">
        <w:trPr>
          <w:trHeight w:val="237"/>
          <w:jc w:val="center"/>
        </w:trPr>
        <w:tc>
          <w:tcPr>
            <w:tcW w:w="4431" w:type="dxa"/>
            <w:gridSpan w:val="2"/>
            <w:vAlign w:val="center"/>
          </w:tcPr>
          <w:p w:rsidR="00C645C9" w:rsidRDefault="00F955D9">
            <w:pPr>
              <w:pStyle w:val="afb"/>
              <w:adjustRightInd w:val="0"/>
              <w:snapToGrid w:val="0"/>
              <w:spacing w:line="240" w:lineRule="auto"/>
            </w:pPr>
            <w:r>
              <w:t>最高环境温度</w:t>
            </w:r>
            <w:r>
              <w:t>/℃</w:t>
            </w:r>
          </w:p>
        </w:tc>
        <w:tc>
          <w:tcPr>
            <w:tcW w:w="4431" w:type="dxa"/>
            <w:vAlign w:val="center"/>
          </w:tcPr>
          <w:p w:rsidR="00C645C9" w:rsidRDefault="00F955D9">
            <w:pPr>
              <w:pStyle w:val="afb"/>
              <w:adjustRightInd w:val="0"/>
              <w:snapToGrid w:val="0"/>
              <w:spacing w:line="240" w:lineRule="auto"/>
            </w:pPr>
            <w:r>
              <w:rPr>
                <w:rFonts w:hint="eastAsia"/>
              </w:rPr>
              <w:t>25.2</w:t>
            </w:r>
          </w:p>
        </w:tc>
      </w:tr>
      <w:tr w:rsidR="00C645C9">
        <w:trPr>
          <w:trHeight w:val="101"/>
          <w:jc w:val="center"/>
        </w:trPr>
        <w:tc>
          <w:tcPr>
            <w:tcW w:w="4431" w:type="dxa"/>
            <w:gridSpan w:val="2"/>
            <w:vAlign w:val="center"/>
          </w:tcPr>
          <w:p w:rsidR="00C645C9" w:rsidRDefault="00F955D9">
            <w:pPr>
              <w:pStyle w:val="afb"/>
              <w:adjustRightInd w:val="0"/>
              <w:snapToGrid w:val="0"/>
              <w:spacing w:line="240" w:lineRule="auto"/>
            </w:pPr>
            <w:r>
              <w:t>最低环境温度</w:t>
            </w:r>
            <w:r>
              <w:t>/℃</w:t>
            </w:r>
          </w:p>
        </w:tc>
        <w:tc>
          <w:tcPr>
            <w:tcW w:w="4431" w:type="dxa"/>
            <w:vAlign w:val="center"/>
          </w:tcPr>
          <w:p w:rsidR="00C645C9" w:rsidRDefault="00F955D9">
            <w:pPr>
              <w:pStyle w:val="afb"/>
              <w:adjustRightInd w:val="0"/>
              <w:snapToGrid w:val="0"/>
              <w:spacing w:line="240" w:lineRule="auto"/>
            </w:pPr>
            <w:r>
              <w:t>-</w:t>
            </w:r>
            <w:r>
              <w:rPr>
                <w:rFonts w:hint="eastAsia"/>
              </w:rPr>
              <w:t>7.4</w:t>
            </w:r>
          </w:p>
        </w:tc>
      </w:tr>
      <w:tr w:rsidR="00C645C9">
        <w:trPr>
          <w:trHeight w:val="90"/>
          <w:jc w:val="center"/>
        </w:trPr>
        <w:tc>
          <w:tcPr>
            <w:tcW w:w="4431" w:type="dxa"/>
            <w:gridSpan w:val="2"/>
            <w:vAlign w:val="center"/>
          </w:tcPr>
          <w:p w:rsidR="00C645C9" w:rsidRDefault="00F955D9">
            <w:pPr>
              <w:pStyle w:val="afb"/>
              <w:adjustRightInd w:val="0"/>
              <w:snapToGrid w:val="0"/>
              <w:spacing w:line="240" w:lineRule="auto"/>
            </w:pPr>
            <w:r>
              <w:t>土地利用类型</w:t>
            </w:r>
          </w:p>
        </w:tc>
        <w:tc>
          <w:tcPr>
            <w:tcW w:w="4431" w:type="dxa"/>
            <w:vAlign w:val="center"/>
          </w:tcPr>
          <w:p w:rsidR="00C645C9" w:rsidRDefault="00F955D9">
            <w:pPr>
              <w:pStyle w:val="afb"/>
              <w:adjustRightInd w:val="0"/>
              <w:snapToGrid w:val="0"/>
              <w:spacing w:line="240" w:lineRule="auto"/>
            </w:pPr>
            <w:r>
              <w:rPr>
                <w:iCs/>
              </w:rPr>
              <w:t>果园、水浇地、农村道路和采矿用地</w:t>
            </w:r>
          </w:p>
        </w:tc>
      </w:tr>
      <w:tr w:rsidR="00C645C9">
        <w:trPr>
          <w:trHeight w:val="90"/>
          <w:jc w:val="center"/>
        </w:trPr>
        <w:tc>
          <w:tcPr>
            <w:tcW w:w="4431" w:type="dxa"/>
            <w:gridSpan w:val="2"/>
            <w:vAlign w:val="center"/>
          </w:tcPr>
          <w:p w:rsidR="00C645C9" w:rsidRDefault="00F955D9">
            <w:pPr>
              <w:pStyle w:val="afb"/>
              <w:adjustRightInd w:val="0"/>
              <w:snapToGrid w:val="0"/>
              <w:spacing w:line="240" w:lineRule="auto"/>
            </w:pPr>
            <w:r>
              <w:t>区域湿度条件</w:t>
            </w:r>
          </w:p>
        </w:tc>
        <w:tc>
          <w:tcPr>
            <w:tcW w:w="4431" w:type="dxa"/>
            <w:vAlign w:val="center"/>
          </w:tcPr>
          <w:p w:rsidR="00C645C9" w:rsidRDefault="00F955D9">
            <w:pPr>
              <w:pStyle w:val="afb"/>
              <w:adjustRightInd w:val="0"/>
              <w:snapToGrid w:val="0"/>
              <w:spacing w:line="240" w:lineRule="auto"/>
            </w:pPr>
            <w:r>
              <w:t>干燥</w:t>
            </w:r>
          </w:p>
        </w:tc>
      </w:tr>
      <w:tr w:rsidR="00C645C9">
        <w:trPr>
          <w:trHeight w:val="397"/>
          <w:jc w:val="center"/>
        </w:trPr>
        <w:tc>
          <w:tcPr>
            <w:tcW w:w="2207" w:type="dxa"/>
            <w:vMerge w:val="restart"/>
            <w:vAlign w:val="center"/>
          </w:tcPr>
          <w:p w:rsidR="00C645C9" w:rsidRDefault="00F955D9">
            <w:pPr>
              <w:pStyle w:val="afb"/>
              <w:adjustRightInd w:val="0"/>
              <w:snapToGrid w:val="0"/>
              <w:spacing w:line="240" w:lineRule="auto"/>
            </w:pPr>
            <w:r>
              <w:t>是否考虑地形</w:t>
            </w:r>
          </w:p>
        </w:tc>
        <w:tc>
          <w:tcPr>
            <w:tcW w:w="2224" w:type="dxa"/>
            <w:vAlign w:val="center"/>
          </w:tcPr>
          <w:p w:rsidR="00C645C9" w:rsidRDefault="00F955D9">
            <w:pPr>
              <w:pStyle w:val="afb"/>
              <w:adjustRightInd w:val="0"/>
              <w:snapToGrid w:val="0"/>
              <w:spacing w:line="240" w:lineRule="auto"/>
            </w:pPr>
            <w:r>
              <w:t>考虑地形</w:t>
            </w:r>
          </w:p>
        </w:tc>
        <w:tc>
          <w:tcPr>
            <w:tcW w:w="4431" w:type="dxa"/>
            <w:vAlign w:val="center"/>
          </w:tcPr>
          <w:p w:rsidR="00C645C9" w:rsidRDefault="00F955D9">
            <w:pPr>
              <w:pStyle w:val="afb"/>
              <w:adjustRightInd w:val="0"/>
              <w:snapToGrid w:val="0"/>
              <w:spacing w:line="240" w:lineRule="auto"/>
            </w:pPr>
            <w:r>
              <w:t>☑</w:t>
            </w:r>
            <w:r>
              <w:t>是</w:t>
            </w:r>
            <w:r>
              <w:t xml:space="preserve">  □</w:t>
            </w:r>
            <w:r>
              <w:t>否</w:t>
            </w:r>
          </w:p>
        </w:tc>
      </w:tr>
      <w:tr w:rsidR="00C645C9">
        <w:trPr>
          <w:trHeight w:val="397"/>
          <w:jc w:val="center"/>
        </w:trPr>
        <w:tc>
          <w:tcPr>
            <w:tcW w:w="2207" w:type="dxa"/>
            <w:vMerge/>
            <w:vAlign w:val="center"/>
          </w:tcPr>
          <w:p w:rsidR="00C645C9" w:rsidRDefault="00C645C9">
            <w:pPr>
              <w:pStyle w:val="afb"/>
              <w:adjustRightInd w:val="0"/>
              <w:snapToGrid w:val="0"/>
              <w:spacing w:line="240" w:lineRule="auto"/>
            </w:pPr>
          </w:p>
        </w:tc>
        <w:tc>
          <w:tcPr>
            <w:tcW w:w="2224" w:type="dxa"/>
            <w:vAlign w:val="center"/>
          </w:tcPr>
          <w:p w:rsidR="00C645C9" w:rsidRDefault="00F955D9">
            <w:pPr>
              <w:pStyle w:val="afb"/>
              <w:adjustRightInd w:val="0"/>
              <w:snapToGrid w:val="0"/>
              <w:spacing w:line="240" w:lineRule="auto"/>
            </w:pPr>
            <w:r>
              <w:t>地形数据分辨率（</w:t>
            </w:r>
            <w:r>
              <w:t>m</w:t>
            </w:r>
            <w:r>
              <w:t>）</w:t>
            </w:r>
          </w:p>
        </w:tc>
        <w:tc>
          <w:tcPr>
            <w:tcW w:w="4431" w:type="dxa"/>
            <w:vAlign w:val="center"/>
          </w:tcPr>
          <w:p w:rsidR="00C645C9" w:rsidRDefault="00F955D9">
            <w:pPr>
              <w:pStyle w:val="afb"/>
              <w:adjustRightInd w:val="0"/>
              <w:snapToGrid w:val="0"/>
              <w:spacing w:line="240" w:lineRule="auto"/>
            </w:pPr>
            <w:r>
              <w:t>90</w:t>
            </w:r>
          </w:p>
        </w:tc>
      </w:tr>
      <w:tr w:rsidR="00C645C9">
        <w:trPr>
          <w:trHeight w:val="397"/>
          <w:jc w:val="center"/>
        </w:trPr>
        <w:tc>
          <w:tcPr>
            <w:tcW w:w="2207" w:type="dxa"/>
            <w:vMerge w:val="restart"/>
            <w:vAlign w:val="center"/>
          </w:tcPr>
          <w:p w:rsidR="00C645C9" w:rsidRDefault="00F955D9">
            <w:pPr>
              <w:pStyle w:val="afb"/>
              <w:adjustRightInd w:val="0"/>
              <w:snapToGrid w:val="0"/>
              <w:spacing w:line="240" w:lineRule="auto"/>
            </w:pPr>
            <w:r>
              <w:t>是否考虑海岸线熏烟</w:t>
            </w:r>
          </w:p>
        </w:tc>
        <w:tc>
          <w:tcPr>
            <w:tcW w:w="2224" w:type="dxa"/>
            <w:vAlign w:val="center"/>
          </w:tcPr>
          <w:p w:rsidR="00C645C9" w:rsidRDefault="00F955D9">
            <w:pPr>
              <w:pStyle w:val="afb"/>
              <w:adjustRightInd w:val="0"/>
              <w:snapToGrid w:val="0"/>
              <w:spacing w:line="240" w:lineRule="auto"/>
            </w:pPr>
            <w:r>
              <w:t>考虑海岸线熏烟</w:t>
            </w:r>
          </w:p>
        </w:tc>
        <w:tc>
          <w:tcPr>
            <w:tcW w:w="4431" w:type="dxa"/>
            <w:vAlign w:val="center"/>
          </w:tcPr>
          <w:p w:rsidR="00C645C9" w:rsidRDefault="00F955D9">
            <w:pPr>
              <w:pStyle w:val="afb"/>
              <w:adjustRightInd w:val="0"/>
              <w:snapToGrid w:val="0"/>
              <w:spacing w:line="240" w:lineRule="auto"/>
            </w:pPr>
            <w:r>
              <w:t>□</w:t>
            </w:r>
            <w:r>
              <w:t>是</w:t>
            </w:r>
            <w:r>
              <w:t xml:space="preserve">  ☑</w:t>
            </w:r>
            <w:r>
              <w:t>否</w:t>
            </w:r>
          </w:p>
        </w:tc>
      </w:tr>
      <w:tr w:rsidR="00C645C9">
        <w:trPr>
          <w:trHeight w:val="397"/>
          <w:jc w:val="center"/>
        </w:trPr>
        <w:tc>
          <w:tcPr>
            <w:tcW w:w="2207" w:type="dxa"/>
            <w:vMerge/>
            <w:vAlign w:val="center"/>
          </w:tcPr>
          <w:p w:rsidR="00C645C9" w:rsidRDefault="00C645C9">
            <w:pPr>
              <w:pStyle w:val="afb"/>
              <w:adjustRightInd w:val="0"/>
              <w:snapToGrid w:val="0"/>
              <w:spacing w:line="240" w:lineRule="auto"/>
            </w:pPr>
          </w:p>
        </w:tc>
        <w:tc>
          <w:tcPr>
            <w:tcW w:w="2224" w:type="dxa"/>
            <w:vAlign w:val="center"/>
          </w:tcPr>
          <w:p w:rsidR="00C645C9" w:rsidRDefault="00F955D9">
            <w:pPr>
              <w:pStyle w:val="afb"/>
              <w:adjustRightInd w:val="0"/>
              <w:snapToGrid w:val="0"/>
              <w:spacing w:line="240" w:lineRule="auto"/>
            </w:pPr>
            <w:r>
              <w:t>岸线距离</w:t>
            </w:r>
            <w:r>
              <w:t>/km</w:t>
            </w:r>
          </w:p>
        </w:tc>
        <w:tc>
          <w:tcPr>
            <w:tcW w:w="4431" w:type="dxa"/>
            <w:vAlign w:val="center"/>
          </w:tcPr>
          <w:p w:rsidR="00C645C9" w:rsidRDefault="00F955D9">
            <w:pPr>
              <w:pStyle w:val="afb"/>
              <w:adjustRightInd w:val="0"/>
              <w:snapToGrid w:val="0"/>
              <w:spacing w:line="240" w:lineRule="auto"/>
            </w:pPr>
            <w:r>
              <w:t>/</w:t>
            </w:r>
          </w:p>
        </w:tc>
      </w:tr>
      <w:tr w:rsidR="00C645C9">
        <w:trPr>
          <w:trHeight w:val="90"/>
          <w:jc w:val="center"/>
        </w:trPr>
        <w:tc>
          <w:tcPr>
            <w:tcW w:w="2207" w:type="dxa"/>
            <w:vMerge/>
            <w:vAlign w:val="center"/>
          </w:tcPr>
          <w:p w:rsidR="00C645C9" w:rsidRDefault="00C645C9">
            <w:pPr>
              <w:pStyle w:val="afb"/>
              <w:adjustRightInd w:val="0"/>
              <w:snapToGrid w:val="0"/>
              <w:spacing w:line="240" w:lineRule="auto"/>
            </w:pPr>
          </w:p>
        </w:tc>
        <w:tc>
          <w:tcPr>
            <w:tcW w:w="2224" w:type="dxa"/>
            <w:vAlign w:val="center"/>
          </w:tcPr>
          <w:p w:rsidR="00C645C9" w:rsidRDefault="00F955D9">
            <w:pPr>
              <w:pStyle w:val="afb"/>
              <w:adjustRightInd w:val="0"/>
              <w:snapToGrid w:val="0"/>
              <w:spacing w:line="240" w:lineRule="auto"/>
            </w:pPr>
            <w:r>
              <w:t>岸线方向</w:t>
            </w:r>
            <w:r>
              <w:t>/</w:t>
            </w:r>
            <w:r>
              <w:t>°</w:t>
            </w:r>
          </w:p>
        </w:tc>
        <w:tc>
          <w:tcPr>
            <w:tcW w:w="4431" w:type="dxa"/>
            <w:vAlign w:val="center"/>
          </w:tcPr>
          <w:p w:rsidR="00C645C9" w:rsidRDefault="00F955D9">
            <w:pPr>
              <w:pStyle w:val="afb"/>
              <w:adjustRightInd w:val="0"/>
              <w:snapToGrid w:val="0"/>
              <w:spacing w:line="240" w:lineRule="auto"/>
            </w:pPr>
            <w:r>
              <w:t>/</w:t>
            </w:r>
          </w:p>
        </w:tc>
      </w:tr>
    </w:tbl>
    <w:p w:rsidR="00C645C9" w:rsidRDefault="00F955D9" w:rsidP="005718BB">
      <w:pPr>
        <w:pStyle w:val="aff8"/>
        <w:adjustRightInd w:val="0"/>
        <w:snapToGrid w:val="0"/>
        <w:ind w:firstLine="512"/>
        <w:rPr>
          <w:rFonts w:cs="Times New Roman"/>
        </w:rPr>
      </w:pPr>
      <w:r>
        <w:rPr>
          <w:rFonts w:eastAsia="黑体" w:cs="Times New Roman"/>
          <w:b w:val="0"/>
          <w:sz w:val="21"/>
          <w:szCs w:val="21"/>
        </w:rPr>
        <w:t>表</w:t>
      </w:r>
      <w:r>
        <w:rPr>
          <w:rFonts w:eastAsia="黑体" w:cs="Times New Roman"/>
          <w:b w:val="0"/>
          <w:sz w:val="21"/>
          <w:szCs w:val="21"/>
        </w:rPr>
        <w:t>5.5-5</w:t>
      </w:r>
      <w:r>
        <w:rPr>
          <w:rFonts w:eastAsia="黑体" w:cs="Times New Roman" w:hint="eastAsia"/>
          <w:b w:val="0"/>
          <w:sz w:val="21"/>
          <w:szCs w:val="21"/>
        </w:rPr>
        <w:t xml:space="preserve">   </w:t>
      </w:r>
      <w:r>
        <w:rPr>
          <w:rFonts w:eastAsia="黑体" w:cs="Times New Roman"/>
          <w:b w:val="0"/>
          <w:sz w:val="21"/>
          <w:szCs w:val="21"/>
        </w:rPr>
        <w:t>运营期有组织大气污染物排放参数一览表</w:t>
      </w:r>
    </w:p>
    <w:tbl>
      <w:tblPr>
        <w:tblW w:w="53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32"/>
        <w:gridCol w:w="1012"/>
        <w:gridCol w:w="675"/>
        <w:gridCol w:w="752"/>
        <w:gridCol w:w="638"/>
        <w:gridCol w:w="525"/>
        <w:gridCol w:w="599"/>
        <w:gridCol w:w="713"/>
        <w:gridCol w:w="675"/>
        <w:gridCol w:w="583"/>
        <w:gridCol w:w="484"/>
        <w:gridCol w:w="525"/>
        <w:gridCol w:w="542"/>
        <w:gridCol w:w="709"/>
      </w:tblGrid>
      <w:tr w:rsidR="00C645C9">
        <w:trPr>
          <w:trHeight w:val="397"/>
          <w:jc w:val="center"/>
        </w:trPr>
        <w:tc>
          <w:tcPr>
            <w:tcW w:w="243"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bookmarkStart w:id="1583" w:name="OLE_LINK1211" w:colFirst="0" w:colLast="0"/>
            <w:r>
              <w:rPr>
                <w:rFonts w:cs="Times New Roman"/>
                <w:spacing w:val="-10"/>
                <w:sz w:val="21"/>
                <w:szCs w:val="21"/>
              </w:rPr>
              <w:t>序号</w:t>
            </w:r>
          </w:p>
        </w:tc>
        <w:tc>
          <w:tcPr>
            <w:tcW w:w="570"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污染源名称</w:t>
            </w:r>
          </w:p>
        </w:tc>
        <w:tc>
          <w:tcPr>
            <w:tcW w:w="803" w:type="pct"/>
            <w:gridSpan w:val="2"/>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排气筒底部坐标</w:t>
            </w:r>
          </w:p>
        </w:tc>
        <w:tc>
          <w:tcPr>
            <w:tcW w:w="359"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排气筒底部</w:t>
            </w:r>
            <w:r>
              <w:rPr>
                <w:rFonts w:cs="Times New Roman" w:hint="eastAsia"/>
                <w:spacing w:val="-10"/>
                <w:sz w:val="21"/>
                <w:szCs w:val="21"/>
              </w:rPr>
              <w:t>海拔（</w:t>
            </w:r>
            <w:r>
              <w:rPr>
                <w:rFonts w:cs="Times New Roman"/>
                <w:spacing w:val="-10"/>
                <w:sz w:val="21"/>
                <w:szCs w:val="21"/>
              </w:rPr>
              <w:t>m</w:t>
            </w:r>
            <w:r>
              <w:rPr>
                <w:rFonts w:cs="Times New Roman" w:hint="eastAsia"/>
                <w:spacing w:val="-10"/>
                <w:sz w:val="21"/>
                <w:szCs w:val="21"/>
              </w:rPr>
              <w:t>）</w:t>
            </w:r>
          </w:p>
        </w:tc>
        <w:tc>
          <w:tcPr>
            <w:tcW w:w="296"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排气筒高度</w:t>
            </w:r>
            <w:r>
              <w:rPr>
                <w:rFonts w:cs="Times New Roman" w:hint="eastAsia"/>
                <w:spacing w:val="-10"/>
                <w:sz w:val="21"/>
                <w:szCs w:val="21"/>
              </w:rPr>
              <w:t>（</w:t>
            </w:r>
            <w:r>
              <w:rPr>
                <w:rFonts w:cs="Times New Roman"/>
                <w:spacing w:val="-10"/>
                <w:sz w:val="21"/>
                <w:szCs w:val="21"/>
              </w:rPr>
              <w:t>m</w:t>
            </w:r>
            <w:r>
              <w:rPr>
                <w:rFonts w:cs="Times New Roman" w:hint="eastAsia"/>
                <w:spacing w:val="-10"/>
                <w:sz w:val="21"/>
                <w:szCs w:val="21"/>
              </w:rPr>
              <w:t>）</w:t>
            </w:r>
          </w:p>
        </w:tc>
        <w:tc>
          <w:tcPr>
            <w:tcW w:w="338"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排气筒出口内径</w:t>
            </w:r>
            <w:r>
              <w:rPr>
                <w:rFonts w:cs="Times New Roman" w:hint="eastAsia"/>
                <w:spacing w:val="-10"/>
                <w:sz w:val="21"/>
                <w:szCs w:val="21"/>
              </w:rPr>
              <w:t>（</w:t>
            </w:r>
            <w:r>
              <w:rPr>
                <w:rFonts w:cs="Times New Roman"/>
                <w:spacing w:val="-10"/>
                <w:sz w:val="21"/>
                <w:szCs w:val="21"/>
              </w:rPr>
              <w:t>m</w:t>
            </w:r>
            <w:r>
              <w:rPr>
                <w:rFonts w:cs="Times New Roman" w:hint="eastAsia"/>
                <w:spacing w:val="-10"/>
                <w:sz w:val="21"/>
                <w:szCs w:val="21"/>
              </w:rPr>
              <w:t>）</w:t>
            </w:r>
          </w:p>
        </w:tc>
        <w:tc>
          <w:tcPr>
            <w:tcW w:w="401" w:type="pct"/>
            <w:vMerge w:val="restart"/>
            <w:tcBorders>
              <w:tl2br w:val="nil"/>
              <w:tr2bl w:val="nil"/>
            </w:tcBorders>
            <w:vAlign w:val="center"/>
          </w:tcPr>
          <w:p w:rsidR="00C645C9" w:rsidRDefault="00F955D9">
            <w:pPr>
              <w:widowControl w:val="0"/>
              <w:wordWrap w:val="0"/>
              <w:adjustRightInd w:val="0"/>
              <w:snapToGrid w:val="0"/>
              <w:jc w:val="center"/>
              <w:rPr>
                <w:rFonts w:cs="Times New Roman"/>
                <w:snapToGrid w:val="0"/>
                <w:spacing w:val="-10"/>
                <w:sz w:val="21"/>
                <w:szCs w:val="21"/>
              </w:rPr>
            </w:pPr>
            <w:r>
              <w:rPr>
                <w:rFonts w:cs="Times New Roman"/>
                <w:snapToGrid w:val="0"/>
                <w:spacing w:val="-10"/>
                <w:sz w:val="21"/>
                <w:szCs w:val="21"/>
              </w:rPr>
              <w:t>烟气</w:t>
            </w:r>
          </w:p>
          <w:p w:rsidR="00C645C9" w:rsidRDefault="00F955D9">
            <w:pPr>
              <w:widowControl w:val="0"/>
              <w:wordWrap w:val="0"/>
              <w:adjustRightInd w:val="0"/>
              <w:snapToGrid w:val="0"/>
              <w:jc w:val="center"/>
              <w:rPr>
                <w:rFonts w:cs="Times New Roman"/>
                <w:snapToGrid w:val="0"/>
                <w:spacing w:val="-10"/>
                <w:sz w:val="21"/>
                <w:szCs w:val="21"/>
              </w:rPr>
            </w:pPr>
            <w:r>
              <w:rPr>
                <w:rFonts w:cs="Times New Roman"/>
                <w:snapToGrid w:val="0"/>
                <w:spacing w:val="-10"/>
                <w:sz w:val="21"/>
                <w:szCs w:val="21"/>
              </w:rPr>
              <w:t>流量</w:t>
            </w:r>
          </w:p>
          <w:p w:rsidR="00C645C9" w:rsidRDefault="00F955D9">
            <w:pPr>
              <w:widowControl w:val="0"/>
              <w:wordWrap w:val="0"/>
              <w:adjustRightInd w:val="0"/>
              <w:snapToGrid w:val="0"/>
              <w:jc w:val="center"/>
              <w:rPr>
                <w:rFonts w:cs="Times New Roman"/>
                <w:spacing w:val="-10"/>
                <w:sz w:val="21"/>
                <w:szCs w:val="21"/>
              </w:rPr>
            </w:pPr>
            <w:r>
              <w:rPr>
                <w:rFonts w:cs="Times New Roman" w:hint="eastAsia"/>
                <w:snapToGrid w:val="0"/>
                <w:spacing w:val="-10"/>
                <w:sz w:val="21"/>
                <w:szCs w:val="21"/>
              </w:rPr>
              <w:t>（</w:t>
            </w:r>
            <w:r>
              <w:rPr>
                <w:rFonts w:cs="Times New Roman"/>
                <w:snapToGrid w:val="0"/>
                <w:spacing w:val="-10"/>
                <w:sz w:val="21"/>
                <w:szCs w:val="21"/>
              </w:rPr>
              <w:t>m</w:t>
            </w:r>
            <w:r>
              <w:rPr>
                <w:rFonts w:cs="Times New Roman"/>
                <w:snapToGrid w:val="0"/>
                <w:spacing w:val="-10"/>
                <w:sz w:val="21"/>
                <w:szCs w:val="21"/>
                <w:vertAlign w:val="superscript"/>
              </w:rPr>
              <w:t>3</w:t>
            </w:r>
            <w:r>
              <w:rPr>
                <w:rFonts w:cs="Times New Roman"/>
                <w:snapToGrid w:val="0"/>
                <w:spacing w:val="-10"/>
                <w:sz w:val="21"/>
                <w:szCs w:val="21"/>
              </w:rPr>
              <w:t>/h</w:t>
            </w:r>
            <w:r>
              <w:rPr>
                <w:rFonts w:cs="Times New Roman" w:hint="eastAsia"/>
                <w:snapToGrid w:val="0"/>
                <w:spacing w:val="-10"/>
                <w:sz w:val="21"/>
                <w:szCs w:val="21"/>
              </w:rPr>
              <w:t>）</w:t>
            </w:r>
          </w:p>
        </w:tc>
        <w:tc>
          <w:tcPr>
            <w:tcW w:w="380"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烟气</w:t>
            </w:r>
          </w:p>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流速</w:t>
            </w:r>
            <w:r>
              <w:rPr>
                <w:rFonts w:cs="Times New Roman" w:hint="eastAsia"/>
                <w:spacing w:val="-10"/>
                <w:sz w:val="21"/>
                <w:szCs w:val="21"/>
              </w:rPr>
              <w:t>（</w:t>
            </w:r>
            <w:r>
              <w:rPr>
                <w:rFonts w:cs="Times New Roman"/>
                <w:spacing w:val="-10"/>
                <w:sz w:val="21"/>
                <w:szCs w:val="21"/>
              </w:rPr>
              <w:t>m/s</w:t>
            </w:r>
            <w:r>
              <w:rPr>
                <w:rFonts w:cs="Times New Roman" w:hint="eastAsia"/>
                <w:spacing w:val="-10"/>
                <w:sz w:val="21"/>
                <w:szCs w:val="21"/>
              </w:rPr>
              <w:t>）</w:t>
            </w:r>
          </w:p>
        </w:tc>
        <w:tc>
          <w:tcPr>
            <w:tcW w:w="329"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烟气温度</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273"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年排放小时数</w:t>
            </w:r>
            <w:r>
              <w:rPr>
                <w:rFonts w:cs="Times New Roman" w:hint="eastAsia"/>
                <w:spacing w:val="-10"/>
                <w:sz w:val="21"/>
                <w:szCs w:val="21"/>
              </w:rPr>
              <w:t>（</w:t>
            </w:r>
            <w:r>
              <w:rPr>
                <w:rFonts w:cs="Times New Roman"/>
                <w:spacing w:val="-10"/>
                <w:sz w:val="21"/>
                <w:szCs w:val="21"/>
              </w:rPr>
              <w:t>h</w:t>
            </w:r>
            <w:r>
              <w:rPr>
                <w:rFonts w:cs="Times New Roman" w:hint="eastAsia"/>
                <w:spacing w:val="-10"/>
                <w:sz w:val="21"/>
                <w:szCs w:val="21"/>
              </w:rPr>
              <w:t>）</w:t>
            </w:r>
          </w:p>
        </w:tc>
        <w:tc>
          <w:tcPr>
            <w:tcW w:w="296"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排放工况</w:t>
            </w:r>
          </w:p>
        </w:tc>
        <w:tc>
          <w:tcPr>
            <w:tcW w:w="306"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污染</w:t>
            </w:r>
          </w:p>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因子</w:t>
            </w:r>
          </w:p>
        </w:tc>
        <w:tc>
          <w:tcPr>
            <w:tcW w:w="399" w:type="pct"/>
            <w:vMerge w:val="restart"/>
            <w:tcBorders>
              <w:tl2br w:val="nil"/>
              <w:tr2bl w:val="nil"/>
            </w:tcBorders>
            <w:vAlign w:val="center"/>
          </w:tcPr>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排放</w:t>
            </w:r>
          </w:p>
          <w:p w:rsidR="00C645C9" w:rsidRDefault="00F955D9">
            <w:pPr>
              <w:widowControl w:val="0"/>
              <w:wordWrap w:val="0"/>
              <w:adjustRightInd w:val="0"/>
              <w:snapToGrid w:val="0"/>
              <w:jc w:val="center"/>
              <w:rPr>
                <w:rFonts w:cs="Times New Roman"/>
                <w:spacing w:val="-10"/>
                <w:sz w:val="21"/>
                <w:szCs w:val="21"/>
              </w:rPr>
            </w:pPr>
            <w:r>
              <w:rPr>
                <w:rFonts w:cs="Times New Roman"/>
                <w:spacing w:val="-10"/>
                <w:sz w:val="21"/>
                <w:szCs w:val="21"/>
              </w:rPr>
              <w:t>速率</w:t>
            </w:r>
          </w:p>
          <w:p w:rsidR="00C645C9" w:rsidRDefault="00F955D9">
            <w:pPr>
              <w:widowControl w:val="0"/>
              <w:wordWrap w:val="0"/>
              <w:adjustRightInd w:val="0"/>
              <w:snapToGrid w:val="0"/>
              <w:jc w:val="center"/>
              <w:rPr>
                <w:rFonts w:cs="Times New Roman"/>
                <w:spacing w:val="-10"/>
                <w:sz w:val="21"/>
                <w:szCs w:val="21"/>
              </w:rPr>
            </w:pPr>
            <w:r>
              <w:rPr>
                <w:rFonts w:cs="Times New Roman" w:hint="eastAsia"/>
                <w:spacing w:val="-10"/>
                <w:sz w:val="21"/>
                <w:szCs w:val="21"/>
              </w:rPr>
              <w:t>（</w:t>
            </w:r>
            <w:r>
              <w:rPr>
                <w:rFonts w:cs="Times New Roman"/>
                <w:spacing w:val="-10"/>
                <w:sz w:val="21"/>
                <w:szCs w:val="21"/>
              </w:rPr>
              <w:t>kg/h</w:t>
            </w:r>
            <w:r>
              <w:rPr>
                <w:rFonts w:cs="Times New Roman" w:hint="eastAsia"/>
                <w:spacing w:val="-10"/>
                <w:sz w:val="21"/>
                <w:szCs w:val="21"/>
              </w:rPr>
              <w:t>）</w:t>
            </w:r>
          </w:p>
        </w:tc>
      </w:tr>
      <w:tr w:rsidR="00C645C9">
        <w:trPr>
          <w:trHeight w:val="397"/>
          <w:jc w:val="center"/>
        </w:trPr>
        <w:tc>
          <w:tcPr>
            <w:tcW w:w="243"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570"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80"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经度</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423"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纬度</w:t>
            </w:r>
          </w:p>
          <w:p w:rsidR="00C645C9" w:rsidRDefault="00F955D9">
            <w:pPr>
              <w:widowControl w:val="0"/>
              <w:wordWrap w:val="0"/>
              <w:jc w:val="center"/>
              <w:rPr>
                <w:rFonts w:cs="Times New Roman"/>
                <w:spacing w:val="-10"/>
                <w:sz w:val="21"/>
                <w:szCs w:val="21"/>
              </w:rPr>
            </w:pP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359"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38"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401"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80"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29"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273"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06" w:type="pct"/>
            <w:vMerge/>
            <w:tcBorders>
              <w:tl2br w:val="nil"/>
              <w:tr2bl w:val="nil"/>
            </w:tcBorders>
            <w:vAlign w:val="center"/>
          </w:tcPr>
          <w:p w:rsidR="00C645C9" w:rsidRDefault="00C645C9">
            <w:pPr>
              <w:widowControl w:val="0"/>
              <w:wordWrap w:val="0"/>
              <w:rPr>
                <w:rFonts w:cs="Times New Roman"/>
                <w:spacing w:val="-10"/>
                <w:sz w:val="21"/>
                <w:szCs w:val="21"/>
              </w:rPr>
            </w:pPr>
          </w:p>
        </w:tc>
        <w:tc>
          <w:tcPr>
            <w:tcW w:w="399" w:type="pct"/>
            <w:vMerge/>
            <w:tcBorders>
              <w:tl2br w:val="nil"/>
              <w:tr2bl w:val="nil"/>
            </w:tcBorders>
            <w:vAlign w:val="center"/>
          </w:tcPr>
          <w:p w:rsidR="00C645C9" w:rsidRDefault="00C645C9">
            <w:pPr>
              <w:widowControl w:val="0"/>
              <w:wordWrap w:val="0"/>
              <w:rPr>
                <w:rFonts w:cs="Times New Roman"/>
                <w:spacing w:val="-10"/>
                <w:sz w:val="21"/>
                <w:szCs w:val="21"/>
              </w:rPr>
            </w:pPr>
          </w:p>
        </w:tc>
      </w:tr>
      <w:tr w:rsidR="00C645C9">
        <w:trPr>
          <w:trHeight w:val="397"/>
          <w:jc w:val="center"/>
        </w:trPr>
        <w:tc>
          <w:tcPr>
            <w:tcW w:w="243"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1</w:t>
            </w:r>
          </w:p>
        </w:tc>
        <w:tc>
          <w:tcPr>
            <w:tcW w:w="570" w:type="pct"/>
            <w:vMerge w:val="restart"/>
            <w:tcBorders>
              <w:tl2br w:val="nil"/>
              <w:tr2bl w:val="nil"/>
            </w:tcBorders>
            <w:vAlign w:val="center"/>
          </w:tcPr>
          <w:p w:rsidR="00C645C9" w:rsidRDefault="00F955D9">
            <w:pPr>
              <w:wordWrap w:val="0"/>
              <w:jc w:val="center"/>
              <w:rPr>
                <w:rFonts w:cs="Times New Roman"/>
                <w:sz w:val="21"/>
                <w:szCs w:val="21"/>
              </w:rPr>
            </w:pPr>
            <w:r>
              <w:rPr>
                <w:rFonts w:cs="Times New Roman"/>
                <w:sz w:val="21"/>
                <w:szCs w:val="21"/>
              </w:rPr>
              <w:t>新北</w:t>
            </w:r>
            <w:r>
              <w:rPr>
                <w:rFonts w:cs="Times New Roman"/>
                <w:sz w:val="21"/>
                <w:szCs w:val="21"/>
              </w:rPr>
              <w:t>1X</w:t>
            </w:r>
            <w:r>
              <w:rPr>
                <w:rFonts w:cs="Times New Roman"/>
                <w:sz w:val="21"/>
                <w:szCs w:val="21"/>
              </w:rPr>
              <w:t>井加热炉</w:t>
            </w:r>
          </w:p>
          <w:p w:rsidR="00C645C9" w:rsidRDefault="00F955D9">
            <w:pPr>
              <w:widowControl w:val="0"/>
              <w:wordWrap w:val="0"/>
              <w:jc w:val="center"/>
              <w:rPr>
                <w:rFonts w:cs="Times New Roman"/>
                <w:sz w:val="21"/>
                <w:szCs w:val="21"/>
              </w:rPr>
            </w:pPr>
            <w:r>
              <w:rPr>
                <w:rFonts w:cs="Times New Roman" w:hint="eastAsia"/>
                <w:sz w:val="21"/>
                <w:szCs w:val="21"/>
              </w:rPr>
              <w:t>（</w:t>
            </w:r>
            <w:r>
              <w:rPr>
                <w:rFonts w:cs="Times New Roman"/>
                <w:sz w:val="21"/>
                <w:szCs w:val="21"/>
              </w:rPr>
              <w:t>200k</w:t>
            </w:r>
            <w:r>
              <w:rPr>
                <w:rFonts w:cs="Times New Roman" w:hint="eastAsia"/>
                <w:sz w:val="21"/>
                <w:szCs w:val="21"/>
              </w:rPr>
              <w:t>W</w:t>
            </w:r>
            <w:r>
              <w:rPr>
                <w:rFonts w:cs="Times New Roman" w:hint="eastAsia"/>
                <w:sz w:val="21"/>
                <w:szCs w:val="21"/>
              </w:rPr>
              <w:t>）</w:t>
            </w:r>
          </w:p>
        </w:tc>
        <w:tc>
          <w:tcPr>
            <w:tcW w:w="380"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t>**</w:t>
            </w:r>
          </w:p>
        </w:tc>
        <w:tc>
          <w:tcPr>
            <w:tcW w:w="423"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t>**</w:t>
            </w:r>
          </w:p>
        </w:tc>
        <w:tc>
          <w:tcPr>
            <w:tcW w:w="359"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1013</w:t>
            </w:r>
          </w:p>
        </w:tc>
        <w:tc>
          <w:tcPr>
            <w:tcW w:w="296"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8</w:t>
            </w:r>
          </w:p>
        </w:tc>
        <w:tc>
          <w:tcPr>
            <w:tcW w:w="338"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0.3</w:t>
            </w:r>
          </w:p>
        </w:tc>
        <w:tc>
          <w:tcPr>
            <w:tcW w:w="401"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z w:val="21"/>
                <w:szCs w:val="21"/>
              </w:rPr>
              <w:t>254.96</w:t>
            </w:r>
          </w:p>
        </w:tc>
        <w:tc>
          <w:tcPr>
            <w:tcW w:w="380"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1.0</w:t>
            </w:r>
          </w:p>
        </w:tc>
        <w:tc>
          <w:tcPr>
            <w:tcW w:w="329"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120</w:t>
            </w:r>
          </w:p>
        </w:tc>
        <w:tc>
          <w:tcPr>
            <w:tcW w:w="273"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7920</w:t>
            </w:r>
          </w:p>
        </w:tc>
        <w:tc>
          <w:tcPr>
            <w:tcW w:w="296"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正常</w:t>
            </w: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PM</w:t>
            </w:r>
            <w:r>
              <w:rPr>
                <w:rFonts w:cs="Times New Roman"/>
                <w:spacing w:val="-10"/>
                <w:sz w:val="21"/>
                <w:szCs w:val="21"/>
                <w:vertAlign w:val="subscript"/>
              </w:rPr>
              <w:t>10</w:t>
            </w:r>
          </w:p>
        </w:tc>
        <w:tc>
          <w:tcPr>
            <w:tcW w:w="399"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z w:val="21"/>
                <w:szCs w:val="21"/>
              </w:rPr>
              <w:t>0.00</w:t>
            </w:r>
            <w:r>
              <w:rPr>
                <w:rFonts w:cs="Times New Roman"/>
                <w:sz w:val="21"/>
                <w:szCs w:val="21"/>
              </w:rPr>
              <w:t>51</w:t>
            </w:r>
          </w:p>
        </w:tc>
      </w:tr>
      <w:tr w:rsidR="00C645C9">
        <w:trPr>
          <w:trHeight w:val="397"/>
          <w:jc w:val="center"/>
        </w:trPr>
        <w:tc>
          <w:tcPr>
            <w:tcW w:w="24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570" w:type="pct"/>
            <w:vMerge/>
            <w:tcBorders>
              <w:tl2br w:val="nil"/>
              <w:tr2bl w:val="nil"/>
            </w:tcBorders>
            <w:vAlign w:val="center"/>
          </w:tcPr>
          <w:p w:rsidR="00C645C9" w:rsidRDefault="00C645C9">
            <w:pPr>
              <w:widowControl w:val="0"/>
              <w:wordWrap w:val="0"/>
              <w:jc w:val="center"/>
              <w:rPr>
                <w:rFonts w:cs="Times New Roman"/>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2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5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38"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01"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2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7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SO</w:t>
            </w:r>
            <w:r>
              <w:rPr>
                <w:rFonts w:cs="Times New Roman"/>
                <w:spacing w:val="-10"/>
                <w:sz w:val="21"/>
                <w:szCs w:val="21"/>
                <w:vertAlign w:val="subscript"/>
              </w:rPr>
              <w:t>2</w:t>
            </w:r>
          </w:p>
        </w:tc>
        <w:tc>
          <w:tcPr>
            <w:tcW w:w="399"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z w:val="21"/>
                <w:szCs w:val="21"/>
              </w:rPr>
              <w:t>0.004</w:t>
            </w:r>
            <w:r>
              <w:rPr>
                <w:rFonts w:cs="Times New Roman"/>
                <w:sz w:val="21"/>
                <w:szCs w:val="21"/>
              </w:rPr>
              <w:t>7</w:t>
            </w:r>
          </w:p>
        </w:tc>
      </w:tr>
      <w:tr w:rsidR="00C645C9">
        <w:trPr>
          <w:trHeight w:val="397"/>
          <w:jc w:val="center"/>
        </w:trPr>
        <w:tc>
          <w:tcPr>
            <w:tcW w:w="24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570" w:type="pct"/>
            <w:vMerge/>
            <w:tcBorders>
              <w:tl2br w:val="nil"/>
              <w:tr2bl w:val="nil"/>
            </w:tcBorders>
            <w:vAlign w:val="center"/>
          </w:tcPr>
          <w:p w:rsidR="00C645C9" w:rsidRDefault="00C645C9">
            <w:pPr>
              <w:widowControl w:val="0"/>
              <w:wordWrap w:val="0"/>
              <w:jc w:val="center"/>
              <w:rPr>
                <w:rFonts w:cs="Times New Roman"/>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2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5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38"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01"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2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7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NO</w:t>
            </w:r>
            <w:r>
              <w:rPr>
                <w:rFonts w:cs="Times New Roman"/>
                <w:spacing w:val="-10"/>
                <w:sz w:val="21"/>
                <w:szCs w:val="21"/>
                <w:vertAlign w:val="subscript"/>
              </w:rPr>
              <w:t>x</w:t>
            </w:r>
          </w:p>
        </w:tc>
        <w:tc>
          <w:tcPr>
            <w:tcW w:w="399"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z w:val="21"/>
                <w:szCs w:val="21"/>
              </w:rPr>
              <w:t>0.0</w:t>
            </w:r>
            <w:r>
              <w:rPr>
                <w:rFonts w:cs="Times New Roman"/>
                <w:sz w:val="21"/>
                <w:szCs w:val="21"/>
              </w:rPr>
              <w:t>443</w:t>
            </w:r>
          </w:p>
        </w:tc>
      </w:tr>
      <w:tr w:rsidR="00C645C9">
        <w:trPr>
          <w:trHeight w:val="664"/>
          <w:jc w:val="center"/>
        </w:trPr>
        <w:tc>
          <w:tcPr>
            <w:tcW w:w="243"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2</w:t>
            </w:r>
          </w:p>
        </w:tc>
        <w:tc>
          <w:tcPr>
            <w:tcW w:w="570" w:type="pct"/>
            <w:vMerge w:val="restart"/>
            <w:tcBorders>
              <w:tl2br w:val="nil"/>
              <w:tr2bl w:val="nil"/>
            </w:tcBorders>
            <w:vAlign w:val="center"/>
          </w:tcPr>
          <w:p w:rsidR="00C645C9" w:rsidRDefault="00F955D9">
            <w:pPr>
              <w:wordWrap w:val="0"/>
              <w:jc w:val="center"/>
              <w:rPr>
                <w:rFonts w:cs="Times New Roman"/>
                <w:sz w:val="21"/>
                <w:szCs w:val="21"/>
              </w:rPr>
            </w:pPr>
            <w:r>
              <w:rPr>
                <w:rFonts w:cs="Times New Roman"/>
                <w:sz w:val="21"/>
                <w:szCs w:val="21"/>
              </w:rPr>
              <w:t>新北</w:t>
            </w:r>
            <w:r>
              <w:rPr>
                <w:rFonts w:cs="Times New Roman"/>
                <w:sz w:val="21"/>
                <w:szCs w:val="21"/>
              </w:rPr>
              <w:t>7</w:t>
            </w:r>
            <w:r>
              <w:rPr>
                <w:rFonts w:cs="Times New Roman"/>
                <w:sz w:val="21"/>
                <w:szCs w:val="21"/>
              </w:rPr>
              <w:t>井</w:t>
            </w:r>
            <w:r>
              <w:rPr>
                <w:rFonts w:cs="Times New Roman"/>
                <w:sz w:val="21"/>
                <w:szCs w:val="21"/>
              </w:rPr>
              <w:t>加热炉</w:t>
            </w:r>
          </w:p>
          <w:p w:rsidR="00C645C9" w:rsidRDefault="00F955D9">
            <w:pPr>
              <w:widowControl w:val="0"/>
              <w:wordWrap w:val="0"/>
              <w:jc w:val="center"/>
              <w:rPr>
                <w:rFonts w:cs="Times New Roman"/>
                <w:sz w:val="21"/>
                <w:szCs w:val="21"/>
              </w:rPr>
            </w:pPr>
            <w:r>
              <w:rPr>
                <w:rFonts w:cs="Times New Roman" w:hint="eastAsia"/>
                <w:sz w:val="21"/>
                <w:szCs w:val="21"/>
              </w:rPr>
              <w:lastRenderedPageBreak/>
              <w:t>（</w:t>
            </w:r>
            <w:r>
              <w:rPr>
                <w:rFonts w:cs="Times New Roman"/>
                <w:sz w:val="21"/>
                <w:szCs w:val="21"/>
              </w:rPr>
              <w:t>200kw</w:t>
            </w:r>
            <w:r>
              <w:rPr>
                <w:rFonts w:cs="Times New Roman" w:hint="eastAsia"/>
                <w:sz w:val="21"/>
                <w:szCs w:val="21"/>
              </w:rPr>
              <w:t>）</w:t>
            </w:r>
          </w:p>
        </w:tc>
        <w:tc>
          <w:tcPr>
            <w:tcW w:w="380"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lastRenderedPageBreak/>
              <w:t>**</w:t>
            </w:r>
          </w:p>
        </w:tc>
        <w:tc>
          <w:tcPr>
            <w:tcW w:w="423"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t>**</w:t>
            </w:r>
          </w:p>
        </w:tc>
        <w:tc>
          <w:tcPr>
            <w:tcW w:w="359"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1008</w:t>
            </w:r>
          </w:p>
        </w:tc>
        <w:tc>
          <w:tcPr>
            <w:tcW w:w="296"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8</w:t>
            </w:r>
          </w:p>
        </w:tc>
        <w:tc>
          <w:tcPr>
            <w:tcW w:w="338"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0.3</w:t>
            </w:r>
          </w:p>
        </w:tc>
        <w:tc>
          <w:tcPr>
            <w:tcW w:w="401" w:type="pct"/>
            <w:vMerge w:val="restar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z w:val="21"/>
                <w:szCs w:val="21"/>
              </w:rPr>
              <w:t>254.96</w:t>
            </w:r>
          </w:p>
        </w:tc>
        <w:tc>
          <w:tcPr>
            <w:tcW w:w="380" w:type="pct"/>
            <w:vMerge w:val="restar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pacing w:val="-10"/>
                <w:sz w:val="21"/>
                <w:szCs w:val="21"/>
              </w:rPr>
              <w:t>1.0</w:t>
            </w:r>
          </w:p>
        </w:tc>
        <w:tc>
          <w:tcPr>
            <w:tcW w:w="329" w:type="pct"/>
            <w:vMerge w:val="restar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pacing w:val="-10"/>
                <w:sz w:val="21"/>
                <w:szCs w:val="21"/>
              </w:rPr>
              <w:t>120</w:t>
            </w:r>
          </w:p>
        </w:tc>
        <w:tc>
          <w:tcPr>
            <w:tcW w:w="273" w:type="pct"/>
            <w:vMerge w:val="restar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pacing w:val="-10"/>
                <w:sz w:val="21"/>
                <w:szCs w:val="21"/>
              </w:rPr>
              <w:t>7920</w:t>
            </w:r>
          </w:p>
        </w:tc>
        <w:tc>
          <w:tcPr>
            <w:tcW w:w="296" w:type="pct"/>
            <w:vMerge w:val="restar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pacing w:val="-10"/>
                <w:sz w:val="21"/>
                <w:szCs w:val="21"/>
              </w:rPr>
              <w:t>正常</w:t>
            </w: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PM</w:t>
            </w:r>
            <w:r>
              <w:rPr>
                <w:rFonts w:cs="Times New Roman"/>
                <w:spacing w:val="-10"/>
                <w:sz w:val="21"/>
                <w:szCs w:val="21"/>
                <w:vertAlign w:val="subscript"/>
              </w:rPr>
              <w:t>10</w:t>
            </w:r>
          </w:p>
        </w:tc>
        <w:tc>
          <w:tcPr>
            <w:tcW w:w="399" w:type="pc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z w:val="21"/>
                <w:szCs w:val="21"/>
              </w:rPr>
              <w:t>0.00</w:t>
            </w:r>
            <w:r>
              <w:rPr>
                <w:rFonts w:cs="Times New Roman"/>
                <w:sz w:val="21"/>
                <w:szCs w:val="21"/>
              </w:rPr>
              <w:t>51</w:t>
            </w:r>
          </w:p>
        </w:tc>
      </w:tr>
      <w:bookmarkEnd w:id="1583"/>
      <w:tr w:rsidR="00C645C9">
        <w:trPr>
          <w:trHeight w:val="664"/>
          <w:jc w:val="center"/>
        </w:trPr>
        <w:tc>
          <w:tcPr>
            <w:tcW w:w="243" w:type="pct"/>
            <w:vMerge/>
            <w:tcBorders>
              <w:tl2br w:val="nil"/>
              <w:tr2bl w:val="nil"/>
            </w:tcBorders>
            <w:vAlign w:val="center"/>
          </w:tcPr>
          <w:p w:rsidR="00C645C9" w:rsidRDefault="00C645C9">
            <w:pPr>
              <w:widowControl w:val="0"/>
              <w:wordWrap w:val="0"/>
              <w:jc w:val="center"/>
              <w:rPr>
                <w:rFonts w:cs="Times New Roman"/>
              </w:rPr>
            </w:pPr>
          </w:p>
        </w:tc>
        <w:tc>
          <w:tcPr>
            <w:tcW w:w="570" w:type="pct"/>
            <w:vMerge/>
            <w:tcBorders>
              <w:tl2br w:val="nil"/>
              <w:tr2bl w:val="nil"/>
            </w:tcBorders>
            <w:vAlign w:val="center"/>
          </w:tcPr>
          <w:p w:rsidR="00C645C9" w:rsidRDefault="00C645C9">
            <w:pPr>
              <w:widowControl w:val="0"/>
              <w:wordWrap w:val="0"/>
              <w:jc w:val="center"/>
              <w:rPr>
                <w:rFonts w:cs="Times New Roman"/>
              </w:rPr>
            </w:pPr>
          </w:p>
        </w:tc>
        <w:tc>
          <w:tcPr>
            <w:tcW w:w="380" w:type="pct"/>
            <w:vMerge/>
            <w:tcBorders>
              <w:tl2br w:val="nil"/>
              <w:tr2bl w:val="nil"/>
            </w:tcBorders>
            <w:vAlign w:val="center"/>
          </w:tcPr>
          <w:p w:rsidR="00C645C9" w:rsidRDefault="00C645C9">
            <w:pPr>
              <w:widowControl w:val="0"/>
              <w:wordWrap w:val="0"/>
              <w:jc w:val="center"/>
              <w:rPr>
                <w:rFonts w:cs="Times New Roman"/>
              </w:rPr>
            </w:pPr>
          </w:p>
        </w:tc>
        <w:tc>
          <w:tcPr>
            <w:tcW w:w="423" w:type="pct"/>
            <w:vMerge/>
            <w:tcBorders>
              <w:tl2br w:val="nil"/>
              <w:tr2bl w:val="nil"/>
            </w:tcBorders>
            <w:vAlign w:val="center"/>
          </w:tcPr>
          <w:p w:rsidR="00C645C9" w:rsidRDefault="00C645C9">
            <w:pPr>
              <w:widowControl w:val="0"/>
              <w:wordWrap w:val="0"/>
              <w:jc w:val="center"/>
              <w:rPr>
                <w:rFonts w:cs="Times New Roman"/>
              </w:rPr>
            </w:pPr>
          </w:p>
        </w:tc>
        <w:tc>
          <w:tcPr>
            <w:tcW w:w="359" w:type="pct"/>
            <w:vMerge/>
            <w:tcBorders>
              <w:tl2br w:val="nil"/>
              <w:tr2bl w:val="nil"/>
            </w:tcBorders>
            <w:vAlign w:val="center"/>
          </w:tcPr>
          <w:p w:rsidR="00C645C9" w:rsidRDefault="00C645C9">
            <w:pPr>
              <w:widowControl w:val="0"/>
              <w:wordWrap w:val="0"/>
              <w:jc w:val="center"/>
              <w:rPr>
                <w:rFonts w:cs="Times New Roman"/>
              </w:rPr>
            </w:pPr>
          </w:p>
        </w:tc>
        <w:tc>
          <w:tcPr>
            <w:tcW w:w="296" w:type="pct"/>
            <w:vMerge/>
            <w:tcBorders>
              <w:tl2br w:val="nil"/>
              <w:tr2bl w:val="nil"/>
            </w:tcBorders>
            <w:vAlign w:val="center"/>
          </w:tcPr>
          <w:p w:rsidR="00C645C9" w:rsidRDefault="00C645C9">
            <w:pPr>
              <w:widowControl w:val="0"/>
              <w:wordWrap w:val="0"/>
              <w:jc w:val="center"/>
              <w:rPr>
                <w:rFonts w:cs="Times New Roman"/>
              </w:rPr>
            </w:pPr>
          </w:p>
        </w:tc>
        <w:tc>
          <w:tcPr>
            <w:tcW w:w="338" w:type="pct"/>
            <w:vMerge/>
            <w:tcBorders>
              <w:tl2br w:val="nil"/>
              <w:tr2bl w:val="nil"/>
            </w:tcBorders>
            <w:vAlign w:val="center"/>
          </w:tcPr>
          <w:p w:rsidR="00C645C9" w:rsidRDefault="00C645C9">
            <w:pPr>
              <w:widowControl w:val="0"/>
              <w:wordWrap w:val="0"/>
              <w:jc w:val="center"/>
              <w:rPr>
                <w:rFonts w:cs="Times New Roman"/>
              </w:rPr>
            </w:pPr>
          </w:p>
        </w:tc>
        <w:tc>
          <w:tcPr>
            <w:tcW w:w="401" w:type="pct"/>
            <w:vMerge/>
            <w:tcBorders>
              <w:tl2br w:val="nil"/>
              <w:tr2bl w:val="nil"/>
            </w:tcBorders>
            <w:vAlign w:val="center"/>
          </w:tcPr>
          <w:p w:rsidR="00C645C9" w:rsidRDefault="00C645C9">
            <w:pPr>
              <w:widowControl w:val="0"/>
              <w:wordWrap w:val="0"/>
              <w:jc w:val="center"/>
              <w:rPr>
                <w:rFonts w:cs="Times New Roman"/>
              </w:rPr>
            </w:pPr>
          </w:p>
        </w:tc>
        <w:tc>
          <w:tcPr>
            <w:tcW w:w="380" w:type="pct"/>
            <w:vMerge/>
            <w:tcBorders>
              <w:tl2br w:val="nil"/>
              <w:tr2bl w:val="nil"/>
            </w:tcBorders>
            <w:vAlign w:val="center"/>
          </w:tcPr>
          <w:p w:rsidR="00C645C9" w:rsidRDefault="00C645C9">
            <w:pPr>
              <w:widowControl w:val="0"/>
              <w:wordWrap w:val="0"/>
              <w:jc w:val="center"/>
              <w:rPr>
                <w:rFonts w:cs="Times New Roman"/>
              </w:rPr>
            </w:pPr>
          </w:p>
        </w:tc>
        <w:tc>
          <w:tcPr>
            <w:tcW w:w="329" w:type="pct"/>
            <w:vMerge/>
            <w:tcBorders>
              <w:tl2br w:val="nil"/>
              <w:tr2bl w:val="nil"/>
            </w:tcBorders>
            <w:vAlign w:val="center"/>
          </w:tcPr>
          <w:p w:rsidR="00C645C9" w:rsidRDefault="00C645C9">
            <w:pPr>
              <w:widowControl w:val="0"/>
              <w:wordWrap w:val="0"/>
              <w:jc w:val="center"/>
              <w:rPr>
                <w:rFonts w:cs="Times New Roman"/>
              </w:rPr>
            </w:pPr>
          </w:p>
        </w:tc>
        <w:tc>
          <w:tcPr>
            <w:tcW w:w="273" w:type="pct"/>
            <w:vMerge/>
            <w:tcBorders>
              <w:tl2br w:val="nil"/>
              <w:tr2bl w:val="nil"/>
            </w:tcBorders>
            <w:vAlign w:val="center"/>
          </w:tcPr>
          <w:p w:rsidR="00C645C9" w:rsidRDefault="00C645C9">
            <w:pPr>
              <w:widowControl w:val="0"/>
              <w:wordWrap w:val="0"/>
              <w:jc w:val="center"/>
              <w:rPr>
                <w:rFonts w:cs="Times New Roman"/>
              </w:rPr>
            </w:pPr>
          </w:p>
        </w:tc>
        <w:tc>
          <w:tcPr>
            <w:tcW w:w="296" w:type="pct"/>
            <w:vMerge/>
            <w:tcBorders>
              <w:tl2br w:val="nil"/>
              <w:tr2bl w:val="nil"/>
            </w:tcBorders>
            <w:vAlign w:val="center"/>
          </w:tcPr>
          <w:p w:rsidR="00C645C9" w:rsidRDefault="00C645C9">
            <w:pPr>
              <w:widowControl w:val="0"/>
              <w:wordWrap w:val="0"/>
              <w:jc w:val="center"/>
              <w:rPr>
                <w:rFonts w:cs="Times New Roman"/>
              </w:rPr>
            </w:pP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SO</w:t>
            </w:r>
            <w:r>
              <w:rPr>
                <w:rFonts w:cs="Times New Roman"/>
                <w:spacing w:val="-10"/>
                <w:sz w:val="21"/>
                <w:szCs w:val="21"/>
                <w:vertAlign w:val="subscript"/>
              </w:rPr>
              <w:t>2</w:t>
            </w:r>
          </w:p>
        </w:tc>
        <w:tc>
          <w:tcPr>
            <w:tcW w:w="399" w:type="pc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z w:val="21"/>
                <w:szCs w:val="21"/>
              </w:rPr>
              <w:t>0.004</w:t>
            </w:r>
            <w:r>
              <w:rPr>
                <w:rFonts w:cs="Times New Roman"/>
                <w:sz w:val="21"/>
                <w:szCs w:val="21"/>
              </w:rPr>
              <w:t>7</w:t>
            </w:r>
          </w:p>
        </w:tc>
      </w:tr>
      <w:tr w:rsidR="00C645C9">
        <w:trPr>
          <w:trHeight w:val="664"/>
          <w:jc w:val="center"/>
        </w:trPr>
        <w:tc>
          <w:tcPr>
            <w:tcW w:w="24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57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2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5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38"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401"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80"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29"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73"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296" w:type="pct"/>
            <w:vMerge/>
            <w:tcBorders>
              <w:tl2br w:val="nil"/>
              <w:tr2bl w:val="nil"/>
            </w:tcBorders>
            <w:vAlign w:val="center"/>
          </w:tcPr>
          <w:p w:rsidR="00C645C9" w:rsidRDefault="00C645C9">
            <w:pPr>
              <w:widowControl w:val="0"/>
              <w:wordWrap w:val="0"/>
              <w:jc w:val="center"/>
              <w:rPr>
                <w:rFonts w:cs="Times New Roman"/>
                <w:spacing w:val="-10"/>
                <w:sz w:val="21"/>
                <w:szCs w:val="21"/>
              </w:rPr>
            </w:pPr>
          </w:p>
        </w:tc>
        <w:tc>
          <w:tcPr>
            <w:tcW w:w="306" w:type="pct"/>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spacing w:val="-10"/>
                <w:sz w:val="21"/>
                <w:szCs w:val="21"/>
              </w:rPr>
              <w:t>NO</w:t>
            </w:r>
            <w:r>
              <w:rPr>
                <w:rFonts w:cs="Times New Roman"/>
                <w:spacing w:val="-10"/>
                <w:sz w:val="21"/>
                <w:szCs w:val="21"/>
                <w:vertAlign w:val="subscript"/>
              </w:rPr>
              <w:t>x</w:t>
            </w:r>
          </w:p>
        </w:tc>
        <w:tc>
          <w:tcPr>
            <w:tcW w:w="399" w:type="pct"/>
            <w:tcBorders>
              <w:tl2br w:val="nil"/>
              <w:tr2bl w:val="nil"/>
            </w:tcBorders>
            <w:vAlign w:val="center"/>
          </w:tcPr>
          <w:p w:rsidR="00C645C9" w:rsidRDefault="00F955D9">
            <w:pPr>
              <w:widowControl w:val="0"/>
              <w:wordWrap w:val="0"/>
              <w:jc w:val="center"/>
              <w:rPr>
                <w:rFonts w:cs="Times New Roman"/>
                <w:spacing w:val="-10"/>
                <w:kern w:val="2"/>
                <w:sz w:val="21"/>
                <w:szCs w:val="21"/>
              </w:rPr>
            </w:pPr>
            <w:r>
              <w:rPr>
                <w:rFonts w:cs="Times New Roman"/>
                <w:sz w:val="21"/>
                <w:szCs w:val="21"/>
              </w:rPr>
              <w:t>0.0</w:t>
            </w:r>
            <w:r>
              <w:rPr>
                <w:rFonts w:cs="Times New Roman"/>
                <w:sz w:val="21"/>
                <w:szCs w:val="21"/>
              </w:rPr>
              <w:t>443</w:t>
            </w:r>
          </w:p>
        </w:tc>
      </w:tr>
    </w:tbl>
    <w:p w:rsidR="00C645C9" w:rsidRDefault="00F955D9">
      <w:pPr>
        <w:spacing w:line="360" w:lineRule="auto"/>
        <w:ind w:firstLineChars="200" w:firstLine="480"/>
        <w:rPr>
          <w:rFonts w:cs="Times New Roman"/>
          <w:spacing w:val="4"/>
          <w:kern w:val="24"/>
        </w:rPr>
      </w:pPr>
      <w:r>
        <w:rPr>
          <w:rFonts w:cs="Times New Roman"/>
          <w:szCs w:val="20"/>
        </w:rPr>
        <w:t>（</w:t>
      </w:r>
      <w:r>
        <w:rPr>
          <w:rFonts w:cs="Times New Roman"/>
          <w:szCs w:val="20"/>
        </w:rPr>
        <w:t>2</w:t>
      </w:r>
      <w:r>
        <w:rPr>
          <w:rFonts w:cs="Times New Roman"/>
          <w:szCs w:val="20"/>
        </w:rPr>
        <w:t>）预测</w:t>
      </w:r>
      <w:r>
        <w:rPr>
          <w:rFonts w:cs="Times New Roman"/>
          <w:spacing w:val="4"/>
          <w:kern w:val="24"/>
        </w:rPr>
        <w:t>结果</w:t>
      </w:r>
    </w:p>
    <w:p w:rsidR="00C645C9" w:rsidRDefault="00F955D9">
      <w:pPr>
        <w:spacing w:line="360" w:lineRule="auto"/>
        <w:ind w:firstLineChars="200" w:firstLine="496"/>
        <w:rPr>
          <w:rFonts w:cs="Times New Roman"/>
          <w:spacing w:val="4"/>
          <w:kern w:val="24"/>
        </w:rPr>
      </w:pPr>
      <w:r>
        <w:rPr>
          <w:rFonts w:cs="Times New Roman"/>
          <w:spacing w:val="4"/>
          <w:kern w:val="24"/>
        </w:rPr>
        <w:t>本工程估算结果见表</w:t>
      </w:r>
      <w:r>
        <w:rPr>
          <w:rFonts w:cs="Times New Roman"/>
          <w:spacing w:val="4"/>
          <w:kern w:val="24"/>
        </w:rPr>
        <w:t>5.</w:t>
      </w:r>
      <w:r>
        <w:rPr>
          <w:rFonts w:cs="Times New Roman"/>
          <w:spacing w:val="4"/>
          <w:kern w:val="24"/>
        </w:rPr>
        <w:t>5-6</w:t>
      </w:r>
      <w:r>
        <w:rPr>
          <w:rFonts w:cs="Times New Roman"/>
          <w:spacing w:val="4"/>
          <w:kern w:val="24"/>
        </w:rPr>
        <w:t>。</w:t>
      </w:r>
    </w:p>
    <w:p w:rsidR="00C645C9" w:rsidRDefault="00F955D9" w:rsidP="005718BB">
      <w:pPr>
        <w:pStyle w:val="aff8"/>
        <w:ind w:firstLine="512"/>
        <w:rPr>
          <w:rFonts w:cs="Times New Roman"/>
        </w:rPr>
      </w:pPr>
      <w:r>
        <w:rPr>
          <w:rFonts w:eastAsia="黑体" w:cs="Times New Roman"/>
          <w:b w:val="0"/>
          <w:sz w:val="21"/>
          <w:szCs w:val="21"/>
        </w:rPr>
        <w:t>表</w:t>
      </w:r>
      <w:r>
        <w:rPr>
          <w:rFonts w:eastAsia="黑体" w:cs="Times New Roman"/>
          <w:b w:val="0"/>
          <w:sz w:val="21"/>
          <w:szCs w:val="21"/>
        </w:rPr>
        <w:t xml:space="preserve">5.5-6   </w:t>
      </w:r>
      <w:r>
        <w:rPr>
          <w:rFonts w:eastAsia="黑体" w:cs="Times New Roman"/>
          <w:b w:val="0"/>
          <w:sz w:val="21"/>
          <w:szCs w:val="21"/>
        </w:rPr>
        <w:t>有组织估算模式预测污染物扩散结果</w:t>
      </w:r>
    </w:p>
    <w:tbl>
      <w:tblPr>
        <w:tblW w:w="530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47"/>
        <w:gridCol w:w="950"/>
        <w:gridCol w:w="1187"/>
        <w:gridCol w:w="1038"/>
        <w:gridCol w:w="1637"/>
        <w:gridCol w:w="688"/>
        <w:gridCol w:w="800"/>
        <w:gridCol w:w="2122"/>
      </w:tblGrid>
      <w:tr w:rsidR="00C645C9">
        <w:trPr>
          <w:trHeight w:val="397"/>
          <w:jc w:val="center"/>
        </w:trPr>
        <w:tc>
          <w:tcPr>
            <w:tcW w:w="448" w:type="dxa"/>
            <w:tcBorders>
              <w:tl2br w:val="nil"/>
              <w:tr2bl w:val="nil"/>
            </w:tcBorders>
            <w:vAlign w:val="center"/>
          </w:tcPr>
          <w:p w:rsidR="00C645C9" w:rsidRDefault="00F955D9">
            <w:pPr>
              <w:widowControl w:val="0"/>
              <w:wordWrap w:val="0"/>
              <w:adjustRightInd w:val="0"/>
              <w:snapToGrid w:val="0"/>
              <w:jc w:val="center"/>
              <w:rPr>
                <w:rFonts w:cs="Times New Roman"/>
              </w:rPr>
            </w:pPr>
            <w:bookmarkStart w:id="1584" w:name="OLE_LINK1193"/>
            <w:r>
              <w:rPr>
                <w:rFonts w:cs="Times New Roman"/>
                <w:spacing w:val="-10"/>
                <w:sz w:val="21"/>
                <w:szCs w:val="21"/>
              </w:rPr>
              <w:t>序号</w:t>
            </w:r>
          </w:p>
        </w:tc>
        <w:tc>
          <w:tcPr>
            <w:tcW w:w="950" w:type="dxa"/>
            <w:tcBorders>
              <w:tl2br w:val="nil"/>
              <w:tr2bl w:val="nil"/>
            </w:tcBorders>
            <w:vAlign w:val="center"/>
          </w:tcPr>
          <w:p w:rsidR="00C645C9" w:rsidRDefault="00F955D9">
            <w:pPr>
              <w:pStyle w:val="afb"/>
            </w:pPr>
            <w:r>
              <w:t>名称</w:t>
            </w:r>
          </w:p>
        </w:tc>
        <w:tc>
          <w:tcPr>
            <w:tcW w:w="1187" w:type="dxa"/>
            <w:tcBorders>
              <w:tl2br w:val="nil"/>
              <w:tr2bl w:val="nil"/>
            </w:tcBorders>
            <w:vAlign w:val="center"/>
          </w:tcPr>
          <w:p w:rsidR="00C645C9" w:rsidRDefault="00F955D9">
            <w:pPr>
              <w:pStyle w:val="afb"/>
            </w:pPr>
            <w:r>
              <w:t>评价因子</w:t>
            </w:r>
          </w:p>
        </w:tc>
        <w:tc>
          <w:tcPr>
            <w:tcW w:w="1038" w:type="dxa"/>
            <w:tcBorders>
              <w:tl2br w:val="nil"/>
              <w:tr2bl w:val="nil"/>
            </w:tcBorders>
            <w:vAlign w:val="center"/>
          </w:tcPr>
          <w:p w:rsidR="00C645C9" w:rsidRDefault="00F955D9">
            <w:pPr>
              <w:pStyle w:val="afb"/>
            </w:pPr>
            <w:r>
              <w:t>C</w:t>
            </w:r>
            <w:r>
              <w:rPr>
                <w:vertAlign w:val="subscript"/>
              </w:rPr>
              <w:t>i</w:t>
            </w:r>
            <w:bookmarkStart w:id="1585" w:name="OLE_LINK1208"/>
            <w:r>
              <w:rPr>
                <w:rFonts w:hint="eastAsia"/>
              </w:rPr>
              <w:t>（</w:t>
            </w:r>
            <w:r>
              <w:t>μg/m</w:t>
            </w:r>
            <w:r>
              <w:rPr>
                <w:vertAlign w:val="superscript"/>
              </w:rPr>
              <w:t>3</w:t>
            </w:r>
            <w:r>
              <w:rPr>
                <w:rFonts w:hint="eastAsia"/>
              </w:rPr>
              <w:t>）</w:t>
            </w:r>
            <w:bookmarkEnd w:id="1585"/>
          </w:p>
        </w:tc>
        <w:tc>
          <w:tcPr>
            <w:tcW w:w="1637" w:type="dxa"/>
            <w:tcBorders>
              <w:tl2br w:val="nil"/>
              <w:tr2bl w:val="nil"/>
            </w:tcBorders>
            <w:vAlign w:val="center"/>
          </w:tcPr>
          <w:p w:rsidR="00C645C9" w:rsidRDefault="00F955D9">
            <w:pPr>
              <w:pStyle w:val="afb"/>
            </w:pPr>
            <w:r>
              <w:t>评价标准</w:t>
            </w:r>
            <w:r>
              <w:rPr>
                <w:rFonts w:hint="eastAsia"/>
              </w:rPr>
              <w:t>（</w:t>
            </w:r>
            <w:r>
              <w:t>μg/m</w:t>
            </w:r>
            <w:r>
              <w:rPr>
                <w:vertAlign w:val="superscript"/>
              </w:rPr>
              <w:t>3</w:t>
            </w:r>
            <w:r>
              <w:rPr>
                <w:rFonts w:hint="eastAsia"/>
              </w:rPr>
              <w:t>）</w:t>
            </w:r>
          </w:p>
        </w:tc>
        <w:tc>
          <w:tcPr>
            <w:tcW w:w="688" w:type="dxa"/>
            <w:tcBorders>
              <w:tl2br w:val="nil"/>
              <w:tr2bl w:val="nil"/>
            </w:tcBorders>
            <w:vAlign w:val="center"/>
          </w:tcPr>
          <w:p w:rsidR="00C645C9" w:rsidRDefault="00F955D9">
            <w:pPr>
              <w:pStyle w:val="afb"/>
            </w:pPr>
            <w:r>
              <w:t>P</w:t>
            </w:r>
            <w:r>
              <w:rPr>
                <w:vertAlign w:val="subscript"/>
              </w:rPr>
              <w:t>i</w:t>
            </w:r>
            <w:bookmarkStart w:id="1586" w:name="OLE_LINK1209"/>
            <w:r>
              <w:rPr>
                <w:rFonts w:hint="eastAsia"/>
              </w:rPr>
              <w:t>（</w:t>
            </w:r>
            <w:r>
              <w:t>%</w:t>
            </w:r>
            <w:r>
              <w:rPr>
                <w:rFonts w:hint="eastAsia"/>
              </w:rPr>
              <w:t>）</w:t>
            </w:r>
            <w:bookmarkEnd w:id="1586"/>
          </w:p>
        </w:tc>
        <w:tc>
          <w:tcPr>
            <w:tcW w:w="800" w:type="dxa"/>
            <w:tcBorders>
              <w:tl2br w:val="nil"/>
              <w:tr2bl w:val="nil"/>
            </w:tcBorders>
            <w:vAlign w:val="center"/>
          </w:tcPr>
          <w:p w:rsidR="00C645C9" w:rsidRDefault="00F955D9">
            <w:pPr>
              <w:pStyle w:val="afb"/>
            </w:pPr>
            <w:r>
              <w:t>P</w:t>
            </w:r>
            <w:r>
              <w:rPr>
                <w:vertAlign w:val="subscript"/>
              </w:rPr>
              <w:t>max</w:t>
            </w:r>
            <w:r>
              <w:rPr>
                <w:rFonts w:hint="eastAsia"/>
              </w:rPr>
              <w:t>（</w:t>
            </w:r>
            <w:r>
              <w:t>%</w:t>
            </w:r>
            <w:r>
              <w:rPr>
                <w:rFonts w:hint="eastAsia"/>
              </w:rPr>
              <w:t>）</w:t>
            </w:r>
          </w:p>
        </w:tc>
        <w:tc>
          <w:tcPr>
            <w:tcW w:w="2122" w:type="dxa"/>
            <w:tcBorders>
              <w:tl2br w:val="nil"/>
              <w:tr2bl w:val="nil"/>
            </w:tcBorders>
            <w:vAlign w:val="center"/>
          </w:tcPr>
          <w:p w:rsidR="00C645C9" w:rsidRDefault="00F955D9">
            <w:pPr>
              <w:pStyle w:val="afb"/>
            </w:pPr>
            <w:r>
              <w:t>最大浓度出现距离</w:t>
            </w:r>
            <w:r>
              <w:rPr>
                <w:snapToGrid w:val="0"/>
                <w:spacing w:val="-10"/>
                <w:szCs w:val="21"/>
              </w:rPr>
              <w:t>（</w:t>
            </w:r>
            <w:r>
              <w:rPr>
                <w:snapToGrid w:val="0"/>
                <w:spacing w:val="-10"/>
                <w:szCs w:val="21"/>
              </w:rPr>
              <w:t>m</w:t>
            </w:r>
            <w:r>
              <w:rPr>
                <w:snapToGrid w:val="0"/>
                <w:spacing w:val="-10"/>
                <w:szCs w:val="21"/>
              </w:rPr>
              <w:t>）</w:t>
            </w:r>
          </w:p>
        </w:tc>
      </w:tr>
      <w:tr w:rsidR="00C645C9">
        <w:trPr>
          <w:trHeight w:val="397"/>
          <w:jc w:val="center"/>
        </w:trPr>
        <w:tc>
          <w:tcPr>
            <w:tcW w:w="448" w:type="dxa"/>
            <w:vMerge w:val="restart"/>
            <w:tcBorders>
              <w:tl2br w:val="nil"/>
              <w:tr2bl w:val="nil"/>
            </w:tcBorders>
            <w:vAlign w:val="center"/>
          </w:tcPr>
          <w:p w:rsidR="00C645C9" w:rsidRDefault="00F955D9">
            <w:pPr>
              <w:widowControl w:val="0"/>
              <w:wordWrap w:val="0"/>
              <w:jc w:val="center"/>
              <w:rPr>
                <w:rFonts w:cs="Times New Roman"/>
              </w:rPr>
            </w:pPr>
            <w:r>
              <w:rPr>
                <w:rFonts w:cs="Times New Roman"/>
                <w:spacing w:val="-10"/>
                <w:sz w:val="21"/>
                <w:szCs w:val="21"/>
              </w:rPr>
              <w:t>1</w:t>
            </w:r>
          </w:p>
        </w:tc>
        <w:tc>
          <w:tcPr>
            <w:tcW w:w="950" w:type="dxa"/>
            <w:vMerge w:val="restart"/>
            <w:tcBorders>
              <w:tl2br w:val="nil"/>
              <w:tr2bl w:val="nil"/>
            </w:tcBorders>
            <w:vAlign w:val="center"/>
          </w:tcPr>
          <w:p w:rsidR="00C645C9" w:rsidRDefault="00F955D9">
            <w:pPr>
              <w:pStyle w:val="afb"/>
            </w:pPr>
            <w:r>
              <w:t>新北</w:t>
            </w:r>
            <w:r>
              <w:t>1X</w:t>
            </w:r>
            <w:r>
              <w:t>井井场加热炉烟气</w:t>
            </w:r>
          </w:p>
        </w:tc>
        <w:tc>
          <w:tcPr>
            <w:tcW w:w="1187" w:type="dxa"/>
            <w:tcBorders>
              <w:tl2br w:val="nil"/>
              <w:tr2bl w:val="nil"/>
            </w:tcBorders>
            <w:vAlign w:val="center"/>
          </w:tcPr>
          <w:p w:rsidR="00C645C9" w:rsidRDefault="00F955D9">
            <w:pPr>
              <w:pStyle w:val="afb"/>
            </w:pPr>
            <w:r>
              <w:t>PM</w:t>
            </w:r>
            <w:r>
              <w:rPr>
                <w:vertAlign w:val="subscript"/>
              </w:rPr>
              <w:t>10</w:t>
            </w:r>
          </w:p>
        </w:tc>
        <w:tc>
          <w:tcPr>
            <w:tcW w:w="1038" w:type="dxa"/>
            <w:tcBorders>
              <w:tl2br w:val="nil"/>
              <w:tr2bl w:val="nil"/>
            </w:tcBorders>
            <w:vAlign w:val="center"/>
          </w:tcPr>
          <w:p w:rsidR="00C645C9" w:rsidRDefault="00F955D9">
            <w:pPr>
              <w:pStyle w:val="afb"/>
            </w:pPr>
            <w:r>
              <w:t>1.</w:t>
            </w:r>
            <w:r>
              <w:t>3402</w:t>
            </w:r>
          </w:p>
        </w:tc>
        <w:tc>
          <w:tcPr>
            <w:tcW w:w="1637" w:type="dxa"/>
            <w:tcBorders>
              <w:tl2br w:val="nil"/>
              <w:tr2bl w:val="nil"/>
            </w:tcBorders>
            <w:vAlign w:val="center"/>
          </w:tcPr>
          <w:p w:rsidR="00C645C9" w:rsidRDefault="00F955D9">
            <w:pPr>
              <w:pStyle w:val="afb"/>
            </w:pPr>
            <w:r>
              <w:t>450</w:t>
            </w:r>
          </w:p>
        </w:tc>
        <w:tc>
          <w:tcPr>
            <w:tcW w:w="688" w:type="dxa"/>
            <w:tcBorders>
              <w:tl2br w:val="nil"/>
              <w:tr2bl w:val="nil"/>
            </w:tcBorders>
            <w:vAlign w:val="center"/>
          </w:tcPr>
          <w:p w:rsidR="00C645C9" w:rsidRDefault="00F955D9">
            <w:pPr>
              <w:pStyle w:val="afb"/>
            </w:pPr>
            <w:r>
              <w:t>0.</w:t>
            </w:r>
            <w:r>
              <w:t>30</w:t>
            </w:r>
          </w:p>
        </w:tc>
        <w:tc>
          <w:tcPr>
            <w:tcW w:w="800" w:type="dxa"/>
            <w:vMerge w:val="restart"/>
            <w:tcBorders>
              <w:tl2br w:val="nil"/>
              <w:tr2bl w:val="nil"/>
            </w:tcBorders>
            <w:vAlign w:val="center"/>
          </w:tcPr>
          <w:p w:rsidR="00C645C9" w:rsidRDefault="00F955D9">
            <w:pPr>
              <w:pStyle w:val="afb"/>
            </w:pPr>
            <w:r>
              <w:t>0.54</w:t>
            </w:r>
          </w:p>
        </w:tc>
        <w:tc>
          <w:tcPr>
            <w:tcW w:w="2122" w:type="dxa"/>
            <w:vMerge w:val="restart"/>
            <w:tcBorders>
              <w:tl2br w:val="nil"/>
              <w:tr2bl w:val="nil"/>
            </w:tcBorders>
            <w:vAlign w:val="center"/>
          </w:tcPr>
          <w:p w:rsidR="00C645C9" w:rsidRDefault="00F955D9">
            <w:pPr>
              <w:pStyle w:val="afb"/>
            </w:pPr>
            <w:r>
              <w:t>99</w:t>
            </w:r>
          </w:p>
        </w:tc>
      </w:tr>
      <w:tr w:rsidR="00C645C9">
        <w:trPr>
          <w:trHeight w:val="397"/>
          <w:jc w:val="center"/>
        </w:trPr>
        <w:tc>
          <w:tcPr>
            <w:tcW w:w="448" w:type="dxa"/>
            <w:vMerge/>
            <w:tcBorders>
              <w:tl2br w:val="nil"/>
              <w:tr2bl w:val="nil"/>
            </w:tcBorders>
            <w:vAlign w:val="center"/>
          </w:tcPr>
          <w:p w:rsidR="00C645C9" w:rsidRDefault="00C645C9">
            <w:pPr>
              <w:pStyle w:val="afb"/>
            </w:pPr>
          </w:p>
        </w:tc>
        <w:tc>
          <w:tcPr>
            <w:tcW w:w="950" w:type="dxa"/>
            <w:vMerge/>
            <w:tcBorders>
              <w:tl2br w:val="nil"/>
              <w:tr2bl w:val="nil"/>
            </w:tcBorders>
            <w:vAlign w:val="center"/>
          </w:tcPr>
          <w:p w:rsidR="00C645C9" w:rsidRDefault="00C645C9">
            <w:pPr>
              <w:pStyle w:val="afb"/>
            </w:pPr>
          </w:p>
        </w:tc>
        <w:tc>
          <w:tcPr>
            <w:tcW w:w="1187" w:type="dxa"/>
            <w:tcBorders>
              <w:tl2br w:val="nil"/>
              <w:tr2bl w:val="nil"/>
            </w:tcBorders>
            <w:vAlign w:val="center"/>
          </w:tcPr>
          <w:p w:rsidR="00C645C9" w:rsidRDefault="00F955D9">
            <w:pPr>
              <w:pStyle w:val="afb"/>
            </w:pPr>
            <w:r>
              <w:t>SO</w:t>
            </w:r>
            <w:r>
              <w:rPr>
                <w:vertAlign w:val="subscript"/>
              </w:rPr>
              <w:t>2</w:t>
            </w:r>
          </w:p>
        </w:tc>
        <w:tc>
          <w:tcPr>
            <w:tcW w:w="1038" w:type="dxa"/>
            <w:tcBorders>
              <w:tl2br w:val="nil"/>
              <w:tr2bl w:val="nil"/>
            </w:tcBorders>
            <w:vAlign w:val="center"/>
          </w:tcPr>
          <w:p w:rsidR="00C645C9" w:rsidRDefault="00F955D9">
            <w:pPr>
              <w:pStyle w:val="afb"/>
            </w:pPr>
            <w:r>
              <w:t>1.</w:t>
            </w:r>
            <w:r>
              <w:t>1794</w:t>
            </w:r>
          </w:p>
        </w:tc>
        <w:tc>
          <w:tcPr>
            <w:tcW w:w="1637" w:type="dxa"/>
            <w:tcBorders>
              <w:tl2br w:val="nil"/>
              <w:tr2bl w:val="nil"/>
            </w:tcBorders>
            <w:vAlign w:val="center"/>
          </w:tcPr>
          <w:p w:rsidR="00C645C9" w:rsidRDefault="00F955D9">
            <w:pPr>
              <w:pStyle w:val="afb"/>
            </w:pPr>
            <w:r>
              <w:t>500</w:t>
            </w:r>
          </w:p>
        </w:tc>
        <w:tc>
          <w:tcPr>
            <w:tcW w:w="688" w:type="dxa"/>
            <w:tcBorders>
              <w:tl2br w:val="nil"/>
              <w:tr2bl w:val="nil"/>
            </w:tcBorders>
            <w:vAlign w:val="center"/>
          </w:tcPr>
          <w:p w:rsidR="00C645C9" w:rsidRDefault="00F955D9">
            <w:pPr>
              <w:pStyle w:val="afb"/>
            </w:pPr>
            <w:r>
              <w:t>0.2</w:t>
            </w:r>
            <w:r>
              <w:t>4</w:t>
            </w:r>
          </w:p>
        </w:tc>
        <w:tc>
          <w:tcPr>
            <w:tcW w:w="800" w:type="dxa"/>
            <w:vMerge/>
            <w:tcBorders>
              <w:tl2br w:val="nil"/>
              <w:tr2bl w:val="nil"/>
            </w:tcBorders>
            <w:vAlign w:val="center"/>
          </w:tcPr>
          <w:p w:rsidR="00C645C9" w:rsidRDefault="00C645C9">
            <w:pPr>
              <w:pStyle w:val="afb"/>
            </w:pPr>
          </w:p>
        </w:tc>
        <w:tc>
          <w:tcPr>
            <w:tcW w:w="2122" w:type="dxa"/>
            <w:vMerge/>
            <w:tcBorders>
              <w:tl2br w:val="nil"/>
              <w:tr2bl w:val="nil"/>
            </w:tcBorders>
            <w:vAlign w:val="center"/>
          </w:tcPr>
          <w:p w:rsidR="00C645C9" w:rsidRDefault="00C645C9">
            <w:pPr>
              <w:pStyle w:val="afb"/>
            </w:pPr>
          </w:p>
        </w:tc>
      </w:tr>
      <w:tr w:rsidR="00C645C9">
        <w:trPr>
          <w:trHeight w:val="397"/>
          <w:jc w:val="center"/>
        </w:trPr>
        <w:tc>
          <w:tcPr>
            <w:tcW w:w="448" w:type="dxa"/>
            <w:vMerge/>
            <w:tcBorders>
              <w:tl2br w:val="nil"/>
              <w:tr2bl w:val="nil"/>
            </w:tcBorders>
            <w:vAlign w:val="center"/>
          </w:tcPr>
          <w:p w:rsidR="00C645C9" w:rsidRDefault="00C645C9">
            <w:pPr>
              <w:pStyle w:val="afb"/>
            </w:pPr>
          </w:p>
        </w:tc>
        <w:tc>
          <w:tcPr>
            <w:tcW w:w="950" w:type="dxa"/>
            <w:vMerge/>
            <w:tcBorders>
              <w:tl2br w:val="nil"/>
              <w:tr2bl w:val="nil"/>
            </w:tcBorders>
            <w:vAlign w:val="center"/>
          </w:tcPr>
          <w:p w:rsidR="00C645C9" w:rsidRDefault="00C645C9">
            <w:pPr>
              <w:pStyle w:val="afb"/>
            </w:pPr>
          </w:p>
        </w:tc>
        <w:tc>
          <w:tcPr>
            <w:tcW w:w="1187" w:type="dxa"/>
            <w:tcBorders>
              <w:tl2br w:val="nil"/>
              <w:tr2bl w:val="nil"/>
            </w:tcBorders>
            <w:vAlign w:val="center"/>
          </w:tcPr>
          <w:p w:rsidR="00C645C9" w:rsidRDefault="00F955D9">
            <w:pPr>
              <w:pStyle w:val="afb"/>
            </w:pPr>
            <w:r>
              <w:t>NOx</w:t>
            </w:r>
          </w:p>
        </w:tc>
        <w:tc>
          <w:tcPr>
            <w:tcW w:w="1038" w:type="dxa"/>
            <w:tcBorders>
              <w:tl2br w:val="nil"/>
              <w:tr2bl w:val="nil"/>
            </w:tcBorders>
            <w:vAlign w:val="center"/>
          </w:tcPr>
          <w:p w:rsidR="00C645C9" w:rsidRDefault="00F955D9">
            <w:pPr>
              <w:pStyle w:val="afb"/>
            </w:pPr>
            <w:r>
              <w:t>1.3402</w:t>
            </w:r>
          </w:p>
        </w:tc>
        <w:tc>
          <w:tcPr>
            <w:tcW w:w="1637" w:type="dxa"/>
            <w:tcBorders>
              <w:tl2br w:val="nil"/>
              <w:tr2bl w:val="nil"/>
            </w:tcBorders>
            <w:vAlign w:val="center"/>
          </w:tcPr>
          <w:p w:rsidR="00C645C9" w:rsidRDefault="00F955D9">
            <w:pPr>
              <w:pStyle w:val="afb"/>
            </w:pPr>
            <w:r>
              <w:t>2</w:t>
            </w:r>
            <w:r>
              <w:t>5</w:t>
            </w:r>
            <w:r>
              <w:t>0</w:t>
            </w:r>
          </w:p>
        </w:tc>
        <w:tc>
          <w:tcPr>
            <w:tcW w:w="688" w:type="dxa"/>
            <w:tcBorders>
              <w:tl2br w:val="nil"/>
              <w:tr2bl w:val="nil"/>
            </w:tcBorders>
            <w:vAlign w:val="center"/>
          </w:tcPr>
          <w:p w:rsidR="00C645C9" w:rsidRDefault="00F955D9">
            <w:pPr>
              <w:pStyle w:val="afb"/>
            </w:pPr>
            <w:r>
              <w:t>0.54</w:t>
            </w:r>
          </w:p>
        </w:tc>
        <w:tc>
          <w:tcPr>
            <w:tcW w:w="800" w:type="dxa"/>
            <w:vMerge/>
            <w:tcBorders>
              <w:tl2br w:val="nil"/>
              <w:tr2bl w:val="nil"/>
            </w:tcBorders>
            <w:vAlign w:val="center"/>
          </w:tcPr>
          <w:p w:rsidR="00C645C9" w:rsidRDefault="00C645C9">
            <w:pPr>
              <w:pStyle w:val="afb"/>
            </w:pPr>
          </w:p>
        </w:tc>
        <w:tc>
          <w:tcPr>
            <w:tcW w:w="2122" w:type="dxa"/>
            <w:vMerge/>
            <w:tcBorders>
              <w:tl2br w:val="nil"/>
              <w:tr2bl w:val="nil"/>
            </w:tcBorders>
            <w:vAlign w:val="center"/>
          </w:tcPr>
          <w:p w:rsidR="00C645C9" w:rsidRDefault="00C645C9">
            <w:pPr>
              <w:pStyle w:val="afb"/>
            </w:pPr>
          </w:p>
        </w:tc>
      </w:tr>
      <w:tr w:rsidR="00C645C9">
        <w:trPr>
          <w:trHeight w:val="397"/>
          <w:jc w:val="center"/>
        </w:trPr>
        <w:tc>
          <w:tcPr>
            <w:tcW w:w="448" w:type="dxa"/>
            <w:vMerge w:val="restart"/>
            <w:tcBorders>
              <w:tl2br w:val="nil"/>
              <w:tr2bl w:val="nil"/>
            </w:tcBorders>
            <w:vAlign w:val="center"/>
          </w:tcPr>
          <w:p w:rsidR="00C645C9" w:rsidRDefault="00F955D9">
            <w:pPr>
              <w:widowControl w:val="0"/>
              <w:wordWrap w:val="0"/>
              <w:jc w:val="center"/>
              <w:rPr>
                <w:rFonts w:cs="Times New Roman"/>
              </w:rPr>
            </w:pPr>
            <w:r>
              <w:rPr>
                <w:rFonts w:cs="Times New Roman"/>
                <w:spacing w:val="-10"/>
                <w:sz w:val="21"/>
                <w:szCs w:val="21"/>
              </w:rPr>
              <w:t>2</w:t>
            </w:r>
          </w:p>
        </w:tc>
        <w:tc>
          <w:tcPr>
            <w:tcW w:w="950" w:type="dxa"/>
            <w:vMerge w:val="restart"/>
            <w:tcBorders>
              <w:tl2br w:val="nil"/>
              <w:tr2bl w:val="nil"/>
            </w:tcBorders>
            <w:vAlign w:val="center"/>
          </w:tcPr>
          <w:p w:rsidR="00C645C9" w:rsidRDefault="00F955D9">
            <w:pPr>
              <w:pStyle w:val="afb"/>
            </w:pPr>
            <w:r>
              <w:t>新北</w:t>
            </w:r>
            <w:r>
              <w:t>7</w:t>
            </w:r>
            <w:r>
              <w:t>井</w:t>
            </w:r>
            <w:r>
              <w:t>井场加热炉烟气</w:t>
            </w:r>
          </w:p>
        </w:tc>
        <w:tc>
          <w:tcPr>
            <w:tcW w:w="1187" w:type="dxa"/>
            <w:tcBorders>
              <w:tl2br w:val="nil"/>
              <w:tr2bl w:val="nil"/>
            </w:tcBorders>
            <w:vAlign w:val="center"/>
          </w:tcPr>
          <w:p w:rsidR="00C645C9" w:rsidRDefault="00F955D9">
            <w:pPr>
              <w:pStyle w:val="afb"/>
            </w:pPr>
            <w:r>
              <w:t>PM</w:t>
            </w:r>
            <w:r>
              <w:rPr>
                <w:vertAlign w:val="subscript"/>
              </w:rPr>
              <w:t>10</w:t>
            </w:r>
          </w:p>
        </w:tc>
        <w:tc>
          <w:tcPr>
            <w:tcW w:w="1038" w:type="dxa"/>
            <w:tcBorders>
              <w:tl2br w:val="nil"/>
              <w:tr2bl w:val="nil"/>
            </w:tcBorders>
            <w:vAlign w:val="center"/>
          </w:tcPr>
          <w:p w:rsidR="00C645C9" w:rsidRDefault="00F955D9">
            <w:pPr>
              <w:pStyle w:val="afb"/>
            </w:pPr>
            <w:r>
              <w:t>1.</w:t>
            </w:r>
            <w:r>
              <w:t>3402</w:t>
            </w:r>
          </w:p>
        </w:tc>
        <w:tc>
          <w:tcPr>
            <w:tcW w:w="1637" w:type="dxa"/>
            <w:tcBorders>
              <w:tl2br w:val="nil"/>
              <w:tr2bl w:val="nil"/>
            </w:tcBorders>
            <w:vAlign w:val="center"/>
          </w:tcPr>
          <w:p w:rsidR="00C645C9" w:rsidRDefault="00F955D9">
            <w:pPr>
              <w:pStyle w:val="afb"/>
            </w:pPr>
            <w:r>
              <w:t>450</w:t>
            </w:r>
          </w:p>
        </w:tc>
        <w:tc>
          <w:tcPr>
            <w:tcW w:w="688" w:type="dxa"/>
            <w:tcBorders>
              <w:tl2br w:val="nil"/>
              <w:tr2bl w:val="nil"/>
            </w:tcBorders>
            <w:vAlign w:val="center"/>
          </w:tcPr>
          <w:p w:rsidR="00C645C9" w:rsidRDefault="00F955D9">
            <w:pPr>
              <w:pStyle w:val="afb"/>
            </w:pPr>
            <w:r>
              <w:t>0.</w:t>
            </w:r>
            <w:r>
              <w:t>30</w:t>
            </w:r>
          </w:p>
        </w:tc>
        <w:tc>
          <w:tcPr>
            <w:tcW w:w="800" w:type="dxa"/>
            <w:vMerge w:val="restart"/>
            <w:tcBorders>
              <w:tl2br w:val="nil"/>
              <w:tr2bl w:val="nil"/>
            </w:tcBorders>
            <w:vAlign w:val="center"/>
          </w:tcPr>
          <w:p w:rsidR="00C645C9" w:rsidRDefault="00F955D9">
            <w:pPr>
              <w:pStyle w:val="afb"/>
            </w:pPr>
            <w:r>
              <w:t>0.54</w:t>
            </w:r>
          </w:p>
        </w:tc>
        <w:tc>
          <w:tcPr>
            <w:tcW w:w="2122" w:type="dxa"/>
            <w:vMerge w:val="restart"/>
            <w:tcBorders>
              <w:tl2br w:val="nil"/>
              <w:tr2bl w:val="nil"/>
            </w:tcBorders>
            <w:vAlign w:val="center"/>
          </w:tcPr>
          <w:p w:rsidR="00C645C9" w:rsidRDefault="00F955D9">
            <w:pPr>
              <w:pStyle w:val="afb"/>
            </w:pPr>
            <w:r>
              <w:t>99</w:t>
            </w:r>
          </w:p>
        </w:tc>
      </w:tr>
      <w:tr w:rsidR="00C645C9">
        <w:trPr>
          <w:trHeight w:val="397"/>
          <w:jc w:val="center"/>
        </w:trPr>
        <w:tc>
          <w:tcPr>
            <w:tcW w:w="448"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950"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1187" w:type="dxa"/>
            <w:tcBorders>
              <w:tl2br w:val="nil"/>
              <w:tr2bl w:val="nil"/>
            </w:tcBorders>
            <w:vAlign w:val="center"/>
          </w:tcPr>
          <w:p w:rsidR="00C645C9" w:rsidRDefault="00F955D9">
            <w:pPr>
              <w:pStyle w:val="afb"/>
            </w:pPr>
            <w:r>
              <w:t>SO</w:t>
            </w:r>
            <w:r>
              <w:rPr>
                <w:vertAlign w:val="subscript"/>
              </w:rPr>
              <w:t>2</w:t>
            </w:r>
          </w:p>
        </w:tc>
        <w:tc>
          <w:tcPr>
            <w:tcW w:w="1038" w:type="dxa"/>
            <w:tcBorders>
              <w:tl2br w:val="nil"/>
              <w:tr2bl w:val="nil"/>
            </w:tcBorders>
            <w:vAlign w:val="center"/>
          </w:tcPr>
          <w:p w:rsidR="00C645C9" w:rsidRDefault="00F955D9">
            <w:pPr>
              <w:pStyle w:val="afb"/>
            </w:pPr>
            <w:r>
              <w:t>1.</w:t>
            </w:r>
            <w:r>
              <w:t>1794</w:t>
            </w:r>
          </w:p>
        </w:tc>
        <w:tc>
          <w:tcPr>
            <w:tcW w:w="1637" w:type="dxa"/>
            <w:tcBorders>
              <w:tl2br w:val="nil"/>
              <w:tr2bl w:val="nil"/>
            </w:tcBorders>
            <w:vAlign w:val="center"/>
          </w:tcPr>
          <w:p w:rsidR="00C645C9" w:rsidRDefault="00F955D9">
            <w:pPr>
              <w:pStyle w:val="afb"/>
            </w:pPr>
            <w:r>
              <w:t>500</w:t>
            </w:r>
          </w:p>
        </w:tc>
        <w:tc>
          <w:tcPr>
            <w:tcW w:w="688" w:type="dxa"/>
            <w:tcBorders>
              <w:tl2br w:val="nil"/>
              <w:tr2bl w:val="nil"/>
            </w:tcBorders>
            <w:vAlign w:val="center"/>
          </w:tcPr>
          <w:p w:rsidR="00C645C9" w:rsidRDefault="00F955D9">
            <w:pPr>
              <w:pStyle w:val="afb"/>
            </w:pPr>
            <w:r>
              <w:t>0.2</w:t>
            </w:r>
            <w:r>
              <w:t>4</w:t>
            </w:r>
          </w:p>
        </w:tc>
        <w:tc>
          <w:tcPr>
            <w:tcW w:w="800"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c>
          <w:tcPr>
            <w:tcW w:w="2122"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r>
      <w:tr w:rsidR="00C645C9">
        <w:trPr>
          <w:trHeight w:val="397"/>
          <w:jc w:val="center"/>
        </w:trPr>
        <w:tc>
          <w:tcPr>
            <w:tcW w:w="448"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950" w:type="dxa"/>
            <w:vMerge/>
            <w:tcBorders>
              <w:tl2br w:val="nil"/>
              <w:tr2bl w:val="nil"/>
            </w:tcBorders>
            <w:vAlign w:val="center"/>
          </w:tcPr>
          <w:p w:rsidR="00C645C9" w:rsidRDefault="00C645C9">
            <w:pPr>
              <w:widowControl w:val="0"/>
              <w:wordWrap w:val="0"/>
              <w:jc w:val="center"/>
              <w:rPr>
                <w:rFonts w:cs="Times New Roman"/>
                <w:snapToGrid w:val="0"/>
                <w:spacing w:val="-10"/>
                <w:sz w:val="21"/>
                <w:szCs w:val="21"/>
              </w:rPr>
            </w:pPr>
          </w:p>
        </w:tc>
        <w:tc>
          <w:tcPr>
            <w:tcW w:w="1187" w:type="dxa"/>
            <w:tcBorders>
              <w:tl2br w:val="nil"/>
              <w:tr2bl w:val="nil"/>
            </w:tcBorders>
            <w:vAlign w:val="center"/>
          </w:tcPr>
          <w:p w:rsidR="00C645C9" w:rsidRDefault="00F955D9">
            <w:pPr>
              <w:pStyle w:val="afb"/>
            </w:pPr>
            <w:r>
              <w:t>NOx</w:t>
            </w:r>
          </w:p>
        </w:tc>
        <w:tc>
          <w:tcPr>
            <w:tcW w:w="1038" w:type="dxa"/>
            <w:tcBorders>
              <w:tl2br w:val="nil"/>
              <w:tr2bl w:val="nil"/>
            </w:tcBorders>
            <w:vAlign w:val="center"/>
          </w:tcPr>
          <w:p w:rsidR="00C645C9" w:rsidRDefault="00F955D9">
            <w:pPr>
              <w:pStyle w:val="afb"/>
            </w:pPr>
            <w:r>
              <w:t>1.3402</w:t>
            </w:r>
          </w:p>
        </w:tc>
        <w:tc>
          <w:tcPr>
            <w:tcW w:w="1637" w:type="dxa"/>
            <w:tcBorders>
              <w:tl2br w:val="nil"/>
              <w:tr2bl w:val="nil"/>
            </w:tcBorders>
            <w:vAlign w:val="center"/>
          </w:tcPr>
          <w:p w:rsidR="00C645C9" w:rsidRDefault="00F955D9">
            <w:pPr>
              <w:pStyle w:val="afb"/>
            </w:pPr>
            <w:r>
              <w:t>2</w:t>
            </w:r>
            <w:r>
              <w:t>5</w:t>
            </w:r>
            <w:r>
              <w:t>0</w:t>
            </w:r>
          </w:p>
        </w:tc>
        <w:tc>
          <w:tcPr>
            <w:tcW w:w="688" w:type="dxa"/>
            <w:tcBorders>
              <w:tl2br w:val="nil"/>
              <w:tr2bl w:val="nil"/>
            </w:tcBorders>
            <w:vAlign w:val="center"/>
          </w:tcPr>
          <w:p w:rsidR="00C645C9" w:rsidRDefault="00F955D9">
            <w:pPr>
              <w:pStyle w:val="afb"/>
            </w:pPr>
            <w:r>
              <w:t>0.54</w:t>
            </w:r>
          </w:p>
        </w:tc>
        <w:tc>
          <w:tcPr>
            <w:tcW w:w="800"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c>
          <w:tcPr>
            <w:tcW w:w="2122" w:type="dxa"/>
            <w:vMerge/>
            <w:tcBorders>
              <w:tl2br w:val="nil"/>
              <w:tr2bl w:val="nil"/>
            </w:tcBorders>
            <w:vAlign w:val="center"/>
          </w:tcPr>
          <w:p w:rsidR="00C645C9" w:rsidRDefault="00C645C9">
            <w:pPr>
              <w:widowControl w:val="0"/>
              <w:wordWrap w:val="0"/>
              <w:autoSpaceDE w:val="0"/>
              <w:autoSpaceDN w:val="0"/>
              <w:jc w:val="center"/>
              <w:rPr>
                <w:rFonts w:cs="Times New Roman"/>
                <w:spacing w:val="-10"/>
                <w:sz w:val="21"/>
                <w:szCs w:val="21"/>
              </w:rPr>
            </w:pPr>
          </w:p>
        </w:tc>
      </w:tr>
    </w:tbl>
    <w:bookmarkEnd w:id="1584"/>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由表</w:t>
      </w:r>
      <w:r>
        <w:rPr>
          <w:rFonts w:cs="Times New Roman"/>
          <w:spacing w:val="4"/>
          <w:kern w:val="24"/>
        </w:rPr>
        <w:t>5.</w:t>
      </w:r>
      <w:r>
        <w:rPr>
          <w:rFonts w:cs="Times New Roman"/>
          <w:spacing w:val="4"/>
          <w:kern w:val="24"/>
        </w:rPr>
        <w:t>5-6</w:t>
      </w:r>
      <w:r>
        <w:rPr>
          <w:rFonts w:cs="Times New Roman"/>
          <w:spacing w:val="4"/>
          <w:kern w:val="24"/>
        </w:rPr>
        <w:t>可知，井场加热炉有组织废气污染源氮氧化物最大落地浓度</w:t>
      </w:r>
      <w:r>
        <w:rPr>
          <w:rFonts w:cs="Times New Roman"/>
          <w:spacing w:val="4"/>
          <w:kern w:val="24"/>
        </w:rPr>
        <w:t>1.3402</w:t>
      </w:r>
      <w:r>
        <w:rPr>
          <w:rFonts w:cs="Times New Roman"/>
          <w:spacing w:val="4"/>
          <w:kern w:val="24"/>
        </w:rPr>
        <w:t>μg/m</w:t>
      </w:r>
      <w:r>
        <w:rPr>
          <w:rFonts w:cs="Times New Roman"/>
          <w:spacing w:val="4"/>
          <w:kern w:val="24"/>
          <w:vertAlign w:val="superscript"/>
        </w:rPr>
        <w:t>3</w:t>
      </w:r>
      <w:r>
        <w:rPr>
          <w:rFonts w:cs="Times New Roman"/>
          <w:spacing w:val="4"/>
          <w:kern w:val="24"/>
        </w:rPr>
        <w:t>，占标率</w:t>
      </w:r>
      <w:r>
        <w:rPr>
          <w:rFonts w:cs="Times New Roman"/>
          <w:spacing w:val="4"/>
          <w:kern w:val="24"/>
        </w:rPr>
        <w:t>0.54</w:t>
      </w:r>
      <w:r>
        <w:rPr>
          <w:rFonts w:cs="Times New Roman"/>
          <w:spacing w:val="4"/>
          <w:kern w:val="24"/>
        </w:rPr>
        <w:t>%</w:t>
      </w:r>
      <w:r>
        <w:rPr>
          <w:rFonts w:cs="Times New Roman"/>
          <w:spacing w:val="4"/>
          <w:kern w:val="24"/>
        </w:rPr>
        <w:t>。二氧化硫最大落地浓度</w:t>
      </w:r>
      <w:r>
        <w:rPr>
          <w:rFonts w:cs="Times New Roman"/>
          <w:spacing w:val="4"/>
          <w:kern w:val="24"/>
        </w:rPr>
        <w:t>1.</w:t>
      </w:r>
      <w:r>
        <w:rPr>
          <w:rFonts w:cs="Times New Roman"/>
          <w:spacing w:val="4"/>
          <w:kern w:val="24"/>
        </w:rPr>
        <w:t>1794</w:t>
      </w:r>
      <w:r>
        <w:rPr>
          <w:rFonts w:cs="Times New Roman"/>
          <w:spacing w:val="4"/>
          <w:kern w:val="24"/>
        </w:rPr>
        <w:t>μg/m</w:t>
      </w:r>
      <w:r>
        <w:rPr>
          <w:rFonts w:cs="Times New Roman"/>
          <w:spacing w:val="4"/>
          <w:kern w:val="24"/>
          <w:vertAlign w:val="superscript"/>
        </w:rPr>
        <w:t>3</w:t>
      </w:r>
      <w:r>
        <w:rPr>
          <w:rFonts w:cs="Times New Roman"/>
          <w:spacing w:val="4"/>
          <w:kern w:val="24"/>
        </w:rPr>
        <w:t>，占标率</w:t>
      </w:r>
      <w:r>
        <w:rPr>
          <w:rFonts w:cs="Times New Roman"/>
          <w:spacing w:val="4"/>
          <w:kern w:val="24"/>
        </w:rPr>
        <w:t>0.2</w:t>
      </w:r>
      <w:r>
        <w:rPr>
          <w:rFonts w:cs="Times New Roman"/>
          <w:spacing w:val="4"/>
          <w:kern w:val="24"/>
        </w:rPr>
        <w:t>4</w:t>
      </w:r>
      <w:r>
        <w:rPr>
          <w:rFonts w:cs="Times New Roman"/>
          <w:spacing w:val="4"/>
          <w:kern w:val="24"/>
        </w:rPr>
        <w:t>%</w:t>
      </w:r>
      <w:r>
        <w:rPr>
          <w:rFonts w:cs="Times New Roman"/>
          <w:spacing w:val="4"/>
          <w:kern w:val="24"/>
        </w:rPr>
        <w:t>。烟尘最大落地浓度</w:t>
      </w:r>
      <w:r>
        <w:rPr>
          <w:rFonts w:cs="Times New Roman"/>
          <w:spacing w:val="4"/>
          <w:kern w:val="24"/>
        </w:rPr>
        <w:t>1.3</w:t>
      </w:r>
      <w:r>
        <w:rPr>
          <w:rFonts w:cs="Times New Roman"/>
          <w:spacing w:val="4"/>
          <w:kern w:val="24"/>
        </w:rPr>
        <w:t>402</w:t>
      </w:r>
      <w:r>
        <w:rPr>
          <w:rFonts w:cs="Times New Roman"/>
          <w:spacing w:val="4"/>
          <w:kern w:val="24"/>
        </w:rPr>
        <w:t>μg/m³</w:t>
      </w:r>
      <w:r>
        <w:rPr>
          <w:rFonts w:cs="Times New Roman"/>
          <w:spacing w:val="4"/>
          <w:kern w:val="24"/>
        </w:rPr>
        <w:t>，占标率</w:t>
      </w:r>
      <w:r>
        <w:rPr>
          <w:rFonts w:cs="Times New Roman"/>
          <w:spacing w:val="4"/>
          <w:kern w:val="24"/>
        </w:rPr>
        <w:t>0.30%</w:t>
      </w:r>
      <w:r>
        <w:rPr>
          <w:rFonts w:cs="Times New Roman"/>
          <w:spacing w:val="4"/>
          <w:kern w:val="24"/>
        </w:rPr>
        <w:t>，</w:t>
      </w:r>
      <w:r>
        <w:rPr>
          <w:rFonts w:cs="Times New Roman"/>
          <w:spacing w:val="4"/>
          <w:kern w:val="24"/>
        </w:rPr>
        <w:t>D10%</w:t>
      </w:r>
      <w:r>
        <w:rPr>
          <w:rFonts w:cs="Times New Roman"/>
          <w:spacing w:val="4"/>
          <w:kern w:val="24"/>
        </w:rPr>
        <w:t>均未出现。</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预测结果表明，本工程正常工况下排放的</w:t>
      </w:r>
      <w:r>
        <w:rPr>
          <w:rFonts w:cs="Times New Roman"/>
          <w:sz w:val="24"/>
        </w:rPr>
        <w:t>SO</w:t>
      </w:r>
      <w:r>
        <w:rPr>
          <w:rFonts w:cs="Times New Roman"/>
          <w:sz w:val="24"/>
          <w:vertAlign w:val="subscript"/>
        </w:rPr>
        <w:t>2</w:t>
      </w:r>
      <w:r>
        <w:rPr>
          <w:rFonts w:cs="Times New Roman"/>
          <w:sz w:val="24"/>
        </w:rPr>
        <w:t>、</w:t>
      </w:r>
      <w:r>
        <w:rPr>
          <w:rFonts w:cs="Times New Roman"/>
          <w:sz w:val="24"/>
        </w:rPr>
        <w:t>NO</w:t>
      </w:r>
      <w:r>
        <w:rPr>
          <w:rFonts w:cs="Times New Roman"/>
          <w:sz w:val="24"/>
          <w:vertAlign w:val="subscript"/>
        </w:rPr>
        <w:t>X</w:t>
      </w:r>
      <w:r>
        <w:rPr>
          <w:rFonts w:cs="Times New Roman"/>
          <w:sz w:val="24"/>
        </w:rPr>
        <w:t>、颗粒物下风向地面浓度均低于</w:t>
      </w:r>
      <w:bookmarkStart w:id="1587" w:name="OLE_LINK1202"/>
      <w:r>
        <w:rPr>
          <w:rFonts w:cs="Times New Roman"/>
          <w:sz w:val="24"/>
        </w:rPr>
        <w:t>《</w:t>
      </w:r>
      <w:bookmarkStart w:id="1588" w:name="OLE_LINK1194"/>
      <w:r>
        <w:rPr>
          <w:rFonts w:cs="Times New Roman"/>
          <w:sz w:val="24"/>
        </w:rPr>
        <w:t>环境空气质量标准</w:t>
      </w:r>
      <w:bookmarkEnd w:id="1588"/>
      <w:r>
        <w:rPr>
          <w:rFonts w:cs="Times New Roman"/>
          <w:sz w:val="24"/>
        </w:rPr>
        <w:t>》</w:t>
      </w:r>
      <w:r>
        <w:rPr>
          <w:rFonts w:cs="Times New Roman" w:hint="eastAsia"/>
          <w:sz w:val="24"/>
        </w:rPr>
        <w:t>（</w:t>
      </w:r>
      <w:r>
        <w:rPr>
          <w:rFonts w:cs="Times New Roman" w:hint="eastAsia"/>
          <w:sz w:val="24"/>
        </w:rPr>
        <w:t>GB3095-2012</w:t>
      </w:r>
      <w:r>
        <w:rPr>
          <w:rFonts w:cs="Times New Roman" w:hint="eastAsia"/>
          <w:sz w:val="24"/>
        </w:rPr>
        <w:t>）</w:t>
      </w:r>
      <w:bookmarkStart w:id="1589" w:name="OLE_LINK1201"/>
      <w:bookmarkEnd w:id="1587"/>
      <w:r>
        <w:rPr>
          <w:rFonts w:cs="Times New Roman" w:hint="eastAsia"/>
          <w:sz w:val="24"/>
        </w:rPr>
        <w:t>二</w:t>
      </w:r>
      <w:r>
        <w:rPr>
          <w:rFonts w:cs="Times New Roman"/>
          <w:sz w:val="24"/>
        </w:rPr>
        <w:t>级标准</w:t>
      </w:r>
      <w:bookmarkEnd w:id="1589"/>
      <w:r>
        <w:rPr>
          <w:rFonts w:cs="Times New Roman"/>
          <w:sz w:val="24"/>
        </w:rPr>
        <w:t>限值。</w:t>
      </w:r>
    </w:p>
    <w:p w:rsidR="00C645C9" w:rsidRDefault="00F955D9">
      <w:pPr>
        <w:pStyle w:val="50"/>
        <w:widowControl w:val="0"/>
        <w:wordWrap w:val="0"/>
        <w:adjustRightInd w:val="0"/>
        <w:snapToGrid w:val="0"/>
        <w:jc w:val="both"/>
        <w:rPr>
          <w:rFonts w:ascii="Times New Roman" w:hAnsi="Times New Roman" w:cs="Times New Roman"/>
          <w:b w:val="0"/>
          <w:sz w:val="24"/>
        </w:rPr>
      </w:pPr>
      <w:bookmarkStart w:id="1590" w:name="OLE_LINK1437"/>
      <w:r>
        <w:rPr>
          <w:rFonts w:ascii="Times New Roman" w:hAnsi="Times New Roman" w:cs="Times New Roman"/>
          <w:b w:val="0"/>
          <w:sz w:val="24"/>
        </w:rPr>
        <w:t>5.</w:t>
      </w:r>
      <w:r>
        <w:rPr>
          <w:rFonts w:ascii="Times New Roman" w:hAnsi="Times New Roman" w:cs="Times New Roman"/>
          <w:b w:val="0"/>
          <w:sz w:val="24"/>
        </w:rPr>
        <w:t>5.2.2</w:t>
      </w:r>
      <w:r>
        <w:rPr>
          <w:rFonts w:ascii="Times New Roman" w:hAnsi="Times New Roman" w:cs="Times New Roman"/>
          <w:b w:val="0"/>
          <w:sz w:val="24"/>
        </w:rPr>
        <w:t>.2</w:t>
      </w:r>
      <w:r>
        <w:rPr>
          <w:rFonts w:ascii="Times New Roman" w:hAnsi="Times New Roman" w:cs="Times New Roman"/>
          <w:b w:val="0"/>
          <w:sz w:val="24"/>
        </w:rPr>
        <w:t>无组织排放废气大气影响估算</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）污染源参数</w:t>
      </w:r>
    </w:p>
    <w:bookmarkEnd w:id="1590"/>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运营期本工程产生的无组织大气污染物主要为油气开采和处理过程中的烃类无组织挥发。</w:t>
      </w:r>
    </w:p>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根据工程分析，本工程运营期井场产生的无组织排放污染物参数见表</w:t>
      </w:r>
      <w:r>
        <w:rPr>
          <w:rFonts w:cs="Times New Roman"/>
          <w:spacing w:val="4"/>
          <w:kern w:val="24"/>
        </w:rPr>
        <w:t>5</w:t>
      </w:r>
      <w:r>
        <w:rPr>
          <w:rFonts w:cs="Times New Roman"/>
          <w:spacing w:val="4"/>
          <w:kern w:val="24"/>
        </w:rPr>
        <w:t>.5-7</w:t>
      </w:r>
      <w:r>
        <w:rPr>
          <w:rFonts w:cs="Times New Roman"/>
          <w:spacing w:val="4"/>
          <w:kern w:val="24"/>
        </w:rPr>
        <w:t>。</w:t>
      </w:r>
    </w:p>
    <w:p w:rsidR="00C645C9" w:rsidRDefault="00F955D9">
      <w:pPr>
        <w:keepNext/>
        <w:keepLines/>
        <w:widowControl w:val="0"/>
        <w:wordWrap w:val="0"/>
        <w:jc w:val="center"/>
        <w:rPr>
          <w:rFonts w:cs="Times New Roman"/>
          <w:sz w:val="21"/>
          <w:szCs w:val="21"/>
        </w:rPr>
      </w:pPr>
      <w:r>
        <w:rPr>
          <w:rFonts w:eastAsia="黑体" w:cs="Times New Roman"/>
          <w:sz w:val="21"/>
          <w:szCs w:val="21"/>
        </w:rPr>
        <w:t>表</w:t>
      </w:r>
      <w:r>
        <w:rPr>
          <w:rFonts w:eastAsia="黑体" w:cs="Times New Roman"/>
          <w:sz w:val="21"/>
          <w:szCs w:val="21"/>
        </w:rPr>
        <w:t>5.</w:t>
      </w:r>
      <w:r>
        <w:rPr>
          <w:rFonts w:cs="Times New Roman"/>
          <w:sz w:val="21"/>
          <w:szCs w:val="21"/>
        </w:rPr>
        <w:t>5-7</w:t>
      </w:r>
      <w:r>
        <w:rPr>
          <w:rFonts w:eastAsia="黑体" w:cs="Times New Roman"/>
          <w:sz w:val="21"/>
          <w:szCs w:val="21"/>
        </w:rPr>
        <w:t xml:space="preserve">   </w:t>
      </w:r>
      <w:r>
        <w:rPr>
          <w:rFonts w:eastAsia="黑体" w:cs="Times New Roman"/>
          <w:sz w:val="21"/>
          <w:szCs w:val="21"/>
        </w:rPr>
        <w:t>主要无组织废气污染源参数一览表</w:t>
      </w:r>
      <w:r>
        <w:rPr>
          <w:rFonts w:cs="Times New Roman" w:hint="eastAsia"/>
          <w:sz w:val="21"/>
          <w:szCs w:val="21"/>
        </w:rPr>
        <w:t>（</w:t>
      </w:r>
      <w:r>
        <w:rPr>
          <w:rFonts w:cs="Times New Roman"/>
          <w:spacing w:val="-10"/>
          <w:sz w:val="21"/>
          <w:szCs w:val="21"/>
        </w:rPr>
        <w:t>新北</w:t>
      </w:r>
      <w:r>
        <w:rPr>
          <w:rFonts w:cs="Times New Roman"/>
          <w:spacing w:val="-10"/>
          <w:sz w:val="21"/>
          <w:szCs w:val="21"/>
        </w:rPr>
        <w:t>1X</w:t>
      </w:r>
      <w:r>
        <w:rPr>
          <w:rFonts w:cs="Times New Roman"/>
          <w:spacing w:val="-10"/>
          <w:sz w:val="21"/>
          <w:szCs w:val="21"/>
        </w:rPr>
        <w:t>井</w:t>
      </w:r>
      <w:r>
        <w:rPr>
          <w:rFonts w:cs="Times New Roman"/>
          <w:spacing w:val="-10"/>
          <w:sz w:val="21"/>
          <w:szCs w:val="21"/>
        </w:rPr>
        <w:t>为代表</w:t>
      </w:r>
      <w:r>
        <w:rPr>
          <w:rFonts w:cs="Times New Roman" w:hint="eastAsia"/>
          <w:sz w:val="21"/>
          <w:szCs w:val="21"/>
        </w:rPr>
        <w:t>）</w:t>
      </w:r>
    </w:p>
    <w:tbl>
      <w:tblPr>
        <w:tblW w:w="5312" w:type="pct"/>
        <w:tblInd w:w="-2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84"/>
        <w:gridCol w:w="952"/>
        <w:gridCol w:w="733"/>
        <w:gridCol w:w="719"/>
        <w:gridCol w:w="616"/>
        <w:gridCol w:w="607"/>
        <w:gridCol w:w="549"/>
        <w:gridCol w:w="611"/>
        <w:gridCol w:w="730"/>
        <w:gridCol w:w="744"/>
        <w:gridCol w:w="606"/>
        <w:gridCol w:w="716"/>
        <w:gridCol w:w="817"/>
      </w:tblGrid>
      <w:tr w:rsidR="00C645C9">
        <w:trPr>
          <w:trHeight w:val="90"/>
        </w:trPr>
        <w:tc>
          <w:tcPr>
            <w:tcW w:w="272"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序号</w:t>
            </w:r>
          </w:p>
        </w:tc>
        <w:tc>
          <w:tcPr>
            <w:tcW w:w="534"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污染源</w:t>
            </w:r>
          </w:p>
          <w:p w:rsidR="00C645C9" w:rsidRDefault="00F955D9">
            <w:pPr>
              <w:jc w:val="center"/>
              <w:rPr>
                <w:rFonts w:cs="Times New Roman"/>
                <w:sz w:val="21"/>
                <w:szCs w:val="21"/>
              </w:rPr>
            </w:pPr>
            <w:r>
              <w:rPr>
                <w:rFonts w:cs="Times New Roman"/>
                <w:sz w:val="21"/>
                <w:szCs w:val="21"/>
              </w:rPr>
              <w:t>名称</w:t>
            </w:r>
          </w:p>
        </w:tc>
        <w:tc>
          <w:tcPr>
            <w:tcW w:w="816" w:type="pct"/>
            <w:gridSpan w:val="2"/>
            <w:tcBorders>
              <w:tl2br w:val="nil"/>
              <w:tr2bl w:val="nil"/>
            </w:tcBorders>
            <w:vAlign w:val="center"/>
          </w:tcPr>
          <w:p w:rsidR="00C645C9" w:rsidRDefault="00F955D9">
            <w:pPr>
              <w:jc w:val="center"/>
              <w:rPr>
                <w:rFonts w:cs="Times New Roman"/>
                <w:sz w:val="21"/>
                <w:szCs w:val="21"/>
              </w:rPr>
            </w:pPr>
            <w:r>
              <w:rPr>
                <w:rFonts w:cs="Times New Roman"/>
                <w:sz w:val="21"/>
                <w:szCs w:val="21"/>
              </w:rPr>
              <w:t>面源起点</w:t>
            </w:r>
          </w:p>
          <w:p w:rsidR="00C645C9" w:rsidRDefault="00F955D9">
            <w:pPr>
              <w:jc w:val="center"/>
              <w:rPr>
                <w:rFonts w:cs="Times New Roman"/>
                <w:sz w:val="21"/>
                <w:szCs w:val="21"/>
              </w:rPr>
            </w:pPr>
            <w:r>
              <w:rPr>
                <w:rFonts w:cs="Times New Roman"/>
                <w:sz w:val="21"/>
                <w:szCs w:val="21"/>
              </w:rPr>
              <w:t>坐标</w:t>
            </w:r>
          </w:p>
        </w:tc>
        <w:tc>
          <w:tcPr>
            <w:tcW w:w="346"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面源</w:t>
            </w:r>
            <w:r>
              <w:rPr>
                <w:rFonts w:cs="Times New Roman" w:hint="eastAsia"/>
                <w:sz w:val="21"/>
                <w:szCs w:val="21"/>
              </w:rPr>
              <w:t>海拔</w:t>
            </w:r>
            <w:bookmarkStart w:id="1591" w:name="OLE_LINK1203"/>
            <w:r>
              <w:rPr>
                <w:rFonts w:cs="Times New Roman" w:hint="eastAsia"/>
                <w:sz w:val="21"/>
                <w:szCs w:val="21"/>
              </w:rPr>
              <w:t>（</w:t>
            </w:r>
            <w:r>
              <w:rPr>
                <w:rFonts w:cs="Times New Roman" w:hint="eastAsia"/>
                <w:sz w:val="21"/>
                <w:szCs w:val="21"/>
              </w:rPr>
              <w:t>m</w:t>
            </w:r>
            <w:r>
              <w:rPr>
                <w:rFonts w:cs="Times New Roman" w:hint="eastAsia"/>
                <w:sz w:val="21"/>
                <w:szCs w:val="21"/>
              </w:rPr>
              <w:t>）</w:t>
            </w:r>
            <w:bookmarkEnd w:id="1591"/>
          </w:p>
        </w:tc>
        <w:tc>
          <w:tcPr>
            <w:tcW w:w="34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面源长度</w:t>
            </w:r>
            <w:r>
              <w:rPr>
                <w:rFonts w:cs="Times New Roman" w:hint="eastAsia"/>
                <w:sz w:val="21"/>
                <w:szCs w:val="21"/>
              </w:rPr>
              <w:t>（</w:t>
            </w:r>
            <w:r>
              <w:rPr>
                <w:rFonts w:cs="Times New Roman" w:hint="eastAsia"/>
                <w:sz w:val="21"/>
                <w:szCs w:val="21"/>
              </w:rPr>
              <w:t>m</w:t>
            </w:r>
            <w:r>
              <w:rPr>
                <w:rFonts w:cs="Times New Roman" w:hint="eastAsia"/>
                <w:sz w:val="21"/>
                <w:szCs w:val="21"/>
              </w:rPr>
              <w:t>）</w:t>
            </w:r>
          </w:p>
        </w:tc>
        <w:tc>
          <w:tcPr>
            <w:tcW w:w="309"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面源宽度</w:t>
            </w:r>
            <w:r>
              <w:rPr>
                <w:rFonts w:cs="Times New Roman" w:hint="eastAsia"/>
                <w:sz w:val="21"/>
                <w:szCs w:val="21"/>
              </w:rPr>
              <w:t>（</w:t>
            </w:r>
            <w:r>
              <w:rPr>
                <w:rFonts w:cs="Times New Roman" w:hint="eastAsia"/>
                <w:sz w:val="21"/>
                <w:szCs w:val="21"/>
              </w:rPr>
              <w:t>m</w:t>
            </w:r>
            <w:r>
              <w:rPr>
                <w:rFonts w:cs="Times New Roman" w:hint="eastAsia"/>
                <w:sz w:val="21"/>
                <w:szCs w:val="21"/>
              </w:rPr>
              <w:t>）</w:t>
            </w:r>
          </w:p>
        </w:tc>
        <w:tc>
          <w:tcPr>
            <w:tcW w:w="344"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与正北向夹角</w:t>
            </w:r>
            <w:r>
              <w:rPr>
                <w:rFonts w:cs="Times New Roman" w:hint="eastAsia"/>
                <w:sz w:val="21"/>
                <w:szCs w:val="21"/>
              </w:rPr>
              <w:t>（</w:t>
            </w:r>
            <w:r>
              <w:rPr>
                <w:rFonts w:cs="Times New Roman"/>
                <w:sz w:val="21"/>
                <w:szCs w:val="21"/>
              </w:rPr>
              <w:t>°</w:t>
            </w:r>
            <w:r>
              <w:rPr>
                <w:rFonts w:cs="Times New Roman" w:hint="eastAsia"/>
                <w:sz w:val="21"/>
                <w:szCs w:val="21"/>
              </w:rPr>
              <w:t>）</w:t>
            </w:r>
          </w:p>
        </w:tc>
        <w:tc>
          <w:tcPr>
            <w:tcW w:w="41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面源有效排放高度</w:t>
            </w:r>
            <w:r>
              <w:rPr>
                <w:rFonts w:cs="Times New Roman" w:hint="eastAsia"/>
                <w:sz w:val="21"/>
                <w:szCs w:val="21"/>
              </w:rPr>
              <w:t>（</w:t>
            </w:r>
            <w:r>
              <w:rPr>
                <w:rFonts w:cs="Times New Roman" w:hint="eastAsia"/>
                <w:sz w:val="21"/>
                <w:szCs w:val="21"/>
              </w:rPr>
              <w:t>m</w:t>
            </w:r>
            <w:r>
              <w:rPr>
                <w:rFonts w:cs="Times New Roman" w:hint="eastAsia"/>
                <w:sz w:val="21"/>
                <w:szCs w:val="21"/>
              </w:rPr>
              <w:t>）</w:t>
            </w:r>
          </w:p>
        </w:tc>
        <w:tc>
          <w:tcPr>
            <w:tcW w:w="418"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年排放小时数</w:t>
            </w:r>
            <w:r>
              <w:rPr>
                <w:rFonts w:cs="Times New Roman" w:hint="eastAsia"/>
                <w:sz w:val="21"/>
                <w:szCs w:val="21"/>
              </w:rPr>
              <w:t>（</w:t>
            </w:r>
            <w:r>
              <w:rPr>
                <w:rFonts w:cs="Times New Roman"/>
                <w:sz w:val="21"/>
                <w:szCs w:val="21"/>
              </w:rPr>
              <w:t>h</w:t>
            </w:r>
            <w:r>
              <w:rPr>
                <w:rFonts w:cs="Times New Roman" w:hint="eastAsia"/>
                <w:sz w:val="21"/>
                <w:szCs w:val="21"/>
              </w:rPr>
              <w:t>）</w:t>
            </w:r>
          </w:p>
        </w:tc>
        <w:tc>
          <w:tcPr>
            <w:tcW w:w="34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排放工况</w:t>
            </w:r>
          </w:p>
        </w:tc>
        <w:tc>
          <w:tcPr>
            <w:tcW w:w="403"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评价</w:t>
            </w:r>
          </w:p>
          <w:p w:rsidR="00C645C9" w:rsidRDefault="00F955D9">
            <w:pPr>
              <w:jc w:val="center"/>
              <w:rPr>
                <w:rFonts w:cs="Times New Roman"/>
                <w:sz w:val="21"/>
                <w:szCs w:val="21"/>
              </w:rPr>
            </w:pPr>
            <w:r>
              <w:rPr>
                <w:rFonts w:cs="Times New Roman"/>
                <w:sz w:val="21"/>
                <w:szCs w:val="21"/>
              </w:rPr>
              <w:t>因子</w:t>
            </w:r>
          </w:p>
        </w:tc>
        <w:tc>
          <w:tcPr>
            <w:tcW w:w="459"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排放</w:t>
            </w:r>
          </w:p>
          <w:p w:rsidR="00C645C9" w:rsidRDefault="00F955D9">
            <w:pPr>
              <w:jc w:val="center"/>
              <w:rPr>
                <w:rFonts w:cs="Times New Roman"/>
                <w:sz w:val="21"/>
                <w:szCs w:val="21"/>
              </w:rPr>
            </w:pPr>
            <w:r>
              <w:rPr>
                <w:rFonts w:cs="Times New Roman"/>
                <w:sz w:val="21"/>
                <w:szCs w:val="21"/>
              </w:rPr>
              <w:t>速率</w:t>
            </w:r>
          </w:p>
          <w:p w:rsidR="00C645C9" w:rsidRDefault="00F955D9">
            <w:pPr>
              <w:jc w:val="center"/>
              <w:rPr>
                <w:rFonts w:cs="Times New Roman"/>
                <w:sz w:val="21"/>
                <w:szCs w:val="21"/>
              </w:rPr>
            </w:pPr>
            <w:r>
              <w:rPr>
                <w:rFonts w:cs="Times New Roman" w:hint="eastAsia"/>
                <w:sz w:val="21"/>
                <w:szCs w:val="21"/>
              </w:rPr>
              <w:t>（</w:t>
            </w:r>
            <w:r>
              <w:rPr>
                <w:rFonts w:cs="Times New Roman"/>
                <w:sz w:val="21"/>
                <w:szCs w:val="21"/>
              </w:rPr>
              <w:t>kg/h</w:t>
            </w:r>
            <w:r>
              <w:rPr>
                <w:rFonts w:cs="Times New Roman" w:hint="eastAsia"/>
                <w:sz w:val="21"/>
                <w:szCs w:val="21"/>
              </w:rPr>
              <w:t>）</w:t>
            </w:r>
          </w:p>
        </w:tc>
      </w:tr>
      <w:tr w:rsidR="00C645C9">
        <w:trPr>
          <w:trHeight w:val="90"/>
        </w:trPr>
        <w:tc>
          <w:tcPr>
            <w:tcW w:w="272" w:type="pct"/>
            <w:vMerge/>
            <w:tcBorders>
              <w:tl2br w:val="nil"/>
              <w:tr2bl w:val="nil"/>
            </w:tcBorders>
            <w:vAlign w:val="center"/>
          </w:tcPr>
          <w:p w:rsidR="00C645C9" w:rsidRDefault="00C645C9">
            <w:pPr>
              <w:jc w:val="center"/>
              <w:rPr>
                <w:rFonts w:cs="Times New Roman"/>
                <w:sz w:val="21"/>
                <w:szCs w:val="21"/>
              </w:rPr>
            </w:pPr>
          </w:p>
        </w:tc>
        <w:tc>
          <w:tcPr>
            <w:tcW w:w="534" w:type="pct"/>
            <w:vMerge/>
            <w:tcBorders>
              <w:tl2br w:val="nil"/>
              <w:tr2bl w:val="nil"/>
            </w:tcBorders>
            <w:vAlign w:val="center"/>
          </w:tcPr>
          <w:p w:rsidR="00C645C9" w:rsidRDefault="00C645C9">
            <w:pPr>
              <w:jc w:val="center"/>
              <w:rPr>
                <w:rFonts w:cs="Times New Roman"/>
                <w:sz w:val="21"/>
                <w:szCs w:val="21"/>
              </w:rPr>
            </w:pPr>
          </w:p>
        </w:tc>
        <w:tc>
          <w:tcPr>
            <w:tcW w:w="412" w:type="pct"/>
            <w:tcBorders>
              <w:tl2br w:val="nil"/>
              <w:tr2bl w:val="nil"/>
            </w:tcBorders>
            <w:vAlign w:val="center"/>
          </w:tcPr>
          <w:p w:rsidR="00C645C9" w:rsidRDefault="00F955D9">
            <w:pPr>
              <w:jc w:val="center"/>
              <w:rPr>
                <w:rFonts w:cs="Times New Roman"/>
                <w:sz w:val="21"/>
                <w:szCs w:val="21"/>
              </w:rPr>
            </w:pPr>
            <w:r>
              <w:rPr>
                <w:rFonts w:cs="Times New Roman"/>
                <w:sz w:val="21"/>
                <w:szCs w:val="21"/>
              </w:rPr>
              <w:t>经度</w:t>
            </w:r>
            <w:r>
              <w:rPr>
                <w:rFonts w:cs="Times New Roman" w:hint="eastAsia"/>
                <w:sz w:val="21"/>
                <w:szCs w:val="21"/>
              </w:rPr>
              <w:t>（</w:t>
            </w:r>
            <w:r>
              <w:rPr>
                <w:rFonts w:cs="Times New Roman"/>
                <w:sz w:val="21"/>
                <w:szCs w:val="21"/>
              </w:rPr>
              <w:t>°</w:t>
            </w:r>
            <w:r>
              <w:rPr>
                <w:rFonts w:cs="Times New Roman" w:hint="eastAsia"/>
                <w:sz w:val="21"/>
                <w:szCs w:val="21"/>
              </w:rPr>
              <w:t>）</w:t>
            </w:r>
          </w:p>
        </w:tc>
        <w:tc>
          <w:tcPr>
            <w:tcW w:w="403" w:type="pct"/>
            <w:tcBorders>
              <w:tl2br w:val="nil"/>
              <w:tr2bl w:val="nil"/>
            </w:tcBorders>
            <w:vAlign w:val="center"/>
          </w:tcPr>
          <w:p w:rsidR="00C645C9" w:rsidRDefault="00F955D9">
            <w:pPr>
              <w:jc w:val="center"/>
              <w:rPr>
                <w:rFonts w:cs="Times New Roman"/>
                <w:sz w:val="21"/>
                <w:szCs w:val="21"/>
              </w:rPr>
            </w:pPr>
            <w:r>
              <w:rPr>
                <w:rFonts w:cs="Times New Roman"/>
                <w:sz w:val="21"/>
                <w:szCs w:val="21"/>
              </w:rPr>
              <w:t>纬度</w:t>
            </w:r>
            <w:r>
              <w:rPr>
                <w:rFonts w:cs="Times New Roman" w:hint="eastAsia"/>
                <w:sz w:val="21"/>
                <w:szCs w:val="21"/>
              </w:rPr>
              <w:t>（</w:t>
            </w:r>
            <w:r>
              <w:rPr>
                <w:rFonts w:cs="Times New Roman"/>
                <w:sz w:val="21"/>
                <w:szCs w:val="21"/>
              </w:rPr>
              <w:t>°</w:t>
            </w:r>
            <w:r>
              <w:rPr>
                <w:rFonts w:cs="Times New Roman" w:hint="eastAsia"/>
                <w:sz w:val="21"/>
                <w:szCs w:val="21"/>
              </w:rPr>
              <w:t>）</w:t>
            </w:r>
          </w:p>
        </w:tc>
        <w:tc>
          <w:tcPr>
            <w:tcW w:w="346" w:type="pct"/>
            <w:vMerge/>
            <w:tcBorders>
              <w:tl2br w:val="nil"/>
              <w:tr2bl w:val="nil"/>
            </w:tcBorders>
            <w:vAlign w:val="center"/>
          </w:tcPr>
          <w:p w:rsidR="00C645C9" w:rsidRDefault="00C645C9">
            <w:pPr>
              <w:jc w:val="center"/>
              <w:rPr>
                <w:rFonts w:cs="Times New Roman"/>
                <w:sz w:val="21"/>
                <w:szCs w:val="21"/>
              </w:rPr>
            </w:pPr>
          </w:p>
        </w:tc>
        <w:tc>
          <w:tcPr>
            <w:tcW w:w="341" w:type="pct"/>
            <w:vMerge/>
            <w:tcBorders>
              <w:tl2br w:val="nil"/>
              <w:tr2bl w:val="nil"/>
            </w:tcBorders>
            <w:vAlign w:val="center"/>
          </w:tcPr>
          <w:p w:rsidR="00C645C9" w:rsidRDefault="00C645C9">
            <w:pPr>
              <w:jc w:val="center"/>
              <w:rPr>
                <w:rFonts w:cs="Times New Roman"/>
                <w:sz w:val="21"/>
                <w:szCs w:val="21"/>
              </w:rPr>
            </w:pPr>
          </w:p>
        </w:tc>
        <w:tc>
          <w:tcPr>
            <w:tcW w:w="309" w:type="pct"/>
            <w:vMerge/>
            <w:tcBorders>
              <w:tl2br w:val="nil"/>
              <w:tr2bl w:val="nil"/>
            </w:tcBorders>
            <w:vAlign w:val="center"/>
          </w:tcPr>
          <w:p w:rsidR="00C645C9" w:rsidRDefault="00C645C9">
            <w:pPr>
              <w:jc w:val="center"/>
              <w:rPr>
                <w:rFonts w:cs="Times New Roman"/>
                <w:sz w:val="21"/>
                <w:szCs w:val="21"/>
              </w:rPr>
            </w:pPr>
          </w:p>
        </w:tc>
        <w:tc>
          <w:tcPr>
            <w:tcW w:w="344" w:type="pct"/>
            <w:vMerge/>
            <w:tcBorders>
              <w:tl2br w:val="nil"/>
              <w:tr2bl w:val="nil"/>
            </w:tcBorders>
            <w:vAlign w:val="center"/>
          </w:tcPr>
          <w:p w:rsidR="00C645C9" w:rsidRDefault="00C645C9">
            <w:pPr>
              <w:jc w:val="center"/>
              <w:rPr>
                <w:rFonts w:cs="Times New Roman"/>
                <w:sz w:val="21"/>
                <w:szCs w:val="21"/>
              </w:rPr>
            </w:pPr>
          </w:p>
        </w:tc>
        <w:tc>
          <w:tcPr>
            <w:tcW w:w="411" w:type="pct"/>
            <w:vMerge/>
            <w:tcBorders>
              <w:tl2br w:val="nil"/>
              <w:tr2bl w:val="nil"/>
            </w:tcBorders>
            <w:vAlign w:val="center"/>
          </w:tcPr>
          <w:p w:rsidR="00C645C9" w:rsidRDefault="00C645C9">
            <w:pPr>
              <w:jc w:val="center"/>
              <w:rPr>
                <w:rFonts w:cs="Times New Roman"/>
                <w:sz w:val="21"/>
                <w:szCs w:val="21"/>
              </w:rPr>
            </w:pPr>
          </w:p>
        </w:tc>
        <w:tc>
          <w:tcPr>
            <w:tcW w:w="418" w:type="pct"/>
            <w:vMerge/>
            <w:tcBorders>
              <w:tl2br w:val="nil"/>
              <w:tr2bl w:val="nil"/>
            </w:tcBorders>
            <w:vAlign w:val="center"/>
          </w:tcPr>
          <w:p w:rsidR="00C645C9" w:rsidRDefault="00C645C9">
            <w:pPr>
              <w:jc w:val="center"/>
              <w:rPr>
                <w:rFonts w:cs="Times New Roman"/>
                <w:sz w:val="21"/>
                <w:szCs w:val="21"/>
              </w:rPr>
            </w:pPr>
          </w:p>
        </w:tc>
        <w:tc>
          <w:tcPr>
            <w:tcW w:w="341" w:type="pct"/>
            <w:vMerge/>
            <w:tcBorders>
              <w:tl2br w:val="nil"/>
              <w:tr2bl w:val="nil"/>
            </w:tcBorders>
            <w:vAlign w:val="center"/>
          </w:tcPr>
          <w:p w:rsidR="00C645C9" w:rsidRDefault="00C645C9">
            <w:pPr>
              <w:jc w:val="center"/>
              <w:rPr>
                <w:rFonts w:cs="Times New Roman"/>
                <w:sz w:val="21"/>
                <w:szCs w:val="21"/>
              </w:rPr>
            </w:pPr>
          </w:p>
        </w:tc>
        <w:tc>
          <w:tcPr>
            <w:tcW w:w="403" w:type="pct"/>
            <w:vMerge/>
            <w:tcBorders>
              <w:tl2br w:val="nil"/>
              <w:tr2bl w:val="nil"/>
            </w:tcBorders>
            <w:vAlign w:val="center"/>
          </w:tcPr>
          <w:p w:rsidR="00C645C9" w:rsidRDefault="00C645C9">
            <w:pPr>
              <w:jc w:val="center"/>
              <w:rPr>
                <w:rFonts w:cs="Times New Roman"/>
                <w:sz w:val="21"/>
                <w:szCs w:val="21"/>
              </w:rPr>
            </w:pPr>
          </w:p>
        </w:tc>
        <w:tc>
          <w:tcPr>
            <w:tcW w:w="459" w:type="pct"/>
            <w:vMerge/>
            <w:tcBorders>
              <w:tl2br w:val="nil"/>
              <w:tr2bl w:val="nil"/>
            </w:tcBorders>
            <w:vAlign w:val="center"/>
          </w:tcPr>
          <w:p w:rsidR="00C645C9" w:rsidRDefault="00C645C9">
            <w:pPr>
              <w:jc w:val="center"/>
              <w:rPr>
                <w:rFonts w:cs="Times New Roman"/>
                <w:sz w:val="21"/>
                <w:szCs w:val="21"/>
              </w:rPr>
            </w:pPr>
          </w:p>
        </w:tc>
      </w:tr>
      <w:tr w:rsidR="00C645C9">
        <w:trPr>
          <w:trHeight w:val="90"/>
        </w:trPr>
        <w:tc>
          <w:tcPr>
            <w:tcW w:w="272"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1</w:t>
            </w:r>
          </w:p>
        </w:tc>
        <w:tc>
          <w:tcPr>
            <w:tcW w:w="534" w:type="pct"/>
            <w:vMerge w:val="restar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pacing w:val="-10"/>
                <w:sz w:val="21"/>
                <w:szCs w:val="21"/>
              </w:rPr>
              <w:t>井场无组织废气</w:t>
            </w:r>
          </w:p>
        </w:tc>
        <w:tc>
          <w:tcPr>
            <w:tcW w:w="412" w:type="pct"/>
            <w:vMerge w:val="restar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t>**</w:t>
            </w:r>
          </w:p>
          <w:p w:rsidR="00C645C9" w:rsidRDefault="00F955D9">
            <w:pPr>
              <w:widowControl w:val="0"/>
              <w:wordWrap w:val="0"/>
              <w:jc w:val="center"/>
              <w:rPr>
                <w:rFonts w:cs="Times New Roman"/>
                <w:sz w:val="21"/>
                <w:szCs w:val="21"/>
              </w:rPr>
            </w:pPr>
            <w:r>
              <w:rPr>
                <w:rFonts w:cs="Times New Roman" w:hint="eastAsia"/>
                <w:sz w:val="21"/>
                <w:szCs w:val="21"/>
              </w:rPr>
              <w:t>**</w:t>
            </w:r>
          </w:p>
        </w:tc>
        <w:tc>
          <w:tcPr>
            <w:tcW w:w="403" w:type="pct"/>
            <w:vMerge w:val="restar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t>**</w:t>
            </w:r>
          </w:p>
          <w:p w:rsidR="00C645C9" w:rsidRDefault="00F955D9">
            <w:pPr>
              <w:widowControl w:val="0"/>
              <w:wordWrap w:val="0"/>
              <w:jc w:val="center"/>
              <w:rPr>
                <w:rFonts w:cs="Times New Roman"/>
                <w:sz w:val="21"/>
                <w:szCs w:val="21"/>
              </w:rPr>
            </w:pPr>
            <w:r>
              <w:rPr>
                <w:rFonts w:cs="Times New Roman" w:hint="eastAsia"/>
                <w:sz w:val="21"/>
                <w:szCs w:val="21"/>
              </w:rPr>
              <w:t>**</w:t>
            </w:r>
          </w:p>
        </w:tc>
        <w:tc>
          <w:tcPr>
            <w:tcW w:w="346" w:type="pct"/>
            <w:vMerge w:val="restart"/>
            <w:tcBorders>
              <w:tl2br w:val="nil"/>
              <w:tr2bl w:val="nil"/>
            </w:tcBorders>
            <w:vAlign w:val="center"/>
          </w:tcPr>
          <w:p w:rsidR="00C645C9" w:rsidRDefault="00F955D9">
            <w:pPr>
              <w:widowControl w:val="0"/>
              <w:wordWrap w:val="0"/>
              <w:jc w:val="center"/>
              <w:rPr>
                <w:rFonts w:cs="Times New Roman"/>
                <w:sz w:val="21"/>
                <w:szCs w:val="21"/>
              </w:rPr>
            </w:pPr>
            <w:r>
              <w:rPr>
                <w:rFonts w:cs="Times New Roman"/>
                <w:spacing w:val="-10"/>
                <w:sz w:val="21"/>
                <w:szCs w:val="21"/>
              </w:rPr>
              <w:t>1013</w:t>
            </w:r>
          </w:p>
        </w:tc>
        <w:tc>
          <w:tcPr>
            <w:tcW w:w="34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110</w:t>
            </w:r>
          </w:p>
        </w:tc>
        <w:tc>
          <w:tcPr>
            <w:tcW w:w="309"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120</w:t>
            </w:r>
          </w:p>
        </w:tc>
        <w:tc>
          <w:tcPr>
            <w:tcW w:w="344"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15</w:t>
            </w:r>
          </w:p>
        </w:tc>
        <w:tc>
          <w:tcPr>
            <w:tcW w:w="41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8</w:t>
            </w:r>
          </w:p>
        </w:tc>
        <w:tc>
          <w:tcPr>
            <w:tcW w:w="418"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7920</w:t>
            </w:r>
          </w:p>
        </w:tc>
        <w:tc>
          <w:tcPr>
            <w:tcW w:w="341" w:type="pct"/>
            <w:vMerge w:val="restart"/>
            <w:tcBorders>
              <w:tl2br w:val="nil"/>
              <w:tr2bl w:val="nil"/>
            </w:tcBorders>
            <w:vAlign w:val="center"/>
          </w:tcPr>
          <w:p w:rsidR="00C645C9" w:rsidRDefault="00F955D9">
            <w:pPr>
              <w:jc w:val="center"/>
              <w:rPr>
                <w:rFonts w:cs="Times New Roman"/>
                <w:sz w:val="21"/>
                <w:szCs w:val="21"/>
              </w:rPr>
            </w:pPr>
            <w:r>
              <w:rPr>
                <w:rFonts w:cs="Times New Roman"/>
                <w:sz w:val="21"/>
                <w:szCs w:val="21"/>
              </w:rPr>
              <w:t>正常</w:t>
            </w:r>
          </w:p>
        </w:tc>
        <w:tc>
          <w:tcPr>
            <w:tcW w:w="403" w:type="pct"/>
            <w:tcBorders>
              <w:tl2br w:val="nil"/>
              <w:tr2bl w:val="nil"/>
            </w:tcBorders>
            <w:vAlign w:val="center"/>
          </w:tcPr>
          <w:p w:rsidR="00C645C9" w:rsidRDefault="00F955D9">
            <w:pPr>
              <w:jc w:val="center"/>
              <w:rPr>
                <w:rFonts w:cs="Times New Roman"/>
                <w:sz w:val="21"/>
                <w:szCs w:val="21"/>
              </w:rPr>
            </w:pPr>
            <w:r>
              <w:rPr>
                <w:rFonts w:cs="Times New Roman"/>
                <w:sz w:val="21"/>
                <w:szCs w:val="21"/>
              </w:rPr>
              <w:t>非甲烷总烃</w:t>
            </w:r>
          </w:p>
        </w:tc>
        <w:tc>
          <w:tcPr>
            <w:tcW w:w="459" w:type="pct"/>
            <w:tcBorders>
              <w:tl2br w:val="nil"/>
              <w:tr2bl w:val="nil"/>
            </w:tcBorders>
            <w:vAlign w:val="center"/>
          </w:tcPr>
          <w:p w:rsidR="00C645C9" w:rsidRDefault="00F955D9">
            <w:pPr>
              <w:wordWrap w:val="0"/>
              <w:jc w:val="center"/>
              <w:textAlignment w:val="center"/>
              <w:rPr>
                <w:rFonts w:cs="Times New Roman"/>
                <w:sz w:val="21"/>
                <w:szCs w:val="21"/>
              </w:rPr>
            </w:pPr>
            <w:r>
              <w:rPr>
                <w:rFonts w:cs="Times New Roman"/>
                <w:sz w:val="21"/>
                <w:szCs w:val="21"/>
                <w:lang w:bidi="ar"/>
              </w:rPr>
              <w:t xml:space="preserve">0.3975 </w:t>
            </w:r>
          </w:p>
        </w:tc>
      </w:tr>
      <w:tr w:rsidR="00C645C9">
        <w:trPr>
          <w:trHeight w:val="90"/>
        </w:trPr>
        <w:tc>
          <w:tcPr>
            <w:tcW w:w="272" w:type="pct"/>
            <w:vMerge/>
            <w:tcBorders>
              <w:tl2br w:val="nil"/>
              <w:tr2bl w:val="nil"/>
            </w:tcBorders>
            <w:vAlign w:val="center"/>
          </w:tcPr>
          <w:p w:rsidR="00C645C9" w:rsidRDefault="00C645C9">
            <w:pPr>
              <w:jc w:val="center"/>
              <w:rPr>
                <w:rFonts w:cs="Times New Roman"/>
                <w:sz w:val="21"/>
                <w:szCs w:val="21"/>
              </w:rPr>
            </w:pPr>
          </w:p>
        </w:tc>
        <w:tc>
          <w:tcPr>
            <w:tcW w:w="534" w:type="pct"/>
            <w:vMerge/>
            <w:tcBorders>
              <w:tl2br w:val="nil"/>
              <w:tr2bl w:val="nil"/>
            </w:tcBorders>
            <w:vAlign w:val="center"/>
          </w:tcPr>
          <w:p w:rsidR="00C645C9" w:rsidRDefault="00C645C9">
            <w:pPr>
              <w:jc w:val="center"/>
              <w:rPr>
                <w:rFonts w:cs="Times New Roman"/>
                <w:sz w:val="21"/>
                <w:szCs w:val="21"/>
              </w:rPr>
            </w:pPr>
          </w:p>
        </w:tc>
        <w:tc>
          <w:tcPr>
            <w:tcW w:w="412" w:type="pct"/>
            <w:vMerge/>
            <w:tcBorders>
              <w:tl2br w:val="nil"/>
              <w:tr2bl w:val="nil"/>
            </w:tcBorders>
            <w:vAlign w:val="center"/>
          </w:tcPr>
          <w:p w:rsidR="00C645C9" w:rsidRDefault="00C645C9">
            <w:pPr>
              <w:jc w:val="center"/>
              <w:rPr>
                <w:rFonts w:cs="Times New Roman"/>
                <w:sz w:val="21"/>
                <w:szCs w:val="21"/>
              </w:rPr>
            </w:pPr>
          </w:p>
        </w:tc>
        <w:tc>
          <w:tcPr>
            <w:tcW w:w="403" w:type="pct"/>
            <w:vMerge/>
            <w:tcBorders>
              <w:tl2br w:val="nil"/>
              <w:tr2bl w:val="nil"/>
            </w:tcBorders>
            <w:vAlign w:val="center"/>
          </w:tcPr>
          <w:p w:rsidR="00C645C9" w:rsidRDefault="00C645C9">
            <w:pPr>
              <w:jc w:val="center"/>
              <w:rPr>
                <w:rFonts w:cs="Times New Roman"/>
                <w:sz w:val="21"/>
                <w:szCs w:val="21"/>
              </w:rPr>
            </w:pPr>
          </w:p>
        </w:tc>
        <w:tc>
          <w:tcPr>
            <w:tcW w:w="346" w:type="pct"/>
            <w:vMerge/>
            <w:tcBorders>
              <w:tl2br w:val="nil"/>
              <w:tr2bl w:val="nil"/>
            </w:tcBorders>
            <w:vAlign w:val="center"/>
          </w:tcPr>
          <w:p w:rsidR="00C645C9" w:rsidRDefault="00C645C9">
            <w:pPr>
              <w:jc w:val="center"/>
              <w:rPr>
                <w:rFonts w:cs="Times New Roman"/>
                <w:sz w:val="21"/>
                <w:szCs w:val="21"/>
              </w:rPr>
            </w:pPr>
          </w:p>
        </w:tc>
        <w:tc>
          <w:tcPr>
            <w:tcW w:w="341" w:type="pct"/>
            <w:vMerge/>
            <w:tcBorders>
              <w:tl2br w:val="nil"/>
              <w:tr2bl w:val="nil"/>
            </w:tcBorders>
            <w:vAlign w:val="center"/>
          </w:tcPr>
          <w:p w:rsidR="00C645C9" w:rsidRDefault="00C645C9">
            <w:pPr>
              <w:jc w:val="center"/>
              <w:rPr>
                <w:rFonts w:cs="Times New Roman"/>
                <w:sz w:val="21"/>
                <w:szCs w:val="21"/>
              </w:rPr>
            </w:pPr>
          </w:p>
        </w:tc>
        <w:tc>
          <w:tcPr>
            <w:tcW w:w="309" w:type="pct"/>
            <w:vMerge/>
            <w:tcBorders>
              <w:tl2br w:val="nil"/>
              <w:tr2bl w:val="nil"/>
            </w:tcBorders>
            <w:vAlign w:val="center"/>
          </w:tcPr>
          <w:p w:rsidR="00C645C9" w:rsidRDefault="00C645C9">
            <w:pPr>
              <w:jc w:val="center"/>
              <w:rPr>
                <w:rFonts w:cs="Times New Roman"/>
                <w:sz w:val="21"/>
                <w:szCs w:val="21"/>
              </w:rPr>
            </w:pPr>
          </w:p>
        </w:tc>
        <w:tc>
          <w:tcPr>
            <w:tcW w:w="344" w:type="pct"/>
            <w:vMerge/>
            <w:tcBorders>
              <w:tl2br w:val="nil"/>
              <w:tr2bl w:val="nil"/>
            </w:tcBorders>
            <w:vAlign w:val="center"/>
          </w:tcPr>
          <w:p w:rsidR="00C645C9" w:rsidRDefault="00C645C9">
            <w:pPr>
              <w:jc w:val="center"/>
              <w:rPr>
                <w:rFonts w:cs="Times New Roman"/>
                <w:sz w:val="21"/>
                <w:szCs w:val="21"/>
              </w:rPr>
            </w:pPr>
          </w:p>
        </w:tc>
        <w:tc>
          <w:tcPr>
            <w:tcW w:w="411" w:type="pct"/>
            <w:vMerge/>
            <w:tcBorders>
              <w:tl2br w:val="nil"/>
              <w:tr2bl w:val="nil"/>
            </w:tcBorders>
            <w:vAlign w:val="center"/>
          </w:tcPr>
          <w:p w:rsidR="00C645C9" w:rsidRDefault="00C645C9">
            <w:pPr>
              <w:jc w:val="center"/>
              <w:rPr>
                <w:rFonts w:cs="Times New Roman"/>
                <w:sz w:val="21"/>
                <w:szCs w:val="21"/>
              </w:rPr>
            </w:pPr>
          </w:p>
        </w:tc>
        <w:tc>
          <w:tcPr>
            <w:tcW w:w="418" w:type="pct"/>
            <w:vMerge/>
            <w:tcBorders>
              <w:tl2br w:val="nil"/>
              <w:tr2bl w:val="nil"/>
            </w:tcBorders>
            <w:vAlign w:val="center"/>
          </w:tcPr>
          <w:p w:rsidR="00C645C9" w:rsidRDefault="00C645C9">
            <w:pPr>
              <w:jc w:val="center"/>
              <w:rPr>
                <w:rFonts w:cs="Times New Roman"/>
                <w:sz w:val="21"/>
                <w:szCs w:val="21"/>
              </w:rPr>
            </w:pPr>
          </w:p>
        </w:tc>
        <w:tc>
          <w:tcPr>
            <w:tcW w:w="341" w:type="pct"/>
            <w:vMerge/>
            <w:tcBorders>
              <w:tl2br w:val="nil"/>
              <w:tr2bl w:val="nil"/>
            </w:tcBorders>
            <w:vAlign w:val="center"/>
          </w:tcPr>
          <w:p w:rsidR="00C645C9" w:rsidRDefault="00C645C9">
            <w:pPr>
              <w:jc w:val="center"/>
              <w:rPr>
                <w:rFonts w:cs="Times New Roman"/>
                <w:sz w:val="21"/>
                <w:szCs w:val="21"/>
              </w:rPr>
            </w:pPr>
          </w:p>
        </w:tc>
        <w:tc>
          <w:tcPr>
            <w:tcW w:w="403" w:type="pct"/>
            <w:tcBorders>
              <w:tl2br w:val="nil"/>
              <w:tr2bl w:val="nil"/>
            </w:tcBorders>
            <w:vAlign w:val="center"/>
          </w:tcPr>
          <w:p w:rsidR="00C645C9" w:rsidRDefault="00F955D9">
            <w:pPr>
              <w:jc w:val="center"/>
              <w:rPr>
                <w:rFonts w:cs="Times New Roman"/>
                <w:sz w:val="21"/>
                <w:szCs w:val="21"/>
              </w:rPr>
            </w:pPr>
            <w:r>
              <w:rPr>
                <w:rFonts w:cs="Times New Roman"/>
                <w:sz w:val="21"/>
                <w:szCs w:val="21"/>
              </w:rPr>
              <w:t>硫化氢</w:t>
            </w:r>
          </w:p>
        </w:tc>
        <w:tc>
          <w:tcPr>
            <w:tcW w:w="459" w:type="pct"/>
            <w:tcBorders>
              <w:tl2br w:val="nil"/>
              <w:tr2bl w:val="nil"/>
            </w:tcBorders>
            <w:vAlign w:val="center"/>
          </w:tcPr>
          <w:p w:rsidR="00C645C9" w:rsidRDefault="00F955D9">
            <w:pPr>
              <w:wordWrap w:val="0"/>
              <w:ind w:leftChars="-50" w:left="-120"/>
              <w:jc w:val="center"/>
              <w:textAlignment w:val="center"/>
              <w:rPr>
                <w:rFonts w:cs="Times New Roman"/>
                <w:sz w:val="21"/>
                <w:szCs w:val="21"/>
              </w:rPr>
            </w:pPr>
            <w:r>
              <w:rPr>
                <w:rFonts w:cs="Times New Roman"/>
                <w:sz w:val="21"/>
                <w:szCs w:val="21"/>
                <w:lang w:bidi="ar"/>
              </w:rPr>
              <w:t>0.0000</w:t>
            </w:r>
            <w:r>
              <w:rPr>
                <w:rFonts w:cs="Times New Roman" w:hint="eastAsia"/>
                <w:sz w:val="21"/>
                <w:szCs w:val="21"/>
                <w:lang w:bidi="ar"/>
              </w:rPr>
              <w:t>2</w:t>
            </w:r>
          </w:p>
        </w:tc>
      </w:tr>
      <w:tr w:rsidR="00C645C9">
        <w:trPr>
          <w:trHeight w:val="269"/>
        </w:trPr>
        <w:tc>
          <w:tcPr>
            <w:tcW w:w="272" w:type="pct"/>
            <w:tcBorders>
              <w:tl2br w:val="nil"/>
              <w:tr2bl w:val="nil"/>
            </w:tcBorders>
            <w:vAlign w:val="center"/>
          </w:tcPr>
          <w:p w:rsidR="00C645C9" w:rsidRDefault="00F955D9">
            <w:pPr>
              <w:jc w:val="center"/>
              <w:rPr>
                <w:rFonts w:cs="Times New Roman"/>
                <w:sz w:val="21"/>
                <w:szCs w:val="21"/>
              </w:rPr>
            </w:pPr>
            <w:r>
              <w:rPr>
                <w:rFonts w:cs="Times New Roman" w:hint="eastAsia"/>
                <w:spacing w:val="-10"/>
                <w:sz w:val="21"/>
                <w:szCs w:val="21"/>
              </w:rPr>
              <w:t>2</w:t>
            </w:r>
          </w:p>
        </w:tc>
        <w:tc>
          <w:tcPr>
            <w:tcW w:w="534"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z w:val="21"/>
                <w:szCs w:val="21"/>
              </w:rPr>
              <w:t>多功能储集器</w:t>
            </w:r>
            <w:r>
              <w:rPr>
                <w:rFonts w:cs="Times New Roman" w:hint="eastAsia"/>
                <w:spacing w:val="-10"/>
                <w:sz w:val="21"/>
                <w:szCs w:val="21"/>
                <w:lang w:bidi="ar"/>
              </w:rPr>
              <w:t>小</w:t>
            </w:r>
            <w:r>
              <w:rPr>
                <w:rFonts w:cs="Times New Roman"/>
                <w:spacing w:val="-10"/>
                <w:sz w:val="21"/>
                <w:szCs w:val="21"/>
                <w:lang w:bidi="ar"/>
              </w:rPr>
              <w:t>呼</w:t>
            </w:r>
            <w:r>
              <w:rPr>
                <w:rFonts w:cs="Times New Roman"/>
                <w:spacing w:val="-10"/>
                <w:sz w:val="21"/>
                <w:szCs w:val="21"/>
                <w:lang w:bidi="ar"/>
              </w:rPr>
              <w:lastRenderedPageBreak/>
              <w:t>吸废气</w:t>
            </w:r>
          </w:p>
        </w:tc>
        <w:tc>
          <w:tcPr>
            <w:tcW w:w="412"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lastRenderedPageBreak/>
              <w:t>**</w:t>
            </w:r>
          </w:p>
        </w:tc>
        <w:tc>
          <w:tcPr>
            <w:tcW w:w="403"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t>**</w:t>
            </w:r>
          </w:p>
        </w:tc>
        <w:tc>
          <w:tcPr>
            <w:tcW w:w="346"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spacing w:val="-10"/>
                <w:sz w:val="21"/>
                <w:szCs w:val="21"/>
              </w:rPr>
              <w:t>1013</w:t>
            </w:r>
          </w:p>
        </w:tc>
        <w:tc>
          <w:tcPr>
            <w:tcW w:w="34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110</w:t>
            </w:r>
          </w:p>
        </w:tc>
        <w:tc>
          <w:tcPr>
            <w:tcW w:w="309"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120</w:t>
            </w:r>
          </w:p>
        </w:tc>
        <w:tc>
          <w:tcPr>
            <w:tcW w:w="344"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15</w:t>
            </w:r>
          </w:p>
        </w:tc>
        <w:tc>
          <w:tcPr>
            <w:tcW w:w="41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8</w:t>
            </w:r>
          </w:p>
        </w:tc>
        <w:tc>
          <w:tcPr>
            <w:tcW w:w="418" w:type="pct"/>
            <w:tcBorders>
              <w:tl2br w:val="nil"/>
              <w:tr2bl w:val="nil"/>
            </w:tcBorders>
            <w:vAlign w:val="center"/>
          </w:tcPr>
          <w:p w:rsidR="00C645C9" w:rsidRDefault="00F955D9">
            <w:pPr>
              <w:jc w:val="center"/>
              <w:rPr>
                <w:rFonts w:cs="Times New Roman"/>
                <w:sz w:val="21"/>
                <w:szCs w:val="21"/>
              </w:rPr>
            </w:pPr>
            <w:r>
              <w:rPr>
                <w:rFonts w:cs="Times New Roman"/>
                <w:sz w:val="21"/>
                <w:szCs w:val="21"/>
              </w:rPr>
              <w:t>7920</w:t>
            </w:r>
          </w:p>
        </w:tc>
        <w:tc>
          <w:tcPr>
            <w:tcW w:w="34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正常</w:t>
            </w:r>
          </w:p>
        </w:tc>
        <w:tc>
          <w:tcPr>
            <w:tcW w:w="403" w:type="pct"/>
            <w:tcBorders>
              <w:tl2br w:val="nil"/>
              <w:tr2bl w:val="nil"/>
            </w:tcBorders>
            <w:vAlign w:val="center"/>
          </w:tcPr>
          <w:p w:rsidR="00C645C9" w:rsidRDefault="00F955D9">
            <w:pPr>
              <w:jc w:val="center"/>
              <w:rPr>
                <w:rFonts w:cs="Times New Roman"/>
                <w:sz w:val="21"/>
                <w:szCs w:val="21"/>
              </w:rPr>
            </w:pPr>
            <w:r>
              <w:rPr>
                <w:rFonts w:cs="Times New Roman"/>
                <w:sz w:val="21"/>
                <w:szCs w:val="21"/>
              </w:rPr>
              <w:t>非甲烷总烃</w:t>
            </w:r>
          </w:p>
        </w:tc>
        <w:tc>
          <w:tcPr>
            <w:tcW w:w="459" w:type="pct"/>
            <w:tcBorders>
              <w:tl2br w:val="nil"/>
              <w:tr2bl w:val="nil"/>
            </w:tcBorders>
            <w:vAlign w:val="center"/>
          </w:tcPr>
          <w:p w:rsidR="00C645C9" w:rsidRDefault="00F955D9">
            <w:pPr>
              <w:wordWrap w:val="0"/>
              <w:jc w:val="center"/>
              <w:textAlignment w:val="center"/>
              <w:rPr>
                <w:rFonts w:cs="Times New Roman"/>
                <w:sz w:val="21"/>
                <w:szCs w:val="21"/>
              </w:rPr>
            </w:pPr>
            <w:r>
              <w:rPr>
                <w:rFonts w:cs="Times New Roman"/>
                <w:sz w:val="21"/>
                <w:szCs w:val="21"/>
                <w:lang w:bidi="ar"/>
              </w:rPr>
              <w:t xml:space="preserve">0.1576 </w:t>
            </w:r>
          </w:p>
        </w:tc>
      </w:tr>
      <w:tr w:rsidR="00C645C9">
        <w:trPr>
          <w:trHeight w:val="272"/>
        </w:trPr>
        <w:tc>
          <w:tcPr>
            <w:tcW w:w="272" w:type="pct"/>
            <w:tcBorders>
              <w:tl2br w:val="nil"/>
              <w:tr2bl w:val="nil"/>
            </w:tcBorders>
            <w:vAlign w:val="center"/>
          </w:tcPr>
          <w:p w:rsidR="00C645C9" w:rsidRDefault="00F955D9">
            <w:pPr>
              <w:jc w:val="center"/>
              <w:rPr>
                <w:rFonts w:cs="Times New Roman"/>
                <w:sz w:val="21"/>
                <w:szCs w:val="21"/>
              </w:rPr>
            </w:pPr>
            <w:r>
              <w:rPr>
                <w:rFonts w:cs="Times New Roman" w:hint="eastAsia"/>
                <w:sz w:val="21"/>
                <w:szCs w:val="21"/>
              </w:rPr>
              <w:lastRenderedPageBreak/>
              <w:t>3</w:t>
            </w:r>
          </w:p>
        </w:tc>
        <w:tc>
          <w:tcPr>
            <w:tcW w:w="534" w:type="pc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z w:val="21"/>
                <w:szCs w:val="21"/>
              </w:rPr>
              <w:t>多功能储集器</w:t>
            </w:r>
            <w:r>
              <w:rPr>
                <w:rFonts w:cs="Times New Roman" w:hint="eastAsia"/>
                <w:sz w:val="21"/>
                <w:szCs w:val="21"/>
              </w:rPr>
              <w:t>大呼吸</w:t>
            </w:r>
            <w:r>
              <w:rPr>
                <w:rFonts w:cs="Times New Roman"/>
                <w:spacing w:val="-10"/>
                <w:sz w:val="21"/>
                <w:szCs w:val="21"/>
                <w:lang w:bidi="ar"/>
              </w:rPr>
              <w:t>废气</w:t>
            </w:r>
          </w:p>
        </w:tc>
        <w:tc>
          <w:tcPr>
            <w:tcW w:w="412"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t>**</w:t>
            </w:r>
          </w:p>
        </w:tc>
        <w:tc>
          <w:tcPr>
            <w:tcW w:w="403"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hint="eastAsia"/>
                <w:sz w:val="21"/>
                <w:szCs w:val="21"/>
              </w:rPr>
              <w:t>**</w:t>
            </w:r>
          </w:p>
        </w:tc>
        <w:tc>
          <w:tcPr>
            <w:tcW w:w="346" w:type="pct"/>
            <w:tcBorders>
              <w:tl2br w:val="nil"/>
              <w:tr2bl w:val="nil"/>
            </w:tcBorders>
            <w:vAlign w:val="center"/>
          </w:tcPr>
          <w:p w:rsidR="00C645C9" w:rsidRDefault="00F955D9">
            <w:pPr>
              <w:widowControl w:val="0"/>
              <w:wordWrap w:val="0"/>
              <w:jc w:val="center"/>
              <w:rPr>
                <w:rFonts w:cs="Times New Roman"/>
                <w:sz w:val="21"/>
                <w:szCs w:val="21"/>
              </w:rPr>
            </w:pPr>
            <w:r>
              <w:rPr>
                <w:rFonts w:cs="Times New Roman"/>
                <w:spacing w:val="-10"/>
                <w:sz w:val="21"/>
                <w:szCs w:val="21"/>
              </w:rPr>
              <w:t>1013</w:t>
            </w:r>
          </w:p>
        </w:tc>
        <w:tc>
          <w:tcPr>
            <w:tcW w:w="34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110</w:t>
            </w:r>
          </w:p>
        </w:tc>
        <w:tc>
          <w:tcPr>
            <w:tcW w:w="309"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120</w:t>
            </w:r>
          </w:p>
        </w:tc>
        <w:tc>
          <w:tcPr>
            <w:tcW w:w="344" w:type="pct"/>
            <w:tcBorders>
              <w:tl2br w:val="nil"/>
              <w:tr2bl w:val="nil"/>
            </w:tcBorders>
            <w:vAlign w:val="center"/>
          </w:tcPr>
          <w:p w:rsidR="00C645C9" w:rsidRDefault="00F955D9">
            <w:pPr>
              <w:jc w:val="center"/>
              <w:rPr>
                <w:rFonts w:cs="Times New Roman"/>
                <w:sz w:val="21"/>
                <w:szCs w:val="21"/>
              </w:rPr>
            </w:pPr>
            <w:r>
              <w:rPr>
                <w:rFonts w:cs="Times New Roman"/>
                <w:sz w:val="21"/>
                <w:szCs w:val="21"/>
              </w:rPr>
              <w:t>15</w:t>
            </w:r>
          </w:p>
        </w:tc>
        <w:tc>
          <w:tcPr>
            <w:tcW w:w="41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8</w:t>
            </w:r>
          </w:p>
        </w:tc>
        <w:tc>
          <w:tcPr>
            <w:tcW w:w="418" w:type="pct"/>
            <w:tcBorders>
              <w:tl2br w:val="nil"/>
              <w:tr2bl w:val="nil"/>
            </w:tcBorders>
            <w:vAlign w:val="center"/>
          </w:tcPr>
          <w:p w:rsidR="00C645C9" w:rsidRDefault="00F955D9">
            <w:pPr>
              <w:jc w:val="center"/>
              <w:rPr>
                <w:rFonts w:cs="Times New Roman"/>
                <w:sz w:val="21"/>
                <w:szCs w:val="21"/>
              </w:rPr>
            </w:pPr>
            <w:r>
              <w:rPr>
                <w:rFonts w:cs="Times New Roman"/>
                <w:sz w:val="21"/>
                <w:szCs w:val="21"/>
              </w:rPr>
              <w:t>7920</w:t>
            </w:r>
          </w:p>
        </w:tc>
        <w:tc>
          <w:tcPr>
            <w:tcW w:w="341" w:type="pct"/>
            <w:tcBorders>
              <w:tl2br w:val="nil"/>
              <w:tr2bl w:val="nil"/>
            </w:tcBorders>
            <w:vAlign w:val="center"/>
          </w:tcPr>
          <w:p w:rsidR="00C645C9" w:rsidRDefault="00F955D9">
            <w:pPr>
              <w:jc w:val="center"/>
              <w:rPr>
                <w:rFonts w:cs="Times New Roman"/>
                <w:sz w:val="21"/>
                <w:szCs w:val="21"/>
              </w:rPr>
            </w:pPr>
            <w:r>
              <w:rPr>
                <w:rFonts w:cs="Times New Roman"/>
                <w:sz w:val="21"/>
                <w:szCs w:val="21"/>
              </w:rPr>
              <w:t>正常</w:t>
            </w:r>
          </w:p>
        </w:tc>
        <w:tc>
          <w:tcPr>
            <w:tcW w:w="403" w:type="pct"/>
            <w:tcBorders>
              <w:tl2br w:val="nil"/>
              <w:tr2bl w:val="nil"/>
            </w:tcBorders>
            <w:vAlign w:val="center"/>
          </w:tcPr>
          <w:p w:rsidR="00C645C9" w:rsidRDefault="00F955D9">
            <w:pPr>
              <w:jc w:val="center"/>
              <w:rPr>
                <w:rFonts w:cs="Times New Roman"/>
                <w:sz w:val="21"/>
                <w:szCs w:val="21"/>
              </w:rPr>
            </w:pPr>
            <w:r>
              <w:rPr>
                <w:rFonts w:cs="Times New Roman"/>
                <w:sz w:val="21"/>
                <w:szCs w:val="21"/>
              </w:rPr>
              <w:t>非甲烷总烃</w:t>
            </w:r>
          </w:p>
        </w:tc>
        <w:tc>
          <w:tcPr>
            <w:tcW w:w="459" w:type="pct"/>
            <w:tcBorders>
              <w:tl2br w:val="nil"/>
              <w:tr2bl w:val="nil"/>
            </w:tcBorders>
            <w:vAlign w:val="center"/>
          </w:tcPr>
          <w:p w:rsidR="00C645C9" w:rsidRDefault="00F955D9">
            <w:pPr>
              <w:wordWrap w:val="0"/>
              <w:jc w:val="center"/>
              <w:textAlignment w:val="center"/>
              <w:rPr>
                <w:rFonts w:cs="Times New Roman"/>
                <w:sz w:val="21"/>
                <w:szCs w:val="21"/>
              </w:rPr>
            </w:pPr>
            <w:r>
              <w:rPr>
                <w:rFonts w:cs="Times New Roman"/>
                <w:sz w:val="21"/>
                <w:szCs w:val="21"/>
                <w:lang w:bidi="ar"/>
              </w:rPr>
              <w:t xml:space="preserve">0.1000 </w:t>
            </w:r>
          </w:p>
        </w:tc>
      </w:tr>
      <w:tr w:rsidR="00C645C9">
        <w:trPr>
          <w:trHeight w:val="272"/>
        </w:trPr>
        <w:tc>
          <w:tcPr>
            <w:tcW w:w="272" w:type="pct"/>
            <w:tcBorders>
              <w:tl2br w:val="nil"/>
              <w:tr2bl w:val="nil"/>
            </w:tcBorders>
            <w:vAlign w:val="center"/>
          </w:tcPr>
          <w:p w:rsidR="00C645C9" w:rsidRDefault="00F955D9">
            <w:pPr>
              <w:jc w:val="center"/>
              <w:rPr>
                <w:sz w:val="21"/>
                <w:szCs w:val="21"/>
              </w:rPr>
            </w:pPr>
            <w:r>
              <w:rPr>
                <w:rFonts w:hint="eastAsia"/>
                <w:sz w:val="21"/>
                <w:szCs w:val="21"/>
              </w:rPr>
              <w:t>4</w:t>
            </w:r>
          </w:p>
        </w:tc>
        <w:tc>
          <w:tcPr>
            <w:tcW w:w="534" w:type="pct"/>
            <w:tcBorders>
              <w:tl2br w:val="nil"/>
              <w:tr2bl w:val="nil"/>
            </w:tcBorders>
            <w:vAlign w:val="center"/>
          </w:tcPr>
          <w:p w:rsidR="00C645C9" w:rsidRDefault="00F955D9">
            <w:pPr>
              <w:jc w:val="center"/>
              <w:rPr>
                <w:sz w:val="21"/>
                <w:szCs w:val="21"/>
              </w:rPr>
            </w:pPr>
            <w:r>
              <w:rPr>
                <w:rFonts w:hint="eastAsia"/>
                <w:sz w:val="21"/>
                <w:szCs w:val="21"/>
              </w:rPr>
              <w:t>混烃储罐</w:t>
            </w:r>
            <w:r>
              <w:rPr>
                <w:rFonts w:cs="Times New Roman" w:hint="eastAsia"/>
                <w:spacing w:val="-10"/>
                <w:sz w:val="21"/>
                <w:szCs w:val="21"/>
                <w:lang w:bidi="ar"/>
              </w:rPr>
              <w:t>小</w:t>
            </w:r>
            <w:r>
              <w:rPr>
                <w:rFonts w:cs="Times New Roman"/>
                <w:spacing w:val="-10"/>
                <w:sz w:val="21"/>
                <w:szCs w:val="21"/>
                <w:lang w:bidi="ar"/>
              </w:rPr>
              <w:t>呼吸废气</w:t>
            </w:r>
          </w:p>
        </w:tc>
        <w:tc>
          <w:tcPr>
            <w:tcW w:w="412" w:type="pct"/>
            <w:tcBorders>
              <w:tl2br w:val="nil"/>
              <w:tr2bl w:val="nil"/>
            </w:tcBorders>
            <w:vAlign w:val="center"/>
          </w:tcPr>
          <w:p w:rsidR="00C645C9" w:rsidRDefault="00F955D9">
            <w:pPr>
              <w:widowControl w:val="0"/>
              <w:wordWrap w:val="0"/>
              <w:jc w:val="center"/>
              <w:rPr>
                <w:sz w:val="21"/>
                <w:szCs w:val="21"/>
              </w:rPr>
            </w:pPr>
            <w:r>
              <w:rPr>
                <w:rFonts w:cs="Times New Roman" w:hint="eastAsia"/>
                <w:sz w:val="21"/>
                <w:szCs w:val="21"/>
              </w:rPr>
              <w:t>**</w:t>
            </w:r>
          </w:p>
        </w:tc>
        <w:tc>
          <w:tcPr>
            <w:tcW w:w="403" w:type="pct"/>
            <w:tcBorders>
              <w:tl2br w:val="nil"/>
              <w:tr2bl w:val="nil"/>
            </w:tcBorders>
            <w:vAlign w:val="center"/>
          </w:tcPr>
          <w:p w:rsidR="00C645C9" w:rsidRDefault="00F955D9">
            <w:pPr>
              <w:widowControl w:val="0"/>
              <w:wordWrap w:val="0"/>
              <w:jc w:val="center"/>
              <w:rPr>
                <w:sz w:val="21"/>
                <w:szCs w:val="21"/>
              </w:rPr>
            </w:pPr>
            <w:r>
              <w:rPr>
                <w:rFonts w:cs="Times New Roman" w:hint="eastAsia"/>
                <w:sz w:val="21"/>
                <w:szCs w:val="21"/>
              </w:rPr>
              <w:t>**</w:t>
            </w:r>
          </w:p>
        </w:tc>
        <w:tc>
          <w:tcPr>
            <w:tcW w:w="346" w:type="pct"/>
            <w:tcBorders>
              <w:tl2br w:val="nil"/>
              <w:tr2bl w:val="nil"/>
            </w:tcBorders>
            <w:vAlign w:val="center"/>
          </w:tcPr>
          <w:p w:rsidR="00C645C9" w:rsidRDefault="00F955D9">
            <w:pPr>
              <w:widowControl w:val="0"/>
              <w:wordWrap w:val="0"/>
              <w:jc w:val="center"/>
              <w:rPr>
                <w:sz w:val="21"/>
                <w:szCs w:val="21"/>
              </w:rPr>
            </w:pPr>
            <w:r>
              <w:rPr>
                <w:rFonts w:cs="Times New Roman"/>
                <w:spacing w:val="-10"/>
                <w:sz w:val="21"/>
                <w:szCs w:val="21"/>
              </w:rPr>
              <w:t>1013</w:t>
            </w:r>
          </w:p>
        </w:tc>
        <w:tc>
          <w:tcPr>
            <w:tcW w:w="341" w:type="pct"/>
            <w:tcBorders>
              <w:tl2br w:val="nil"/>
              <w:tr2bl w:val="nil"/>
            </w:tcBorders>
            <w:vAlign w:val="center"/>
          </w:tcPr>
          <w:p w:rsidR="00C645C9" w:rsidRDefault="00F955D9">
            <w:pPr>
              <w:jc w:val="center"/>
              <w:rPr>
                <w:sz w:val="21"/>
                <w:szCs w:val="21"/>
              </w:rPr>
            </w:pPr>
            <w:r>
              <w:rPr>
                <w:rFonts w:cs="Times New Roman"/>
                <w:sz w:val="21"/>
                <w:szCs w:val="21"/>
              </w:rPr>
              <w:t>110</w:t>
            </w:r>
          </w:p>
        </w:tc>
        <w:tc>
          <w:tcPr>
            <w:tcW w:w="309" w:type="pct"/>
            <w:tcBorders>
              <w:tl2br w:val="nil"/>
              <w:tr2bl w:val="nil"/>
            </w:tcBorders>
            <w:vAlign w:val="center"/>
          </w:tcPr>
          <w:p w:rsidR="00C645C9" w:rsidRDefault="00F955D9">
            <w:pPr>
              <w:jc w:val="center"/>
              <w:rPr>
                <w:sz w:val="21"/>
                <w:szCs w:val="21"/>
              </w:rPr>
            </w:pPr>
            <w:r>
              <w:rPr>
                <w:rFonts w:cs="Times New Roman"/>
                <w:sz w:val="21"/>
                <w:szCs w:val="21"/>
              </w:rPr>
              <w:t>120</w:t>
            </w:r>
          </w:p>
        </w:tc>
        <w:tc>
          <w:tcPr>
            <w:tcW w:w="344" w:type="pct"/>
            <w:tcBorders>
              <w:tl2br w:val="nil"/>
              <w:tr2bl w:val="nil"/>
            </w:tcBorders>
            <w:vAlign w:val="center"/>
          </w:tcPr>
          <w:p w:rsidR="00C645C9" w:rsidRDefault="00F955D9">
            <w:pPr>
              <w:jc w:val="center"/>
              <w:rPr>
                <w:sz w:val="21"/>
                <w:szCs w:val="21"/>
              </w:rPr>
            </w:pPr>
            <w:r>
              <w:rPr>
                <w:rFonts w:cs="Times New Roman"/>
                <w:sz w:val="21"/>
                <w:szCs w:val="21"/>
              </w:rPr>
              <w:t>15</w:t>
            </w:r>
          </w:p>
        </w:tc>
        <w:tc>
          <w:tcPr>
            <w:tcW w:w="411" w:type="pct"/>
            <w:tcBorders>
              <w:tl2br w:val="nil"/>
              <w:tr2bl w:val="nil"/>
            </w:tcBorders>
            <w:vAlign w:val="center"/>
          </w:tcPr>
          <w:p w:rsidR="00C645C9" w:rsidRDefault="00F955D9">
            <w:pPr>
              <w:jc w:val="center"/>
              <w:rPr>
                <w:sz w:val="21"/>
                <w:szCs w:val="21"/>
              </w:rPr>
            </w:pPr>
            <w:r>
              <w:rPr>
                <w:rFonts w:cs="Times New Roman"/>
                <w:sz w:val="21"/>
                <w:szCs w:val="21"/>
              </w:rPr>
              <w:t>8</w:t>
            </w:r>
          </w:p>
        </w:tc>
        <w:tc>
          <w:tcPr>
            <w:tcW w:w="418" w:type="pct"/>
            <w:tcBorders>
              <w:tl2br w:val="nil"/>
              <w:tr2bl w:val="nil"/>
            </w:tcBorders>
            <w:vAlign w:val="center"/>
          </w:tcPr>
          <w:p w:rsidR="00C645C9" w:rsidRDefault="00F955D9">
            <w:pPr>
              <w:jc w:val="center"/>
              <w:rPr>
                <w:sz w:val="21"/>
                <w:szCs w:val="21"/>
              </w:rPr>
            </w:pPr>
            <w:r>
              <w:rPr>
                <w:rFonts w:cs="Times New Roman"/>
                <w:sz w:val="21"/>
                <w:szCs w:val="21"/>
              </w:rPr>
              <w:t>7920</w:t>
            </w:r>
          </w:p>
        </w:tc>
        <w:tc>
          <w:tcPr>
            <w:tcW w:w="341" w:type="pct"/>
            <w:tcBorders>
              <w:tl2br w:val="nil"/>
              <w:tr2bl w:val="nil"/>
            </w:tcBorders>
            <w:vAlign w:val="center"/>
          </w:tcPr>
          <w:p w:rsidR="00C645C9" w:rsidRDefault="00F955D9">
            <w:pPr>
              <w:jc w:val="center"/>
              <w:rPr>
                <w:sz w:val="21"/>
                <w:szCs w:val="21"/>
              </w:rPr>
            </w:pPr>
            <w:r>
              <w:rPr>
                <w:rFonts w:cs="Times New Roman"/>
                <w:sz w:val="21"/>
                <w:szCs w:val="21"/>
              </w:rPr>
              <w:t>正常</w:t>
            </w:r>
          </w:p>
        </w:tc>
        <w:tc>
          <w:tcPr>
            <w:tcW w:w="403" w:type="pct"/>
            <w:tcBorders>
              <w:tl2br w:val="nil"/>
              <w:tr2bl w:val="nil"/>
            </w:tcBorders>
            <w:shd w:val="clear" w:color="auto" w:fill="auto"/>
            <w:vAlign w:val="center"/>
          </w:tcPr>
          <w:p w:rsidR="00C645C9" w:rsidRDefault="00F955D9">
            <w:pPr>
              <w:jc w:val="center"/>
              <w:rPr>
                <w:rFonts w:cs="Times New Roman"/>
                <w:sz w:val="21"/>
                <w:szCs w:val="21"/>
              </w:rPr>
            </w:pPr>
            <w:r>
              <w:rPr>
                <w:rFonts w:cs="Times New Roman"/>
                <w:sz w:val="21"/>
                <w:szCs w:val="21"/>
              </w:rPr>
              <w:t>非甲烷总烃</w:t>
            </w:r>
          </w:p>
        </w:tc>
        <w:tc>
          <w:tcPr>
            <w:tcW w:w="459" w:type="pct"/>
            <w:tcBorders>
              <w:tl2br w:val="nil"/>
              <w:tr2bl w:val="nil"/>
            </w:tcBorders>
            <w:vAlign w:val="center"/>
          </w:tcPr>
          <w:p w:rsidR="00C645C9" w:rsidRDefault="00F955D9">
            <w:pPr>
              <w:wordWrap w:val="0"/>
              <w:jc w:val="center"/>
              <w:textAlignment w:val="center"/>
              <w:rPr>
                <w:rFonts w:cs="Times New Roman"/>
                <w:sz w:val="21"/>
                <w:szCs w:val="21"/>
              </w:rPr>
            </w:pPr>
            <w:r>
              <w:rPr>
                <w:rFonts w:cs="Times New Roman"/>
                <w:sz w:val="21"/>
                <w:szCs w:val="21"/>
                <w:lang w:bidi="ar"/>
              </w:rPr>
              <w:t xml:space="preserve">0.1196 </w:t>
            </w:r>
          </w:p>
        </w:tc>
      </w:tr>
      <w:tr w:rsidR="00C645C9">
        <w:trPr>
          <w:trHeight w:val="272"/>
        </w:trPr>
        <w:tc>
          <w:tcPr>
            <w:tcW w:w="272" w:type="pct"/>
            <w:tcBorders>
              <w:tl2br w:val="nil"/>
              <w:tr2bl w:val="nil"/>
            </w:tcBorders>
            <w:vAlign w:val="center"/>
          </w:tcPr>
          <w:p w:rsidR="00C645C9" w:rsidRDefault="00F955D9">
            <w:pPr>
              <w:jc w:val="center"/>
              <w:rPr>
                <w:sz w:val="21"/>
                <w:szCs w:val="21"/>
              </w:rPr>
            </w:pPr>
            <w:r>
              <w:rPr>
                <w:rFonts w:hint="eastAsia"/>
                <w:sz w:val="21"/>
                <w:szCs w:val="21"/>
              </w:rPr>
              <w:t>5</w:t>
            </w:r>
          </w:p>
        </w:tc>
        <w:tc>
          <w:tcPr>
            <w:tcW w:w="534" w:type="pct"/>
            <w:tcBorders>
              <w:tl2br w:val="nil"/>
              <w:tr2bl w:val="nil"/>
            </w:tcBorders>
            <w:vAlign w:val="center"/>
          </w:tcPr>
          <w:p w:rsidR="00C645C9" w:rsidRDefault="00F955D9">
            <w:pPr>
              <w:jc w:val="center"/>
              <w:rPr>
                <w:sz w:val="21"/>
                <w:szCs w:val="21"/>
              </w:rPr>
            </w:pPr>
            <w:r>
              <w:rPr>
                <w:rFonts w:hint="eastAsia"/>
                <w:sz w:val="21"/>
                <w:szCs w:val="21"/>
              </w:rPr>
              <w:t>混烃储罐</w:t>
            </w:r>
            <w:r>
              <w:rPr>
                <w:rFonts w:cs="Times New Roman" w:hint="eastAsia"/>
                <w:sz w:val="21"/>
                <w:szCs w:val="21"/>
              </w:rPr>
              <w:t>大呼吸</w:t>
            </w:r>
            <w:r>
              <w:rPr>
                <w:rFonts w:cs="Times New Roman"/>
                <w:spacing w:val="-10"/>
                <w:sz w:val="21"/>
                <w:szCs w:val="21"/>
                <w:lang w:bidi="ar"/>
              </w:rPr>
              <w:t>废气</w:t>
            </w:r>
          </w:p>
        </w:tc>
        <w:tc>
          <w:tcPr>
            <w:tcW w:w="412" w:type="pct"/>
            <w:tcBorders>
              <w:tl2br w:val="nil"/>
              <w:tr2bl w:val="nil"/>
            </w:tcBorders>
            <w:vAlign w:val="center"/>
          </w:tcPr>
          <w:p w:rsidR="00C645C9" w:rsidRDefault="00F955D9">
            <w:pPr>
              <w:widowControl w:val="0"/>
              <w:wordWrap w:val="0"/>
              <w:jc w:val="center"/>
              <w:rPr>
                <w:sz w:val="21"/>
                <w:szCs w:val="21"/>
              </w:rPr>
            </w:pPr>
            <w:r>
              <w:rPr>
                <w:rFonts w:cs="Times New Roman" w:hint="eastAsia"/>
                <w:sz w:val="21"/>
                <w:szCs w:val="21"/>
              </w:rPr>
              <w:t>**</w:t>
            </w:r>
          </w:p>
        </w:tc>
        <w:tc>
          <w:tcPr>
            <w:tcW w:w="403" w:type="pct"/>
            <w:tcBorders>
              <w:tl2br w:val="nil"/>
              <w:tr2bl w:val="nil"/>
            </w:tcBorders>
            <w:vAlign w:val="center"/>
          </w:tcPr>
          <w:p w:rsidR="00C645C9" w:rsidRDefault="00F955D9">
            <w:pPr>
              <w:widowControl w:val="0"/>
              <w:wordWrap w:val="0"/>
              <w:jc w:val="center"/>
              <w:rPr>
                <w:sz w:val="21"/>
                <w:szCs w:val="21"/>
              </w:rPr>
            </w:pPr>
            <w:r>
              <w:rPr>
                <w:rFonts w:cs="Times New Roman" w:hint="eastAsia"/>
                <w:sz w:val="21"/>
                <w:szCs w:val="21"/>
              </w:rPr>
              <w:t>**</w:t>
            </w:r>
          </w:p>
        </w:tc>
        <w:tc>
          <w:tcPr>
            <w:tcW w:w="346" w:type="pct"/>
            <w:tcBorders>
              <w:tl2br w:val="nil"/>
              <w:tr2bl w:val="nil"/>
            </w:tcBorders>
            <w:vAlign w:val="center"/>
          </w:tcPr>
          <w:p w:rsidR="00C645C9" w:rsidRDefault="00F955D9">
            <w:pPr>
              <w:widowControl w:val="0"/>
              <w:wordWrap w:val="0"/>
              <w:jc w:val="center"/>
              <w:rPr>
                <w:sz w:val="21"/>
                <w:szCs w:val="21"/>
              </w:rPr>
            </w:pPr>
            <w:r>
              <w:rPr>
                <w:rFonts w:cs="Times New Roman"/>
                <w:spacing w:val="-10"/>
                <w:sz w:val="21"/>
                <w:szCs w:val="21"/>
              </w:rPr>
              <w:t>1013</w:t>
            </w:r>
          </w:p>
        </w:tc>
        <w:tc>
          <w:tcPr>
            <w:tcW w:w="341" w:type="pct"/>
            <w:tcBorders>
              <w:tl2br w:val="nil"/>
              <w:tr2bl w:val="nil"/>
            </w:tcBorders>
            <w:vAlign w:val="center"/>
          </w:tcPr>
          <w:p w:rsidR="00C645C9" w:rsidRDefault="00F955D9">
            <w:pPr>
              <w:jc w:val="center"/>
              <w:rPr>
                <w:sz w:val="21"/>
                <w:szCs w:val="21"/>
              </w:rPr>
            </w:pPr>
            <w:r>
              <w:rPr>
                <w:rFonts w:cs="Times New Roman"/>
                <w:sz w:val="21"/>
                <w:szCs w:val="21"/>
              </w:rPr>
              <w:t>110</w:t>
            </w:r>
          </w:p>
        </w:tc>
        <w:tc>
          <w:tcPr>
            <w:tcW w:w="309" w:type="pct"/>
            <w:tcBorders>
              <w:tl2br w:val="nil"/>
              <w:tr2bl w:val="nil"/>
            </w:tcBorders>
            <w:vAlign w:val="center"/>
          </w:tcPr>
          <w:p w:rsidR="00C645C9" w:rsidRDefault="00F955D9">
            <w:pPr>
              <w:jc w:val="center"/>
              <w:rPr>
                <w:sz w:val="21"/>
                <w:szCs w:val="21"/>
              </w:rPr>
            </w:pPr>
            <w:r>
              <w:rPr>
                <w:rFonts w:cs="Times New Roman"/>
                <w:sz w:val="21"/>
                <w:szCs w:val="21"/>
              </w:rPr>
              <w:t>120</w:t>
            </w:r>
          </w:p>
        </w:tc>
        <w:tc>
          <w:tcPr>
            <w:tcW w:w="344" w:type="pct"/>
            <w:tcBorders>
              <w:tl2br w:val="nil"/>
              <w:tr2bl w:val="nil"/>
            </w:tcBorders>
            <w:vAlign w:val="center"/>
          </w:tcPr>
          <w:p w:rsidR="00C645C9" w:rsidRDefault="00F955D9">
            <w:pPr>
              <w:jc w:val="center"/>
              <w:rPr>
                <w:sz w:val="21"/>
                <w:szCs w:val="21"/>
              </w:rPr>
            </w:pPr>
            <w:r>
              <w:rPr>
                <w:rFonts w:cs="Times New Roman"/>
                <w:sz w:val="21"/>
                <w:szCs w:val="21"/>
              </w:rPr>
              <w:t>15</w:t>
            </w:r>
          </w:p>
        </w:tc>
        <w:tc>
          <w:tcPr>
            <w:tcW w:w="411" w:type="pct"/>
            <w:tcBorders>
              <w:tl2br w:val="nil"/>
              <w:tr2bl w:val="nil"/>
            </w:tcBorders>
            <w:vAlign w:val="center"/>
          </w:tcPr>
          <w:p w:rsidR="00C645C9" w:rsidRDefault="00F955D9">
            <w:pPr>
              <w:jc w:val="center"/>
              <w:rPr>
                <w:sz w:val="21"/>
                <w:szCs w:val="21"/>
              </w:rPr>
            </w:pPr>
            <w:r>
              <w:rPr>
                <w:rFonts w:cs="Times New Roman"/>
                <w:sz w:val="21"/>
                <w:szCs w:val="21"/>
              </w:rPr>
              <w:t>8</w:t>
            </w:r>
          </w:p>
        </w:tc>
        <w:tc>
          <w:tcPr>
            <w:tcW w:w="418" w:type="pct"/>
            <w:tcBorders>
              <w:tl2br w:val="nil"/>
              <w:tr2bl w:val="nil"/>
            </w:tcBorders>
            <w:vAlign w:val="center"/>
          </w:tcPr>
          <w:p w:rsidR="00C645C9" w:rsidRDefault="00F955D9">
            <w:pPr>
              <w:jc w:val="center"/>
              <w:rPr>
                <w:sz w:val="21"/>
                <w:szCs w:val="21"/>
              </w:rPr>
            </w:pPr>
            <w:r>
              <w:rPr>
                <w:rFonts w:cs="Times New Roman"/>
                <w:sz w:val="21"/>
                <w:szCs w:val="21"/>
              </w:rPr>
              <w:t>7920</w:t>
            </w:r>
          </w:p>
        </w:tc>
        <w:tc>
          <w:tcPr>
            <w:tcW w:w="341" w:type="pct"/>
            <w:tcBorders>
              <w:tl2br w:val="nil"/>
              <w:tr2bl w:val="nil"/>
            </w:tcBorders>
            <w:vAlign w:val="center"/>
          </w:tcPr>
          <w:p w:rsidR="00C645C9" w:rsidRDefault="00F955D9">
            <w:pPr>
              <w:jc w:val="center"/>
              <w:rPr>
                <w:sz w:val="21"/>
                <w:szCs w:val="21"/>
              </w:rPr>
            </w:pPr>
            <w:r>
              <w:rPr>
                <w:rFonts w:cs="Times New Roman"/>
                <w:sz w:val="21"/>
                <w:szCs w:val="21"/>
              </w:rPr>
              <w:t>正常</w:t>
            </w:r>
          </w:p>
        </w:tc>
        <w:tc>
          <w:tcPr>
            <w:tcW w:w="403" w:type="pct"/>
            <w:tcBorders>
              <w:tl2br w:val="nil"/>
              <w:tr2bl w:val="nil"/>
            </w:tcBorders>
            <w:shd w:val="clear" w:color="auto" w:fill="auto"/>
            <w:vAlign w:val="center"/>
          </w:tcPr>
          <w:p w:rsidR="00C645C9" w:rsidRDefault="00F955D9">
            <w:pPr>
              <w:jc w:val="center"/>
              <w:rPr>
                <w:rFonts w:cs="Times New Roman"/>
                <w:sz w:val="21"/>
                <w:szCs w:val="21"/>
              </w:rPr>
            </w:pPr>
            <w:r>
              <w:rPr>
                <w:rFonts w:cs="Times New Roman"/>
                <w:sz w:val="21"/>
                <w:szCs w:val="21"/>
              </w:rPr>
              <w:t>非甲烷总烃</w:t>
            </w:r>
          </w:p>
        </w:tc>
        <w:tc>
          <w:tcPr>
            <w:tcW w:w="459" w:type="pct"/>
            <w:tcBorders>
              <w:tl2br w:val="nil"/>
              <w:tr2bl w:val="nil"/>
            </w:tcBorders>
            <w:vAlign w:val="center"/>
          </w:tcPr>
          <w:p w:rsidR="00C645C9" w:rsidRDefault="00F955D9">
            <w:pPr>
              <w:wordWrap w:val="0"/>
              <w:jc w:val="center"/>
              <w:textAlignment w:val="center"/>
              <w:rPr>
                <w:rFonts w:cs="Times New Roman"/>
                <w:sz w:val="21"/>
                <w:szCs w:val="21"/>
              </w:rPr>
            </w:pPr>
            <w:r>
              <w:rPr>
                <w:rFonts w:ascii="宋体" w:hAnsi="宋体" w:hint="eastAsia"/>
                <w:sz w:val="21"/>
                <w:szCs w:val="21"/>
                <w:lang w:bidi="ar"/>
              </w:rPr>
              <w:t xml:space="preserve">0.1297 </w:t>
            </w:r>
          </w:p>
        </w:tc>
      </w:tr>
    </w:tbl>
    <w:p w:rsidR="00C645C9" w:rsidRDefault="00F955D9">
      <w:pPr>
        <w:ind w:firstLineChars="200" w:firstLine="480"/>
        <w:rPr>
          <w:rFonts w:cs="Times New Roman"/>
        </w:rPr>
      </w:pPr>
      <w:r>
        <w:rPr>
          <w:rFonts w:cs="Times New Roman"/>
        </w:rPr>
        <w:t>（</w:t>
      </w:r>
      <w:r>
        <w:rPr>
          <w:rFonts w:cs="Times New Roman"/>
        </w:rPr>
        <w:t>2</w:t>
      </w:r>
      <w:r>
        <w:rPr>
          <w:rFonts w:cs="Times New Roman"/>
        </w:rPr>
        <w:t>）预测结果</w:t>
      </w:r>
    </w:p>
    <w:p w:rsidR="00C645C9" w:rsidRDefault="00F955D9">
      <w:pPr>
        <w:spacing w:line="360" w:lineRule="auto"/>
        <w:ind w:firstLineChars="200" w:firstLine="480"/>
        <w:jc w:val="both"/>
        <w:rPr>
          <w:rFonts w:cs="Times New Roman"/>
        </w:rPr>
      </w:pPr>
      <w:r>
        <w:rPr>
          <w:rFonts w:cs="Times New Roman"/>
          <w:kern w:val="24"/>
        </w:rPr>
        <w:t>本工程</w:t>
      </w:r>
      <w:r>
        <w:rPr>
          <w:rFonts w:cs="Times New Roman"/>
          <w:kern w:val="24"/>
        </w:rPr>
        <w:t>井场</w:t>
      </w:r>
      <w:r>
        <w:rPr>
          <w:rFonts w:cs="Times New Roman"/>
          <w:kern w:val="24"/>
        </w:rPr>
        <w:t>产生的无组织</w:t>
      </w:r>
      <w:r>
        <w:rPr>
          <w:rFonts w:cs="Times New Roman"/>
          <w:kern w:val="24"/>
        </w:rPr>
        <w:t>废气</w:t>
      </w:r>
      <w:r>
        <w:rPr>
          <w:rFonts w:cs="Times New Roman"/>
        </w:rPr>
        <w:t>预测</w:t>
      </w:r>
      <w:r>
        <w:rPr>
          <w:rFonts w:cs="Times New Roman"/>
        </w:rPr>
        <w:t>结果</w:t>
      </w:r>
      <w:r>
        <w:rPr>
          <w:rFonts w:cs="Times New Roman"/>
        </w:rPr>
        <w:t>见表</w:t>
      </w:r>
      <w:r>
        <w:rPr>
          <w:rFonts w:cs="Times New Roman"/>
        </w:rPr>
        <w:t>5.</w:t>
      </w:r>
      <w:r>
        <w:rPr>
          <w:rFonts w:cs="Times New Roman"/>
        </w:rPr>
        <w:t>5-8</w:t>
      </w:r>
      <w:r>
        <w:rPr>
          <w:rFonts w:cs="Times New Roman"/>
        </w:rPr>
        <w:t>。</w:t>
      </w:r>
    </w:p>
    <w:p w:rsidR="00C645C9" w:rsidRDefault="00F955D9">
      <w:pPr>
        <w:keepNext/>
        <w:keepLines/>
        <w:widowControl w:val="0"/>
        <w:wordWrap w:val="0"/>
        <w:jc w:val="center"/>
        <w:rPr>
          <w:rFonts w:eastAsia="黑体" w:cs="Times New Roman"/>
          <w:sz w:val="21"/>
          <w:szCs w:val="21"/>
        </w:rPr>
      </w:pPr>
      <w:r>
        <w:rPr>
          <w:rFonts w:eastAsia="黑体" w:cs="Times New Roman"/>
          <w:sz w:val="21"/>
          <w:szCs w:val="21"/>
        </w:rPr>
        <w:t>表</w:t>
      </w:r>
      <w:r>
        <w:rPr>
          <w:rFonts w:eastAsia="黑体" w:cs="Times New Roman"/>
          <w:sz w:val="21"/>
          <w:szCs w:val="21"/>
        </w:rPr>
        <w:t>5.</w:t>
      </w:r>
      <w:r>
        <w:rPr>
          <w:rFonts w:cs="Times New Roman"/>
          <w:sz w:val="21"/>
          <w:szCs w:val="21"/>
        </w:rPr>
        <w:t>5-8</w:t>
      </w:r>
      <w:r>
        <w:rPr>
          <w:rFonts w:eastAsia="黑体" w:cs="Times New Roman"/>
          <w:sz w:val="21"/>
          <w:szCs w:val="21"/>
        </w:rPr>
        <w:t xml:space="preserve">   P</w:t>
      </w:r>
      <w:r>
        <w:rPr>
          <w:rFonts w:eastAsia="黑体" w:cs="Times New Roman"/>
          <w:sz w:val="21"/>
          <w:szCs w:val="21"/>
          <w:vertAlign w:val="subscript"/>
        </w:rPr>
        <w:t>max</w:t>
      </w:r>
      <w:r>
        <w:rPr>
          <w:rFonts w:eastAsia="黑体" w:cs="Times New Roman"/>
          <w:sz w:val="21"/>
          <w:szCs w:val="21"/>
        </w:rPr>
        <w:t>及</w:t>
      </w:r>
      <w:r>
        <w:rPr>
          <w:rFonts w:eastAsia="黑体" w:cs="Times New Roman"/>
          <w:sz w:val="21"/>
          <w:szCs w:val="21"/>
        </w:rPr>
        <w:t>D</w:t>
      </w:r>
      <w:r>
        <w:rPr>
          <w:rFonts w:eastAsia="黑体" w:cs="Times New Roman"/>
          <w:sz w:val="21"/>
          <w:szCs w:val="21"/>
          <w:vertAlign w:val="subscript"/>
        </w:rPr>
        <w:t>10%</w:t>
      </w:r>
      <w:r>
        <w:rPr>
          <w:rFonts w:eastAsia="黑体" w:cs="Times New Roman"/>
          <w:sz w:val="21"/>
          <w:szCs w:val="21"/>
        </w:rPr>
        <w:t>预测及计算结果一览表（无组织）</w:t>
      </w:r>
    </w:p>
    <w:tbl>
      <w:tblPr>
        <w:tblW w:w="528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54"/>
        <w:gridCol w:w="1339"/>
        <w:gridCol w:w="1011"/>
        <w:gridCol w:w="942"/>
        <w:gridCol w:w="942"/>
        <w:gridCol w:w="943"/>
        <w:gridCol w:w="1990"/>
        <w:gridCol w:w="1194"/>
      </w:tblGrid>
      <w:tr w:rsidR="00C645C9">
        <w:trPr>
          <w:trHeight w:val="283"/>
          <w:jc w:val="center"/>
        </w:trPr>
        <w:tc>
          <w:tcPr>
            <w:tcW w:w="455" w:type="dxa"/>
            <w:tcBorders>
              <w:tl2br w:val="nil"/>
              <w:tr2bl w:val="nil"/>
            </w:tcBorders>
            <w:vAlign w:val="center"/>
          </w:tcPr>
          <w:p w:rsidR="00C645C9" w:rsidRDefault="00F955D9">
            <w:pPr>
              <w:adjustRightInd w:val="0"/>
              <w:snapToGrid w:val="0"/>
              <w:jc w:val="center"/>
              <w:rPr>
                <w:rFonts w:cs="Times New Roman"/>
                <w:spacing w:val="-10"/>
                <w:sz w:val="21"/>
                <w:szCs w:val="21"/>
              </w:rPr>
            </w:pPr>
            <w:bookmarkStart w:id="1592" w:name="OLE_LINK1204"/>
            <w:r>
              <w:rPr>
                <w:rFonts w:cs="Times New Roman"/>
                <w:spacing w:val="-10"/>
                <w:sz w:val="21"/>
                <w:szCs w:val="21"/>
              </w:rPr>
              <w:t>序号</w:t>
            </w:r>
          </w:p>
        </w:tc>
        <w:tc>
          <w:tcPr>
            <w:tcW w:w="1342" w:type="dxa"/>
            <w:tcBorders>
              <w:tl2br w:val="nil"/>
              <w:tr2bl w:val="nil"/>
            </w:tcBorders>
            <w:tcMar>
              <w:top w:w="12" w:type="dxa"/>
              <w:left w:w="12" w:type="dxa"/>
              <w:bottom w:w="0" w:type="dxa"/>
              <w:right w:w="12" w:type="dxa"/>
            </w:tcMar>
            <w:vAlign w:val="center"/>
          </w:tcPr>
          <w:p w:rsidR="00C645C9" w:rsidRDefault="00F955D9">
            <w:pPr>
              <w:topLinePunct/>
              <w:adjustRightInd w:val="0"/>
              <w:snapToGrid w:val="0"/>
              <w:jc w:val="center"/>
              <w:rPr>
                <w:rFonts w:cs="Times New Roman"/>
                <w:spacing w:val="-10"/>
                <w:sz w:val="21"/>
                <w:szCs w:val="21"/>
              </w:rPr>
            </w:pPr>
            <w:r>
              <w:rPr>
                <w:rFonts w:cs="Times New Roman"/>
                <w:snapToGrid w:val="0"/>
                <w:spacing w:val="-10"/>
                <w:sz w:val="21"/>
                <w:szCs w:val="21"/>
              </w:rPr>
              <w:t>污染源名称</w:t>
            </w:r>
          </w:p>
        </w:tc>
        <w:tc>
          <w:tcPr>
            <w:tcW w:w="1013"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评价因子</w:t>
            </w:r>
          </w:p>
        </w:tc>
        <w:tc>
          <w:tcPr>
            <w:tcW w:w="944"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C</w:t>
            </w:r>
            <w:r>
              <w:rPr>
                <w:rFonts w:cs="Times New Roman"/>
                <w:snapToGrid w:val="0"/>
                <w:spacing w:val="-10"/>
                <w:sz w:val="21"/>
                <w:szCs w:val="21"/>
                <w:vertAlign w:val="subscript"/>
              </w:rPr>
              <w:t>i</w:t>
            </w:r>
            <w:r>
              <w:rPr>
                <w:rFonts w:cs="Times New Roman"/>
                <w:snapToGrid w:val="0"/>
                <w:spacing w:val="-10"/>
                <w:sz w:val="21"/>
                <w:szCs w:val="21"/>
              </w:rPr>
              <w:t>（</w:t>
            </w:r>
            <w:r>
              <w:rPr>
                <w:rFonts w:cs="Times New Roman"/>
                <w:snapToGrid w:val="0"/>
                <w:spacing w:val="-10"/>
                <w:sz w:val="21"/>
                <w:szCs w:val="21"/>
              </w:rPr>
              <w:t>μg/m</w:t>
            </w:r>
            <w:r>
              <w:rPr>
                <w:rFonts w:cs="Times New Roman"/>
                <w:bCs/>
                <w:snapToGrid w:val="0"/>
                <w:spacing w:val="-10"/>
                <w:sz w:val="21"/>
                <w:szCs w:val="21"/>
                <w:vertAlign w:val="superscript"/>
              </w:rPr>
              <w:t>3</w:t>
            </w:r>
            <w:r>
              <w:rPr>
                <w:rFonts w:cs="Times New Roman"/>
                <w:snapToGrid w:val="0"/>
                <w:spacing w:val="-10"/>
                <w:sz w:val="21"/>
                <w:szCs w:val="21"/>
              </w:rPr>
              <w:t>）</w:t>
            </w:r>
          </w:p>
        </w:tc>
        <w:tc>
          <w:tcPr>
            <w:tcW w:w="944"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P</w:t>
            </w:r>
            <w:r>
              <w:rPr>
                <w:rFonts w:cs="Times New Roman"/>
                <w:snapToGrid w:val="0"/>
                <w:spacing w:val="-10"/>
                <w:sz w:val="21"/>
                <w:szCs w:val="21"/>
                <w:vertAlign w:val="subscript"/>
              </w:rPr>
              <w:t>i</w:t>
            </w:r>
            <w:r>
              <w:rPr>
                <w:rFonts w:cs="Times New Roman"/>
                <w:snapToGrid w:val="0"/>
                <w:spacing w:val="-10"/>
                <w:sz w:val="21"/>
                <w:szCs w:val="21"/>
              </w:rPr>
              <w:t>（</w:t>
            </w:r>
            <w:r>
              <w:rPr>
                <w:rFonts w:cs="Times New Roman"/>
                <w:snapToGrid w:val="0"/>
                <w:spacing w:val="-10"/>
                <w:sz w:val="21"/>
                <w:szCs w:val="21"/>
              </w:rPr>
              <w:t>%</w:t>
            </w:r>
            <w:r>
              <w:rPr>
                <w:rFonts w:cs="Times New Roman"/>
                <w:snapToGrid w:val="0"/>
                <w:spacing w:val="-10"/>
                <w:sz w:val="21"/>
                <w:szCs w:val="21"/>
              </w:rPr>
              <w:t>）</w:t>
            </w:r>
          </w:p>
        </w:tc>
        <w:tc>
          <w:tcPr>
            <w:tcW w:w="945"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P</w:t>
            </w:r>
            <w:r>
              <w:rPr>
                <w:rFonts w:cs="Times New Roman"/>
                <w:snapToGrid w:val="0"/>
                <w:spacing w:val="-10"/>
                <w:sz w:val="21"/>
                <w:szCs w:val="21"/>
                <w:vertAlign w:val="subscript"/>
              </w:rPr>
              <w:t>max</w:t>
            </w:r>
            <w:r>
              <w:rPr>
                <w:rFonts w:cs="Times New Roman"/>
                <w:snapToGrid w:val="0"/>
                <w:spacing w:val="-10"/>
                <w:sz w:val="21"/>
                <w:szCs w:val="21"/>
              </w:rPr>
              <w:t>（</w:t>
            </w:r>
            <w:r>
              <w:rPr>
                <w:rFonts w:cs="Times New Roman"/>
                <w:snapToGrid w:val="0"/>
                <w:spacing w:val="-10"/>
                <w:sz w:val="21"/>
                <w:szCs w:val="21"/>
              </w:rPr>
              <w:t>%</w:t>
            </w:r>
            <w:r>
              <w:rPr>
                <w:rFonts w:cs="Times New Roman"/>
                <w:snapToGrid w:val="0"/>
                <w:spacing w:val="-10"/>
                <w:sz w:val="21"/>
                <w:szCs w:val="21"/>
              </w:rPr>
              <w:t>）</w:t>
            </w:r>
          </w:p>
        </w:tc>
        <w:tc>
          <w:tcPr>
            <w:tcW w:w="1994"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最大浓度出现距离</w:t>
            </w:r>
            <w:bookmarkStart w:id="1593" w:name="OLE_LINK1210"/>
            <w:r>
              <w:rPr>
                <w:rFonts w:cs="Times New Roman"/>
                <w:snapToGrid w:val="0"/>
                <w:spacing w:val="-10"/>
                <w:sz w:val="21"/>
                <w:szCs w:val="21"/>
              </w:rPr>
              <w:t>（</w:t>
            </w:r>
            <w:r>
              <w:rPr>
                <w:rFonts w:cs="Times New Roman"/>
                <w:snapToGrid w:val="0"/>
                <w:spacing w:val="-10"/>
                <w:sz w:val="21"/>
                <w:szCs w:val="21"/>
              </w:rPr>
              <w:t>m</w:t>
            </w:r>
            <w:r>
              <w:rPr>
                <w:rFonts w:cs="Times New Roman"/>
                <w:snapToGrid w:val="0"/>
                <w:spacing w:val="-10"/>
                <w:sz w:val="21"/>
                <w:szCs w:val="21"/>
              </w:rPr>
              <w:t>）</w:t>
            </w:r>
            <w:bookmarkEnd w:id="1593"/>
          </w:p>
        </w:tc>
        <w:tc>
          <w:tcPr>
            <w:tcW w:w="11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D</w:t>
            </w:r>
            <w:r>
              <w:rPr>
                <w:rFonts w:cs="Times New Roman"/>
                <w:snapToGrid w:val="0"/>
                <w:spacing w:val="-10"/>
                <w:sz w:val="21"/>
                <w:szCs w:val="21"/>
                <w:vertAlign w:val="subscript"/>
              </w:rPr>
              <w:t>10%</w:t>
            </w:r>
            <w:r>
              <w:rPr>
                <w:rFonts w:cs="Times New Roman"/>
                <w:snapToGrid w:val="0"/>
                <w:spacing w:val="-10"/>
                <w:sz w:val="21"/>
                <w:szCs w:val="21"/>
              </w:rPr>
              <w:t>（</w:t>
            </w:r>
            <w:r>
              <w:rPr>
                <w:rFonts w:cs="Times New Roman"/>
                <w:snapToGrid w:val="0"/>
                <w:spacing w:val="-10"/>
                <w:sz w:val="21"/>
                <w:szCs w:val="21"/>
              </w:rPr>
              <w:t>m</w:t>
            </w:r>
            <w:r>
              <w:rPr>
                <w:rFonts w:cs="Times New Roman"/>
                <w:snapToGrid w:val="0"/>
                <w:spacing w:val="-10"/>
                <w:sz w:val="21"/>
                <w:szCs w:val="21"/>
              </w:rPr>
              <w:t>）</w:t>
            </w:r>
          </w:p>
        </w:tc>
      </w:tr>
      <w:tr w:rsidR="00C645C9">
        <w:trPr>
          <w:trHeight w:val="145"/>
          <w:jc w:val="center"/>
        </w:trPr>
        <w:tc>
          <w:tcPr>
            <w:tcW w:w="455" w:type="dxa"/>
            <w:vMerge w:val="restart"/>
            <w:tcBorders>
              <w:tl2br w:val="nil"/>
              <w:tr2bl w:val="nil"/>
            </w:tcBorders>
            <w:vAlign w:val="center"/>
          </w:tcPr>
          <w:p w:rsidR="00C645C9" w:rsidRDefault="00F955D9">
            <w:pPr>
              <w:adjustRightInd w:val="0"/>
              <w:snapToGrid w:val="0"/>
              <w:jc w:val="center"/>
              <w:rPr>
                <w:rFonts w:cs="Times New Roman"/>
                <w:spacing w:val="-10"/>
                <w:kern w:val="2"/>
                <w:sz w:val="21"/>
                <w:szCs w:val="21"/>
              </w:rPr>
            </w:pPr>
            <w:r>
              <w:rPr>
                <w:rFonts w:cs="Times New Roman"/>
                <w:spacing w:val="-10"/>
                <w:sz w:val="21"/>
                <w:szCs w:val="21"/>
              </w:rPr>
              <w:t>1</w:t>
            </w:r>
          </w:p>
        </w:tc>
        <w:tc>
          <w:tcPr>
            <w:tcW w:w="1342"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井场无组织废气</w:t>
            </w:r>
          </w:p>
        </w:tc>
        <w:tc>
          <w:tcPr>
            <w:tcW w:w="1013"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102.3700</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5.12</w:t>
            </w:r>
          </w:p>
        </w:tc>
        <w:tc>
          <w:tcPr>
            <w:tcW w:w="945"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kern w:val="2"/>
                <w:sz w:val="21"/>
                <w:szCs w:val="21"/>
              </w:rPr>
              <w:t>5.12</w:t>
            </w:r>
          </w:p>
        </w:tc>
        <w:tc>
          <w:tcPr>
            <w:tcW w:w="1994" w:type="dxa"/>
            <w:vMerge w:val="restart"/>
            <w:tcBorders>
              <w:tl2br w:val="nil"/>
              <w:tr2bl w:val="nil"/>
            </w:tcBorders>
            <w:tcMar>
              <w:top w:w="12" w:type="dxa"/>
              <w:left w:w="12" w:type="dxa"/>
              <w:bottom w:w="0" w:type="dxa"/>
              <w:right w:w="12" w:type="dxa"/>
            </w:tcMar>
            <w:vAlign w:val="center"/>
          </w:tcPr>
          <w:p w:rsidR="00C645C9" w:rsidRDefault="00F955D9">
            <w:pPr>
              <w:pStyle w:val="afb"/>
            </w:pPr>
            <w:r>
              <w:t>199</w:t>
            </w:r>
          </w:p>
        </w:tc>
        <w:tc>
          <w:tcPr>
            <w:tcW w:w="1196"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45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1342"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1013"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硫化氢</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0.0062</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0.06</w:t>
            </w:r>
          </w:p>
        </w:tc>
        <w:tc>
          <w:tcPr>
            <w:tcW w:w="945"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994" w:type="dxa"/>
            <w:vMerge/>
            <w:tcBorders>
              <w:tl2br w:val="nil"/>
              <w:tr2bl w:val="nil"/>
            </w:tcBorders>
            <w:tcMar>
              <w:top w:w="12" w:type="dxa"/>
              <w:left w:w="12" w:type="dxa"/>
              <w:bottom w:w="0" w:type="dxa"/>
              <w:right w:w="12" w:type="dxa"/>
            </w:tcMar>
            <w:vAlign w:val="center"/>
          </w:tcPr>
          <w:p w:rsidR="00C645C9" w:rsidRDefault="00C645C9">
            <w:pPr>
              <w:pStyle w:val="afb"/>
            </w:pPr>
          </w:p>
        </w:tc>
        <w:tc>
          <w:tcPr>
            <w:tcW w:w="119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r>
      <w:tr w:rsidR="00C645C9">
        <w:trPr>
          <w:trHeight w:val="145"/>
          <w:jc w:val="center"/>
        </w:trPr>
        <w:tc>
          <w:tcPr>
            <w:tcW w:w="45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w:t>
            </w:r>
          </w:p>
        </w:tc>
        <w:tc>
          <w:tcPr>
            <w:tcW w:w="134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z w:val="21"/>
                <w:szCs w:val="21"/>
              </w:rPr>
              <w:t>多功能储集器</w:t>
            </w:r>
            <w:r>
              <w:rPr>
                <w:rFonts w:cs="Times New Roman" w:hint="eastAsia"/>
                <w:spacing w:val="-10"/>
                <w:sz w:val="21"/>
                <w:szCs w:val="21"/>
                <w:lang w:bidi="ar"/>
              </w:rPr>
              <w:t>小</w:t>
            </w:r>
            <w:r>
              <w:rPr>
                <w:rFonts w:cs="Times New Roman"/>
                <w:spacing w:val="-10"/>
                <w:sz w:val="21"/>
                <w:szCs w:val="21"/>
                <w:lang w:bidi="ar"/>
              </w:rPr>
              <w:t>呼吸废气</w:t>
            </w:r>
          </w:p>
        </w:tc>
        <w:tc>
          <w:tcPr>
            <w:tcW w:w="1013"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101.9800</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t>5.10</w:t>
            </w:r>
          </w:p>
        </w:tc>
        <w:tc>
          <w:tcPr>
            <w:tcW w:w="945"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994" w:type="dxa"/>
            <w:tcBorders>
              <w:tl2br w:val="nil"/>
              <w:tr2bl w:val="nil"/>
            </w:tcBorders>
            <w:tcMar>
              <w:top w:w="12" w:type="dxa"/>
              <w:left w:w="12" w:type="dxa"/>
              <w:bottom w:w="0" w:type="dxa"/>
              <w:right w:w="12" w:type="dxa"/>
            </w:tcMar>
            <w:vAlign w:val="center"/>
          </w:tcPr>
          <w:p w:rsidR="00C645C9" w:rsidRDefault="00F955D9">
            <w:pPr>
              <w:pStyle w:val="afb"/>
            </w:pPr>
            <w:r>
              <w:t>199</w:t>
            </w:r>
          </w:p>
        </w:tc>
        <w:tc>
          <w:tcPr>
            <w:tcW w:w="11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455" w:type="dxa"/>
            <w:tcBorders>
              <w:tl2br w:val="nil"/>
              <w:tr2bl w:val="nil"/>
            </w:tcBorders>
            <w:shd w:val="clear" w:color="auto" w:fill="auto"/>
            <w:vAlign w:val="center"/>
          </w:tcPr>
          <w:p w:rsidR="00C645C9" w:rsidRDefault="00F955D9">
            <w:pPr>
              <w:jc w:val="center"/>
              <w:rPr>
                <w:rFonts w:cs="Times New Roman"/>
                <w:sz w:val="21"/>
                <w:szCs w:val="21"/>
              </w:rPr>
            </w:pPr>
            <w:r>
              <w:rPr>
                <w:rFonts w:cs="Times New Roman" w:hint="eastAsia"/>
                <w:sz w:val="21"/>
                <w:szCs w:val="21"/>
              </w:rPr>
              <w:t>3</w:t>
            </w:r>
          </w:p>
        </w:tc>
        <w:tc>
          <w:tcPr>
            <w:tcW w:w="1342"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z w:val="21"/>
                <w:szCs w:val="21"/>
              </w:rPr>
            </w:pPr>
            <w:r>
              <w:rPr>
                <w:rFonts w:cs="Times New Roman"/>
                <w:sz w:val="21"/>
                <w:szCs w:val="21"/>
              </w:rPr>
              <w:t>多功能储集器</w:t>
            </w:r>
            <w:r>
              <w:rPr>
                <w:rFonts w:cs="Times New Roman" w:hint="eastAsia"/>
                <w:sz w:val="21"/>
                <w:szCs w:val="21"/>
              </w:rPr>
              <w:t>大呼吸</w:t>
            </w:r>
            <w:r>
              <w:rPr>
                <w:rFonts w:cs="Times New Roman"/>
                <w:spacing w:val="-10"/>
                <w:sz w:val="21"/>
                <w:szCs w:val="21"/>
                <w:lang w:bidi="ar"/>
              </w:rPr>
              <w:t>废气</w:t>
            </w:r>
          </w:p>
        </w:tc>
        <w:tc>
          <w:tcPr>
            <w:tcW w:w="1013"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48.7200</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2.44</w:t>
            </w:r>
          </w:p>
        </w:tc>
        <w:tc>
          <w:tcPr>
            <w:tcW w:w="945"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99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1196"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455" w:type="dxa"/>
            <w:tcBorders>
              <w:tl2br w:val="nil"/>
              <w:tr2bl w:val="nil"/>
            </w:tcBorders>
            <w:shd w:val="clear" w:color="auto" w:fill="auto"/>
            <w:vAlign w:val="center"/>
          </w:tcPr>
          <w:p w:rsidR="00C645C9" w:rsidRDefault="00F955D9">
            <w:pPr>
              <w:jc w:val="center"/>
              <w:rPr>
                <w:rFonts w:cs="Times New Roman"/>
                <w:kern w:val="2"/>
                <w:sz w:val="21"/>
                <w:szCs w:val="21"/>
              </w:rPr>
            </w:pPr>
            <w:r>
              <w:rPr>
                <w:rFonts w:hint="eastAsia"/>
                <w:sz w:val="21"/>
                <w:szCs w:val="21"/>
              </w:rPr>
              <w:t>4</w:t>
            </w:r>
          </w:p>
        </w:tc>
        <w:tc>
          <w:tcPr>
            <w:tcW w:w="1342" w:type="dxa"/>
            <w:tcBorders>
              <w:tl2br w:val="nil"/>
              <w:tr2bl w:val="nil"/>
            </w:tcBorders>
            <w:tcMar>
              <w:top w:w="12" w:type="dxa"/>
              <w:left w:w="12" w:type="dxa"/>
              <w:bottom w:w="0" w:type="dxa"/>
              <w:right w:w="12" w:type="dxa"/>
            </w:tcMar>
            <w:vAlign w:val="center"/>
          </w:tcPr>
          <w:p w:rsidR="00C645C9" w:rsidRDefault="00F955D9">
            <w:pPr>
              <w:jc w:val="center"/>
              <w:rPr>
                <w:rFonts w:cs="Times New Roman"/>
                <w:sz w:val="21"/>
                <w:szCs w:val="21"/>
              </w:rPr>
            </w:pPr>
            <w:r>
              <w:rPr>
                <w:rFonts w:hint="eastAsia"/>
                <w:sz w:val="21"/>
                <w:szCs w:val="21"/>
              </w:rPr>
              <w:t>混烃储罐</w:t>
            </w:r>
            <w:r>
              <w:rPr>
                <w:rFonts w:cs="Times New Roman" w:hint="eastAsia"/>
                <w:spacing w:val="-10"/>
                <w:sz w:val="21"/>
                <w:szCs w:val="21"/>
                <w:lang w:bidi="ar"/>
              </w:rPr>
              <w:t>小</w:t>
            </w:r>
            <w:r>
              <w:rPr>
                <w:rFonts w:cs="Times New Roman"/>
                <w:spacing w:val="-10"/>
                <w:sz w:val="21"/>
                <w:szCs w:val="21"/>
                <w:lang w:bidi="ar"/>
              </w:rPr>
              <w:t>呼吸废气</w:t>
            </w:r>
          </w:p>
        </w:tc>
        <w:tc>
          <w:tcPr>
            <w:tcW w:w="1013"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30.9130</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1.55</w:t>
            </w:r>
          </w:p>
        </w:tc>
        <w:tc>
          <w:tcPr>
            <w:tcW w:w="945"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99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1196"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r w:rsidR="00C645C9">
        <w:trPr>
          <w:trHeight w:val="145"/>
          <w:jc w:val="center"/>
        </w:trPr>
        <w:tc>
          <w:tcPr>
            <w:tcW w:w="455" w:type="dxa"/>
            <w:tcBorders>
              <w:tl2br w:val="nil"/>
              <w:tr2bl w:val="nil"/>
            </w:tcBorders>
            <w:shd w:val="clear" w:color="auto" w:fill="auto"/>
            <w:vAlign w:val="center"/>
          </w:tcPr>
          <w:p w:rsidR="00C645C9" w:rsidRDefault="00F955D9">
            <w:pPr>
              <w:jc w:val="center"/>
              <w:rPr>
                <w:rFonts w:cs="Times New Roman"/>
                <w:kern w:val="2"/>
                <w:sz w:val="21"/>
                <w:szCs w:val="21"/>
              </w:rPr>
            </w:pPr>
            <w:r>
              <w:rPr>
                <w:rFonts w:hint="eastAsia"/>
                <w:sz w:val="21"/>
                <w:szCs w:val="21"/>
              </w:rPr>
              <w:t>5</w:t>
            </w:r>
          </w:p>
        </w:tc>
        <w:tc>
          <w:tcPr>
            <w:tcW w:w="1342" w:type="dxa"/>
            <w:tcBorders>
              <w:tl2br w:val="nil"/>
              <w:tr2bl w:val="nil"/>
            </w:tcBorders>
            <w:tcMar>
              <w:top w:w="12" w:type="dxa"/>
              <w:left w:w="12" w:type="dxa"/>
              <w:bottom w:w="0" w:type="dxa"/>
              <w:right w:w="12" w:type="dxa"/>
            </w:tcMar>
            <w:vAlign w:val="center"/>
          </w:tcPr>
          <w:p w:rsidR="00C645C9" w:rsidRDefault="00F955D9">
            <w:pPr>
              <w:jc w:val="center"/>
              <w:rPr>
                <w:rFonts w:cs="Times New Roman"/>
                <w:sz w:val="21"/>
                <w:szCs w:val="21"/>
              </w:rPr>
            </w:pPr>
            <w:r>
              <w:rPr>
                <w:rFonts w:hint="eastAsia"/>
                <w:sz w:val="21"/>
                <w:szCs w:val="21"/>
              </w:rPr>
              <w:t>混烃储罐</w:t>
            </w:r>
            <w:r>
              <w:rPr>
                <w:rFonts w:cs="Times New Roman" w:hint="eastAsia"/>
                <w:sz w:val="21"/>
                <w:szCs w:val="21"/>
              </w:rPr>
              <w:t>大呼吸</w:t>
            </w:r>
            <w:r>
              <w:rPr>
                <w:rFonts w:cs="Times New Roman"/>
                <w:spacing w:val="-10"/>
                <w:sz w:val="21"/>
                <w:szCs w:val="21"/>
                <w:lang w:bidi="ar"/>
              </w:rPr>
              <w:t>废气</w:t>
            </w:r>
          </w:p>
        </w:tc>
        <w:tc>
          <w:tcPr>
            <w:tcW w:w="1013"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pacing w:val="-10"/>
                <w:sz w:val="21"/>
                <w:szCs w:val="21"/>
              </w:rPr>
            </w:pPr>
            <w:r>
              <w:rPr>
                <w:rFonts w:cs="Times New Roman"/>
                <w:spacing w:val="-10"/>
                <w:sz w:val="21"/>
                <w:szCs w:val="21"/>
              </w:rPr>
              <w:t>非甲烷总烃</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36.9810</w:t>
            </w:r>
          </w:p>
        </w:tc>
        <w:tc>
          <w:tcPr>
            <w:tcW w:w="94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1.85</w:t>
            </w:r>
          </w:p>
        </w:tc>
        <w:tc>
          <w:tcPr>
            <w:tcW w:w="945"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napToGrid w:val="0"/>
                <w:spacing w:val="-10"/>
                <w:sz w:val="21"/>
                <w:szCs w:val="21"/>
              </w:rPr>
            </w:pPr>
          </w:p>
        </w:tc>
        <w:tc>
          <w:tcPr>
            <w:tcW w:w="1994" w:type="dxa"/>
            <w:tcBorders>
              <w:tl2br w:val="nil"/>
              <w:tr2bl w:val="nil"/>
            </w:tcBorders>
            <w:tcMar>
              <w:top w:w="12" w:type="dxa"/>
              <w:left w:w="12" w:type="dxa"/>
              <w:bottom w:w="0" w:type="dxa"/>
              <w:right w:w="12" w:type="dxa"/>
            </w:tcMar>
            <w:vAlign w:val="center"/>
          </w:tcPr>
          <w:p w:rsidR="00C645C9" w:rsidRDefault="00F955D9">
            <w:pPr>
              <w:pStyle w:val="afb"/>
            </w:pPr>
            <w:r>
              <w:rPr>
                <w:rFonts w:hint="eastAsia"/>
              </w:rPr>
              <w:t>83</w:t>
            </w:r>
          </w:p>
        </w:tc>
        <w:tc>
          <w:tcPr>
            <w:tcW w:w="1196" w:type="dxa"/>
            <w:tcBorders>
              <w:tl2br w:val="nil"/>
              <w:tr2bl w:val="nil"/>
            </w:tcBorders>
            <w:tcMar>
              <w:top w:w="12" w:type="dxa"/>
              <w:left w:w="12" w:type="dxa"/>
              <w:bottom w:w="0" w:type="dxa"/>
              <w:right w:w="12" w:type="dxa"/>
            </w:tcMar>
            <w:vAlign w:val="center"/>
          </w:tcPr>
          <w:p w:rsidR="00C645C9" w:rsidRDefault="00F955D9">
            <w:pPr>
              <w:widowControl w:val="0"/>
              <w:adjustRightInd w:val="0"/>
              <w:snapToGrid w:val="0"/>
              <w:jc w:val="center"/>
              <w:rPr>
                <w:rFonts w:cs="Times New Roman"/>
                <w:snapToGrid w:val="0"/>
                <w:spacing w:val="-10"/>
                <w:sz w:val="21"/>
                <w:szCs w:val="21"/>
              </w:rPr>
            </w:pPr>
            <w:r>
              <w:rPr>
                <w:rFonts w:cs="Times New Roman"/>
                <w:snapToGrid w:val="0"/>
                <w:spacing w:val="-10"/>
                <w:sz w:val="21"/>
                <w:szCs w:val="21"/>
              </w:rPr>
              <w:t>-</w:t>
            </w:r>
          </w:p>
        </w:tc>
      </w:tr>
    </w:tbl>
    <w:bookmarkEnd w:id="1592"/>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根据表</w:t>
      </w:r>
      <w:r>
        <w:rPr>
          <w:rFonts w:cs="Times New Roman"/>
          <w:spacing w:val="4"/>
          <w:kern w:val="24"/>
        </w:rPr>
        <w:t>5.</w:t>
      </w:r>
      <w:r>
        <w:rPr>
          <w:rFonts w:cs="Times New Roman"/>
          <w:spacing w:val="4"/>
          <w:kern w:val="24"/>
        </w:rPr>
        <w:t>5-8</w:t>
      </w:r>
      <w:r>
        <w:rPr>
          <w:rFonts w:cs="Times New Roman"/>
          <w:spacing w:val="4"/>
          <w:kern w:val="24"/>
        </w:rPr>
        <w:t>预测结果可知：</w:t>
      </w:r>
    </w:p>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①</w:t>
      </w:r>
      <w:r>
        <w:rPr>
          <w:rFonts w:cs="Times New Roman" w:hint="eastAsia"/>
          <w:spacing w:val="4"/>
          <w:kern w:val="24"/>
        </w:rPr>
        <w:t>井场</w:t>
      </w:r>
      <w:r>
        <w:rPr>
          <w:rFonts w:cs="Times New Roman"/>
          <w:spacing w:val="4"/>
          <w:kern w:val="24"/>
        </w:rPr>
        <w:t>无组织排放的污染物</w:t>
      </w:r>
      <w:bookmarkStart w:id="1594" w:name="OLE_LINK1213"/>
      <w:r>
        <w:rPr>
          <w:rFonts w:cs="Times New Roman"/>
          <w:spacing w:val="4"/>
          <w:kern w:val="24"/>
        </w:rPr>
        <w:t>非甲烷总烃</w:t>
      </w:r>
      <w:bookmarkEnd w:id="1594"/>
      <w:r>
        <w:rPr>
          <w:rFonts w:cs="Times New Roman"/>
          <w:spacing w:val="4"/>
          <w:kern w:val="24"/>
        </w:rPr>
        <w:t>、硫化氢最大落地浓度占标率均小于</w:t>
      </w:r>
      <w:r>
        <w:rPr>
          <w:rFonts w:cs="Times New Roman"/>
          <w:spacing w:val="4"/>
          <w:kern w:val="24"/>
        </w:rPr>
        <w:t>10%</w:t>
      </w:r>
      <w:r>
        <w:rPr>
          <w:rFonts w:cs="Times New Roman"/>
          <w:spacing w:val="4"/>
          <w:kern w:val="24"/>
        </w:rPr>
        <w:t>，最大落地浓度井场</w:t>
      </w:r>
      <w:bookmarkStart w:id="1595" w:name="OLE_LINK1212"/>
      <w:r>
        <w:rPr>
          <w:rFonts w:cs="Times New Roman"/>
          <w:spacing w:val="4"/>
          <w:kern w:val="24"/>
        </w:rPr>
        <w:t>无组织排放的非甲烷总烃</w:t>
      </w:r>
      <w:bookmarkEnd w:id="1595"/>
      <w:r>
        <w:rPr>
          <w:rFonts w:cs="Times New Roman"/>
          <w:spacing w:val="4"/>
          <w:kern w:val="24"/>
        </w:rPr>
        <w:t>，最大落地浓度</w:t>
      </w:r>
      <w:r>
        <w:rPr>
          <w:rFonts w:cs="Times New Roman"/>
          <w:spacing w:val="4"/>
          <w:kern w:val="24"/>
        </w:rPr>
        <w:t>102.3700μg/m</w:t>
      </w:r>
      <w:r>
        <w:rPr>
          <w:rFonts w:cs="Times New Roman"/>
          <w:spacing w:val="4"/>
          <w:kern w:val="24"/>
          <w:vertAlign w:val="superscript"/>
        </w:rPr>
        <w:t>3</w:t>
      </w:r>
      <w:r>
        <w:rPr>
          <w:rFonts w:cs="Times New Roman"/>
          <w:spacing w:val="4"/>
          <w:kern w:val="24"/>
        </w:rPr>
        <w:t>，最大占标率</w:t>
      </w:r>
      <w:r>
        <w:rPr>
          <w:rFonts w:cs="Times New Roman"/>
          <w:spacing w:val="4"/>
          <w:kern w:val="24"/>
        </w:rPr>
        <w:t>5.12%</w:t>
      </w:r>
      <w:r>
        <w:rPr>
          <w:rFonts w:cs="Times New Roman"/>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②</w:t>
      </w:r>
      <w:r>
        <w:rPr>
          <w:rFonts w:cs="Times New Roman"/>
          <w:spacing w:val="4"/>
          <w:kern w:val="24"/>
        </w:rPr>
        <w:t>预测结果表明，本工程正常工况下排放的非甲烷总烃满足《大气污染物综合排放标准详解》</w:t>
      </w:r>
      <w:r>
        <w:rPr>
          <w:rFonts w:cs="Times New Roman"/>
          <w:spacing w:val="4"/>
          <w:kern w:val="24"/>
        </w:rPr>
        <w:t>2.0mg/m</w:t>
      </w:r>
      <w:r>
        <w:rPr>
          <w:rFonts w:cs="Times New Roman"/>
          <w:spacing w:val="4"/>
          <w:kern w:val="24"/>
          <w:vertAlign w:val="superscript"/>
        </w:rPr>
        <w:t>3</w:t>
      </w:r>
      <w:r>
        <w:rPr>
          <w:rFonts w:cs="Times New Roman"/>
          <w:spacing w:val="4"/>
          <w:kern w:val="24"/>
        </w:rPr>
        <w:t>的标准要求，硫化氢满足《环境影响评价技术导则</w:t>
      </w:r>
      <w:r>
        <w:rPr>
          <w:rFonts w:cs="Times New Roman"/>
          <w:spacing w:val="4"/>
          <w:kern w:val="24"/>
        </w:rPr>
        <w:t xml:space="preserve"> </w:t>
      </w:r>
      <w:r>
        <w:rPr>
          <w:rFonts w:cs="Times New Roman"/>
          <w:spacing w:val="4"/>
          <w:kern w:val="24"/>
        </w:rPr>
        <w:t>大气环境》（</w:t>
      </w:r>
      <w:r>
        <w:rPr>
          <w:rFonts w:cs="Times New Roman"/>
          <w:spacing w:val="4"/>
          <w:kern w:val="24"/>
        </w:rPr>
        <w:t>HJ2.2-2018</w:t>
      </w:r>
      <w:r>
        <w:rPr>
          <w:rFonts w:cs="Times New Roman"/>
          <w:spacing w:val="4"/>
          <w:kern w:val="24"/>
        </w:rPr>
        <w:t>）附录</w:t>
      </w:r>
      <w:r>
        <w:rPr>
          <w:rFonts w:cs="Times New Roman"/>
          <w:spacing w:val="4"/>
          <w:kern w:val="24"/>
        </w:rPr>
        <w:t>D</w:t>
      </w:r>
      <w:r>
        <w:rPr>
          <w:rFonts w:cs="Times New Roman"/>
          <w:spacing w:val="4"/>
          <w:kern w:val="24"/>
        </w:rPr>
        <w:t>中的</w:t>
      </w:r>
      <w:r>
        <w:rPr>
          <w:rFonts w:cs="Times New Roman"/>
          <w:spacing w:val="4"/>
          <w:kern w:val="24"/>
        </w:rPr>
        <w:t>1h</w:t>
      </w:r>
      <w:r>
        <w:rPr>
          <w:rFonts w:cs="Times New Roman"/>
          <w:spacing w:val="4"/>
          <w:kern w:val="24"/>
        </w:rPr>
        <w:t>平均浓度限值</w:t>
      </w:r>
      <w:r>
        <w:rPr>
          <w:rFonts w:cs="Times New Roman"/>
          <w:spacing w:val="4"/>
          <w:kern w:val="24"/>
        </w:rPr>
        <w:t>10μg/m</w:t>
      </w:r>
      <w:r>
        <w:rPr>
          <w:rFonts w:cs="Times New Roman"/>
          <w:spacing w:val="4"/>
          <w:kern w:val="24"/>
          <w:vertAlign w:val="superscript"/>
        </w:rPr>
        <w:t>3</w:t>
      </w:r>
      <w:r>
        <w:rPr>
          <w:rFonts w:cs="Times New Roman"/>
          <w:spacing w:val="4"/>
          <w:kern w:val="24"/>
        </w:rPr>
        <w:t>的要求。</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③</w:t>
      </w:r>
      <w:r>
        <w:rPr>
          <w:rFonts w:cs="Times New Roman"/>
          <w:spacing w:val="4"/>
          <w:kern w:val="24"/>
        </w:rPr>
        <w:t>无组织源对区域环境空气的影响主要集中在污染源下风</w:t>
      </w:r>
      <w:r>
        <w:rPr>
          <w:rFonts w:cs="Times New Roman"/>
          <w:spacing w:val="4"/>
          <w:kern w:val="24"/>
        </w:rPr>
        <w:t>199m</w:t>
      </w:r>
      <w:r>
        <w:rPr>
          <w:rFonts w:cs="Times New Roman"/>
          <w:spacing w:val="4"/>
          <w:kern w:val="24"/>
        </w:rPr>
        <w:t>范围内，无组织排放的非甲烷总烃、硫化氢对周围环境空气影响较小。</w:t>
      </w:r>
    </w:p>
    <w:p w:rsidR="00C645C9" w:rsidRDefault="00F955D9">
      <w:pPr>
        <w:pStyle w:val="50"/>
        <w:widowControl w:val="0"/>
        <w:wordWrap w:val="0"/>
        <w:adjustRightInd w:val="0"/>
        <w:snapToGrid w:val="0"/>
        <w:jc w:val="both"/>
        <w:rPr>
          <w:rFonts w:ascii="Times New Roman" w:hAnsi="Times New Roman" w:cs="Times New Roman"/>
          <w:b w:val="0"/>
          <w:sz w:val="24"/>
        </w:rPr>
      </w:pPr>
      <w:r>
        <w:rPr>
          <w:rFonts w:ascii="Times New Roman" w:hAnsi="Times New Roman" w:cs="Times New Roman"/>
          <w:b w:val="0"/>
          <w:sz w:val="24"/>
        </w:rPr>
        <w:t>5.</w:t>
      </w:r>
      <w:r>
        <w:rPr>
          <w:rFonts w:ascii="Times New Roman" w:hAnsi="Times New Roman" w:cs="Times New Roman"/>
          <w:b w:val="0"/>
          <w:sz w:val="24"/>
        </w:rPr>
        <w:t>5.2.2</w:t>
      </w:r>
      <w:r>
        <w:rPr>
          <w:rFonts w:ascii="Times New Roman" w:hAnsi="Times New Roman" w:cs="Times New Roman"/>
          <w:b w:val="0"/>
          <w:sz w:val="24"/>
        </w:rPr>
        <w:t>.</w:t>
      </w:r>
      <w:r>
        <w:rPr>
          <w:rFonts w:ascii="Times New Roman" w:hAnsi="Times New Roman" w:cs="Times New Roman" w:hint="eastAsia"/>
          <w:b w:val="0"/>
          <w:sz w:val="24"/>
        </w:rPr>
        <w:t>3</w:t>
      </w:r>
      <w:r>
        <w:rPr>
          <w:rFonts w:ascii="Times New Roman" w:hAnsi="Times New Roman" w:cs="Times New Roman"/>
          <w:b w:val="0"/>
          <w:sz w:val="24"/>
        </w:rPr>
        <w:t>大气环境影响分析</w:t>
      </w:r>
    </w:p>
    <w:p w:rsidR="00C645C9" w:rsidRDefault="00F955D9" w:rsidP="005718BB">
      <w:pPr>
        <w:pStyle w:val="aff"/>
        <w:numPr>
          <w:ilvl w:val="0"/>
          <w:numId w:val="2"/>
        </w:numPr>
        <w:adjustRightInd w:val="0"/>
        <w:snapToGrid w:val="0"/>
        <w:ind w:firstLine="558"/>
        <w:rPr>
          <w:color w:val="auto"/>
        </w:rPr>
      </w:pPr>
      <w:r>
        <w:rPr>
          <w:rFonts w:cs="Times New Roman" w:hint="eastAsia"/>
          <w:color w:val="auto"/>
          <w:spacing w:val="4"/>
          <w:kern w:val="24"/>
        </w:rPr>
        <w:t>有</w:t>
      </w:r>
      <w:r>
        <w:rPr>
          <w:color w:val="auto"/>
        </w:rPr>
        <w:t>组织排放挥发性有机物环境影响分析</w:t>
      </w:r>
    </w:p>
    <w:p w:rsidR="00C645C9" w:rsidRDefault="00F955D9">
      <w:pPr>
        <w:pStyle w:val="aff"/>
        <w:adjustRightInd w:val="0"/>
        <w:snapToGrid w:val="0"/>
        <w:ind w:firstLineChars="200" w:firstLine="480"/>
        <w:rPr>
          <w:color w:val="auto"/>
        </w:rPr>
      </w:pPr>
      <w:r>
        <w:rPr>
          <w:rFonts w:hint="eastAsia"/>
          <w:color w:val="auto"/>
        </w:rPr>
        <w:t>本工程加热炉采用净化后天然气作为燃料，从而减少有害物质的排放。科学规划运输路线，尽量避开</w:t>
      </w:r>
      <w:bookmarkStart w:id="1596" w:name="OLE_LINK1557"/>
      <w:r>
        <w:rPr>
          <w:rFonts w:hint="eastAsia"/>
          <w:color w:val="auto"/>
        </w:rPr>
        <w:t>村庄等敏感区域</w:t>
      </w:r>
      <w:bookmarkEnd w:id="1596"/>
      <w:r>
        <w:rPr>
          <w:rFonts w:hint="eastAsia"/>
          <w:color w:val="auto"/>
        </w:rPr>
        <w:t>，减少运输过程中对村庄等敏感区域的影响。</w:t>
      </w:r>
    </w:p>
    <w:p w:rsidR="00C645C9" w:rsidRDefault="00F955D9" w:rsidP="005718BB">
      <w:pPr>
        <w:pStyle w:val="aff"/>
        <w:adjustRightInd w:val="0"/>
        <w:snapToGrid w:val="0"/>
        <w:ind w:firstLine="558"/>
        <w:rPr>
          <w:color w:val="auto"/>
        </w:rPr>
      </w:pPr>
      <w:r>
        <w:rPr>
          <w:rFonts w:cs="Times New Roman"/>
          <w:color w:val="auto"/>
          <w:spacing w:val="4"/>
          <w:kern w:val="24"/>
        </w:rPr>
        <w:lastRenderedPageBreak/>
        <w:t>（</w:t>
      </w:r>
      <w:r>
        <w:rPr>
          <w:rFonts w:cs="Times New Roman" w:hint="eastAsia"/>
          <w:color w:val="auto"/>
          <w:spacing w:val="4"/>
          <w:kern w:val="24"/>
        </w:rPr>
        <w:t>2</w:t>
      </w:r>
      <w:r>
        <w:rPr>
          <w:rFonts w:cs="Times New Roman"/>
          <w:color w:val="auto"/>
          <w:spacing w:val="4"/>
          <w:kern w:val="24"/>
        </w:rPr>
        <w:t>）</w:t>
      </w:r>
      <w:r>
        <w:rPr>
          <w:color w:val="auto"/>
        </w:rPr>
        <w:t>无</w:t>
      </w:r>
      <w:bookmarkStart w:id="1597" w:name="OLE_LINK1556"/>
      <w:r>
        <w:rPr>
          <w:color w:val="auto"/>
        </w:rPr>
        <w:t>组织排放挥发性有机物环境影响分析</w:t>
      </w:r>
      <w:bookmarkEnd w:id="1597"/>
    </w:p>
    <w:p w:rsidR="00C645C9" w:rsidRDefault="00F955D9" w:rsidP="005718BB">
      <w:pPr>
        <w:pStyle w:val="aff"/>
        <w:adjustRightInd w:val="0"/>
        <w:snapToGrid w:val="0"/>
        <w:rPr>
          <w:color w:val="auto"/>
        </w:rPr>
      </w:pPr>
      <w:r>
        <w:rPr>
          <w:color w:val="auto"/>
        </w:rPr>
        <w:t>在油气</w:t>
      </w:r>
      <w:r>
        <w:rPr>
          <w:rFonts w:hint="eastAsia"/>
          <w:color w:val="auto"/>
        </w:rPr>
        <w:t>处理</w:t>
      </w:r>
      <w:r>
        <w:rPr>
          <w:color w:val="auto"/>
        </w:rPr>
        <w:t>环节产生的挥发性有机物（</w:t>
      </w:r>
      <w:r>
        <w:rPr>
          <w:color w:val="auto"/>
        </w:rPr>
        <w:t>VOCs</w:t>
      </w:r>
      <w:r>
        <w:rPr>
          <w:color w:val="auto"/>
        </w:rPr>
        <w:t>）主要包括非甲烷总烃（烷烃、烯烃、芳香烃、炔烃等）、含氧有机化合物（醛、酮、醇、醚、酯、酚等）、卤代烃，含氮有机化合物，含硫有机化合物等，对本工程而言，</w:t>
      </w:r>
      <w:r>
        <w:rPr>
          <w:color w:val="auto"/>
        </w:rPr>
        <w:t>VOCs</w:t>
      </w:r>
      <w:r>
        <w:rPr>
          <w:color w:val="auto"/>
        </w:rPr>
        <w:t>主要为非甲烷总烃。</w:t>
      </w:r>
    </w:p>
    <w:p w:rsidR="00C645C9" w:rsidRDefault="00F955D9" w:rsidP="005718BB">
      <w:pPr>
        <w:pStyle w:val="aff"/>
        <w:rPr>
          <w:color w:val="auto"/>
        </w:rPr>
      </w:pPr>
      <w:r>
        <w:rPr>
          <w:rFonts w:hint="eastAsia"/>
          <w:color w:val="auto"/>
        </w:rPr>
        <w:t>本工程</w:t>
      </w:r>
      <w:r>
        <w:rPr>
          <w:color w:val="auto"/>
        </w:rPr>
        <w:t>油气处理采用</w:t>
      </w:r>
      <w:r>
        <w:rPr>
          <w:rFonts w:hint="eastAsia"/>
          <w:color w:val="auto"/>
        </w:rPr>
        <w:t>密闭装车鹤管</w:t>
      </w:r>
      <w:r>
        <w:rPr>
          <w:color w:val="auto"/>
        </w:rPr>
        <w:t>，井口密封并设紧急截断阀，可有效减少烃类气体的挥发量</w:t>
      </w:r>
      <w:r>
        <w:rPr>
          <w:rFonts w:hint="eastAsia"/>
          <w:color w:val="auto"/>
        </w:rPr>
        <w:t>。</w:t>
      </w:r>
    </w:p>
    <w:p w:rsidR="00C645C9" w:rsidRDefault="00F955D9" w:rsidP="005718BB">
      <w:pPr>
        <w:pStyle w:val="aff"/>
        <w:rPr>
          <w:color w:val="auto"/>
        </w:rPr>
      </w:pPr>
      <w:r>
        <w:rPr>
          <w:rFonts w:hint="eastAsia"/>
          <w:color w:val="auto"/>
        </w:rPr>
        <w:t>凝析油</w:t>
      </w:r>
      <w:r>
        <w:rPr>
          <w:color w:val="auto"/>
        </w:rPr>
        <w:t>在储运过程中，废气主要来源于罐区储罐中自然挥发的油气，属于连续性面源污染，即装油、泄油及油品的储存过程中的呼吸及装运中无组织排放。</w:t>
      </w:r>
      <w:r>
        <w:rPr>
          <w:rFonts w:hint="eastAsia"/>
          <w:color w:val="auto"/>
        </w:rPr>
        <w:t>根据可研，</w:t>
      </w:r>
      <w:r>
        <w:rPr>
          <w:rFonts w:hint="eastAsia"/>
          <w:color w:val="auto"/>
          <w:kern w:val="24"/>
        </w:rPr>
        <w:t>凝析油储罐上部设有安全阀，挥发的油气超过安全阀设定压力后，经安全阀后</w:t>
      </w:r>
      <w:r>
        <w:rPr>
          <w:rFonts w:hint="eastAsia"/>
          <w:color w:val="auto"/>
          <w:kern w:val="24"/>
        </w:rPr>
        <w:t>的管线输至站内天然气脱水装置进口管线进行处理，凝析油装车采用密闭装车工艺，可有效</w:t>
      </w:r>
      <w:r>
        <w:rPr>
          <w:rFonts w:ascii="宋体" w:hAnsi="宋体" w:hint="eastAsia"/>
          <w:bCs/>
          <w:color w:val="auto"/>
        </w:rPr>
        <w:t>减少</w:t>
      </w:r>
      <w:r>
        <w:rPr>
          <w:color w:val="auto"/>
        </w:rPr>
        <w:t>VOCs</w:t>
      </w:r>
      <w:r>
        <w:rPr>
          <w:rFonts w:ascii="宋体" w:hAnsi="宋体" w:hint="eastAsia"/>
          <w:bCs/>
          <w:color w:val="auto"/>
        </w:rPr>
        <w:t>的产生。另外还</w:t>
      </w:r>
      <w:r>
        <w:rPr>
          <w:color w:val="auto"/>
        </w:rPr>
        <w:t>可采取储罐罐体保温，减少罐内温差的变化，从而大大地降低了气体的蒸发损耗，罐体外表使用浅色涂层，来控制和减少</w:t>
      </w:r>
      <w:r>
        <w:rPr>
          <w:color w:val="auto"/>
        </w:rPr>
        <w:t>VOCs</w:t>
      </w:r>
      <w:r>
        <w:rPr>
          <w:color w:val="auto"/>
        </w:rPr>
        <w:t>的挥发排放。</w:t>
      </w:r>
    </w:p>
    <w:p w:rsidR="00C645C9" w:rsidRDefault="00F955D9">
      <w:pPr>
        <w:adjustRightInd w:val="0"/>
        <w:snapToGrid w:val="0"/>
        <w:spacing w:line="360" w:lineRule="auto"/>
        <w:ind w:firstLineChars="200" w:firstLine="480"/>
      </w:pPr>
      <w:r>
        <w:t>本</w:t>
      </w:r>
      <w:r>
        <w:rPr>
          <w:rFonts w:hint="eastAsia"/>
        </w:rPr>
        <w:t>工程</w:t>
      </w:r>
      <w:r>
        <w:t>运营期</w:t>
      </w:r>
      <w:r>
        <w:t>VOCs</w:t>
      </w:r>
      <w:r>
        <w:t>无组织排放会对区域大气环境质量造成一定影响。类比其他油田，运营期油田内的</w:t>
      </w:r>
      <w:r>
        <w:t>VOCs</w:t>
      </w:r>
      <w:r>
        <w:t>一般满足环境质量标准要求，影响在可接受范围内</w:t>
      </w:r>
      <w:r>
        <w:rPr>
          <w:rFonts w:hint="eastAsia"/>
        </w:rPr>
        <w:t>。</w:t>
      </w:r>
    </w:p>
    <w:p w:rsidR="00C645C9" w:rsidRDefault="00F955D9">
      <w:pPr>
        <w:pStyle w:val="4"/>
        <w:adjustRightInd w:val="0"/>
        <w:snapToGrid w:val="0"/>
        <w:rPr>
          <w:rFonts w:ascii="Times New Roman" w:hAnsi="Times New Roman" w:cs="Times New Roman"/>
          <w:color w:val="auto"/>
          <w:lang w:eastAsia="zh-CN"/>
        </w:rPr>
      </w:pPr>
      <w:r>
        <w:rPr>
          <w:rFonts w:ascii="Times New Roman" w:hAnsi="Times New Roman" w:cs="Times New Roman"/>
          <w:color w:val="auto"/>
          <w:lang w:eastAsia="zh-CN"/>
        </w:rPr>
        <w:t>5.5.2.3</w:t>
      </w:r>
      <w:r>
        <w:rPr>
          <w:rFonts w:ascii="Times New Roman" w:hAnsi="Times New Roman" w:cs="Times New Roman"/>
          <w:color w:val="auto"/>
          <w:lang w:eastAsia="zh-CN"/>
        </w:rPr>
        <w:t>非正常排放影响分析</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）非正常废气源强</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非正常生产排放包括开车、停车、设备检修、工艺设备运转异常</w:t>
      </w:r>
      <w:r>
        <w:rPr>
          <w:rFonts w:cs="Times New Roman" w:hint="eastAsia"/>
          <w:spacing w:val="4"/>
          <w:kern w:val="24"/>
        </w:rPr>
        <w:t>、</w:t>
      </w:r>
      <w:r>
        <w:rPr>
          <w:rFonts w:cs="Times New Roman"/>
          <w:spacing w:val="4"/>
          <w:kern w:val="24"/>
        </w:rPr>
        <w:t>环保设施不能正常运行</w:t>
      </w:r>
      <w:r>
        <w:rPr>
          <w:rFonts w:cs="Times New Roman" w:hint="eastAsia"/>
          <w:spacing w:val="4"/>
          <w:kern w:val="24"/>
        </w:rPr>
        <w:t>等</w:t>
      </w:r>
      <w:r>
        <w:rPr>
          <w:rFonts w:cs="Times New Roman"/>
          <w:spacing w:val="4"/>
          <w:kern w:val="24"/>
        </w:rPr>
        <w:t>非正常工况的污染物排放。</w:t>
      </w:r>
    </w:p>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本工程油气开采过程中设置了放空系统，当单井来液压力过高时，单井来液可通过多功能集油器进行气液分离，分离出的气相通过放空管由放空火炬向外排放。非正常工况下污染物源强情况见表</w:t>
      </w:r>
      <w:r>
        <w:rPr>
          <w:rFonts w:cs="Times New Roman"/>
          <w:spacing w:val="4"/>
          <w:kern w:val="24"/>
        </w:rPr>
        <w:t>5.</w:t>
      </w:r>
      <w:r>
        <w:rPr>
          <w:rFonts w:cs="Times New Roman"/>
          <w:spacing w:val="4"/>
          <w:kern w:val="24"/>
        </w:rPr>
        <w:t>5-9</w:t>
      </w:r>
      <w:r>
        <w:rPr>
          <w:rFonts w:cs="Times New Roman"/>
          <w:spacing w:val="4"/>
          <w:kern w:val="24"/>
        </w:rPr>
        <w:t>。</w:t>
      </w:r>
    </w:p>
    <w:p w:rsidR="00C645C9" w:rsidRDefault="00F955D9">
      <w:pPr>
        <w:keepNext/>
        <w:keepLines/>
        <w:widowControl w:val="0"/>
        <w:wordWrap w:val="0"/>
        <w:jc w:val="center"/>
        <w:rPr>
          <w:rFonts w:eastAsia="黑体" w:cs="Times New Roman"/>
          <w:sz w:val="21"/>
          <w:szCs w:val="21"/>
        </w:rPr>
      </w:pPr>
      <w:r>
        <w:rPr>
          <w:rFonts w:eastAsia="黑体" w:cs="Times New Roman"/>
          <w:sz w:val="21"/>
          <w:szCs w:val="21"/>
        </w:rPr>
        <w:t>表</w:t>
      </w:r>
      <w:r>
        <w:rPr>
          <w:rFonts w:eastAsia="黑体" w:cs="Times New Roman"/>
          <w:sz w:val="21"/>
          <w:szCs w:val="21"/>
        </w:rPr>
        <w:t>5.</w:t>
      </w:r>
      <w:r>
        <w:rPr>
          <w:rFonts w:cs="Times New Roman"/>
          <w:sz w:val="21"/>
          <w:szCs w:val="21"/>
        </w:rPr>
        <w:t>5-9</w:t>
      </w:r>
      <w:r>
        <w:rPr>
          <w:rFonts w:eastAsia="黑体" w:cs="Times New Roman" w:hint="eastAsia"/>
          <w:sz w:val="21"/>
          <w:szCs w:val="21"/>
        </w:rPr>
        <w:t xml:space="preserve">   </w:t>
      </w:r>
      <w:r>
        <w:rPr>
          <w:rFonts w:eastAsia="黑体" w:cs="Times New Roman"/>
          <w:sz w:val="21"/>
          <w:szCs w:val="21"/>
        </w:rPr>
        <w:t>非正常工况下污染物排放一览表</w:t>
      </w:r>
    </w:p>
    <w:tbl>
      <w:tblPr>
        <w:tblW w:w="90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57"/>
        <w:gridCol w:w="545"/>
        <w:gridCol w:w="480"/>
        <w:gridCol w:w="615"/>
        <w:gridCol w:w="525"/>
        <w:gridCol w:w="510"/>
        <w:gridCol w:w="555"/>
        <w:gridCol w:w="615"/>
        <w:gridCol w:w="465"/>
        <w:gridCol w:w="420"/>
        <w:gridCol w:w="465"/>
        <w:gridCol w:w="810"/>
        <w:gridCol w:w="1005"/>
        <w:gridCol w:w="660"/>
        <w:gridCol w:w="480"/>
        <w:gridCol w:w="508"/>
      </w:tblGrid>
      <w:tr w:rsidR="00C645C9">
        <w:trPr>
          <w:trHeight w:val="340"/>
          <w:jc w:val="center"/>
        </w:trPr>
        <w:tc>
          <w:tcPr>
            <w:tcW w:w="357"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名称</w:t>
            </w:r>
          </w:p>
        </w:tc>
        <w:tc>
          <w:tcPr>
            <w:tcW w:w="1025" w:type="dxa"/>
            <w:gridSpan w:val="2"/>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排气筒底部</w:t>
            </w:r>
          </w:p>
          <w:p w:rsidR="00C645C9" w:rsidRDefault="00F955D9">
            <w:pPr>
              <w:adjustRightInd w:val="0"/>
              <w:snapToGrid w:val="0"/>
              <w:jc w:val="center"/>
              <w:rPr>
                <w:rFonts w:cs="Times New Roman"/>
                <w:spacing w:val="-10"/>
                <w:sz w:val="21"/>
                <w:szCs w:val="21"/>
              </w:rPr>
            </w:pPr>
            <w:r>
              <w:rPr>
                <w:rFonts w:cs="Times New Roman"/>
                <w:spacing w:val="-10"/>
                <w:sz w:val="21"/>
                <w:szCs w:val="21"/>
              </w:rPr>
              <w:t>中心坐标</w:t>
            </w:r>
          </w:p>
        </w:tc>
        <w:tc>
          <w:tcPr>
            <w:tcW w:w="615"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底部</w:t>
            </w:r>
            <w:r>
              <w:rPr>
                <w:rFonts w:cs="Times New Roman" w:hint="eastAsia"/>
                <w:spacing w:val="-10"/>
                <w:sz w:val="21"/>
                <w:szCs w:val="21"/>
              </w:rPr>
              <w:t>海拔（</w:t>
            </w:r>
            <w:r>
              <w:rPr>
                <w:rFonts w:cs="Times New Roman"/>
                <w:spacing w:val="-10"/>
                <w:sz w:val="21"/>
                <w:szCs w:val="21"/>
              </w:rPr>
              <w:t>m</w:t>
            </w:r>
            <w:r>
              <w:rPr>
                <w:rFonts w:cs="Times New Roman" w:hint="eastAsia"/>
                <w:spacing w:val="-10"/>
                <w:sz w:val="21"/>
                <w:szCs w:val="21"/>
              </w:rPr>
              <w:t>）</w:t>
            </w:r>
          </w:p>
        </w:tc>
        <w:tc>
          <w:tcPr>
            <w:tcW w:w="525"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火炬等效高度</w:t>
            </w:r>
            <w:r>
              <w:rPr>
                <w:rFonts w:cs="Times New Roman" w:hint="eastAsia"/>
                <w:spacing w:val="-10"/>
                <w:sz w:val="21"/>
                <w:szCs w:val="21"/>
              </w:rPr>
              <w:t>（</w:t>
            </w:r>
            <w:r>
              <w:rPr>
                <w:rFonts w:cs="Times New Roman"/>
                <w:spacing w:val="-10"/>
                <w:sz w:val="21"/>
                <w:szCs w:val="21"/>
              </w:rPr>
              <w:t>m</w:t>
            </w:r>
            <w:r>
              <w:rPr>
                <w:rFonts w:cs="Times New Roman" w:hint="eastAsia"/>
                <w:spacing w:val="-10"/>
                <w:sz w:val="21"/>
                <w:szCs w:val="21"/>
              </w:rPr>
              <w:t>）</w:t>
            </w:r>
          </w:p>
        </w:tc>
        <w:tc>
          <w:tcPr>
            <w:tcW w:w="510"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等效出口内径</w:t>
            </w:r>
            <w:r>
              <w:rPr>
                <w:rFonts w:cs="Times New Roman" w:hint="eastAsia"/>
                <w:spacing w:val="-10"/>
                <w:sz w:val="21"/>
                <w:szCs w:val="21"/>
              </w:rPr>
              <w:t>（</w:t>
            </w:r>
            <w:r>
              <w:rPr>
                <w:rFonts w:cs="Times New Roman"/>
                <w:spacing w:val="-10"/>
                <w:sz w:val="21"/>
                <w:szCs w:val="21"/>
              </w:rPr>
              <w:t>m</w:t>
            </w:r>
            <w:r>
              <w:rPr>
                <w:rFonts w:cs="Times New Roman" w:hint="eastAsia"/>
                <w:spacing w:val="-10"/>
                <w:sz w:val="21"/>
                <w:szCs w:val="21"/>
              </w:rPr>
              <w:t>）</w:t>
            </w:r>
          </w:p>
        </w:tc>
        <w:tc>
          <w:tcPr>
            <w:tcW w:w="555"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烟气温度</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615"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等效烟气流速</w:t>
            </w:r>
            <w:r>
              <w:rPr>
                <w:rFonts w:cs="Times New Roman" w:hint="eastAsia"/>
                <w:spacing w:val="-10"/>
                <w:sz w:val="21"/>
                <w:szCs w:val="21"/>
              </w:rPr>
              <w:t>（</w:t>
            </w:r>
            <w:r>
              <w:rPr>
                <w:rFonts w:cs="Times New Roman"/>
                <w:spacing w:val="-10"/>
                <w:sz w:val="21"/>
                <w:szCs w:val="21"/>
              </w:rPr>
              <w:t>m/s</w:t>
            </w:r>
            <w:r>
              <w:rPr>
                <w:rFonts w:cs="Times New Roman" w:hint="eastAsia"/>
                <w:spacing w:val="-10"/>
                <w:sz w:val="21"/>
                <w:szCs w:val="21"/>
              </w:rPr>
              <w:t>）</w:t>
            </w:r>
          </w:p>
        </w:tc>
        <w:tc>
          <w:tcPr>
            <w:tcW w:w="465"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年排放小时数</w:t>
            </w:r>
            <w:r>
              <w:rPr>
                <w:rFonts w:cs="Times New Roman" w:hint="eastAsia"/>
                <w:spacing w:val="-10"/>
                <w:sz w:val="21"/>
                <w:szCs w:val="21"/>
              </w:rPr>
              <w:t>（</w:t>
            </w:r>
            <w:r>
              <w:rPr>
                <w:rFonts w:cs="Times New Roman"/>
                <w:spacing w:val="-10"/>
                <w:sz w:val="21"/>
                <w:szCs w:val="21"/>
              </w:rPr>
              <w:t>h</w:t>
            </w:r>
            <w:r>
              <w:rPr>
                <w:rFonts w:cs="Times New Roman" w:hint="eastAsia"/>
                <w:spacing w:val="-10"/>
                <w:sz w:val="21"/>
                <w:szCs w:val="21"/>
              </w:rPr>
              <w:t>）</w:t>
            </w:r>
          </w:p>
        </w:tc>
        <w:tc>
          <w:tcPr>
            <w:tcW w:w="420"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排放</w:t>
            </w:r>
          </w:p>
          <w:p w:rsidR="00C645C9" w:rsidRDefault="00F955D9">
            <w:pPr>
              <w:adjustRightInd w:val="0"/>
              <w:snapToGrid w:val="0"/>
              <w:jc w:val="center"/>
              <w:rPr>
                <w:rFonts w:cs="Times New Roman"/>
                <w:spacing w:val="-10"/>
                <w:sz w:val="21"/>
                <w:szCs w:val="21"/>
              </w:rPr>
            </w:pPr>
            <w:r>
              <w:rPr>
                <w:rFonts w:cs="Times New Roman"/>
                <w:spacing w:val="-10"/>
                <w:sz w:val="21"/>
                <w:szCs w:val="21"/>
              </w:rPr>
              <w:t>工况</w:t>
            </w:r>
          </w:p>
        </w:tc>
        <w:tc>
          <w:tcPr>
            <w:tcW w:w="2280" w:type="dxa"/>
            <w:gridSpan w:val="3"/>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燃烧物质及热释放速率</w:t>
            </w:r>
          </w:p>
        </w:tc>
        <w:tc>
          <w:tcPr>
            <w:tcW w:w="1648" w:type="dxa"/>
            <w:gridSpan w:val="3"/>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污染物排放速率</w:t>
            </w:r>
            <w:r>
              <w:rPr>
                <w:rFonts w:cs="Times New Roman" w:hint="eastAsia"/>
                <w:spacing w:val="-10"/>
                <w:sz w:val="21"/>
                <w:szCs w:val="21"/>
              </w:rPr>
              <w:t>（</w:t>
            </w:r>
            <w:r>
              <w:rPr>
                <w:rFonts w:cs="Times New Roman"/>
                <w:spacing w:val="-10"/>
                <w:sz w:val="21"/>
                <w:szCs w:val="21"/>
              </w:rPr>
              <w:t>kg/h</w:t>
            </w:r>
            <w:r>
              <w:rPr>
                <w:rFonts w:cs="Times New Roman" w:hint="eastAsia"/>
                <w:spacing w:val="-10"/>
                <w:sz w:val="21"/>
                <w:szCs w:val="21"/>
              </w:rPr>
              <w:t>）</w:t>
            </w:r>
          </w:p>
        </w:tc>
      </w:tr>
      <w:tr w:rsidR="00C645C9">
        <w:trPr>
          <w:trHeight w:val="340"/>
          <w:jc w:val="center"/>
        </w:trPr>
        <w:tc>
          <w:tcPr>
            <w:tcW w:w="357"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54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经度</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48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纬度</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61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52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51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55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61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465"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420"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46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燃烧物质</w:t>
            </w:r>
          </w:p>
        </w:tc>
        <w:tc>
          <w:tcPr>
            <w:tcW w:w="81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燃烧速率</w:t>
            </w:r>
            <w:r>
              <w:rPr>
                <w:rFonts w:cs="Times New Roman" w:hint="eastAsia"/>
                <w:spacing w:val="-10"/>
                <w:sz w:val="21"/>
                <w:szCs w:val="21"/>
              </w:rPr>
              <w:t>（</w:t>
            </w:r>
            <w:r>
              <w:rPr>
                <w:rFonts w:cs="Times New Roman"/>
                <w:spacing w:val="-10"/>
                <w:sz w:val="21"/>
                <w:szCs w:val="21"/>
              </w:rPr>
              <w:t>kg/h</w:t>
            </w:r>
            <w:r>
              <w:rPr>
                <w:rFonts w:cs="Times New Roman" w:hint="eastAsia"/>
                <w:spacing w:val="-10"/>
                <w:sz w:val="21"/>
                <w:szCs w:val="21"/>
              </w:rPr>
              <w:t>）</w:t>
            </w:r>
          </w:p>
        </w:tc>
        <w:tc>
          <w:tcPr>
            <w:tcW w:w="100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总热释放速率</w:t>
            </w:r>
            <w:r>
              <w:rPr>
                <w:rFonts w:cs="Times New Roman" w:hint="eastAsia"/>
                <w:spacing w:val="-10"/>
                <w:sz w:val="21"/>
                <w:szCs w:val="21"/>
              </w:rPr>
              <w:t>（</w:t>
            </w:r>
            <w:r>
              <w:rPr>
                <w:rFonts w:cs="Times New Roman"/>
                <w:spacing w:val="-10"/>
                <w:sz w:val="21"/>
                <w:szCs w:val="21"/>
              </w:rPr>
              <w:t>cal/s</w:t>
            </w:r>
            <w:r>
              <w:rPr>
                <w:rFonts w:cs="Times New Roman" w:hint="eastAsia"/>
                <w:spacing w:val="-10"/>
                <w:sz w:val="21"/>
                <w:szCs w:val="21"/>
              </w:rPr>
              <w:t>）</w:t>
            </w:r>
          </w:p>
        </w:tc>
        <w:tc>
          <w:tcPr>
            <w:tcW w:w="66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48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NO</w:t>
            </w:r>
            <w:r>
              <w:rPr>
                <w:rFonts w:cs="Times New Roman"/>
                <w:spacing w:val="-10"/>
                <w:sz w:val="21"/>
                <w:szCs w:val="21"/>
                <w:vertAlign w:val="subscript"/>
              </w:rPr>
              <w:t>x</w:t>
            </w:r>
          </w:p>
        </w:tc>
        <w:tc>
          <w:tcPr>
            <w:tcW w:w="508"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SO</w:t>
            </w:r>
            <w:r>
              <w:rPr>
                <w:rFonts w:cs="Times New Roman"/>
                <w:spacing w:val="-10"/>
                <w:sz w:val="21"/>
                <w:szCs w:val="21"/>
                <w:vertAlign w:val="subscript"/>
              </w:rPr>
              <w:t>2</w:t>
            </w:r>
          </w:p>
        </w:tc>
      </w:tr>
      <w:tr w:rsidR="00C645C9">
        <w:trPr>
          <w:trHeight w:val="886"/>
          <w:jc w:val="center"/>
        </w:trPr>
        <w:tc>
          <w:tcPr>
            <w:tcW w:w="357"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火炬</w:t>
            </w:r>
          </w:p>
        </w:tc>
        <w:tc>
          <w:tcPr>
            <w:tcW w:w="545" w:type="dxa"/>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t>**</w:t>
            </w:r>
          </w:p>
        </w:tc>
        <w:tc>
          <w:tcPr>
            <w:tcW w:w="480" w:type="dxa"/>
            <w:tcBorders>
              <w:tl2br w:val="nil"/>
              <w:tr2bl w:val="nil"/>
            </w:tcBorders>
            <w:vAlign w:val="center"/>
          </w:tcPr>
          <w:p w:rsidR="00C645C9" w:rsidRDefault="00F955D9">
            <w:pPr>
              <w:widowControl w:val="0"/>
              <w:wordWrap w:val="0"/>
              <w:jc w:val="center"/>
              <w:rPr>
                <w:rFonts w:cs="Times New Roman"/>
                <w:spacing w:val="-10"/>
                <w:sz w:val="21"/>
                <w:szCs w:val="21"/>
              </w:rPr>
            </w:pPr>
            <w:r>
              <w:rPr>
                <w:rFonts w:cs="Times New Roman" w:hint="eastAsia"/>
                <w:sz w:val="21"/>
                <w:szCs w:val="21"/>
              </w:rPr>
              <w:t>**</w:t>
            </w:r>
          </w:p>
        </w:tc>
        <w:tc>
          <w:tcPr>
            <w:tcW w:w="61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1013</w:t>
            </w:r>
          </w:p>
        </w:tc>
        <w:tc>
          <w:tcPr>
            <w:tcW w:w="52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19.9</w:t>
            </w:r>
          </w:p>
        </w:tc>
        <w:tc>
          <w:tcPr>
            <w:tcW w:w="51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0.98</w:t>
            </w:r>
          </w:p>
        </w:tc>
        <w:tc>
          <w:tcPr>
            <w:tcW w:w="55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1000</w:t>
            </w:r>
          </w:p>
        </w:tc>
        <w:tc>
          <w:tcPr>
            <w:tcW w:w="61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w:t>
            </w:r>
          </w:p>
        </w:tc>
        <w:tc>
          <w:tcPr>
            <w:tcW w:w="46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48</w:t>
            </w:r>
          </w:p>
        </w:tc>
        <w:tc>
          <w:tcPr>
            <w:tcW w:w="42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正常</w:t>
            </w:r>
          </w:p>
        </w:tc>
        <w:tc>
          <w:tcPr>
            <w:tcW w:w="46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天然气</w:t>
            </w:r>
          </w:p>
        </w:tc>
        <w:tc>
          <w:tcPr>
            <w:tcW w:w="81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990</w:t>
            </w:r>
          </w:p>
        </w:tc>
        <w:tc>
          <w:tcPr>
            <w:tcW w:w="1005"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2194296.5</w:t>
            </w:r>
          </w:p>
        </w:tc>
        <w:tc>
          <w:tcPr>
            <w:tcW w:w="66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1.98</w:t>
            </w:r>
          </w:p>
        </w:tc>
        <w:tc>
          <w:tcPr>
            <w:tcW w:w="480"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53.46</w:t>
            </w:r>
          </w:p>
        </w:tc>
        <w:tc>
          <w:tcPr>
            <w:tcW w:w="508"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36.63</w:t>
            </w:r>
          </w:p>
        </w:tc>
      </w:tr>
    </w:tbl>
    <w:p w:rsidR="00C645C9" w:rsidRDefault="00F955D9">
      <w:pPr>
        <w:adjustRightInd w:val="0"/>
        <w:snapToGrid w:val="0"/>
        <w:spacing w:line="360" w:lineRule="auto"/>
        <w:rPr>
          <w:rFonts w:cs="Times New Roman"/>
        </w:rPr>
      </w:pPr>
      <w:r>
        <w:rPr>
          <w:rFonts w:cs="Times New Roman"/>
        </w:rPr>
        <w:lastRenderedPageBreak/>
        <w:t>（</w:t>
      </w:r>
      <w:r>
        <w:rPr>
          <w:rFonts w:cs="Times New Roman"/>
        </w:rPr>
        <w:t>2</w:t>
      </w:r>
      <w:r>
        <w:rPr>
          <w:rFonts w:cs="Times New Roman"/>
        </w:rPr>
        <w:t>）</w:t>
      </w:r>
      <w:r>
        <w:rPr>
          <w:rFonts w:cs="Times New Roman"/>
        </w:rPr>
        <w:t>非正常工况</w:t>
      </w:r>
      <w:r>
        <w:rPr>
          <w:rFonts w:cs="Times New Roman"/>
        </w:rPr>
        <w:t>影响分析</w:t>
      </w:r>
    </w:p>
    <w:p w:rsidR="00C645C9" w:rsidRDefault="00F955D9">
      <w:pPr>
        <w:adjustRightInd w:val="0"/>
        <w:snapToGrid w:val="0"/>
        <w:spacing w:line="360" w:lineRule="auto"/>
        <w:ind w:firstLineChars="200" w:firstLine="480"/>
        <w:rPr>
          <w:rFonts w:cs="Times New Roman"/>
        </w:rPr>
      </w:pPr>
      <w:r>
        <w:rPr>
          <w:rFonts w:cs="Times New Roman"/>
        </w:rPr>
        <w:t>非正常工况条件下外排废气持续时间较短，采用估算模式计算最大占标率，计算结果见表</w:t>
      </w:r>
      <w:r>
        <w:rPr>
          <w:rFonts w:cs="Times New Roman"/>
        </w:rPr>
        <w:t>5</w:t>
      </w:r>
      <w:r>
        <w:rPr>
          <w:rFonts w:cs="Times New Roman"/>
        </w:rPr>
        <w:t>.5-10</w:t>
      </w:r>
      <w:r>
        <w:rPr>
          <w:rFonts w:cs="Times New Roman"/>
        </w:rPr>
        <w:t>。</w:t>
      </w:r>
    </w:p>
    <w:p w:rsidR="00C645C9" w:rsidRDefault="00F955D9" w:rsidP="005718BB">
      <w:pPr>
        <w:pStyle w:val="aff8"/>
        <w:ind w:firstLine="512"/>
        <w:rPr>
          <w:rFonts w:eastAsia="黑体" w:cs="Times New Roman"/>
          <w:b w:val="0"/>
          <w:sz w:val="21"/>
          <w:szCs w:val="21"/>
        </w:rPr>
      </w:pPr>
      <w:r>
        <w:rPr>
          <w:rFonts w:eastAsia="黑体" w:cs="Times New Roman"/>
          <w:b w:val="0"/>
          <w:sz w:val="21"/>
          <w:szCs w:val="21"/>
        </w:rPr>
        <w:t>表</w:t>
      </w:r>
      <w:r>
        <w:rPr>
          <w:rFonts w:eastAsia="黑体" w:cs="Times New Roman"/>
          <w:b w:val="0"/>
          <w:sz w:val="21"/>
          <w:szCs w:val="21"/>
        </w:rPr>
        <w:t xml:space="preserve">5.5-10   </w:t>
      </w:r>
      <w:r>
        <w:rPr>
          <w:rFonts w:eastAsia="黑体" w:cs="Times New Roman"/>
          <w:b w:val="0"/>
          <w:sz w:val="21"/>
          <w:szCs w:val="21"/>
        </w:rPr>
        <w:t>非正常排放</w:t>
      </w:r>
      <w:r>
        <w:rPr>
          <w:rFonts w:eastAsia="黑体" w:cs="Times New Roman"/>
          <w:b w:val="0"/>
          <w:sz w:val="21"/>
          <w:szCs w:val="21"/>
        </w:rPr>
        <w:t>P</w:t>
      </w:r>
      <w:r>
        <w:rPr>
          <w:rFonts w:eastAsia="黑体" w:cs="Times New Roman"/>
          <w:b w:val="0"/>
          <w:sz w:val="21"/>
          <w:szCs w:val="21"/>
          <w:vertAlign w:val="subscript"/>
        </w:rPr>
        <w:t>max</w:t>
      </w:r>
      <w:r>
        <w:rPr>
          <w:rFonts w:eastAsia="黑体" w:cs="Times New Roman"/>
          <w:b w:val="0"/>
          <w:sz w:val="21"/>
          <w:szCs w:val="21"/>
        </w:rPr>
        <w:t>及</w:t>
      </w:r>
      <w:r>
        <w:rPr>
          <w:rFonts w:eastAsia="黑体" w:cs="Times New Roman"/>
          <w:b w:val="0"/>
          <w:sz w:val="21"/>
          <w:szCs w:val="21"/>
        </w:rPr>
        <w:t>D</w:t>
      </w:r>
      <w:r>
        <w:rPr>
          <w:rFonts w:eastAsia="黑体" w:cs="Times New Roman"/>
          <w:b w:val="0"/>
          <w:sz w:val="21"/>
          <w:szCs w:val="21"/>
          <w:vertAlign w:val="subscript"/>
        </w:rPr>
        <w:t>10%</w:t>
      </w:r>
      <w:r>
        <w:rPr>
          <w:rFonts w:eastAsia="黑体" w:cs="Times New Roman"/>
          <w:b w:val="0"/>
          <w:sz w:val="21"/>
          <w:szCs w:val="21"/>
        </w:rPr>
        <w:t>预测及计算结果一览表</w:t>
      </w:r>
      <w:r>
        <w:rPr>
          <w:rFonts w:eastAsia="黑体" w:cs="Times New Roman"/>
          <w:b w:val="0"/>
          <w:sz w:val="21"/>
          <w:szCs w:val="21"/>
        </w:rPr>
        <w:t xml:space="preserve">    </w:t>
      </w:r>
      <w:r>
        <w:rPr>
          <w:rFonts w:eastAsia="黑体" w:cs="Times New Roman"/>
          <w:b w:val="0"/>
          <w:sz w:val="21"/>
          <w:szCs w:val="21"/>
        </w:rPr>
        <w:t>单位：</w:t>
      </w:r>
      <w:r>
        <w:rPr>
          <w:rFonts w:eastAsia="黑体" w:cs="Times New Roman"/>
          <w:b w:val="0"/>
          <w:sz w:val="21"/>
          <w:szCs w:val="21"/>
        </w:rPr>
        <w:t>μg/m³</w:t>
      </w:r>
    </w:p>
    <w:tbl>
      <w:tblPr>
        <w:tblW w:w="89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2"/>
        <w:gridCol w:w="1296"/>
        <w:gridCol w:w="1296"/>
        <w:gridCol w:w="1296"/>
        <w:gridCol w:w="1296"/>
        <w:gridCol w:w="1298"/>
        <w:gridCol w:w="1921"/>
      </w:tblGrid>
      <w:tr w:rsidR="00C645C9">
        <w:trPr>
          <w:trHeight w:val="425"/>
          <w:jc w:val="center"/>
        </w:trPr>
        <w:tc>
          <w:tcPr>
            <w:tcW w:w="592" w:type="dxa"/>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序号</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污染源名称</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评价因子</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w:t>
            </w:r>
            <w:r>
              <w:rPr>
                <w:rFonts w:cs="Times New Roman"/>
                <w:spacing w:val="-10"/>
                <w:sz w:val="21"/>
                <w:szCs w:val="21"/>
                <w:vertAlign w:val="subscript"/>
              </w:rPr>
              <w:t>i</w:t>
            </w:r>
            <w:r>
              <w:rPr>
                <w:rFonts w:cs="Times New Roman" w:hint="eastAsia"/>
                <w:spacing w:val="-10"/>
                <w:sz w:val="21"/>
                <w:szCs w:val="21"/>
              </w:rPr>
              <w:t>（</w:t>
            </w:r>
            <w:r>
              <w:rPr>
                <w:rFonts w:cs="Times New Roman"/>
                <w:spacing w:val="-10"/>
                <w:sz w:val="21"/>
                <w:szCs w:val="21"/>
              </w:rPr>
              <w:t>μg/</w:t>
            </w:r>
            <w:r>
              <w:rPr>
                <w:rFonts w:cs="Times New Roman"/>
                <w:spacing w:val="-10"/>
                <w:sz w:val="21"/>
                <w:szCs w:val="21"/>
              </w:rPr>
              <w:t>m³</w:t>
            </w:r>
            <w:r>
              <w:rPr>
                <w:rFonts w:cs="Times New Roman" w:hint="eastAsia"/>
                <w:spacing w:val="-10"/>
                <w:sz w:val="21"/>
                <w:szCs w:val="21"/>
              </w:rPr>
              <w:t>）</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P</w:t>
            </w:r>
            <w:r>
              <w:rPr>
                <w:rFonts w:cs="Times New Roman"/>
                <w:spacing w:val="-10"/>
                <w:sz w:val="21"/>
                <w:szCs w:val="21"/>
                <w:vertAlign w:val="subscript"/>
              </w:rPr>
              <w:t>i</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1298"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P</w:t>
            </w:r>
            <w:r>
              <w:rPr>
                <w:rFonts w:cs="Times New Roman"/>
                <w:spacing w:val="-10"/>
                <w:sz w:val="21"/>
                <w:szCs w:val="21"/>
                <w:vertAlign w:val="subscript"/>
              </w:rPr>
              <w:t>max</w:t>
            </w:r>
            <w:r>
              <w:rPr>
                <w:rFonts w:cs="Times New Roman" w:hint="eastAsia"/>
                <w:spacing w:val="-10"/>
                <w:sz w:val="21"/>
                <w:szCs w:val="21"/>
              </w:rPr>
              <w:t>（</w:t>
            </w:r>
            <w:r>
              <w:rPr>
                <w:rFonts w:cs="Times New Roman"/>
                <w:spacing w:val="-10"/>
                <w:sz w:val="21"/>
                <w:szCs w:val="21"/>
              </w:rPr>
              <w:t>%</w:t>
            </w:r>
            <w:r>
              <w:rPr>
                <w:rFonts w:cs="Times New Roman" w:hint="eastAsia"/>
                <w:spacing w:val="-10"/>
                <w:sz w:val="21"/>
                <w:szCs w:val="21"/>
              </w:rPr>
              <w:t>）</w:t>
            </w:r>
          </w:p>
        </w:tc>
        <w:tc>
          <w:tcPr>
            <w:tcW w:w="1921"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最大浓度出现距离</w:t>
            </w:r>
            <w:r>
              <w:rPr>
                <w:rFonts w:cs="Times New Roman" w:hint="eastAsia"/>
                <w:spacing w:val="-10"/>
                <w:sz w:val="21"/>
                <w:szCs w:val="21"/>
              </w:rPr>
              <w:t>（</w:t>
            </w:r>
            <w:r>
              <w:rPr>
                <w:rFonts w:cs="Times New Roman"/>
                <w:spacing w:val="-10"/>
                <w:sz w:val="21"/>
                <w:szCs w:val="21"/>
              </w:rPr>
              <w:t>m</w:t>
            </w:r>
            <w:r>
              <w:rPr>
                <w:rFonts w:cs="Times New Roman" w:hint="eastAsia"/>
                <w:spacing w:val="-10"/>
                <w:sz w:val="21"/>
                <w:szCs w:val="21"/>
              </w:rPr>
              <w:t>）</w:t>
            </w:r>
          </w:p>
        </w:tc>
      </w:tr>
      <w:tr w:rsidR="00C645C9">
        <w:trPr>
          <w:trHeight w:val="425"/>
          <w:jc w:val="center"/>
        </w:trPr>
        <w:tc>
          <w:tcPr>
            <w:tcW w:w="592" w:type="dxa"/>
            <w:vMerge w:val="restart"/>
            <w:tcBorders>
              <w:tl2br w:val="nil"/>
              <w:tr2bl w:val="nil"/>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w:t>
            </w:r>
          </w:p>
        </w:tc>
        <w:tc>
          <w:tcPr>
            <w:tcW w:w="1296"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放空火炬</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非甲烷总烃</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4.47</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0.22</w:t>
            </w:r>
          </w:p>
        </w:tc>
        <w:tc>
          <w:tcPr>
            <w:tcW w:w="1298"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60.43</w:t>
            </w:r>
          </w:p>
        </w:tc>
        <w:tc>
          <w:tcPr>
            <w:tcW w:w="1921" w:type="dxa"/>
            <w:vMerge w:val="restart"/>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279</w:t>
            </w:r>
          </w:p>
        </w:tc>
      </w:tr>
      <w:tr w:rsidR="00C645C9">
        <w:trPr>
          <w:trHeight w:val="425"/>
          <w:jc w:val="center"/>
        </w:trPr>
        <w:tc>
          <w:tcPr>
            <w:tcW w:w="592"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129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SO</w:t>
            </w:r>
            <w:r>
              <w:rPr>
                <w:rFonts w:cs="Times New Roman"/>
                <w:spacing w:val="-10"/>
                <w:sz w:val="21"/>
                <w:szCs w:val="21"/>
                <w:vertAlign w:val="subscript"/>
              </w:rPr>
              <w:t>2</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82.80</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16.56</w:t>
            </w:r>
          </w:p>
        </w:tc>
        <w:tc>
          <w:tcPr>
            <w:tcW w:w="1298" w:type="dxa"/>
            <w:vMerge/>
            <w:tcBorders>
              <w:tl2br w:val="nil"/>
              <w:tr2bl w:val="nil"/>
            </w:tcBorders>
            <w:tcMar>
              <w:top w:w="12" w:type="dxa"/>
              <w:left w:w="12" w:type="dxa"/>
              <w:bottom w:w="0" w:type="dxa"/>
              <w:right w:w="12" w:type="dxa"/>
            </w:tcMar>
            <w:vAlign w:val="center"/>
          </w:tcPr>
          <w:p w:rsidR="00C645C9" w:rsidRDefault="00C645C9">
            <w:pPr>
              <w:rPr>
                <w:rFonts w:cs="Times New Roman"/>
              </w:rPr>
            </w:pPr>
          </w:p>
        </w:tc>
        <w:tc>
          <w:tcPr>
            <w:tcW w:w="1921" w:type="dxa"/>
            <w:vMerge/>
            <w:tcBorders>
              <w:tl2br w:val="nil"/>
              <w:tr2bl w:val="nil"/>
            </w:tcBorders>
            <w:tcMar>
              <w:top w:w="12" w:type="dxa"/>
              <w:left w:w="12" w:type="dxa"/>
              <w:bottom w:w="0" w:type="dxa"/>
              <w:right w:w="12" w:type="dxa"/>
            </w:tcMar>
            <w:vAlign w:val="center"/>
          </w:tcPr>
          <w:p w:rsidR="00C645C9" w:rsidRDefault="00C645C9">
            <w:pPr>
              <w:rPr>
                <w:rFonts w:cs="Times New Roman"/>
              </w:rPr>
            </w:pPr>
          </w:p>
        </w:tc>
      </w:tr>
      <w:tr w:rsidR="00C645C9">
        <w:trPr>
          <w:trHeight w:val="425"/>
          <w:jc w:val="center"/>
        </w:trPr>
        <w:tc>
          <w:tcPr>
            <w:tcW w:w="592" w:type="dxa"/>
            <w:vMerge/>
            <w:tcBorders>
              <w:tl2br w:val="nil"/>
              <w:tr2bl w:val="nil"/>
            </w:tcBorders>
            <w:vAlign w:val="center"/>
          </w:tcPr>
          <w:p w:rsidR="00C645C9" w:rsidRDefault="00C645C9">
            <w:pPr>
              <w:adjustRightInd w:val="0"/>
              <w:snapToGrid w:val="0"/>
              <w:jc w:val="center"/>
              <w:rPr>
                <w:rFonts w:cs="Times New Roman"/>
                <w:spacing w:val="-10"/>
                <w:sz w:val="21"/>
                <w:szCs w:val="21"/>
              </w:rPr>
            </w:pPr>
          </w:p>
        </w:tc>
        <w:tc>
          <w:tcPr>
            <w:tcW w:w="1296" w:type="dxa"/>
            <w:vMerge/>
            <w:tcBorders>
              <w:tl2br w:val="nil"/>
              <w:tr2bl w:val="nil"/>
            </w:tcBorders>
            <w:tcMar>
              <w:top w:w="12" w:type="dxa"/>
              <w:left w:w="12" w:type="dxa"/>
              <w:bottom w:w="0" w:type="dxa"/>
              <w:right w:w="12" w:type="dxa"/>
            </w:tcMar>
            <w:vAlign w:val="center"/>
          </w:tcPr>
          <w:p w:rsidR="00C645C9" w:rsidRDefault="00C645C9">
            <w:pPr>
              <w:adjustRightInd w:val="0"/>
              <w:snapToGrid w:val="0"/>
              <w:jc w:val="center"/>
              <w:rPr>
                <w:rFonts w:cs="Times New Roman"/>
                <w:spacing w:val="-10"/>
                <w:sz w:val="21"/>
                <w:szCs w:val="21"/>
              </w:rPr>
            </w:pP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NO</w:t>
            </w:r>
            <w:r>
              <w:rPr>
                <w:rFonts w:cs="Times New Roman"/>
                <w:spacing w:val="-10"/>
                <w:sz w:val="21"/>
                <w:szCs w:val="21"/>
                <w:vertAlign w:val="subscript"/>
              </w:rPr>
              <w:t>2</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120.85</w:t>
            </w:r>
          </w:p>
        </w:tc>
        <w:tc>
          <w:tcPr>
            <w:tcW w:w="1296" w:type="dxa"/>
            <w:tcBorders>
              <w:tl2br w:val="nil"/>
              <w:tr2bl w:val="nil"/>
            </w:tcBorders>
            <w:tcMar>
              <w:top w:w="12" w:type="dxa"/>
              <w:left w:w="12" w:type="dxa"/>
              <w:bottom w:w="0" w:type="dxa"/>
              <w:right w:w="12" w:type="dxa"/>
            </w:tcMar>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60.43</w:t>
            </w:r>
          </w:p>
        </w:tc>
        <w:tc>
          <w:tcPr>
            <w:tcW w:w="1298" w:type="dxa"/>
            <w:vMerge/>
            <w:tcBorders>
              <w:tl2br w:val="nil"/>
              <w:tr2bl w:val="nil"/>
            </w:tcBorders>
            <w:tcMar>
              <w:top w:w="12" w:type="dxa"/>
              <w:left w:w="12" w:type="dxa"/>
              <w:bottom w:w="0" w:type="dxa"/>
              <w:right w:w="12" w:type="dxa"/>
            </w:tcMar>
            <w:vAlign w:val="center"/>
          </w:tcPr>
          <w:p w:rsidR="00C645C9" w:rsidRDefault="00C645C9">
            <w:pPr>
              <w:rPr>
                <w:rFonts w:cs="Times New Roman"/>
              </w:rPr>
            </w:pPr>
          </w:p>
        </w:tc>
        <w:tc>
          <w:tcPr>
            <w:tcW w:w="1921" w:type="dxa"/>
            <w:vMerge/>
            <w:tcBorders>
              <w:tl2br w:val="nil"/>
              <w:tr2bl w:val="nil"/>
            </w:tcBorders>
            <w:tcMar>
              <w:top w:w="12" w:type="dxa"/>
              <w:left w:w="12" w:type="dxa"/>
              <w:bottom w:w="0" w:type="dxa"/>
              <w:right w:w="12" w:type="dxa"/>
            </w:tcMar>
            <w:vAlign w:val="center"/>
          </w:tcPr>
          <w:p w:rsidR="00C645C9" w:rsidRDefault="00C645C9">
            <w:pPr>
              <w:rPr>
                <w:rFonts w:cs="Times New Roman"/>
              </w:rPr>
            </w:pPr>
          </w:p>
        </w:tc>
      </w:tr>
    </w:tbl>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由表</w:t>
      </w:r>
      <w:r>
        <w:rPr>
          <w:rFonts w:cs="Times New Roman"/>
          <w:spacing w:val="4"/>
          <w:kern w:val="24"/>
        </w:rPr>
        <w:t>5.</w:t>
      </w:r>
      <w:r>
        <w:rPr>
          <w:rFonts w:cs="Times New Roman"/>
          <w:spacing w:val="4"/>
          <w:kern w:val="24"/>
        </w:rPr>
        <w:t>5-10</w:t>
      </w:r>
      <w:r>
        <w:rPr>
          <w:rFonts w:cs="Times New Roman"/>
          <w:spacing w:val="4"/>
          <w:kern w:val="24"/>
        </w:rPr>
        <w:t>计算结果表明，非正常工况条件下，非甲烷总烃最大落地浓度为</w:t>
      </w:r>
      <w:r>
        <w:rPr>
          <w:rFonts w:cs="Times New Roman"/>
          <w:spacing w:val="4"/>
          <w:kern w:val="24"/>
        </w:rPr>
        <w:t>4.47µg/m</w:t>
      </w:r>
      <w:r>
        <w:rPr>
          <w:rFonts w:cs="Times New Roman"/>
          <w:spacing w:val="4"/>
          <w:kern w:val="24"/>
          <w:vertAlign w:val="superscript"/>
        </w:rPr>
        <w:t>3</w:t>
      </w:r>
      <w:r>
        <w:rPr>
          <w:rFonts w:cs="Times New Roman"/>
          <w:spacing w:val="4"/>
          <w:kern w:val="24"/>
        </w:rPr>
        <w:t>，占标率为</w:t>
      </w:r>
      <w:r>
        <w:rPr>
          <w:rFonts w:cs="Times New Roman"/>
          <w:spacing w:val="4"/>
          <w:kern w:val="24"/>
        </w:rPr>
        <w:t>0.22%</w:t>
      </w:r>
      <w:r>
        <w:rPr>
          <w:rFonts w:cs="Times New Roman"/>
          <w:spacing w:val="4"/>
          <w:kern w:val="24"/>
        </w:rPr>
        <w:t>；</w:t>
      </w:r>
      <w:r>
        <w:rPr>
          <w:rFonts w:cs="Times New Roman"/>
          <w:spacing w:val="4"/>
          <w:kern w:val="24"/>
        </w:rPr>
        <w:t>SO</w:t>
      </w:r>
      <w:r>
        <w:rPr>
          <w:rFonts w:cs="Times New Roman"/>
          <w:spacing w:val="4"/>
          <w:kern w:val="24"/>
          <w:vertAlign w:val="subscript"/>
        </w:rPr>
        <w:t>2</w:t>
      </w:r>
      <w:r>
        <w:rPr>
          <w:rFonts w:cs="Times New Roman"/>
          <w:spacing w:val="4"/>
          <w:kern w:val="24"/>
        </w:rPr>
        <w:t>最大落地浓度为</w:t>
      </w:r>
      <w:r>
        <w:rPr>
          <w:rFonts w:cs="Times New Roman"/>
          <w:spacing w:val="4"/>
          <w:kern w:val="24"/>
        </w:rPr>
        <w:t>82.80µg/m</w:t>
      </w:r>
      <w:r>
        <w:rPr>
          <w:rFonts w:cs="Times New Roman"/>
          <w:spacing w:val="4"/>
          <w:kern w:val="24"/>
          <w:vertAlign w:val="superscript"/>
        </w:rPr>
        <w:t>3</w:t>
      </w:r>
      <w:r>
        <w:rPr>
          <w:rFonts w:cs="Times New Roman"/>
          <w:spacing w:val="4"/>
          <w:kern w:val="24"/>
        </w:rPr>
        <w:t>，占标率为</w:t>
      </w:r>
      <w:r>
        <w:rPr>
          <w:rFonts w:cs="Times New Roman"/>
          <w:spacing w:val="4"/>
          <w:kern w:val="24"/>
        </w:rPr>
        <w:t>16.56%</w:t>
      </w:r>
      <w:r>
        <w:rPr>
          <w:rFonts w:cs="Times New Roman"/>
          <w:spacing w:val="4"/>
          <w:kern w:val="24"/>
        </w:rPr>
        <w:t>；</w:t>
      </w:r>
      <w:r>
        <w:rPr>
          <w:rFonts w:cs="Times New Roman"/>
          <w:spacing w:val="4"/>
          <w:kern w:val="24"/>
        </w:rPr>
        <w:t>NO</w:t>
      </w:r>
      <w:r>
        <w:rPr>
          <w:rFonts w:cs="Times New Roman"/>
          <w:spacing w:val="4"/>
          <w:kern w:val="24"/>
          <w:vertAlign w:val="subscript"/>
        </w:rPr>
        <w:t>2</w:t>
      </w:r>
      <w:r>
        <w:rPr>
          <w:rFonts w:cs="Times New Roman"/>
          <w:spacing w:val="4"/>
          <w:kern w:val="24"/>
        </w:rPr>
        <w:t>最大落地浓度为</w:t>
      </w:r>
      <w:r>
        <w:rPr>
          <w:rFonts w:cs="Times New Roman"/>
          <w:spacing w:val="4"/>
          <w:kern w:val="24"/>
        </w:rPr>
        <w:t>120.85µg/m</w:t>
      </w:r>
      <w:r>
        <w:rPr>
          <w:rFonts w:cs="Times New Roman"/>
          <w:spacing w:val="4"/>
          <w:kern w:val="24"/>
          <w:vertAlign w:val="superscript"/>
        </w:rPr>
        <w:t>3</w:t>
      </w:r>
      <w:r>
        <w:rPr>
          <w:rFonts w:cs="Times New Roman"/>
          <w:spacing w:val="4"/>
          <w:kern w:val="24"/>
        </w:rPr>
        <w:t>，占标率为</w:t>
      </w:r>
      <w:r>
        <w:rPr>
          <w:rFonts w:cs="Times New Roman"/>
          <w:spacing w:val="4"/>
          <w:kern w:val="24"/>
        </w:rPr>
        <w:t>60.43%</w:t>
      </w:r>
      <w:r>
        <w:rPr>
          <w:rFonts w:cs="Times New Roman"/>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由以上分析可知，本工程非正常排放对环境空气影响较大，建议做好定期巡检工作，确保站场远传数据系统处于正常工作状态，减少非正常排放的发生。</w:t>
      </w:r>
    </w:p>
    <w:p w:rsidR="00C645C9" w:rsidRDefault="00F955D9">
      <w:pPr>
        <w:pStyle w:val="4"/>
        <w:adjustRightInd w:val="0"/>
        <w:snapToGrid w:val="0"/>
        <w:rPr>
          <w:rFonts w:ascii="Times New Roman" w:hAnsi="Times New Roman" w:cs="Times New Roman"/>
          <w:color w:val="auto"/>
          <w:lang w:eastAsia="zh-CN"/>
        </w:rPr>
      </w:pPr>
      <w:r>
        <w:rPr>
          <w:rFonts w:ascii="Times New Roman" w:hAnsi="Times New Roman" w:cs="Times New Roman"/>
          <w:color w:val="auto"/>
          <w:lang w:eastAsia="zh-CN"/>
        </w:rPr>
        <w:t>5.</w:t>
      </w:r>
      <w:r>
        <w:rPr>
          <w:rFonts w:ascii="Times New Roman" w:hAnsi="Times New Roman" w:cs="Times New Roman"/>
          <w:color w:val="auto"/>
          <w:lang w:eastAsia="zh-CN"/>
        </w:rPr>
        <w:t>5.2</w:t>
      </w:r>
      <w:r>
        <w:rPr>
          <w:rFonts w:ascii="Times New Roman" w:hAnsi="Times New Roman" w:cs="Times New Roman"/>
          <w:color w:val="auto"/>
          <w:lang w:eastAsia="zh-CN"/>
        </w:rPr>
        <w:t>.</w:t>
      </w:r>
      <w:r>
        <w:rPr>
          <w:rFonts w:ascii="Times New Roman" w:hAnsi="Times New Roman" w:cs="Times New Roman"/>
          <w:color w:val="auto"/>
          <w:lang w:eastAsia="zh-CN"/>
        </w:rPr>
        <w:t>4</w:t>
      </w:r>
      <w:r>
        <w:rPr>
          <w:rFonts w:ascii="Times New Roman" w:hAnsi="Times New Roman" w:cs="Times New Roman"/>
          <w:color w:val="auto"/>
          <w:lang w:eastAsia="zh-CN"/>
        </w:rPr>
        <w:t>大气污染物核算</w:t>
      </w:r>
    </w:p>
    <w:p w:rsidR="00C645C9" w:rsidRDefault="00F955D9">
      <w:pPr>
        <w:adjustRightInd w:val="0"/>
        <w:snapToGrid w:val="0"/>
        <w:spacing w:line="360" w:lineRule="auto"/>
        <w:ind w:firstLineChars="200" w:firstLine="496"/>
        <w:rPr>
          <w:rFonts w:cs="Times New Roman"/>
        </w:rPr>
      </w:pPr>
      <w:r>
        <w:rPr>
          <w:rFonts w:cs="Times New Roman"/>
          <w:spacing w:val="4"/>
          <w:kern w:val="24"/>
        </w:rPr>
        <w:t>本工程</w:t>
      </w:r>
      <w:r>
        <w:rPr>
          <w:rFonts w:cs="Times New Roman"/>
          <w:spacing w:val="4"/>
          <w:kern w:val="24"/>
        </w:rPr>
        <w:t>运行期大气污染物排放量见表</w:t>
      </w:r>
      <w:r>
        <w:rPr>
          <w:rFonts w:cs="Times New Roman"/>
          <w:spacing w:val="4"/>
          <w:kern w:val="24"/>
        </w:rPr>
        <w:t>5.</w:t>
      </w:r>
      <w:r>
        <w:rPr>
          <w:rFonts w:cs="Times New Roman"/>
          <w:spacing w:val="4"/>
          <w:kern w:val="24"/>
        </w:rPr>
        <w:t>5-11</w:t>
      </w:r>
      <w:r>
        <w:rPr>
          <w:rFonts w:cs="Times New Roman"/>
          <w:spacing w:val="4"/>
          <w:kern w:val="24"/>
        </w:rPr>
        <w:t>。</w:t>
      </w:r>
    </w:p>
    <w:p w:rsidR="00C645C9" w:rsidRDefault="00F955D9" w:rsidP="005718BB">
      <w:pPr>
        <w:pStyle w:val="aff8"/>
        <w:ind w:firstLine="512"/>
        <w:rPr>
          <w:rFonts w:cs="Times New Roman"/>
        </w:rPr>
      </w:pPr>
      <w:r>
        <w:rPr>
          <w:rFonts w:eastAsia="黑体" w:cs="Times New Roman"/>
          <w:b w:val="0"/>
          <w:sz w:val="21"/>
          <w:szCs w:val="21"/>
        </w:rPr>
        <w:t>表</w:t>
      </w:r>
      <w:r>
        <w:rPr>
          <w:rFonts w:eastAsia="黑体" w:cs="Times New Roman"/>
          <w:b w:val="0"/>
          <w:sz w:val="21"/>
          <w:szCs w:val="21"/>
        </w:rPr>
        <w:t xml:space="preserve">5.5-11   </w:t>
      </w:r>
      <w:r>
        <w:rPr>
          <w:rFonts w:eastAsia="黑体" w:cs="Times New Roman"/>
          <w:b w:val="0"/>
          <w:sz w:val="21"/>
          <w:szCs w:val="21"/>
        </w:rPr>
        <w:t>本工程大气污染物排放量核算表</w:t>
      </w:r>
    </w:p>
    <w:tbl>
      <w:tblPr>
        <w:tblW w:w="5008"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3"/>
        <w:gridCol w:w="804"/>
        <w:gridCol w:w="854"/>
        <w:gridCol w:w="1084"/>
        <w:gridCol w:w="3034"/>
        <w:gridCol w:w="1130"/>
        <w:gridCol w:w="1047"/>
      </w:tblGrid>
      <w:tr w:rsidR="00C645C9">
        <w:trPr>
          <w:trHeight w:val="238"/>
        </w:trPr>
        <w:tc>
          <w:tcPr>
            <w:tcW w:w="342"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序号</w:t>
            </w:r>
          </w:p>
        </w:tc>
        <w:tc>
          <w:tcPr>
            <w:tcW w:w="471"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产污</w:t>
            </w:r>
          </w:p>
          <w:p w:rsidR="00C645C9" w:rsidRDefault="00F955D9">
            <w:pPr>
              <w:adjustRightInd w:val="0"/>
              <w:snapToGrid w:val="0"/>
              <w:jc w:val="center"/>
              <w:rPr>
                <w:rFonts w:cs="Times New Roman"/>
                <w:spacing w:val="-10"/>
                <w:sz w:val="21"/>
                <w:szCs w:val="21"/>
              </w:rPr>
            </w:pPr>
            <w:r>
              <w:rPr>
                <w:rFonts w:cs="Times New Roman"/>
                <w:spacing w:val="-10"/>
                <w:sz w:val="21"/>
                <w:szCs w:val="21"/>
              </w:rPr>
              <w:t>环节</w:t>
            </w:r>
          </w:p>
        </w:tc>
        <w:tc>
          <w:tcPr>
            <w:tcW w:w="500"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污染物</w:t>
            </w:r>
          </w:p>
        </w:tc>
        <w:tc>
          <w:tcPr>
            <w:tcW w:w="635"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主要污染</w:t>
            </w:r>
          </w:p>
          <w:p w:rsidR="00C645C9" w:rsidRDefault="00F955D9">
            <w:pPr>
              <w:adjustRightInd w:val="0"/>
              <w:snapToGrid w:val="0"/>
              <w:jc w:val="center"/>
              <w:rPr>
                <w:rFonts w:cs="Times New Roman"/>
                <w:spacing w:val="-10"/>
                <w:sz w:val="21"/>
                <w:szCs w:val="21"/>
              </w:rPr>
            </w:pPr>
            <w:r>
              <w:rPr>
                <w:rFonts w:cs="Times New Roman"/>
                <w:spacing w:val="-10"/>
                <w:sz w:val="21"/>
                <w:szCs w:val="21"/>
              </w:rPr>
              <w:t>防治措施</w:t>
            </w:r>
          </w:p>
        </w:tc>
        <w:tc>
          <w:tcPr>
            <w:tcW w:w="2439" w:type="pct"/>
            <w:gridSpan w:val="2"/>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国家或地方污染物排放标准</w:t>
            </w:r>
          </w:p>
        </w:tc>
        <w:tc>
          <w:tcPr>
            <w:tcW w:w="610"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年排放量</w:t>
            </w:r>
          </w:p>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t/a</w:t>
            </w:r>
            <w:r>
              <w:rPr>
                <w:rFonts w:cs="Times New Roman"/>
                <w:spacing w:val="-10"/>
                <w:sz w:val="21"/>
                <w:szCs w:val="21"/>
              </w:rPr>
              <w:t>）</w:t>
            </w:r>
          </w:p>
        </w:tc>
      </w:tr>
      <w:tr w:rsidR="00C645C9">
        <w:trPr>
          <w:trHeight w:val="472"/>
        </w:trPr>
        <w:tc>
          <w:tcPr>
            <w:tcW w:w="342"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471"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500"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635"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1777"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标准名称</w:t>
            </w: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浓度限值</w:t>
            </w:r>
          </w:p>
          <w:p w:rsidR="00C645C9" w:rsidRDefault="00F955D9">
            <w:pPr>
              <w:adjustRightInd w:val="0"/>
              <w:snapToGrid w:val="0"/>
              <w:jc w:val="center"/>
              <w:rPr>
                <w:rFonts w:cs="Times New Roman"/>
                <w:spacing w:val="-10"/>
                <w:sz w:val="21"/>
                <w:szCs w:val="21"/>
              </w:rPr>
            </w:pPr>
            <w:r>
              <w:rPr>
                <w:rFonts w:cs="Times New Roman"/>
                <w:spacing w:val="-10"/>
                <w:sz w:val="21"/>
                <w:szCs w:val="21"/>
              </w:rPr>
              <w:t>（</w:t>
            </w:r>
            <w:r>
              <w:rPr>
                <w:rFonts w:cs="Times New Roman"/>
                <w:spacing w:val="-10"/>
                <w:sz w:val="21"/>
                <w:szCs w:val="21"/>
              </w:rPr>
              <w:t>mg/</w:t>
            </w:r>
            <w:r>
              <w:rPr>
                <w:rFonts w:cs="Times New Roman"/>
                <w:spacing w:val="-10"/>
                <w:sz w:val="21"/>
                <w:szCs w:val="21"/>
              </w:rPr>
              <w:t>m³</w:t>
            </w:r>
            <w:r>
              <w:rPr>
                <w:rFonts w:cs="Times New Roman"/>
                <w:spacing w:val="-10"/>
                <w:sz w:val="21"/>
                <w:szCs w:val="21"/>
              </w:rPr>
              <w:t>）</w:t>
            </w:r>
          </w:p>
        </w:tc>
        <w:tc>
          <w:tcPr>
            <w:tcW w:w="610"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r>
      <w:tr w:rsidR="00C645C9">
        <w:trPr>
          <w:trHeight w:val="238"/>
        </w:trPr>
        <w:tc>
          <w:tcPr>
            <w:tcW w:w="5000" w:type="pct"/>
            <w:gridSpan w:val="7"/>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有组织排放</w:t>
            </w:r>
          </w:p>
        </w:tc>
      </w:tr>
      <w:tr w:rsidR="00C645C9">
        <w:trPr>
          <w:trHeight w:val="245"/>
        </w:trPr>
        <w:tc>
          <w:tcPr>
            <w:tcW w:w="342" w:type="pct"/>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w:t>
            </w:r>
          </w:p>
        </w:tc>
        <w:tc>
          <w:tcPr>
            <w:tcW w:w="471" w:type="pct"/>
            <w:vMerge w:val="restart"/>
            <w:tcBorders>
              <w:top w:val="single" w:sz="2" w:space="0" w:color="auto"/>
              <w:left w:val="single" w:sz="4"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加热炉</w:t>
            </w: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SO</w:t>
            </w:r>
            <w:r>
              <w:rPr>
                <w:rFonts w:cs="Times New Roman"/>
                <w:spacing w:val="-10"/>
                <w:sz w:val="21"/>
                <w:szCs w:val="21"/>
                <w:vertAlign w:val="subscript"/>
              </w:rPr>
              <w:t>2</w:t>
            </w:r>
          </w:p>
        </w:tc>
        <w:tc>
          <w:tcPr>
            <w:tcW w:w="635" w:type="pct"/>
            <w:vMerge w:val="restart"/>
            <w:tcBorders>
              <w:top w:val="single" w:sz="2" w:space="0" w:color="auto"/>
              <w:left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采用清洁燃料</w:t>
            </w:r>
          </w:p>
        </w:tc>
        <w:tc>
          <w:tcPr>
            <w:tcW w:w="1777"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《锅炉大气污染物排放标准》（</w:t>
            </w:r>
            <w:r>
              <w:rPr>
                <w:rFonts w:cs="Times New Roman"/>
                <w:spacing w:val="-10"/>
                <w:sz w:val="21"/>
                <w:szCs w:val="21"/>
              </w:rPr>
              <w:t>GB13271-2014</w:t>
            </w:r>
            <w:r>
              <w:rPr>
                <w:rFonts w:cs="Times New Roman"/>
                <w:spacing w:val="-10"/>
                <w:sz w:val="21"/>
                <w:szCs w:val="21"/>
              </w:rPr>
              <w:t>）</w:t>
            </w: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50</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0.07</w:t>
            </w:r>
            <w:r>
              <w:rPr>
                <w:rFonts w:cs="Times New Roman" w:hint="eastAsia"/>
                <w:spacing w:val="-10"/>
                <w:sz w:val="21"/>
                <w:szCs w:val="21"/>
              </w:rPr>
              <w:t>4</w:t>
            </w:r>
          </w:p>
        </w:tc>
      </w:tr>
      <w:tr w:rsidR="00C645C9">
        <w:trPr>
          <w:trHeight w:val="245"/>
        </w:trPr>
        <w:tc>
          <w:tcPr>
            <w:tcW w:w="342" w:type="pct"/>
            <w:vMerge/>
            <w:tcBorders>
              <w:top w:val="single" w:sz="4" w:space="0" w:color="auto"/>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pacing w:val="-10"/>
                <w:sz w:val="21"/>
                <w:szCs w:val="21"/>
              </w:rPr>
            </w:pPr>
          </w:p>
        </w:tc>
        <w:tc>
          <w:tcPr>
            <w:tcW w:w="471" w:type="pct"/>
            <w:vMerge/>
            <w:tcBorders>
              <w:left w:val="single" w:sz="4"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NO</w:t>
            </w:r>
            <w:r>
              <w:rPr>
                <w:rFonts w:cs="Times New Roman"/>
                <w:spacing w:val="-10"/>
                <w:sz w:val="21"/>
                <w:szCs w:val="21"/>
                <w:vertAlign w:val="subscript"/>
              </w:rPr>
              <w:t>x</w:t>
            </w:r>
          </w:p>
        </w:tc>
        <w:tc>
          <w:tcPr>
            <w:tcW w:w="635" w:type="pct"/>
            <w:vMerge/>
            <w:tcBorders>
              <w:left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1777"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200</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0.701</w:t>
            </w:r>
          </w:p>
        </w:tc>
      </w:tr>
      <w:tr w:rsidR="00C645C9">
        <w:trPr>
          <w:trHeight w:val="245"/>
        </w:trPr>
        <w:tc>
          <w:tcPr>
            <w:tcW w:w="342" w:type="pct"/>
            <w:vMerge/>
            <w:tcBorders>
              <w:top w:val="single" w:sz="4" w:space="0" w:color="auto"/>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pacing w:val="-10"/>
                <w:sz w:val="21"/>
                <w:szCs w:val="21"/>
              </w:rPr>
            </w:pPr>
          </w:p>
        </w:tc>
        <w:tc>
          <w:tcPr>
            <w:tcW w:w="471" w:type="pct"/>
            <w:vMerge/>
            <w:tcBorders>
              <w:left w:val="single" w:sz="4"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颗粒物</w:t>
            </w:r>
          </w:p>
        </w:tc>
        <w:tc>
          <w:tcPr>
            <w:tcW w:w="635" w:type="pct"/>
            <w:vMerge/>
            <w:tcBorders>
              <w:left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1777"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20</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 xml:space="preserve">0.088 </w:t>
            </w:r>
          </w:p>
        </w:tc>
      </w:tr>
      <w:tr w:rsidR="00C645C9">
        <w:trPr>
          <w:trHeight w:val="216"/>
        </w:trPr>
        <w:tc>
          <w:tcPr>
            <w:tcW w:w="342" w:type="pct"/>
            <w:vMerge/>
            <w:tcBorders>
              <w:top w:val="single" w:sz="4" w:space="0" w:color="auto"/>
              <w:left w:val="single" w:sz="4" w:space="0" w:color="auto"/>
              <w:bottom w:val="single" w:sz="4" w:space="0" w:color="auto"/>
              <w:right w:val="single" w:sz="4" w:space="0" w:color="auto"/>
            </w:tcBorders>
            <w:vAlign w:val="center"/>
          </w:tcPr>
          <w:p w:rsidR="00C645C9" w:rsidRDefault="00C645C9">
            <w:pPr>
              <w:adjustRightInd w:val="0"/>
              <w:snapToGrid w:val="0"/>
              <w:jc w:val="center"/>
              <w:rPr>
                <w:rFonts w:cs="Times New Roman"/>
                <w:spacing w:val="-10"/>
                <w:sz w:val="21"/>
                <w:szCs w:val="21"/>
              </w:rPr>
            </w:pPr>
          </w:p>
        </w:tc>
        <w:tc>
          <w:tcPr>
            <w:tcW w:w="471" w:type="pct"/>
            <w:vMerge/>
            <w:tcBorders>
              <w:left w:val="single" w:sz="4"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NMHC</w:t>
            </w:r>
          </w:p>
        </w:tc>
        <w:tc>
          <w:tcPr>
            <w:tcW w:w="635" w:type="pct"/>
            <w:vMerge/>
            <w:tcBorders>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1777"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0.126</w:t>
            </w:r>
          </w:p>
        </w:tc>
      </w:tr>
      <w:tr w:rsidR="00C645C9">
        <w:trPr>
          <w:trHeight w:val="243"/>
        </w:trPr>
        <w:tc>
          <w:tcPr>
            <w:tcW w:w="5000" w:type="pct"/>
            <w:gridSpan w:val="7"/>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无有组织排放</w:t>
            </w:r>
          </w:p>
        </w:tc>
      </w:tr>
      <w:tr w:rsidR="00C645C9">
        <w:trPr>
          <w:trHeight w:val="472"/>
        </w:trPr>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2</w:t>
            </w:r>
          </w:p>
        </w:tc>
        <w:tc>
          <w:tcPr>
            <w:tcW w:w="471"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井</w:t>
            </w:r>
            <w:r>
              <w:rPr>
                <w:rFonts w:cs="Times New Roman"/>
                <w:spacing w:val="-10"/>
                <w:sz w:val="21"/>
                <w:szCs w:val="21"/>
              </w:rPr>
              <w:t>场</w:t>
            </w: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NMHC</w:t>
            </w:r>
          </w:p>
        </w:tc>
        <w:tc>
          <w:tcPr>
            <w:tcW w:w="635" w:type="pct"/>
            <w:vMerge w:val="restar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日常维护，做好密闭措施</w:t>
            </w:r>
          </w:p>
        </w:tc>
        <w:tc>
          <w:tcPr>
            <w:tcW w:w="1777"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《陆上石油天然气开采工业大气污染物排放标准》（</w:t>
            </w:r>
            <w:r>
              <w:rPr>
                <w:rFonts w:cs="Times New Roman"/>
                <w:spacing w:val="-10"/>
                <w:sz w:val="21"/>
                <w:szCs w:val="21"/>
              </w:rPr>
              <w:t>GB39728-2020</w:t>
            </w:r>
            <w:r>
              <w:rPr>
                <w:rFonts w:cs="Times New Roman"/>
                <w:spacing w:val="-10"/>
                <w:sz w:val="21"/>
                <w:szCs w:val="21"/>
              </w:rPr>
              <w:t>））</w:t>
            </w: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厂界</w:t>
            </w:r>
            <w:r>
              <w:rPr>
                <w:rFonts w:cs="Times New Roman"/>
                <w:spacing w:val="-10"/>
                <w:sz w:val="21"/>
                <w:szCs w:val="21"/>
              </w:rPr>
              <w:t>外</w:t>
            </w:r>
          </w:p>
          <w:p w:rsidR="00C645C9" w:rsidRDefault="00F955D9">
            <w:pPr>
              <w:adjustRightInd w:val="0"/>
              <w:snapToGrid w:val="0"/>
              <w:jc w:val="center"/>
              <w:rPr>
                <w:rFonts w:cs="Times New Roman"/>
                <w:spacing w:val="-10"/>
                <w:sz w:val="21"/>
                <w:szCs w:val="21"/>
              </w:rPr>
            </w:pPr>
            <w:r>
              <w:rPr>
                <w:rFonts w:cs="Times New Roman"/>
                <w:spacing w:val="-10"/>
                <w:sz w:val="21"/>
                <w:szCs w:val="21"/>
              </w:rPr>
              <w:t>4.0mg/</w:t>
            </w:r>
            <w:r>
              <w:rPr>
                <w:rFonts w:cs="Times New Roman"/>
                <w:spacing w:val="-10"/>
                <w:sz w:val="21"/>
                <w:szCs w:val="21"/>
              </w:rPr>
              <w:t>m³</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8.336</w:t>
            </w:r>
          </w:p>
        </w:tc>
      </w:tr>
      <w:tr w:rsidR="00C645C9">
        <w:trPr>
          <w:trHeight w:val="476"/>
        </w:trPr>
        <w:tc>
          <w:tcPr>
            <w:tcW w:w="34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w:t>
            </w:r>
          </w:p>
        </w:tc>
        <w:tc>
          <w:tcPr>
            <w:tcW w:w="471"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50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H</w:t>
            </w:r>
            <w:r>
              <w:rPr>
                <w:rFonts w:cs="Times New Roman"/>
                <w:spacing w:val="-10"/>
                <w:sz w:val="21"/>
                <w:szCs w:val="21"/>
                <w:vertAlign w:val="subscript"/>
              </w:rPr>
              <w:t>2</w:t>
            </w:r>
            <w:r>
              <w:rPr>
                <w:rFonts w:cs="Times New Roman"/>
                <w:spacing w:val="-10"/>
                <w:sz w:val="21"/>
                <w:szCs w:val="21"/>
              </w:rPr>
              <w:t>S</w:t>
            </w:r>
          </w:p>
        </w:tc>
        <w:tc>
          <w:tcPr>
            <w:tcW w:w="635" w:type="pct"/>
            <w:vMerge/>
            <w:tcBorders>
              <w:top w:val="single" w:sz="2" w:space="0" w:color="auto"/>
              <w:left w:val="single" w:sz="2" w:space="0" w:color="auto"/>
              <w:bottom w:val="single" w:sz="2" w:space="0" w:color="auto"/>
              <w:right w:val="single" w:sz="2" w:space="0" w:color="auto"/>
            </w:tcBorders>
            <w:vAlign w:val="center"/>
          </w:tcPr>
          <w:p w:rsidR="00C645C9" w:rsidRDefault="00C645C9">
            <w:pPr>
              <w:adjustRightInd w:val="0"/>
              <w:snapToGrid w:val="0"/>
              <w:jc w:val="center"/>
              <w:rPr>
                <w:rFonts w:cs="Times New Roman"/>
                <w:spacing w:val="-10"/>
                <w:sz w:val="21"/>
                <w:szCs w:val="21"/>
              </w:rPr>
            </w:pPr>
          </w:p>
        </w:tc>
        <w:tc>
          <w:tcPr>
            <w:tcW w:w="1777"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《恶臭污染物排放标准》（</w:t>
            </w:r>
            <w:r>
              <w:rPr>
                <w:rFonts w:cs="Times New Roman"/>
                <w:spacing w:val="-10"/>
                <w:sz w:val="21"/>
                <w:szCs w:val="21"/>
              </w:rPr>
              <w:t>GB14554-93</w:t>
            </w:r>
            <w:r>
              <w:rPr>
                <w:rFonts w:cs="Times New Roman"/>
                <w:spacing w:val="-10"/>
                <w:sz w:val="21"/>
                <w:szCs w:val="21"/>
              </w:rPr>
              <w:t>）新建项目二级标准</w:t>
            </w:r>
          </w:p>
        </w:tc>
        <w:tc>
          <w:tcPr>
            <w:tcW w:w="662"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0.06</w:t>
            </w:r>
          </w:p>
        </w:tc>
        <w:tc>
          <w:tcPr>
            <w:tcW w:w="610" w:type="pct"/>
            <w:tcBorders>
              <w:top w:val="single" w:sz="2" w:space="0" w:color="auto"/>
              <w:left w:val="single" w:sz="2" w:space="0" w:color="auto"/>
              <w:bottom w:val="single" w:sz="2" w:space="0" w:color="auto"/>
              <w:right w:val="single" w:sz="2" w:space="0" w:color="auto"/>
            </w:tcBorders>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0.000</w:t>
            </w:r>
            <w:r>
              <w:rPr>
                <w:rFonts w:cs="Times New Roman" w:hint="eastAsia"/>
                <w:spacing w:val="-10"/>
                <w:sz w:val="21"/>
                <w:szCs w:val="21"/>
              </w:rPr>
              <w:t>2</w:t>
            </w:r>
          </w:p>
        </w:tc>
      </w:tr>
    </w:tbl>
    <w:p w:rsidR="00C645C9" w:rsidRDefault="00F955D9">
      <w:pPr>
        <w:keepNext/>
        <w:keepLines/>
        <w:adjustRightInd w:val="0"/>
        <w:snapToGrid w:val="0"/>
        <w:spacing w:line="360" w:lineRule="auto"/>
        <w:outlineLvl w:val="2"/>
        <w:rPr>
          <w:rFonts w:cs="Times New Roman"/>
          <w:b/>
          <w:snapToGrid w:val="0"/>
          <w:sz w:val="28"/>
          <w:szCs w:val="21"/>
        </w:rPr>
      </w:pPr>
      <w:bookmarkStart w:id="1598" w:name="_Toc353966747"/>
      <w:bookmarkStart w:id="1599" w:name="_Toc361761839"/>
      <w:bookmarkStart w:id="1600" w:name="_Toc374724192"/>
      <w:bookmarkStart w:id="1601" w:name="_Toc42981116"/>
      <w:bookmarkStart w:id="1602" w:name="_Toc75438901"/>
      <w:bookmarkStart w:id="1603" w:name="_Toc508291895"/>
      <w:r>
        <w:rPr>
          <w:rFonts w:cs="Times New Roman"/>
          <w:b/>
          <w:snapToGrid w:val="0"/>
          <w:sz w:val="28"/>
          <w:szCs w:val="21"/>
        </w:rPr>
        <w:t>5.5.3</w:t>
      </w:r>
      <w:r>
        <w:rPr>
          <w:rFonts w:cs="Times New Roman"/>
          <w:b/>
          <w:snapToGrid w:val="0"/>
          <w:sz w:val="28"/>
          <w:szCs w:val="21"/>
        </w:rPr>
        <w:t>退役期大气环境影响分析</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退役后各种相关辅助工作均停止，天然气</w:t>
      </w:r>
      <w:r>
        <w:rPr>
          <w:rFonts w:cs="Times New Roman" w:hint="eastAsia"/>
          <w:kern w:val="2"/>
        </w:rPr>
        <w:t>、凝析油</w:t>
      </w:r>
      <w:r>
        <w:rPr>
          <w:rFonts w:cs="Times New Roman"/>
          <w:kern w:val="2"/>
        </w:rPr>
        <w:t>造成的环境空气污染源将消失，停止后将进行一系列清理工作，</w:t>
      </w:r>
      <w:r>
        <w:rPr>
          <w:rFonts w:cs="Times New Roman"/>
        </w:rPr>
        <w:t>包括地面设施拆除、封井、井场清理等，将会产生少量扬尘。与当地自然条件导致的风沙相比较，清理过程中扬尘造成的环境影响是暂时的，且该区域内活动人群较少，主要为井场清理的</w:t>
      </w:r>
      <w:r>
        <w:rPr>
          <w:rFonts w:cs="Times New Roman"/>
        </w:rPr>
        <w:t>油田</w:t>
      </w:r>
      <w:r>
        <w:rPr>
          <w:rFonts w:cs="Times New Roman"/>
        </w:rPr>
        <w:t>工作人员</w:t>
      </w:r>
      <w:r>
        <w:rPr>
          <w:rFonts w:cs="Times New Roman"/>
          <w:kern w:val="2"/>
        </w:rPr>
        <w:t>。</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604" w:name="_Toc20564"/>
      <w:bookmarkStart w:id="1605" w:name="_Toc24581"/>
      <w:bookmarkStart w:id="1606" w:name="_Toc4718"/>
      <w:r>
        <w:rPr>
          <w:rFonts w:ascii="Times New Roman" w:hAnsi="Times New Roman" w:cs="Times New Roman"/>
          <w:color w:val="auto"/>
          <w:lang w:eastAsia="zh-CN"/>
        </w:rPr>
        <w:lastRenderedPageBreak/>
        <w:t>5.</w:t>
      </w:r>
      <w:bookmarkEnd w:id="1604"/>
      <w:bookmarkEnd w:id="1605"/>
      <w:bookmarkEnd w:id="1606"/>
      <w:r>
        <w:rPr>
          <w:rFonts w:ascii="Times New Roman" w:hAnsi="Times New Roman" w:cs="Times New Roman"/>
          <w:color w:val="auto"/>
          <w:lang w:eastAsia="zh-CN"/>
        </w:rPr>
        <w:t>5.4</w:t>
      </w:r>
      <w:r>
        <w:rPr>
          <w:rFonts w:ascii="Times New Roman" w:hAnsi="Times New Roman" w:cs="Times New Roman"/>
          <w:color w:val="auto"/>
          <w:lang w:eastAsia="zh-CN"/>
        </w:rPr>
        <w:t>大气环境影响评价结论</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本工程位于环境质量不达标区，污染源正常排放下非甲烷总烃短期浓度贡献值的最大浓度占标率均小于</w:t>
      </w:r>
      <w:r>
        <w:rPr>
          <w:rFonts w:cs="Times New Roman"/>
          <w:spacing w:val="4"/>
          <w:kern w:val="24"/>
        </w:rPr>
        <w:t>10%</w:t>
      </w:r>
      <w:r>
        <w:rPr>
          <w:rFonts w:cs="Times New Roman"/>
          <w:spacing w:val="4"/>
          <w:kern w:val="24"/>
        </w:rPr>
        <w:t>，污染物的贡献浓度较低，且出现距离较近，影响范围较小。本工程废气污染源对井场四周的贡献浓度均满足相应标准要求。本工程实施后大气环境影响可以接受。</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5.</w:t>
      </w:r>
      <w:r>
        <w:rPr>
          <w:rFonts w:ascii="Times New Roman" w:hAnsi="Times New Roman" w:cs="Times New Roman"/>
          <w:color w:val="auto"/>
          <w:lang w:eastAsia="zh-CN"/>
        </w:rPr>
        <w:t>5.5</w:t>
      </w:r>
      <w:r>
        <w:rPr>
          <w:rFonts w:ascii="Times New Roman" w:hAnsi="Times New Roman" w:cs="Times New Roman"/>
          <w:color w:val="auto"/>
          <w:lang w:eastAsia="zh-CN"/>
        </w:rPr>
        <w:t>大气环境影响评价自查表</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建设项目大气环境影响评价自查表见表</w:t>
      </w:r>
      <w:r>
        <w:rPr>
          <w:rFonts w:cs="Times New Roman"/>
          <w:spacing w:val="4"/>
          <w:kern w:val="24"/>
        </w:rPr>
        <w:t>5.</w:t>
      </w:r>
      <w:r>
        <w:rPr>
          <w:rFonts w:cs="Times New Roman"/>
          <w:spacing w:val="4"/>
          <w:kern w:val="24"/>
        </w:rPr>
        <w:t>5-12</w:t>
      </w:r>
      <w:r>
        <w:rPr>
          <w:rFonts w:cs="Times New Roman"/>
          <w:spacing w:val="4"/>
          <w:kern w:val="24"/>
        </w:rPr>
        <w:t>。</w:t>
      </w:r>
    </w:p>
    <w:p w:rsidR="00C645C9" w:rsidRDefault="00F955D9" w:rsidP="005718BB">
      <w:pPr>
        <w:pStyle w:val="aff8"/>
        <w:ind w:firstLine="512"/>
        <w:rPr>
          <w:rFonts w:eastAsia="黑体" w:cs="Times New Roman"/>
          <w:b w:val="0"/>
          <w:sz w:val="21"/>
          <w:szCs w:val="21"/>
        </w:rPr>
      </w:pPr>
      <w:r>
        <w:rPr>
          <w:rFonts w:eastAsia="黑体" w:cs="Times New Roman"/>
          <w:b w:val="0"/>
          <w:sz w:val="21"/>
          <w:szCs w:val="21"/>
        </w:rPr>
        <w:t>表</w:t>
      </w:r>
      <w:r>
        <w:rPr>
          <w:rFonts w:eastAsia="黑体" w:cs="Times New Roman"/>
          <w:b w:val="0"/>
          <w:sz w:val="21"/>
          <w:szCs w:val="21"/>
        </w:rPr>
        <w:t xml:space="preserve">5.5-12   </w:t>
      </w:r>
      <w:r>
        <w:rPr>
          <w:rFonts w:eastAsia="黑体" w:cs="Times New Roman"/>
          <w:b w:val="0"/>
          <w:sz w:val="21"/>
          <w:szCs w:val="21"/>
        </w:rPr>
        <w:t>大气环境影响评价自查表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7"/>
        <w:gridCol w:w="1786"/>
        <w:gridCol w:w="815"/>
        <w:gridCol w:w="89"/>
        <w:gridCol w:w="678"/>
        <w:gridCol w:w="225"/>
        <w:gridCol w:w="319"/>
        <w:gridCol w:w="257"/>
        <w:gridCol w:w="327"/>
        <w:gridCol w:w="453"/>
        <w:gridCol w:w="450"/>
        <w:gridCol w:w="36"/>
        <w:gridCol w:w="868"/>
        <w:gridCol w:w="228"/>
        <w:gridCol w:w="675"/>
        <w:gridCol w:w="382"/>
        <w:gridCol w:w="527"/>
      </w:tblGrid>
      <w:tr w:rsidR="00C645C9">
        <w:trPr>
          <w:trHeight w:val="340"/>
          <w:jc w:val="center"/>
        </w:trPr>
        <w:tc>
          <w:tcPr>
            <w:tcW w:w="1286" w:type="pct"/>
            <w:gridSpan w:val="2"/>
            <w:vAlign w:val="center"/>
          </w:tcPr>
          <w:p w:rsidR="00C645C9" w:rsidRDefault="00F955D9">
            <w:pPr>
              <w:spacing w:line="240" w:lineRule="exact"/>
              <w:jc w:val="center"/>
              <w:rPr>
                <w:rFonts w:cs="Times New Roman"/>
                <w:sz w:val="21"/>
                <w:szCs w:val="21"/>
              </w:rPr>
            </w:pPr>
            <w:r>
              <w:rPr>
                <w:rFonts w:cs="Times New Roman"/>
                <w:sz w:val="21"/>
                <w:szCs w:val="21"/>
              </w:rPr>
              <w:t>工作内容</w:t>
            </w:r>
          </w:p>
        </w:tc>
        <w:tc>
          <w:tcPr>
            <w:tcW w:w="3713" w:type="pct"/>
            <w:gridSpan w:val="15"/>
            <w:vAlign w:val="center"/>
          </w:tcPr>
          <w:p w:rsidR="00C645C9" w:rsidRDefault="00F955D9">
            <w:pPr>
              <w:spacing w:line="240" w:lineRule="exact"/>
              <w:jc w:val="center"/>
              <w:rPr>
                <w:rFonts w:cs="Times New Roman"/>
                <w:sz w:val="21"/>
                <w:szCs w:val="21"/>
              </w:rPr>
            </w:pPr>
            <w:r>
              <w:rPr>
                <w:rFonts w:cs="Times New Roman"/>
                <w:sz w:val="21"/>
                <w:szCs w:val="21"/>
              </w:rPr>
              <w:t>自查项目</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评价等级与范围</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评价等级</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一级</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二级</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三级</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评价范围</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=50km</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w:t>
            </w:r>
            <w:r>
              <w:rPr>
                <w:rFonts w:cs="Times New Roman"/>
                <w:sz w:val="21"/>
                <w:szCs w:val="21"/>
              </w:rPr>
              <w:t>～</w:t>
            </w:r>
            <w:r>
              <w:rPr>
                <w:rFonts w:cs="Times New Roman"/>
                <w:sz w:val="21"/>
                <w:szCs w:val="21"/>
              </w:rPr>
              <w:t>50km</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=5km</w:t>
            </w:r>
            <w:r>
              <w:rPr>
                <w:rFonts w:cs="Times New Roman"/>
                <w:sz w:val="21"/>
                <w:szCs w:val="21"/>
              </w:rPr>
              <w:t>☑</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评价因子</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SO</w:t>
            </w:r>
            <w:r>
              <w:rPr>
                <w:rFonts w:cs="Times New Roman"/>
                <w:sz w:val="21"/>
                <w:szCs w:val="21"/>
                <w:vertAlign w:val="subscript"/>
              </w:rPr>
              <w:t>2</w:t>
            </w:r>
            <w:r>
              <w:rPr>
                <w:rFonts w:cs="Times New Roman"/>
                <w:sz w:val="21"/>
                <w:szCs w:val="21"/>
              </w:rPr>
              <w:t>+NO</w:t>
            </w:r>
            <w:r>
              <w:rPr>
                <w:rFonts w:cs="Times New Roman"/>
                <w:sz w:val="21"/>
                <w:szCs w:val="21"/>
                <w:vertAlign w:val="subscript"/>
              </w:rPr>
              <w:t>x</w:t>
            </w:r>
            <w:r>
              <w:rPr>
                <w:rFonts w:cs="Times New Roman"/>
                <w:sz w:val="21"/>
                <w:szCs w:val="21"/>
              </w:rPr>
              <w:t>排放量</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≥2000t/a</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500</w:t>
            </w:r>
            <w:r>
              <w:rPr>
                <w:rFonts w:cs="Times New Roman" w:hint="eastAsia"/>
                <w:sz w:val="21"/>
                <w:szCs w:val="21"/>
              </w:rPr>
              <w:t>~</w:t>
            </w:r>
            <w:r>
              <w:rPr>
                <w:rFonts w:cs="Times New Roman"/>
                <w:sz w:val="21"/>
                <w:szCs w:val="21"/>
              </w:rPr>
              <w:t>2000t/a</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w:t>
            </w:r>
            <w:r>
              <w:rPr>
                <w:rFonts w:cs="Times New Roman"/>
                <w:sz w:val="21"/>
                <w:szCs w:val="21"/>
              </w:rPr>
              <w:t>500t/a</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评价因子</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基本污染物</w:t>
            </w:r>
            <w:r>
              <w:rPr>
                <w:rFonts w:cs="Times New Roman"/>
                <w:sz w:val="21"/>
                <w:szCs w:val="21"/>
              </w:rPr>
              <w:t xml:space="preserve"> </w:t>
            </w:r>
            <w:r>
              <w:rPr>
                <w:rFonts w:cs="Times New Roman"/>
                <w:sz w:val="21"/>
                <w:szCs w:val="21"/>
              </w:rPr>
              <w:t>（</w:t>
            </w:r>
            <w:r>
              <w:rPr>
                <w:rFonts w:cs="Times New Roman"/>
                <w:sz w:val="21"/>
                <w:szCs w:val="21"/>
              </w:rPr>
              <w:t>SO</w:t>
            </w:r>
            <w:r>
              <w:rPr>
                <w:rFonts w:cs="Times New Roman"/>
                <w:sz w:val="21"/>
                <w:szCs w:val="21"/>
                <w:vertAlign w:val="subscript"/>
              </w:rPr>
              <w:t>2</w:t>
            </w:r>
            <w:r>
              <w:rPr>
                <w:rFonts w:cs="Times New Roman"/>
                <w:sz w:val="21"/>
                <w:szCs w:val="21"/>
              </w:rPr>
              <w:t>、</w:t>
            </w:r>
            <w:r>
              <w:rPr>
                <w:rFonts w:cs="Times New Roman"/>
                <w:sz w:val="21"/>
                <w:szCs w:val="21"/>
              </w:rPr>
              <w:t>NO</w:t>
            </w:r>
            <w:r>
              <w:rPr>
                <w:rFonts w:cs="Times New Roman"/>
                <w:sz w:val="21"/>
                <w:szCs w:val="21"/>
                <w:vertAlign w:val="subscript"/>
              </w:rPr>
              <w:t>2</w:t>
            </w:r>
            <w:r>
              <w:rPr>
                <w:rFonts w:cs="Times New Roman"/>
                <w:sz w:val="21"/>
                <w:szCs w:val="21"/>
              </w:rPr>
              <w:t>、</w:t>
            </w:r>
            <w:r>
              <w:rPr>
                <w:rFonts w:cs="Times New Roman"/>
                <w:sz w:val="21"/>
                <w:szCs w:val="21"/>
              </w:rPr>
              <w:t>PM</w:t>
            </w:r>
            <w:r>
              <w:rPr>
                <w:rFonts w:cs="Times New Roman"/>
                <w:sz w:val="21"/>
                <w:szCs w:val="21"/>
                <w:vertAlign w:val="subscript"/>
              </w:rPr>
              <w:t>10</w:t>
            </w:r>
            <w:r>
              <w:rPr>
                <w:rFonts w:cs="Times New Roman"/>
                <w:sz w:val="21"/>
                <w:szCs w:val="21"/>
              </w:rPr>
              <w:t>、</w:t>
            </w:r>
            <w:r>
              <w:rPr>
                <w:rFonts w:cs="Times New Roman"/>
                <w:sz w:val="21"/>
                <w:szCs w:val="21"/>
              </w:rPr>
              <w:t>PM</w:t>
            </w:r>
            <w:r>
              <w:rPr>
                <w:rFonts w:cs="Times New Roman"/>
                <w:sz w:val="21"/>
                <w:szCs w:val="21"/>
                <w:vertAlign w:val="subscript"/>
              </w:rPr>
              <w:t>2.5</w:t>
            </w:r>
            <w:r>
              <w:rPr>
                <w:rFonts w:cs="Times New Roman"/>
                <w:sz w:val="21"/>
                <w:szCs w:val="21"/>
              </w:rPr>
              <w:t>、</w:t>
            </w:r>
            <w:r>
              <w:rPr>
                <w:rFonts w:cs="Times New Roman"/>
                <w:sz w:val="21"/>
                <w:szCs w:val="21"/>
              </w:rPr>
              <w:t>CO</w:t>
            </w:r>
            <w:r>
              <w:rPr>
                <w:rFonts w:cs="Times New Roman"/>
                <w:sz w:val="21"/>
                <w:szCs w:val="21"/>
              </w:rPr>
              <w:t>、</w:t>
            </w:r>
            <w:r>
              <w:rPr>
                <w:rFonts w:cs="Times New Roman"/>
                <w:sz w:val="21"/>
                <w:szCs w:val="21"/>
              </w:rPr>
              <w:t>O</w:t>
            </w:r>
            <w:r>
              <w:rPr>
                <w:rFonts w:cs="Times New Roman"/>
                <w:sz w:val="21"/>
                <w:szCs w:val="21"/>
                <w:vertAlign w:val="subscript"/>
              </w:rPr>
              <w:t>3</w:t>
            </w:r>
            <w:r>
              <w:rPr>
                <w:rFonts w:cs="Times New Roman"/>
                <w:sz w:val="21"/>
                <w:szCs w:val="21"/>
              </w:rPr>
              <w:t>）</w:t>
            </w:r>
          </w:p>
          <w:p w:rsidR="00C645C9" w:rsidRDefault="00F955D9">
            <w:pPr>
              <w:spacing w:line="240" w:lineRule="exact"/>
              <w:jc w:val="center"/>
              <w:rPr>
                <w:rFonts w:cs="Times New Roman"/>
                <w:sz w:val="21"/>
                <w:szCs w:val="21"/>
              </w:rPr>
            </w:pPr>
            <w:r>
              <w:rPr>
                <w:rFonts w:cs="Times New Roman"/>
                <w:sz w:val="21"/>
                <w:szCs w:val="21"/>
              </w:rPr>
              <w:t>其他污染物（</w:t>
            </w:r>
            <w:r>
              <w:rPr>
                <w:rFonts w:cs="Times New Roman"/>
                <w:sz w:val="21"/>
                <w:szCs w:val="21"/>
              </w:rPr>
              <w:t>NMHC</w:t>
            </w:r>
            <w:r>
              <w:rPr>
                <w:rFonts w:cs="Times New Roman"/>
                <w:sz w:val="21"/>
                <w:szCs w:val="21"/>
              </w:rPr>
              <w:t>、</w:t>
            </w:r>
            <w:r>
              <w:rPr>
                <w:rFonts w:cs="Times New Roman"/>
                <w:sz w:val="21"/>
                <w:szCs w:val="21"/>
              </w:rPr>
              <w:t>H</w:t>
            </w:r>
            <w:r>
              <w:rPr>
                <w:rFonts w:cs="Times New Roman"/>
                <w:sz w:val="21"/>
                <w:szCs w:val="21"/>
                <w:vertAlign w:val="subscript"/>
              </w:rPr>
              <w:t>2</w:t>
            </w:r>
            <w:r>
              <w:rPr>
                <w:rFonts w:cs="Times New Roman"/>
                <w:sz w:val="21"/>
                <w:szCs w:val="21"/>
              </w:rPr>
              <w:t>S</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包括二次</w:t>
            </w:r>
            <w:r>
              <w:rPr>
                <w:rFonts w:cs="Times New Roman"/>
                <w:sz w:val="21"/>
                <w:szCs w:val="21"/>
              </w:rPr>
              <w:t>PM</w:t>
            </w:r>
            <w:r>
              <w:rPr>
                <w:rFonts w:cs="Times New Roman"/>
                <w:sz w:val="21"/>
                <w:szCs w:val="21"/>
                <w:vertAlign w:val="subscript"/>
              </w:rPr>
              <w:t>2.5</w:t>
            </w:r>
            <w:r>
              <w:rPr>
                <w:rFonts w:cs="Times New Roman"/>
                <w:sz w:val="21"/>
                <w:szCs w:val="21"/>
              </w:rPr>
              <w:t>□</w:t>
            </w:r>
          </w:p>
          <w:p w:rsidR="00C645C9" w:rsidRDefault="00F955D9">
            <w:pPr>
              <w:spacing w:line="240" w:lineRule="exact"/>
              <w:jc w:val="center"/>
              <w:rPr>
                <w:rFonts w:cs="Times New Roman"/>
                <w:sz w:val="21"/>
                <w:szCs w:val="21"/>
              </w:rPr>
            </w:pPr>
            <w:r>
              <w:rPr>
                <w:rFonts w:cs="Times New Roman"/>
                <w:sz w:val="21"/>
                <w:szCs w:val="21"/>
              </w:rPr>
              <w:t>不包括二次</w:t>
            </w:r>
            <w:r>
              <w:rPr>
                <w:rFonts w:cs="Times New Roman"/>
                <w:sz w:val="21"/>
                <w:szCs w:val="21"/>
              </w:rPr>
              <w:t>PM</w:t>
            </w:r>
            <w:r>
              <w:rPr>
                <w:rFonts w:cs="Times New Roman"/>
                <w:sz w:val="21"/>
                <w:szCs w:val="21"/>
                <w:vertAlign w:val="subscript"/>
              </w:rPr>
              <w:t>2.5</w:t>
            </w:r>
            <w:r>
              <w:rPr>
                <w:rFonts w:cs="Times New Roman"/>
                <w:sz w:val="21"/>
                <w:szCs w:val="21"/>
              </w:rPr>
              <w:t>☑</w:t>
            </w:r>
          </w:p>
        </w:tc>
      </w:tr>
      <w:tr w:rsidR="00C645C9">
        <w:trPr>
          <w:trHeight w:val="340"/>
          <w:jc w:val="center"/>
        </w:trPr>
        <w:tc>
          <w:tcPr>
            <w:tcW w:w="238" w:type="pct"/>
            <w:vAlign w:val="center"/>
          </w:tcPr>
          <w:p w:rsidR="00C645C9" w:rsidRDefault="00F955D9">
            <w:pPr>
              <w:spacing w:line="240" w:lineRule="exact"/>
              <w:jc w:val="center"/>
              <w:rPr>
                <w:rFonts w:cs="Times New Roman"/>
                <w:sz w:val="21"/>
                <w:szCs w:val="21"/>
              </w:rPr>
            </w:pPr>
            <w:r>
              <w:rPr>
                <w:rFonts w:cs="Times New Roman"/>
                <w:sz w:val="21"/>
                <w:szCs w:val="21"/>
              </w:rPr>
              <w:t>评价标准</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评价标准</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国家标准</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地方标准</w:t>
            </w:r>
            <w:r>
              <w:rPr>
                <w:rFonts w:cs="Times New Roman"/>
                <w:sz w:val="21"/>
                <w:szCs w:val="21"/>
              </w:rPr>
              <w:t>□</w:t>
            </w:r>
          </w:p>
        </w:tc>
        <w:tc>
          <w:tcPr>
            <w:tcW w:w="1263" w:type="pct"/>
            <w:gridSpan w:val="4"/>
            <w:vAlign w:val="center"/>
          </w:tcPr>
          <w:p w:rsidR="00C645C9" w:rsidRDefault="00F955D9">
            <w:pPr>
              <w:spacing w:line="240" w:lineRule="exact"/>
              <w:jc w:val="center"/>
              <w:rPr>
                <w:rFonts w:cs="Times New Roman"/>
                <w:sz w:val="21"/>
                <w:szCs w:val="21"/>
              </w:rPr>
            </w:pPr>
            <w:r>
              <w:rPr>
                <w:rFonts w:cs="Times New Roman"/>
                <w:sz w:val="21"/>
                <w:szCs w:val="21"/>
              </w:rPr>
              <w:t>附录</w:t>
            </w:r>
            <w:r>
              <w:rPr>
                <w:rFonts w:cs="Times New Roman"/>
                <w:sz w:val="21"/>
                <w:szCs w:val="21"/>
              </w:rPr>
              <w:t>D</w:t>
            </w:r>
            <w:r>
              <w:rPr>
                <w:rFonts w:cs="Times New Roman"/>
                <w:sz w:val="21"/>
                <w:szCs w:val="21"/>
              </w:rPr>
              <w:t>☑</w:t>
            </w:r>
          </w:p>
        </w:tc>
        <w:tc>
          <w:tcPr>
            <w:tcW w:w="308" w:type="pct"/>
            <w:vAlign w:val="center"/>
          </w:tcPr>
          <w:p w:rsidR="00C645C9" w:rsidRDefault="00F955D9">
            <w:pPr>
              <w:spacing w:line="240" w:lineRule="exact"/>
              <w:jc w:val="center"/>
              <w:rPr>
                <w:rFonts w:cs="Times New Roman"/>
                <w:sz w:val="21"/>
                <w:szCs w:val="21"/>
              </w:rPr>
            </w:pPr>
            <w:r>
              <w:rPr>
                <w:rFonts w:cs="Times New Roman"/>
                <w:sz w:val="21"/>
                <w:szCs w:val="21"/>
              </w:rPr>
              <w:t>其他标准</w:t>
            </w:r>
            <w:r>
              <w:rPr>
                <w:rFonts w:cs="Times New Roman"/>
                <w:sz w:val="21"/>
                <w:szCs w:val="21"/>
              </w:rPr>
              <w:t>□</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现状评价</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环境功能区</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一类区</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二类区</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一类区和二类区</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评价基准年</w:t>
            </w:r>
          </w:p>
        </w:tc>
        <w:tc>
          <w:tcPr>
            <w:tcW w:w="3713" w:type="pct"/>
            <w:gridSpan w:val="15"/>
            <w:vAlign w:val="center"/>
          </w:tcPr>
          <w:p w:rsidR="00C645C9" w:rsidRDefault="00F955D9">
            <w:pPr>
              <w:spacing w:line="240" w:lineRule="exact"/>
              <w:jc w:val="center"/>
              <w:rPr>
                <w:rFonts w:cs="Times New Roman"/>
                <w:sz w:val="21"/>
                <w:szCs w:val="21"/>
              </w:rPr>
            </w:pPr>
            <w:r>
              <w:rPr>
                <w:rFonts w:cs="Times New Roman"/>
                <w:sz w:val="21"/>
                <w:szCs w:val="21"/>
              </w:rPr>
              <w:t>（</w:t>
            </w:r>
            <w:r>
              <w:rPr>
                <w:rFonts w:cs="Times New Roman"/>
                <w:sz w:val="21"/>
                <w:szCs w:val="21"/>
              </w:rPr>
              <w:t>202</w:t>
            </w:r>
            <w:r>
              <w:rPr>
                <w:rFonts w:cs="Times New Roman"/>
                <w:sz w:val="21"/>
                <w:szCs w:val="21"/>
              </w:rPr>
              <w:t>5</w:t>
            </w:r>
            <w:r>
              <w:rPr>
                <w:rFonts w:cs="Times New Roman"/>
                <w:sz w:val="21"/>
                <w:szCs w:val="21"/>
              </w:rPr>
              <w:t>）年</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环境空气质量现状调查数据来源</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长期例行监测数据</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主管部门发布的数据</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现状补充监测</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现状评价</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达标区</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不达标区</w:t>
            </w:r>
            <w:r>
              <w:rPr>
                <w:rFonts w:cs="Times New Roman"/>
                <w:sz w:val="21"/>
                <w:szCs w:val="21"/>
              </w:rPr>
              <w:t>☑</w:t>
            </w:r>
          </w:p>
        </w:tc>
      </w:tr>
      <w:tr w:rsidR="00C645C9">
        <w:trPr>
          <w:trHeight w:val="340"/>
          <w:jc w:val="center"/>
        </w:trPr>
        <w:tc>
          <w:tcPr>
            <w:tcW w:w="238" w:type="pct"/>
            <w:vAlign w:val="center"/>
          </w:tcPr>
          <w:p w:rsidR="00C645C9" w:rsidRDefault="00F955D9">
            <w:pPr>
              <w:spacing w:line="240" w:lineRule="exact"/>
              <w:jc w:val="center"/>
              <w:rPr>
                <w:rFonts w:cs="Times New Roman"/>
                <w:sz w:val="21"/>
                <w:szCs w:val="21"/>
              </w:rPr>
            </w:pPr>
            <w:r>
              <w:rPr>
                <w:rFonts w:cs="Times New Roman"/>
                <w:sz w:val="21"/>
                <w:szCs w:val="21"/>
              </w:rPr>
              <w:t>污染源</w:t>
            </w:r>
          </w:p>
          <w:p w:rsidR="00C645C9" w:rsidRDefault="00F955D9">
            <w:pPr>
              <w:spacing w:line="240" w:lineRule="exact"/>
              <w:jc w:val="center"/>
              <w:rPr>
                <w:rFonts w:cs="Times New Roman"/>
                <w:sz w:val="21"/>
                <w:szCs w:val="21"/>
              </w:rPr>
            </w:pPr>
            <w:r>
              <w:rPr>
                <w:rFonts w:cs="Times New Roman"/>
                <w:sz w:val="21"/>
                <w:szCs w:val="21"/>
              </w:rPr>
              <w:t>调查</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调查内容</w:t>
            </w:r>
          </w:p>
        </w:tc>
        <w:tc>
          <w:tcPr>
            <w:tcW w:w="1247" w:type="pct"/>
            <w:gridSpan w:val="5"/>
            <w:vAlign w:val="center"/>
          </w:tcPr>
          <w:p w:rsidR="00C645C9" w:rsidRDefault="00F955D9">
            <w:pPr>
              <w:spacing w:line="240" w:lineRule="exact"/>
              <w:jc w:val="center"/>
              <w:rPr>
                <w:rFonts w:cs="Times New Roman"/>
                <w:sz w:val="21"/>
                <w:szCs w:val="21"/>
              </w:rPr>
            </w:pPr>
            <w:r>
              <w:rPr>
                <w:rFonts w:cs="Times New Roman"/>
                <w:sz w:val="21"/>
                <w:szCs w:val="21"/>
              </w:rPr>
              <w:t>本工程</w:t>
            </w:r>
            <w:r>
              <w:rPr>
                <w:rFonts w:cs="Times New Roman"/>
                <w:sz w:val="21"/>
                <w:szCs w:val="21"/>
              </w:rPr>
              <w:t>正常排放源</w:t>
            </w:r>
            <w:r>
              <w:rPr>
                <w:rFonts w:cs="Times New Roman"/>
                <w:sz w:val="21"/>
                <w:szCs w:val="21"/>
              </w:rPr>
              <w:t>☑</w:t>
            </w:r>
          </w:p>
          <w:p w:rsidR="00C645C9" w:rsidRDefault="00F955D9">
            <w:pPr>
              <w:spacing w:line="240" w:lineRule="exact"/>
              <w:jc w:val="center"/>
              <w:rPr>
                <w:rFonts w:cs="Times New Roman"/>
                <w:sz w:val="21"/>
                <w:szCs w:val="21"/>
              </w:rPr>
            </w:pPr>
            <w:r>
              <w:rPr>
                <w:rFonts w:cs="Times New Roman"/>
                <w:spacing w:val="-10"/>
                <w:sz w:val="21"/>
                <w:szCs w:val="21"/>
              </w:rPr>
              <w:t>本工程</w:t>
            </w:r>
            <w:r>
              <w:rPr>
                <w:rFonts w:cs="Times New Roman"/>
                <w:spacing w:val="-10"/>
                <w:sz w:val="21"/>
                <w:szCs w:val="21"/>
              </w:rPr>
              <w:t>非正常排放源</w:t>
            </w:r>
            <w:r>
              <w:rPr>
                <w:rFonts w:cs="Times New Roman"/>
                <w:sz w:val="21"/>
                <w:szCs w:val="21"/>
              </w:rPr>
              <w:t>□</w:t>
            </w:r>
          </w:p>
          <w:p w:rsidR="00C645C9" w:rsidRDefault="00F955D9">
            <w:pPr>
              <w:spacing w:line="240" w:lineRule="exact"/>
              <w:jc w:val="center"/>
              <w:rPr>
                <w:rFonts w:cs="Times New Roman"/>
                <w:sz w:val="21"/>
                <w:szCs w:val="21"/>
              </w:rPr>
            </w:pPr>
            <w:r>
              <w:rPr>
                <w:rFonts w:cs="Times New Roman"/>
                <w:sz w:val="21"/>
                <w:szCs w:val="21"/>
              </w:rPr>
              <w:t>现有污染源</w:t>
            </w:r>
            <w:r>
              <w:rPr>
                <w:rFonts w:cs="Times New Roman"/>
                <w:sz w:val="21"/>
                <w:szCs w:val="21"/>
              </w:rPr>
              <w:t>□</w:t>
            </w:r>
          </w:p>
        </w:tc>
        <w:tc>
          <w:tcPr>
            <w:tcW w:w="893" w:type="pct"/>
            <w:gridSpan w:val="5"/>
            <w:vAlign w:val="center"/>
          </w:tcPr>
          <w:p w:rsidR="00C645C9" w:rsidRDefault="00F955D9">
            <w:pPr>
              <w:spacing w:line="240" w:lineRule="exact"/>
              <w:jc w:val="center"/>
              <w:rPr>
                <w:rFonts w:cs="Times New Roman"/>
                <w:sz w:val="21"/>
                <w:szCs w:val="21"/>
              </w:rPr>
            </w:pPr>
            <w:r>
              <w:rPr>
                <w:rFonts w:cs="Times New Roman"/>
                <w:sz w:val="21"/>
                <w:szCs w:val="21"/>
              </w:rPr>
              <w:t>拟替代的污染源</w:t>
            </w:r>
            <w:r>
              <w:rPr>
                <w:rFonts w:cs="Times New Roman"/>
                <w:sz w:val="21"/>
                <w:szCs w:val="21"/>
              </w:rPr>
              <w:t>□</w:t>
            </w:r>
          </w:p>
        </w:tc>
        <w:tc>
          <w:tcPr>
            <w:tcW w:w="1263" w:type="pct"/>
            <w:gridSpan w:val="4"/>
            <w:vAlign w:val="center"/>
          </w:tcPr>
          <w:p w:rsidR="00C645C9" w:rsidRDefault="00F955D9">
            <w:pPr>
              <w:spacing w:line="240" w:lineRule="exact"/>
              <w:jc w:val="center"/>
              <w:rPr>
                <w:rFonts w:cs="Times New Roman"/>
                <w:sz w:val="21"/>
                <w:szCs w:val="21"/>
              </w:rPr>
            </w:pPr>
            <w:r>
              <w:rPr>
                <w:rFonts w:cs="Times New Roman"/>
                <w:sz w:val="21"/>
                <w:szCs w:val="21"/>
              </w:rPr>
              <w:t>其他在建、拟建项目污染源</w:t>
            </w:r>
            <w:r>
              <w:rPr>
                <w:rFonts w:cs="Times New Roman"/>
                <w:sz w:val="21"/>
                <w:szCs w:val="21"/>
              </w:rPr>
              <w:t>□</w:t>
            </w:r>
          </w:p>
        </w:tc>
        <w:tc>
          <w:tcPr>
            <w:tcW w:w="308" w:type="pct"/>
            <w:vAlign w:val="center"/>
          </w:tcPr>
          <w:p w:rsidR="00C645C9" w:rsidRDefault="00F955D9">
            <w:pPr>
              <w:spacing w:line="240" w:lineRule="exact"/>
              <w:jc w:val="center"/>
              <w:rPr>
                <w:rFonts w:cs="Times New Roman"/>
                <w:sz w:val="21"/>
                <w:szCs w:val="21"/>
              </w:rPr>
            </w:pPr>
            <w:r>
              <w:rPr>
                <w:rFonts w:cs="Times New Roman"/>
                <w:sz w:val="21"/>
                <w:szCs w:val="21"/>
              </w:rPr>
              <w:t>区域污染源</w:t>
            </w:r>
            <w:r>
              <w:rPr>
                <w:rFonts w:cs="Times New Roman"/>
                <w:sz w:val="21"/>
                <w:szCs w:val="21"/>
              </w:rPr>
              <w:t>□</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大气环境影响预测与评价</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预测模型</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AERMOD□</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ADMS</w:t>
            </w:r>
          </w:p>
          <w:p w:rsidR="00C645C9" w:rsidRDefault="00F955D9">
            <w:pPr>
              <w:spacing w:line="240" w:lineRule="exact"/>
              <w:jc w:val="center"/>
              <w:rPr>
                <w:rFonts w:cs="Times New Roman"/>
                <w:sz w:val="21"/>
                <w:szCs w:val="21"/>
              </w:rPr>
            </w:pPr>
            <w:r>
              <w:rPr>
                <w:rFonts w:cs="Times New Roman"/>
                <w:sz w:val="21"/>
                <w:szCs w:val="21"/>
              </w:rPr>
              <w:t>□</w:t>
            </w:r>
          </w:p>
        </w:tc>
        <w:tc>
          <w:tcPr>
            <w:tcW w:w="530" w:type="pct"/>
            <w:gridSpan w:val="3"/>
            <w:vAlign w:val="center"/>
          </w:tcPr>
          <w:p w:rsidR="00C645C9" w:rsidRDefault="00F955D9">
            <w:pPr>
              <w:spacing w:line="240" w:lineRule="exact"/>
              <w:jc w:val="center"/>
              <w:rPr>
                <w:rFonts w:cs="Times New Roman"/>
                <w:sz w:val="21"/>
                <w:szCs w:val="21"/>
              </w:rPr>
            </w:pPr>
            <w:r>
              <w:rPr>
                <w:rFonts w:cs="Times New Roman"/>
                <w:sz w:val="21"/>
                <w:szCs w:val="21"/>
              </w:rPr>
              <w:t>AUSTAL2000□</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EDMS/AEDT□</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CALPUFF□</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网格模型</w:t>
            </w:r>
            <w:r>
              <w:rPr>
                <w:rFonts w:cs="Times New Roman"/>
                <w:sz w:val="21"/>
                <w:szCs w:val="21"/>
              </w:rPr>
              <w:t>□</w:t>
            </w:r>
          </w:p>
        </w:tc>
        <w:tc>
          <w:tcPr>
            <w:tcW w:w="530" w:type="pct"/>
            <w:gridSpan w:val="2"/>
            <w:vAlign w:val="center"/>
          </w:tcPr>
          <w:p w:rsidR="00C645C9" w:rsidRDefault="00F955D9">
            <w:pPr>
              <w:spacing w:line="240" w:lineRule="exact"/>
              <w:jc w:val="center"/>
              <w:rPr>
                <w:rFonts w:cs="Times New Roman"/>
                <w:sz w:val="21"/>
                <w:szCs w:val="21"/>
              </w:rPr>
            </w:pPr>
            <w:r>
              <w:rPr>
                <w:rFonts w:cs="Times New Roman"/>
                <w:sz w:val="21"/>
                <w:szCs w:val="21"/>
              </w:rPr>
              <w:t>其他</w:t>
            </w:r>
          </w:p>
          <w:p w:rsidR="00C645C9" w:rsidRDefault="00F955D9">
            <w:pPr>
              <w:spacing w:line="240" w:lineRule="exact"/>
              <w:jc w:val="center"/>
              <w:rPr>
                <w:rFonts w:cs="Times New Roman"/>
                <w:sz w:val="21"/>
                <w:szCs w:val="21"/>
              </w:rPr>
            </w:pP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预测范围</w:t>
            </w:r>
          </w:p>
        </w:tc>
        <w:tc>
          <w:tcPr>
            <w:tcW w:w="478" w:type="pct"/>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≥50km□</w:t>
            </w:r>
          </w:p>
        </w:tc>
        <w:tc>
          <w:tcPr>
            <w:tcW w:w="1662" w:type="pct"/>
            <w:gridSpan w:val="9"/>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w:t>
            </w:r>
            <w:r>
              <w:rPr>
                <w:rFonts w:cs="Times New Roman"/>
                <w:sz w:val="21"/>
                <w:szCs w:val="21"/>
              </w:rPr>
              <w:t>～</w:t>
            </w:r>
            <w:r>
              <w:rPr>
                <w:rFonts w:cs="Times New Roman"/>
                <w:sz w:val="21"/>
                <w:szCs w:val="21"/>
              </w:rPr>
              <w:t>50km□</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边长</w:t>
            </w:r>
            <w:r>
              <w:rPr>
                <w:rFonts w:cs="Times New Roman"/>
                <w:sz w:val="21"/>
                <w:szCs w:val="21"/>
              </w:rPr>
              <w:t>=5km</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预测因子</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预测因子（</w:t>
            </w:r>
            <w:r>
              <w:rPr>
                <w:rFonts w:cs="Times New Roman"/>
                <w:sz w:val="21"/>
                <w:szCs w:val="21"/>
              </w:rPr>
              <w:t>SO</w:t>
            </w:r>
            <w:r>
              <w:rPr>
                <w:rFonts w:cs="Times New Roman"/>
                <w:sz w:val="21"/>
                <w:szCs w:val="21"/>
                <w:vertAlign w:val="subscript"/>
              </w:rPr>
              <w:t>2</w:t>
            </w:r>
            <w:r>
              <w:rPr>
                <w:rFonts w:cs="Times New Roman"/>
                <w:sz w:val="21"/>
                <w:szCs w:val="21"/>
              </w:rPr>
              <w:t>、</w:t>
            </w:r>
            <w:r>
              <w:rPr>
                <w:rFonts w:cs="Times New Roman"/>
                <w:sz w:val="21"/>
                <w:szCs w:val="21"/>
              </w:rPr>
              <w:t>NO</w:t>
            </w:r>
            <w:r>
              <w:rPr>
                <w:rFonts w:cs="Times New Roman"/>
                <w:sz w:val="21"/>
                <w:szCs w:val="21"/>
                <w:vertAlign w:val="subscript"/>
              </w:rPr>
              <w:t>2</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b/>
                <w:sz w:val="21"/>
                <w:szCs w:val="21"/>
              </w:rPr>
            </w:pPr>
            <w:r>
              <w:rPr>
                <w:rFonts w:cs="Times New Roman"/>
                <w:sz w:val="21"/>
                <w:szCs w:val="21"/>
              </w:rPr>
              <w:t>包括二次</w:t>
            </w:r>
            <w:r>
              <w:rPr>
                <w:rFonts w:cs="Times New Roman"/>
                <w:sz w:val="21"/>
                <w:szCs w:val="21"/>
              </w:rPr>
              <w:t>PM</w:t>
            </w:r>
            <w:r>
              <w:rPr>
                <w:rFonts w:cs="Times New Roman"/>
                <w:sz w:val="21"/>
                <w:szCs w:val="21"/>
                <w:vertAlign w:val="subscript"/>
              </w:rPr>
              <w:t>2.5</w:t>
            </w:r>
            <w:r>
              <w:rPr>
                <w:rFonts w:cs="Times New Roman"/>
                <w:sz w:val="21"/>
                <w:szCs w:val="21"/>
              </w:rPr>
              <w:t>□</w:t>
            </w:r>
          </w:p>
          <w:p w:rsidR="00C645C9" w:rsidRDefault="00F955D9">
            <w:pPr>
              <w:spacing w:line="240" w:lineRule="exact"/>
              <w:jc w:val="center"/>
              <w:rPr>
                <w:rFonts w:cs="Times New Roman"/>
                <w:sz w:val="21"/>
                <w:szCs w:val="21"/>
              </w:rPr>
            </w:pPr>
            <w:r>
              <w:rPr>
                <w:rFonts w:cs="Times New Roman"/>
                <w:sz w:val="21"/>
                <w:szCs w:val="21"/>
              </w:rPr>
              <w:t>不包括二次</w:t>
            </w:r>
            <w:r>
              <w:rPr>
                <w:rFonts w:cs="Times New Roman"/>
                <w:sz w:val="21"/>
                <w:szCs w:val="21"/>
              </w:rPr>
              <w:t>PM</w:t>
            </w:r>
            <w:r>
              <w:rPr>
                <w:rFonts w:cs="Times New Roman"/>
                <w:sz w:val="21"/>
                <w:szCs w:val="21"/>
                <w:vertAlign w:val="subscript"/>
              </w:rPr>
              <w:t>2.5</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正常排放短期浓度贡献值</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≤100%</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100%□</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正常排放年均浓度贡献值</w:t>
            </w:r>
          </w:p>
        </w:tc>
        <w:tc>
          <w:tcPr>
            <w:tcW w:w="478" w:type="pct"/>
            <w:vAlign w:val="center"/>
          </w:tcPr>
          <w:p w:rsidR="00C645C9" w:rsidRDefault="00F955D9">
            <w:pPr>
              <w:spacing w:line="240" w:lineRule="exact"/>
              <w:jc w:val="center"/>
              <w:rPr>
                <w:rFonts w:cs="Times New Roman"/>
                <w:sz w:val="21"/>
                <w:szCs w:val="21"/>
              </w:rPr>
            </w:pPr>
            <w:r>
              <w:rPr>
                <w:rFonts w:cs="Times New Roman"/>
                <w:sz w:val="21"/>
                <w:szCs w:val="21"/>
              </w:rPr>
              <w:t>一类区</w:t>
            </w:r>
          </w:p>
        </w:tc>
        <w:tc>
          <w:tcPr>
            <w:tcW w:w="1662" w:type="pct"/>
            <w:gridSpan w:val="9"/>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≤10%□</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10%□</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Merge/>
            <w:vAlign w:val="center"/>
          </w:tcPr>
          <w:p w:rsidR="00C645C9" w:rsidRDefault="00C645C9">
            <w:pPr>
              <w:spacing w:line="240" w:lineRule="exact"/>
              <w:jc w:val="center"/>
              <w:rPr>
                <w:rFonts w:cs="Times New Roman"/>
                <w:sz w:val="21"/>
                <w:szCs w:val="21"/>
              </w:rPr>
            </w:pPr>
          </w:p>
        </w:tc>
        <w:tc>
          <w:tcPr>
            <w:tcW w:w="478" w:type="pct"/>
            <w:vAlign w:val="center"/>
          </w:tcPr>
          <w:p w:rsidR="00C645C9" w:rsidRDefault="00F955D9">
            <w:pPr>
              <w:spacing w:line="240" w:lineRule="exact"/>
              <w:jc w:val="center"/>
              <w:rPr>
                <w:rFonts w:cs="Times New Roman"/>
                <w:sz w:val="21"/>
                <w:szCs w:val="21"/>
              </w:rPr>
            </w:pPr>
            <w:r>
              <w:rPr>
                <w:rFonts w:cs="Times New Roman"/>
                <w:sz w:val="21"/>
                <w:szCs w:val="21"/>
              </w:rPr>
              <w:t>二类区</w:t>
            </w:r>
          </w:p>
        </w:tc>
        <w:tc>
          <w:tcPr>
            <w:tcW w:w="1662" w:type="pct"/>
            <w:gridSpan w:val="9"/>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≤30%□</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本工程</w:t>
            </w:r>
            <w:r>
              <w:rPr>
                <w:rFonts w:cs="Times New Roman"/>
                <w:sz w:val="21"/>
                <w:szCs w:val="21"/>
              </w:rPr>
              <w:t>最大占标率＞</w:t>
            </w:r>
            <w:r>
              <w:rPr>
                <w:rFonts w:cs="Times New Roman"/>
                <w:sz w:val="21"/>
                <w:szCs w:val="21"/>
              </w:rPr>
              <w:t>30%□</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非正常排放</w:t>
            </w:r>
            <w:r>
              <w:rPr>
                <w:rFonts w:cs="Times New Roman"/>
                <w:sz w:val="21"/>
                <w:szCs w:val="21"/>
              </w:rPr>
              <w:t>1h</w:t>
            </w:r>
            <w:r>
              <w:rPr>
                <w:rFonts w:cs="Times New Roman"/>
                <w:sz w:val="21"/>
                <w:szCs w:val="21"/>
              </w:rPr>
              <w:t>浓度贡献值</w:t>
            </w:r>
          </w:p>
        </w:tc>
        <w:tc>
          <w:tcPr>
            <w:tcW w:w="478" w:type="pct"/>
            <w:vAlign w:val="center"/>
          </w:tcPr>
          <w:p w:rsidR="00C645C9" w:rsidRDefault="00F955D9">
            <w:pPr>
              <w:spacing w:line="240" w:lineRule="exact"/>
              <w:jc w:val="center"/>
              <w:rPr>
                <w:rFonts w:cs="Times New Roman"/>
                <w:sz w:val="21"/>
                <w:szCs w:val="21"/>
              </w:rPr>
            </w:pPr>
            <w:r>
              <w:rPr>
                <w:rFonts w:cs="Times New Roman"/>
                <w:sz w:val="21"/>
                <w:szCs w:val="21"/>
              </w:rPr>
              <w:t>非正常持续时长（）</w:t>
            </w:r>
            <w:r>
              <w:rPr>
                <w:rFonts w:cs="Times New Roman"/>
                <w:sz w:val="21"/>
                <w:szCs w:val="21"/>
              </w:rPr>
              <w:t>h</w:t>
            </w:r>
          </w:p>
        </w:tc>
        <w:tc>
          <w:tcPr>
            <w:tcW w:w="1662" w:type="pct"/>
            <w:gridSpan w:val="9"/>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非正常</w:t>
            </w:r>
            <w:r>
              <w:rPr>
                <w:rFonts w:cs="Times New Roman"/>
                <w:sz w:val="21"/>
                <w:szCs w:val="21"/>
              </w:rPr>
              <w:t>占标率</w:t>
            </w:r>
            <w:r>
              <w:rPr>
                <w:rFonts w:cs="Times New Roman"/>
                <w:sz w:val="21"/>
                <w:szCs w:val="21"/>
              </w:rPr>
              <w:t>≤100%□</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非正常</w:t>
            </w:r>
            <w:r>
              <w:rPr>
                <w:rFonts w:cs="Times New Roman"/>
                <w:sz w:val="21"/>
                <w:szCs w:val="21"/>
              </w:rPr>
              <w:t>占标率＞</w:t>
            </w:r>
            <w:r>
              <w:rPr>
                <w:rFonts w:cs="Times New Roman"/>
                <w:sz w:val="21"/>
                <w:szCs w:val="21"/>
              </w:rPr>
              <w:t>100%□</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保证率日平均浓度和年平均浓度叠加值</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叠加</w:t>
            </w:r>
            <w:r>
              <w:rPr>
                <w:rFonts w:cs="Times New Roman"/>
                <w:sz w:val="21"/>
                <w:szCs w:val="21"/>
              </w:rPr>
              <w:t>达标</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C</w:t>
            </w:r>
            <w:r>
              <w:rPr>
                <w:rFonts w:cs="Times New Roman"/>
                <w:sz w:val="21"/>
                <w:szCs w:val="21"/>
                <w:vertAlign w:val="subscript"/>
              </w:rPr>
              <w:t>叠加</w:t>
            </w:r>
            <w:r>
              <w:rPr>
                <w:rFonts w:cs="Times New Roman"/>
                <w:sz w:val="21"/>
                <w:szCs w:val="21"/>
              </w:rPr>
              <w:t>不达标</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区域环境质量的整体变化情况</w:t>
            </w:r>
          </w:p>
        </w:tc>
        <w:tc>
          <w:tcPr>
            <w:tcW w:w="2141" w:type="pct"/>
            <w:gridSpan w:val="10"/>
            <w:vAlign w:val="center"/>
          </w:tcPr>
          <w:p w:rsidR="00C645C9" w:rsidRDefault="00F955D9">
            <w:pPr>
              <w:spacing w:line="240" w:lineRule="exact"/>
              <w:jc w:val="center"/>
              <w:rPr>
                <w:rFonts w:cs="Times New Roman"/>
                <w:sz w:val="21"/>
                <w:szCs w:val="21"/>
              </w:rPr>
            </w:pPr>
            <w:r>
              <w:rPr>
                <w:rFonts w:cs="Times New Roman"/>
                <w:sz w:val="21"/>
                <w:szCs w:val="21"/>
              </w:rPr>
              <w:t>k≤-20%□</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k</w:t>
            </w:r>
            <w:r>
              <w:rPr>
                <w:rFonts w:cs="Times New Roman"/>
                <w:sz w:val="21"/>
                <w:szCs w:val="21"/>
              </w:rPr>
              <w:t>＞</w:t>
            </w:r>
            <w:r>
              <w:rPr>
                <w:rFonts w:cs="Times New Roman"/>
                <w:sz w:val="21"/>
                <w:szCs w:val="21"/>
              </w:rPr>
              <w:t>-20%□</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环境监测计划</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污染源监测</w:t>
            </w:r>
          </w:p>
        </w:tc>
        <w:tc>
          <w:tcPr>
            <w:tcW w:w="1398" w:type="pct"/>
            <w:gridSpan w:val="6"/>
            <w:vAlign w:val="center"/>
          </w:tcPr>
          <w:p w:rsidR="00C645C9" w:rsidRDefault="00F955D9">
            <w:pPr>
              <w:spacing w:line="240" w:lineRule="exact"/>
              <w:jc w:val="center"/>
              <w:rPr>
                <w:rFonts w:cs="Times New Roman"/>
                <w:sz w:val="21"/>
                <w:szCs w:val="21"/>
              </w:rPr>
            </w:pPr>
            <w:r>
              <w:rPr>
                <w:rFonts w:cs="Times New Roman"/>
                <w:sz w:val="21"/>
                <w:szCs w:val="21"/>
              </w:rPr>
              <w:t>监测因子：（</w:t>
            </w:r>
            <w:r>
              <w:rPr>
                <w:rFonts w:cs="Times New Roman"/>
                <w:sz w:val="21"/>
                <w:szCs w:val="21"/>
              </w:rPr>
              <w:t>NMHC</w:t>
            </w:r>
            <w:r>
              <w:rPr>
                <w:rFonts w:cs="Times New Roman"/>
                <w:sz w:val="21"/>
                <w:szCs w:val="21"/>
              </w:rPr>
              <w:t>、</w:t>
            </w:r>
            <w:r>
              <w:rPr>
                <w:rFonts w:cs="Times New Roman"/>
                <w:sz w:val="21"/>
                <w:szCs w:val="21"/>
              </w:rPr>
              <w:t>H</w:t>
            </w:r>
            <w:r>
              <w:rPr>
                <w:rFonts w:cs="Times New Roman"/>
                <w:sz w:val="21"/>
                <w:szCs w:val="21"/>
                <w:vertAlign w:val="subscript"/>
              </w:rPr>
              <w:t>2</w:t>
            </w:r>
            <w:r>
              <w:rPr>
                <w:rFonts w:cs="Times New Roman"/>
                <w:sz w:val="21"/>
                <w:szCs w:val="21"/>
              </w:rPr>
              <w:t>S</w:t>
            </w:r>
            <w:r>
              <w:rPr>
                <w:rFonts w:cs="Times New Roman"/>
                <w:sz w:val="21"/>
                <w:szCs w:val="21"/>
              </w:rPr>
              <w:t>）</w:t>
            </w:r>
          </w:p>
        </w:tc>
        <w:tc>
          <w:tcPr>
            <w:tcW w:w="743" w:type="pct"/>
            <w:gridSpan w:val="4"/>
            <w:vAlign w:val="center"/>
          </w:tcPr>
          <w:p w:rsidR="00C645C9" w:rsidRDefault="00F955D9">
            <w:pPr>
              <w:spacing w:line="240" w:lineRule="exact"/>
              <w:jc w:val="center"/>
              <w:rPr>
                <w:rFonts w:cs="Times New Roman"/>
                <w:sz w:val="21"/>
                <w:szCs w:val="21"/>
              </w:rPr>
            </w:pPr>
            <w:r>
              <w:rPr>
                <w:rFonts w:cs="Times New Roman"/>
                <w:sz w:val="21"/>
                <w:szCs w:val="21"/>
              </w:rPr>
              <w:t>有组织废气监测</w:t>
            </w:r>
            <w:r>
              <w:rPr>
                <w:rFonts w:cs="Times New Roman"/>
                <w:sz w:val="21"/>
                <w:szCs w:val="21"/>
              </w:rPr>
              <w:t>□</w:t>
            </w:r>
          </w:p>
          <w:p w:rsidR="00C645C9" w:rsidRDefault="00F955D9">
            <w:pPr>
              <w:spacing w:line="240" w:lineRule="exact"/>
              <w:jc w:val="center"/>
              <w:rPr>
                <w:rFonts w:cs="Times New Roman"/>
                <w:sz w:val="21"/>
                <w:szCs w:val="21"/>
              </w:rPr>
            </w:pPr>
            <w:r>
              <w:rPr>
                <w:rFonts w:cs="Times New Roman"/>
                <w:sz w:val="21"/>
                <w:szCs w:val="21"/>
              </w:rPr>
              <w:t>无组织废气监测</w:t>
            </w:r>
            <w:r>
              <w:rPr>
                <w:rFonts w:cs="Times New Roman"/>
                <w:sz w:val="21"/>
                <w:szCs w:val="21"/>
              </w:rPr>
              <w:t>☑</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无监测</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环境质量监测</w:t>
            </w:r>
          </w:p>
        </w:tc>
        <w:tc>
          <w:tcPr>
            <w:tcW w:w="1398" w:type="pct"/>
            <w:gridSpan w:val="6"/>
            <w:vAlign w:val="center"/>
          </w:tcPr>
          <w:p w:rsidR="00C645C9" w:rsidRDefault="00F955D9">
            <w:pPr>
              <w:spacing w:line="240" w:lineRule="exact"/>
              <w:jc w:val="center"/>
              <w:rPr>
                <w:rFonts w:cs="Times New Roman"/>
                <w:sz w:val="21"/>
                <w:szCs w:val="21"/>
              </w:rPr>
            </w:pPr>
            <w:r>
              <w:rPr>
                <w:rFonts w:cs="Times New Roman"/>
                <w:sz w:val="21"/>
                <w:szCs w:val="21"/>
              </w:rPr>
              <w:t>监测因子：（</w:t>
            </w:r>
            <w:r>
              <w:rPr>
                <w:rFonts w:cs="Times New Roman"/>
                <w:sz w:val="21"/>
                <w:szCs w:val="21"/>
              </w:rPr>
              <w:t xml:space="preserve">  </w:t>
            </w:r>
            <w:r>
              <w:rPr>
                <w:rFonts w:cs="Times New Roman"/>
                <w:sz w:val="21"/>
                <w:szCs w:val="21"/>
              </w:rPr>
              <w:t>）</w:t>
            </w:r>
          </w:p>
        </w:tc>
        <w:tc>
          <w:tcPr>
            <w:tcW w:w="743" w:type="pct"/>
            <w:gridSpan w:val="4"/>
            <w:vAlign w:val="center"/>
          </w:tcPr>
          <w:p w:rsidR="00C645C9" w:rsidRDefault="00F955D9">
            <w:pPr>
              <w:spacing w:line="240" w:lineRule="exact"/>
              <w:jc w:val="center"/>
              <w:rPr>
                <w:rFonts w:cs="Times New Roman"/>
                <w:sz w:val="21"/>
                <w:szCs w:val="21"/>
              </w:rPr>
            </w:pPr>
            <w:r>
              <w:rPr>
                <w:rFonts w:cs="Times New Roman"/>
                <w:sz w:val="21"/>
                <w:szCs w:val="21"/>
              </w:rPr>
              <w:t>监测点位数（）</w:t>
            </w:r>
          </w:p>
        </w:tc>
        <w:tc>
          <w:tcPr>
            <w:tcW w:w="1571" w:type="pct"/>
            <w:gridSpan w:val="5"/>
            <w:vAlign w:val="center"/>
          </w:tcPr>
          <w:p w:rsidR="00C645C9" w:rsidRDefault="00F955D9">
            <w:pPr>
              <w:spacing w:line="240" w:lineRule="exact"/>
              <w:jc w:val="center"/>
              <w:rPr>
                <w:rFonts w:cs="Times New Roman"/>
                <w:sz w:val="21"/>
                <w:szCs w:val="21"/>
              </w:rPr>
            </w:pPr>
            <w:r>
              <w:rPr>
                <w:rFonts w:cs="Times New Roman"/>
                <w:sz w:val="21"/>
                <w:szCs w:val="21"/>
              </w:rPr>
              <w:t>无监测</w:t>
            </w:r>
            <w:r>
              <w:rPr>
                <w:rFonts w:cs="Times New Roman"/>
                <w:sz w:val="21"/>
                <w:szCs w:val="21"/>
              </w:rPr>
              <w:t>□</w:t>
            </w:r>
          </w:p>
        </w:tc>
      </w:tr>
      <w:tr w:rsidR="00C645C9">
        <w:trPr>
          <w:trHeight w:val="340"/>
          <w:jc w:val="center"/>
        </w:trPr>
        <w:tc>
          <w:tcPr>
            <w:tcW w:w="238" w:type="pct"/>
            <w:vMerge w:val="restart"/>
            <w:vAlign w:val="center"/>
          </w:tcPr>
          <w:p w:rsidR="00C645C9" w:rsidRDefault="00F955D9">
            <w:pPr>
              <w:spacing w:line="240" w:lineRule="exact"/>
              <w:jc w:val="center"/>
              <w:rPr>
                <w:rFonts w:cs="Times New Roman"/>
                <w:sz w:val="21"/>
                <w:szCs w:val="21"/>
              </w:rPr>
            </w:pPr>
            <w:r>
              <w:rPr>
                <w:rFonts w:cs="Times New Roman"/>
                <w:sz w:val="21"/>
                <w:szCs w:val="21"/>
              </w:rPr>
              <w:t>评价结论</w:t>
            </w: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环境影响</w:t>
            </w:r>
          </w:p>
        </w:tc>
        <w:tc>
          <w:tcPr>
            <w:tcW w:w="3713" w:type="pct"/>
            <w:gridSpan w:val="15"/>
            <w:vAlign w:val="center"/>
          </w:tcPr>
          <w:p w:rsidR="00C645C9" w:rsidRDefault="00F955D9">
            <w:pPr>
              <w:spacing w:line="240" w:lineRule="exact"/>
              <w:jc w:val="center"/>
              <w:rPr>
                <w:rFonts w:cs="Times New Roman"/>
                <w:sz w:val="21"/>
                <w:szCs w:val="21"/>
              </w:rPr>
            </w:pPr>
            <w:r>
              <w:rPr>
                <w:rFonts w:cs="Times New Roman"/>
                <w:sz w:val="21"/>
                <w:szCs w:val="21"/>
              </w:rPr>
              <w:t>可以接受</w:t>
            </w:r>
            <w:r>
              <w:rPr>
                <w:rFonts w:cs="Times New Roman"/>
                <w:sz w:val="21"/>
                <w:szCs w:val="21"/>
              </w:rPr>
              <w:t>☑</w:t>
            </w:r>
            <w:r>
              <w:rPr>
                <w:rFonts w:cs="Times New Roman"/>
                <w:sz w:val="21"/>
                <w:szCs w:val="21"/>
              </w:rPr>
              <w:t xml:space="preserve">     </w:t>
            </w:r>
            <w:r>
              <w:rPr>
                <w:rFonts w:cs="Times New Roman"/>
                <w:sz w:val="21"/>
                <w:szCs w:val="21"/>
              </w:rPr>
              <w:t>不可以接受</w:t>
            </w:r>
            <w:r>
              <w:rPr>
                <w:rFonts w:cs="Times New Roman"/>
                <w:sz w:val="21"/>
                <w:szCs w:val="21"/>
              </w:rPr>
              <w:t>□</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大气环境防护距离</w:t>
            </w:r>
          </w:p>
        </w:tc>
        <w:tc>
          <w:tcPr>
            <w:tcW w:w="3713" w:type="pct"/>
            <w:gridSpan w:val="15"/>
            <w:vAlign w:val="center"/>
          </w:tcPr>
          <w:p w:rsidR="00C645C9" w:rsidRDefault="00F955D9">
            <w:pPr>
              <w:spacing w:line="240" w:lineRule="exact"/>
              <w:jc w:val="center"/>
              <w:rPr>
                <w:rFonts w:cs="Times New Roman"/>
                <w:sz w:val="21"/>
                <w:szCs w:val="21"/>
              </w:rPr>
            </w:pPr>
            <w:r>
              <w:rPr>
                <w:rFonts w:cs="Times New Roman"/>
                <w:sz w:val="21"/>
                <w:szCs w:val="21"/>
              </w:rPr>
              <w:t>距厂界最远（</w:t>
            </w:r>
            <w:r>
              <w:rPr>
                <w:rFonts w:cs="Times New Roman"/>
                <w:sz w:val="21"/>
                <w:szCs w:val="21"/>
              </w:rPr>
              <w:t xml:space="preserve"> </w:t>
            </w:r>
            <w:r>
              <w:rPr>
                <w:rFonts w:cs="Times New Roman"/>
                <w:sz w:val="21"/>
                <w:szCs w:val="21"/>
              </w:rPr>
              <w:t>）</w:t>
            </w:r>
            <w:r>
              <w:rPr>
                <w:rFonts w:cs="Times New Roman"/>
                <w:sz w:val="21"/>
                <w:szCs w:val="21"/>
              </w:rPr>
              <w:t>m</w:t>
            </w:r>
          </w:p>
        </w:tc>
      </w:tr>
      <w:tr w:rsidR="00C645C9">
        <w:trPr>
          <w:trHeight w:val="340"/>
          <w:jc w:val="center"/>
        </w:trPr>
        <w:tc>
          <w:tcPr>
            <w:tcW w:w="238" w:type="pct"/>
            <w:vMerge/>
            <w:vAlign w:val="center"/>
          </w:tcPr>
          <w:p w:rsidR="00C645C9" w:rsidRDefault="00C645C9">
            <w:pPr>
              <w:spacing w:line="240" w:lineRule="exact"/>
              <w:jc w:val="center"/>
              <w:rPr>
                <w:rFonts w:cs="Times New Roman"/>
                <w:sz w:val="21"/>
                <w:szCs w:val="21"/>
              </w:rPr>
            </w:pPr>
          </w:p>
        </w:tc>
        <w:tc>
          <w:tcPr>
            <w:tcW w:w="1048" w:type="pct"/>
            <w:vAlign w:val="center"/>
          </w:tcPr>
          <w:p w:rsidR="00C645C9" w:rsidRDefault="00F955D9">
            <w:pPr>
              <w:spacing w:line="240" w:lineRule="exact"/>
              <w:jc w:val="center"/>
              <w:rPr>
                <w:rFonts w:cs="Times New Roman"/>
                <w:sz w:val="21"/>
                <w:szCs w:val="21"/>
              </w:rPr>
            </w:pPr>
            <w:r>
              <w:rPr>
                <w:rFonts w:cs="Times New Roman"/>
                <w:sz w:val="21"/>
                <w:szCs w:val="21"/>
              </w:rPr>
              <w:t>污染源年排放量</w:t>
            </w:r>
          </w:p>
        </w:tc>
        <w:tc>
          <w:tcPr>
            <w:tcW w:w="928" w:type="pct"/>
            <w:gridSpan w:val="3"/>
            <w:vAlign w:val="center"/>
          </w:tcPr>
          <w:p w:rsidR="00C645C9" w:rsidRDefault="00F955D9">
            <w:pPr>
              <w:spacing w:line="240" w:lineRule="exact"/>
              <w:jc w:val="center"/>
              <w:rPr>
                <w:rFonts w:cs="Times New Roman"/>
                <w:sz w:val="21"/>
                <w:szCs w:val="21"/>
              </w:rPr>
            </w:pPr>
            <w:r>
              <w:rPr>
                <w:rFonts w:cs="Times New Roman"/>
                <w:sz w:val="21"/>
                <w:szCs w:val="21"/>
              </w:rPr>
              <w:t>SO</w:t>
            </w:r>
            <w:r>
              <w:rPr>
                <w:rFonts w:cs="Times New Roman"/>
                <w:sz w:val="21"/>
                <w:szCs w:val="21"/>
                <w:vertAlign w:val="subscript"/>
              </w:rPr>
              <w:t>2</w:t>
            </w:r>
            <w:r>
              <w:rPr>
                <w:rFonts w:cs="Times New Roman"/>
                <w:sz w:val="21"/>
                <w:szCs w:val="21"/>
              </w:rPr>
              <w:t>:</w:t>
            </w:r>
            <w:r>
              <w:rPr>
                <w:rFonts w:cs="Times New Roman" w:hint="eastAsia"/>
                <w:sz w:val="21"/>
                <w:szCs w:val="21"/>
              </w:rPr>
              <w:t>（</w:t>
            </w:r>
            <w:bookmarkStart w:id="1607" w:name="OLE_LINK1145"/>
            <w:r>
              <w:rPr>
                <w:rFonts w:cs="Times New Roman"/>
                <w:spacing w:val="-10"/>
                <w:sz w:val="21"/>
                <w:szCs w:val="21"/>
              </w:rPr>
              <w:t>0</w:t>
            </w:r>
            <w:r>
              <w:rPr>
                <w:rFonts w:cs="Times New Roman"/>
                <w:spacing w:val="-10"/>
                <w:sz w:val="21"/>
                <w:szCs w:val="21"/>
              </w:rPr>
              <w:t>.07</w:t>
            </w:r>
            <w:bookmarkEnd w:id="1607"/>
            <w:r>
              <w:rPr>
                <w:rFonts w:cs="Times New Roman" w:hint="eastAsia"/>
                <w:spacing w:val="-10"/>
                <w:sz w:val="21"/>
                <w:szCs w:val="21"/>
              </w:rPr>
              <w:t>4</w:t>
            </w:r>
            <w:r>
              <w:rPr>
                <w:rFonts w:cs="Times New Roman" w:hint="eastAsia"/>
                <w:sz w:val="21"/>
                <w:szCs w:val="21"/>
              </w:rPr>
              <w:t>）</w:t>
            </w:r>
            <w:r>
              <w:rPr>
                <w:rFonts w:cs="Times New Roman"/>
                <w:sz w:val="21"/>
                <w:szCs w:val="21"/>
              </w:rPr>
              <w:t>t/a</w:t>
            </w:r>
          </w:p>
        </w:tc>
        <w:tc>
          <w:tcPr>
            <w:tcW w:w="928" w:type="pct"/>
            <w:gridSpan w:val="5"/>
            <w:vAlign w:val="center"/>
          </w:tcPr>
          <w:p w:rsidR="00C645C9" w:rsidRDefault="00F955D9">
            <w:pPr>
              <w:spacing w:line="240" w:lineRule="exact"/>
              <w:jc w:val="center"/>
              <w:rPr>
                <w:rFonts w:cs="Times New Roman"/>
                <w:sz w:val="21"/>
                <w:szCs w:val="21"/>
              </w:rPr>
            </w:pPr>
            <w:r>
              <w:rPr>
                <w:rFonts w:cs="Times New Roman"/>
                <w:sz w:val="21"/>
                <w:szCs w:val="21"/>
              </w:rPr>
              <w:t>NO</w:t>
            </w:r>
            <w:r>
              <w:rPr>
                <w:rFonts w:cs="Times New Roman"/>
                <w:sz w:val="21"/>
                <w:szCs w:val="21"/>
                <w:vertAlign w:val="subscript"/>
              </w:rPr>
              <w:t>x</w:t>
            </w:r>
            <w:r>
              <w:rPr>
                <w:rFonts w:cs="Times New Roman"/>
                <w:sz w:val="21"/>
                <w:szCs w:val="21"/>
              </w:rPr>
              <w:t>:</w:t>
            </w:r>
            <w:r>
              <w:rPr>
                <w:rFonts w:cs="Times New Roman" w:hint="eastAsia"/>
                <w:sz w:val="21"/>
                <w:szCs w:val="21"/>
              </w:rPr>
              <w:t>（</w:t>
            </w:r>
            <w:r>
              <w:rPr>
                <w:rFonts w:cs="Times New Roman"/>
                <w:spacing w:val="-10"/>
                <w:sz w:val="21"/>
                <w:szCs w:val="21"/>
              </w:rPr>
              <w:t>0</w:t>
            </w:r>
            <w:r>
              <w:rPr>
                <w:rFonts w:cs="Times New Roman"/>
                <w:spacing w:val="-10"/>
                <w:sz w:val="21"/>
                <w:szCs w:val="21"/>
              </w:rPr>
              <w:t>.701</w:t>
            </w:r>
            <w:r>
              <w:rPr>
                <w:rFonts w:cs="Times New Roman" w:hint="eastAsia"/>
                <w:sz w:val="21"/>
                <w:szCs w:val="21"/>
              </w:rPr>
              <w:t>）</w:t>
            </w:r>
            <w:r>
              <w:rPr>
                <w:rFonts w:cs="Times New Roman"/>
                <w:sz w:val="21"/>
                <w:szCs w:val="21"/>
              </w:rPr>
              <w:t>t/a</w:t>
            </w:r>
          </w:p>
        </w:tc>
        <w:tc>
          <w:tcPr>
            <w:tcW w:w="928" w:type="pct"/>
            <w:gridSpan w:val="4"/>
            <w:vAlign w:val="center"/>
          </w:tcPr>
          <w:p w:rsidR="00C645C9" w:rsidRDefault="00F955D9">
            <w:pPr>
              <w:spacing w:line="240" w:lineRule="exact"/>
              <w:jc w:val="center"/>
              <w:rPr>
                <w:rFonts w:cs="Times New Roman"/>
                <w:sz w:val="21"/>
                <w:szCs w:val="21"/>
              </w:rPr>
            </w:pPr>
            <w:r>
              <w:rPr>
                <w:rFonts w:cs="Times New Roman"/>
                <w:sz w:val="21"/>
                <w:szCs w:val="21"/>
              </w:rPr>
              <w:t>颗粒物</w:t>
            </w:r>
            <w:r>
              <w:rPr>
                <w:rFonts w:cs="Times New Roman" w:hint="eastAsia"/>
                <w:sz w:val="21"/>
                <w:szCs w:val="21"/>
              </w:rPr>
              <w:t>：</w:t>
            </w:r>
            <w:r>
              <w:rPr>
                <w:rFonts w:cs="Times New Roman" w:hint="eastAsia"/>
                <w:sz w:val="21"/>
                <w:szCs w:val="21"/>
              </w:rPr>
              <w:t>（</w:t>
            </w:r>
            <w:r>
              <w:rPr>
                <w:rFonts w:cs="Times New Roman"/>
                <w:spacing w:val="-10"/>
                <w:sz w:val="21"/>
                <w:szCs w:val="21"/>
              </w:rPr>
              <w:t>0</w:t>
            </w:r>
            <w:r>
              <w:rPr>
                <w:rFonts w:cs="Times New Roman"/>
                <w:spacing w:val="-10"/>
                <w:sz w:val="21"/>
                <w:szCs w:val="21"/>
              </w:rPr>
              <w:t>.088</w:t>
            </w:r>
            <w:r>
              <w:rPr>
                <w:rFonts w:cs="Times New Roman" w:hint="eastAsia"/>
                <w:sz w:val="21"/>
                <w:szCs w:val="21"/>
              </w:rPr>
              <w:t>）</w:t>
            </w:r>
            <w:r>
              <w:rPr>
                <w:rFonts w:cs="Times New Roman"/>
                <w:sz w:val="21"/>
                <w:szCs w:val="21"/>
              </w:rPr>
              <w:t>t/a</w:t>
            </w:r>
          </w:p>
        </w:tc>
        <w:tc>
          <w:tcPr>
            <w:tcW w:w="928" w:type="pct"/>
            <w:gridSpan w:val="3"/>
            <w:vAlign w:val="center"/>
          </w:tcPr>
          <w:p w:rsidR="00C645C9" w:rsidRDefault="00F955D9">
            <w:pPr>
              <w:spacing w:line="240" w:lineRule="exact"/>
              <w:jc w:val="center"/>
              <w:rPr>
                <w:rFonts w:cs="Times New Roman"/>
                <w:sz w:val="21"/>
                <w:szCs w:val="21"/>
              </w:rPr>
            </w:pPr>
            <w:r>
              <w:rPr>
                <w:rFonts w:cs="Times New Roman"/>
                <w:sz w:val="21"/>
                <w:szCs w:val="21"/>
              </w:rPr>
              <w:t>有组织</w:t>
            </w:r>
            <w:r>
              <w:rPr>
                <w:rFonts w:cs="Times New Roman"/>
                <w:sz w:val="21"/>
                <w:szCs w:val="21"/>
              </w:rPr>
              <w:t>VOCs</w:t>
            </w:r>
            <w:r>
              <w:rPr>
                <w:rFonts w:cs="Times New Roman"/>
                <w:sz w:val="21"/>
                <w:szCs w:val="21"/>
              </w:rPr>
              <w:t>:</w:t>
            </w:r>
            <w:r>
              <w:rPr>
                <w:rFonts w:cs="Times New Roman"/>
                <w:sz w:val="21"/>
                <w:szCs w:val="21"/>
              </w:rPr>
              <w:t>（</w:t>
            </w:r>
            <w:r>
              <w:rPr>
                <w:rFonts w:cs="Times New Roman"/>
                <w:sz w:val="21"/>
                <w:szCs w:val="21"/>
              </w:rPr>
              <w:t>0.126</w:t>
            </w:r>
            <w:r>
              <w:rPr>
                <w:rFonts w:cs="Times New Roman"/>
                <w:sz w:val="21"/>
                <w:szCs w:val="21"/>
              </w:rPr>
              <w:t>）</w:t>
            </w:r>
            <w:r>
              <w:rPr>
                <w:rFonts w:cs="Times New Roman"/>
                <w:sz w:val="21"/>
                <w:szCs w:val="21"/>
              </w:rPr>
              <w:t>t/a</w:t>
            </w:r>
          </w:p>
          <w:p w:rsidR="00C645C9" w:rsidRDefault="00F955D9">
            <w:pPr>
              <w:spacing w:line="240" w:lineRule="exact"/>
              <w:jc w:val="center"/>
              <w:rPr>
                <w:rFonts w:cs="Times New Roman"/>
                <w:sz w:val="21"/>
                <w:szCs w:val="21"/>
              </w:rPr>
            </w:pPr>
            <w:r>
              <w:rPr>
                <w:rFonts w:cs="Times New Roman"/>
                <w:sz w:val="21"/>
                <w:szCs w:val="21"/>
              </w:rPr>
              <w:t>无组织</w:t>
            </w:r>
            <w:r>
              <w:rPr>
                <w:rFonts w:cs="Times New Roman"/>
                <w:sz w:val="21"/>
                <w:szCs w:val="21"/>
              </w:rPr>
              <w:t>VOCs</w:t>
            </w:r>
            <w:r>
              <w:rPr>
                <w:rFonts w:cs="Times New Roman"/>
                <w:sz w:val="21"/>
                <w:szCs w:val="21"/>
              </w:rPr>
              <w:t>：（</w:t>
            </w:r>
            <w:r>
              <w:rPr>
                <w:rFonts w:cs="Times New Roman"/>
                <w:spacing w:val="-10"/>
                <w:sz w:val="21"/>
                <w:szCs w:val="21"/>
              </w:rPr>
              <w:t>8.336</w:t>
            </w:r>
            <w:r>
              <w:rPr>
                <w:rFonts w:cs="Times New Roman"/>
                <w:sz w:val="21"/>
                <w:szCs w:val="21"/>
              </w:rPr>
              <w:t>）</w:t>
            </w:r>
            <w:r>
              <w:rPr>
                <w:rFonts w:cs="Times New Roman"/>
                <w:sz w:val="21"/>
                <w:szCs w:val="21"/>
              </w:rPr>
              <w:t>t/a</w:t>
            </w:r>
          </w:p>
        </w:tc>
      </w:tr>
    </w:tbl>
    <w:p w:rsidR="00C645C9" w:rsidRDefault="00F955D9">
      <w:pPr>
        <w:pStyle w:val="2"/>
        <w:widowControl w:val="0"/>
        <w:adjustRightInd w:val="0"/>
        <w:snapToGrid w:val="0"/>
        <w:spacing w:after="0" w:line="360" w:lineRule="auto"/>
        <w:rPr>
          <w:rFonts w:ascii="Times New Roman" w:hAnsi="Times New Roman" w:cs="Times New Roman"/>
          <w:color w:val="auto"/>
        </w:rPr>
      </w:pPr>
      <w:bookmarkStart w:id="1608" w:name="_Toc32642"/>
      <w:bookmarkStart w:id="1609" w:name="_Toc6197"/>
      <w:r>
        <w:rPr>
          <w:rFonts w:ascii="Times New Roman" w:hAnsi="Times New Roman" w:cs="Times New Roman"/>
          <w:color w:val="auto"/>
        </w:rPr>
        <w:t>5.</w:t>
      </w:r>
      <w:bookmarkEnd w:id="1598"/>
      <w:bookmarkEnd w:id="1599"/>
      <w:bookmarkEnd w:id="1600"/>
      <w:bookmarkEnd w:id="1601"/>
      <w:bookmarkEnd w:id="1602"/>
      <w:bookmarkEnd w:id="1603"/>
      <w:bookmarkEnd w:id="1608"/>
      <w:r>
        <w:rPr>
          <w:rFonts w:ascii="Times New Roman" w:hAnsi="Times New Roman" w:cs="Times New Roman"/>
          <w:color w:val="auto"/>
        </w:rPr>
        <w:t>6</w:t>
      </w:r>
      <w:r>
        <w:rPr>
          <w:rFonts w:ascii="Times New Roman" w:hAnsi="Times New Roman" w:cs="Times New Roman"/>
          <w:color w:val="auto"/>
        </w:rPr>
        <w:t>声环境影响评价</w:t>
      </w:r>
      <w:bookmarkEnd w:id="1609"/>
    </w:p>
    <w:p w:rsidR="00C645C9" w:rsidRDefault="00F955D9">
      <w:pPr>
        <w:pStyle w:val="3"/>
        <w:widowControl w:val="0"/>
        <w:adjustRightInd w:val="0"/>
        <w:snapToGrid w:val="0"/>
        <w:spacing w:before="0" w:after="0" w:line="360" w:lineRule="auto"/>
        <w:rPr>
          <w:rFonts w:ascii="Times New Roman" w:hAnsi="Times New Roman" w:cs="Times New Roman"/>
          <w:color w:val="auto"/>
        </w:rPr>
      </w:pPr>
      <w:bookmarkStart w:id="1610" w:name="_Toc15267"/>
      <w:bookmarkStart w:id="1611" w:name="_Toc5046"/>
      <w:bookmarkStart w:id="1612" w:name="_Toc9260"/>
      <w:r>
        <w:rPr>
          <w:rFonts w:ascii="Times New Roman" w:hAnsi="Times New Roman" w:cs="Times New Roman"/>
          <w:color w:val="auto"/>
        </w:rPr>
        <w:t>5.</w:t>
      </w:r>
      <w:bookmarkEnd w:id="1610"/>
      <w:bookmarkEnd w:id="1611"/>
      <w:bookmarkEnd w:id="1612"/>
      <w:r>
        <w:rPr>
          <w:rFonts w:ascii="Times New Roman" w:hAnsi="Times New Roman" w:cs="Times New Roman"/>
          <w:color w:val="auto"/>
        </w:rPr>
        <w:t>6.1</w:t>
      </w:r>
      <w:r>
        <w:rPr>
          <w:rFonts w:ascii="Times New Roman" w:hAnsi="Times New Roman" w:cs="Times New Roman"/>
          <w:color w:val="auto"/>
        </w:rPr>
        <w:t>施工期声环境影响分析</w:t>
      </w:r>
    </w:p>
    <w:p w:rsidR="00C645C9" w:rsidRDefault="00F955D9">
      <w:pPr>
        <w:pStyle w:val="4"/>
        <w:rPr>
          <w:rFonts w:ascii="Times New Roman" w:hAnsi="Times New Roman" w:cs="Times New Roman"/>
          <w:color w:val="auto"/>
          <w:lang w:eastAsia="zh-CN"/>
        </w:rPr>
      </w:pPr>
      <w:r>
        <w:rPr>
          <w:rFonts w:ascii="Times New Roman" w:hAnsi="Times New Roman" w:cs="Times New Roman"/>
          <w:color w:val="auto"/>
          <w:lang w:eastAsia="zh-CN"/>
        </w:rPr>
        <w:t>5.</w:t>
      </w:r>
      <w:r>
        <w:rPr>
          <w:rFonts w:ascii="Times New Roman" w:hAnsi="Times New Roman" w:cs="Times New Roman"/>
          <w:color w:val="auto"/>
          <w:lang w:eastAsia="zh-CN"/>
        </w:rPr>
        <w:t>6</w:t>
      </w:r>
      <w:r>
        <w:rPr>
          <w:rFonts w:ascii="Times New Roman" w:hAnsi="Times New Roman" w:cs="Times New Roman"/>
          <w:color w:val="auto"/>
          <w:lang w:eastAsia="zh-CN"/>
        </w:rPr>
        <w:t>.1.1</w:t>
      </w:r>
      <w:r>
        <w:rPr>
          <w:rFonts w:ascii="Times New Roman" w:hAnsi="Times New Roman" w:cs="Times New Roman"/>
          <w:color w:val="auto"/>
          <w:lang w:eastAsia="zh-CN"/>
        </w:rPr>
        <w:t>钻井过程声环境影响分析</w:t>
      </w:r>
    </w:p>
    <w:p w:rsidR="00C645C9" w:rsidRDefault="00F955D9">
      <w:pPr>
        <w:spacing w:line="360" w:lineRule="auto"/>
        <w:ind w:firstLineChars="200" w:firstLine="496"/>
        <w:jc w:val="both"/>
        <w:rPr>
          <w:rFonts w:cs="Times New Roman"/>
          <w:spacing w:val="4"/>
          <w:kern w:val="24"/>
        </w:rPr>
      </w:pPr>
      <w:r>
        <w:rPr>
          <w:rFonts w:cs="Times New Roman"/>
          <w:spacing w:val="4"/>
          <w:kern w:val="24"/>
        </w:rPr>
        <w:t>钻井过程中的噪声源主要是发电机、钻机和各类泵的噪声，其中柴油发电机、钻机噪声级在</w:t>
      </w:r>
      <w:r>
        <w:rPr>
          <w:rFonts w:cs="Times New Roman"/>
          <w:spacing w:val="4"/>
          <w:kern w:val="24"/>
        </w:rPr>
        <w:t>90dB</w:t>
      </w:r>
      <w:r>
        <w:rPr>
          <w:rFonts w:cs="Times New Roman"/>
          <w:spacing w:val="4"/>
          <w:kern w:val="24"/>
        </w:rPr>
        <w:t>（</w:t>
      </w:r>
      <w:r>
        <w:rPr>
          <w:rFonts w:cs="Times New Roman"/>
          <w:spacing w:val="4"/>
          <w:kern w:val="24"/>
        </w:rPr>
        <w:t>A</w:t>
      </w:r>
      <w:r>
        <w:rPr>
          <w:rFonts w:cs="Times New Roman"/>
          <w:spacing w:val="4"/>
          <w:kern w:val="24"/>
        </w:rPr>
        <w:t>）～</w:t>
      </w:r>
      <w:r>
        <w:rPr>
          <w:rFonts w:cs="Times New Roman"/>
          <w:spacing w:val="4"/>
          <w:kern w:val="24"/>
        </w:rPr>
        <w:t>105dB</w:t>
      </w:r>
      <w:r>
        <w:rPr>
          <w:rFonts w:cs="Times New Roman"/>
          <w:spacing w:val="4"/>
          <w:kern w:val="24"/>
        </w:rPr>
        <w:t>（</w:t>
      </w:r>
      <w:r>
        <w:rPr>
          <w:rFonts w:cs="Times New Roman"/>
          <w:spacing w:val="4"/>
          <w:kern w:val="24"/>
        </w:rPr>
        <w:t>A</w:t>
      </w:r>
      <w:r>
        <w:rPr>
          <w:rFonts w:cs="Times New Roman"/>
          <w:spacing w:val="4"/>
          <w:kern w:val="24"/>
        </w:rPr>
        <w:t>）之间，钻井液循环泵噪声级在</w:t>
      </w:r>
      <w:r>
        <w:rPr>
          <w:rFonts w:cs="Times New Roman"/>
          <w:spacing w:val="4"/>
          <w:kern w:val="24"/>
        </w:rPr>
        <w:t xml:space="preserve"> 95dB</w:t>
      </w:r>
      <w:r>
        <w:rPr>
          <w:rFonts w:cs="Times New Roman"/>
          <w:spacing w:val="4"/>
          <w:kern w:val="24"/>
        </w:rPr>
        <w:t>（</w:t>
      </w:r>
      <w:r>
        <w:rPr>
          <w:rFonts w:cs="Times New Roman"/>
          <w:spacing w:val="4"/>
          <w:kern w:val="24"/>
        </w:rPr>
        <w:t>A</w:t>
      </w:r>
      <w:r>
        <w:rPr>
          <w:rFonts w:cs="Times New Roman"/>
          <w:spacing w:val="4"/>
          <w:kern w:val="24"/>
        </w:rPr>
        <w:t>）～</w:t>
      </w:r>
      <w:r>
        <w:rPr>
          <w:rFonts w:cs="Times New Roman"/>
          <w:spacing w:val="4"/>
          <w:kern w:val="24"/>
        </w:rPr>
        <w:t>105dB</w:t>
      </w:r>
      <w:r>
        <w:rPr>
          <w:rFonts w:cs="Times New Roman"/>
          <w:spacing w:val="4"/>
          <w:kern w:val="24"/>
        </w:rPr>
        <w:t>（</w:t>
      </w:r>
      <w:r>
        <w:rPr>
          <w:rFonts w:cs="Times New Roman"/>
          <w:spacing w:val="4"/>
          <w:kern w:val="24"/>
        </w:rPr>
        <w:t>A</w:t>
      </w:r>
      <w:r>
        <w:rPr>
          <w:rFonts w:cs="Times New Roman"/>
          <w:spacing w:val="4"/>
          <w:kern w:val="24"/>
        </w:rPr>
        <w:t>）之间，其他构筑物施工机械噪声级在</w:t>
      </w:r>
      <w:r>
        <w:rPr>
          <w:rFonts w:cs="Times New Roman"/>
          <w:spacing w:val="4"/>
          <w:kern w:val="24"/>
        </w:rPr>
        <w:t>85dB</w:t>
      </w:r>
      <w:r>
        <w:rPr>
          <w:rFonts w:cs="Times New Roman"/>
          <w:spacing w:val="4"/>
          <w:kern w:val="24"/>
        </w:rPr>
        <w:t>（</w:t>
      </w:r>
      <w:r>
        <w:rPr>
          <w:rFonts w:cs="Times New Roman"/>
          <w:spacing w:val="4"/>
          <w:kern w:val="24"/>
        </w:rPr>
        <w:t>A</w:t>
      </w:r>
      <w:r>
        <w:rPr>
          <w:rFonts w:cs="Times New Roman"/>
          <w:spacing w:val="4"/>
          <w:kern w:val="24"/>
        </w:rPr>
        <w:t>）～</w:t>
      </w:r>
      <w:r>
        <w:rPr>
          <w:rFonts w:cs="Times New Roman"/>
          <w:spacing w:val="4"/>
          <w:kern w:val="24"/>
        </w:rPr>
        <w:t>100dB</w:t>
      </w:r>
      <w:r>
        <w:rPr>
          <w:rFonts w:cs="Times New Roman"/>
          <w:spacing w:val="4"/>
          <w:kern w:val="24"/>
        </w:rPr>
        <w:t>（</w:t>
      </w:r>
      <w:r>
        <w:rPr>
          <w:rFonts w:cs="Times New Roman"/>
          <w:spacing w:val="4"/>
          <w:kern w:val="24"/>
        </w:rPr>
        <w:t>A</w:t>
      </w:r>
      <w:r>
        <w:rPr>
          <w:rFonts w:cs="Times New Roman"/>
          <w:spacing w:val="4"/>
          <w:kern w:val="24"/>
        </w:rPr>
        <w:t>）之间。</w:t>
      </w:r>
      <w:r>
        <w:rPr>
          <w:rFonts w:cs="Times New Roman"/>
          <w:spacing w:val="4"/>
          <w:kern w:val="24"/>
        </w:rPr>
        <w:t xml:space="preserve"> </w:t>
      </w:r>
    </w:p>
    <w:p w:rsidR="00C645C9" w:rsidRDefault="00F955D9">
      <w:pPr>
        <w:spacing w:line="360" w:lineRule="auto"/>
        <w:ind w:firstLineChars="200" w:firstLine="496"/>
        <w:jc w:val="both"/>
        <w:rPr>
          <w:rFonts w:cs="Times New Roman"/>
          <w:spacing w:val="4"/>
          <w:kern w:val="24"/>
        </w:rPr>
      </w:pPr>
      <w:r>
        <w:rPr>
          <w:rFonts w:cs="Times New Roman"/>
          <w:spacing w:val="4"/>
          <w:kern w:val="24"/>
        </w:rPr>
        <w:t>（</w:t>
      </w:r>
      <w:r>
        <w:rPr>
          <w:rFonts w:cs="Times New Roman"/>
          <w:spacing w:val="4"/>
          <w:kern w:val="24"/>
        </w:rPr>
        <w:t>2</w:t>
      </w:r>
      <w:r>
        <w:rPr>
          <w:rFonts w:cs="Times New Roman"/>
          <w:spacing w:val="4"/>
          <w:kern w:val="24"/>
        </w:rPr>
        <w:t>）敏感点分析</w:t>
      </w:r>
      <w:r>
        <w:rPr>
          <w:rFonts w:cs="Times New Roman"/>
          <w:spacing w:val="4"/>
          <w:kern w:val="24"/>
        </w:rPr>
        <w:t xml:space="preserve"> </w:t>
      </w:r>
    </w:p>
    <w:p w:rsidR="00C645C9" w:rsidRDefault="00F955D9">
      <w:pPr>
        <w:spacing w:line="360" w:lineRule="auto"/>
        <w:ind w:firstLineChars="200" w:firstLine="496"/>
        <w:jc w:val="both"/>
        <w:rPr>
          <w:rFonts w:cs="Times New Roman"/>
          <w:spacing w:val="4"/>
          <w:kern w:val="24"/>
        </w:rPr>
      </w:pPr>
      <w:r>
        <w:rPr>
          <w:rFonts w:cs="Times New Roman"/>
          <w:spacing w:val="4"/>
          <w:kern w:val="24"/>
        </w:rPr>
        <w:t>根据现场调查，工程区周围</w:t>
      </w:r>
      <w:r>
        <w:rPr>
          <w:rFonts w:cs="Times New Roman"/>
          <w:spacing w:val="4"/>
          <w:kern w:val="24"/>
        </w:rPr>
        <w:t>200m</w:t>
      </w:r>
      <w:r>
        <w:rPr>
          <w:rFonts w:cs="Times New Roman"/>
          <w:spacing w:val="4"/>
          <w:kern w:val="24"/>
        </w:rPr>
        <w:t>范围内无声环境敏感点。</w:t>
      </w:r>
      <w:r>
        <w:rPr>
          <w:rFonts w:cs="Times New Roman"/>
          <w:spacing w:val="4"/>
          <w:kern w:val="24"/>
        </w:rPr>
        <w:t xml:space="preserve"> </w:t>
      </w:r>
    </w:p>
    <w:p w:rsidR="00C645C9" w:rsidRDefault="00F955D9">
      <w:pPr>
        <w:spacing w:line="360" w:lineRule="auto"/>
        <w:ind w:firstLineChars="200" w:firstLine="496"/>
        <w:jc w:val="both"/>
        <w:rPr>
          <w:rFonts w:cs="Times New Roman"/>
          <w:spacing w:val="4"/>
          <w:kern w:val="24"/>
        </w:rPr>
      </w:pPr>
      <w:r>
        <w:rPr>
          <w:rFonts w:cs="Times New Roman"/>
          <w:spacing w:val="4"/>
          <w:kern w:val="24"/>
        </w:rPr>
        <w:t>（</w:t>
      </w:r>
      <w:r>
        <w:rPr>
          <w:rFonts w:cs="Times New Roman"/>
          <w:spacing w:val="4"/>
          <w:kern w:val="24"/>
        </w:rPr>
        <w:t>3</w:t>
      </w:r>
      <w:r>
        <w:rPr>
          <w:rFonts w:cs="Times New Roman"/>
          <w:spacing w:val="4"/>
          <w:kern w:val="24"/>
        </w:rPr>
        <w:t>）声环境影响分析</w:t>
      </w:r>
      <w:r>
        <w:rPr>
          <w:rFonts w:cs="Times New Roman"/>
          <w:spacing w:val="4"/>
          <w:kern w:val="24"/>
        </w:rPr>
        <w:t xml:space="preserve"> </w:t>
      </w:r>
    </w:p>
    <w:p w:rsidR="00C645C9" w:rsidRDefault="00F955D9">
      <w:pPr>
        <w:spacing w:line="360" w:lineRule="auto"/>
        <w:ind w:firstLineChars="200" w:firstLine="496"/>
        <w:jc w:val="both"/>
        <w:rPr>
          <w:rFonts w:cs="Times New Roman"/>
          <w:spacing w:val="4"/>
          <w:kern w:val="24"/>
        </w:rPr>
      </w:pPr>
      <w:r>
        <w:rPr>
          <w:rFonts w:cs="Times New Roman"/>
          <w:spacing w:val="4"/>
          <w:kern w:val="24"/>
        </w:rPr>
        <w:t>施工噪声不会产生噪声扰民现象，施工期影响对象主要是施工人员，影响范围小，噪声影响随着施工活动结束而消失。</w:t>
      </w:r>
    </w:p>
    <w:p w:rsidR="00C645C9" w:rsidRDefault="00F955D9">
      <w:pPr>
        <w:pStyle w:val="4"/>
        <w:rPr>
          <w:rFonts w:ascii="Times New Roman" w:hAnsi="Times New Roman" w:cs="Times New Roman"/>
          <w:color w:val="auto"/>
          <w:lang w:eastAsia="zh-CN"/>
        </w:rPr>
      </w:pPr>
      <w:r>
        <w:rPr>
          <w:rFonts w:ascii="Times New Roman" w:hAnsi="Times New Roman" w:cs="Times New Roman"/>
          <w:color w:val="auto"/>
          <w:lang w:eastAsia="zh-CN"/>
        </w:rPr>
        <w:lastRenderedPageBreak/>
        <w:t>5.</w:t>
      </w:r>
      <w:r>
        <w:rPr>
          <w:rFonts w:ascii="Times New Roman" w:hAnsi="Times New Roman" w:cs="Times New Roman"/>
          <w:color w:val="auto"/>
          <w:lang w:eastAsia="zh-CN"/>
        </w:rPr>
        <w:t>6</w:t>
      </w:r>
      <w:r>
        <w:rPr>
          <w:rFonts w:ascii="Times New Roman" w:hAnsi="Times New Roman" w:cs="Times New Roman"/>
          <w:color w:val="auto"/>
          <w:lang w:eastAsia="zh-CN"/>
        </w:rPr>
        <w:t>.1.</w:t>
      </w:r>
      <w:r>
        <w:rPr>
          <w:rFonts w:ascii="Times New Roman" w:hAnsi="Times New Roman" w:cs="Times New Roman"/>
          <w:color w:val="auto"/>
          <w:lang w:eastAsia="zh-CN"/>
        </w:rPr>
        <w:t>2</w:t>
      </w:r>
      <w:r>
        <w:rPr>
          <w:rFonts w:ascii="Times New Roman" w:hAnsi="Times New Roman" w:cs="Times New Roman"/>
          <w:color w:val="auto"/>
          <w:lang w:eastAsia="zh-CN"/>
        </w:rPr>
        <w:t>地面工程施工</w:t>
      </w:r>
      <w:r>
        <w:rPr>
          <w:rFonts w:ascii="Times New Roman" w:hAnsi="Times New Roman" w:cs="Times New Roman"/>
          <w:color w:val="auto"/>
          <w:lang w:eastAsia="zh-CN"/>
        </w:rPr>
        <w:t>声环境影响分析</w:t>
      </w:r>
    </w:p>
    <w:p w:rsidR="00C645C9" w:rsidRDefault="00F955D9">
      <w:pPr>
        <w:spacing w:line="360" w:lineRule="auto"/>
        <w:ind w:firstLineChars="200" w:firstLine="496"/>
        <w:rPr>
          <w:rFonts w:cs="Times New Roman"/>
          <w:spacing w:val="4"/>
          <w:kern w:val="24"/>
        </w:rPr>
      </w:pPr>
      <w:r>
        <w:rPr>
          <w:rFonts w:cs="Times New Roman"/>
          <w:spacing w:val="4"/>
          <w:kern w:val="24"/>
        </w:rPr>
        <w:t>本工程地面工程在</w:t>
      </w:r>
      <w:r>
        <w:rPr>
          <w:rFonts w:cs="Times New Roman"/>
          <w:spacing w:val="4"/>
          <w:kern w:val="24"/>
        </w:rPr>
        <w:t>建设施工过程中，由于运输、场地平整、建筑物修建等要使用各种车辆和机械，其产生的噪声对施工区周围的环境将产生一定的影响。</w:t>
      </w:r>
    </w:p>
    <w:p w:rsidR="00C645C9" w:rsidRDefault="00F955D9">
      <w:pPr>
        <w:widowControl w:val="0"/>
        <w:spacing w:line="360" w:lineRule="auto"/>
        <w:ind w:firstLineChars="200" w:firstLine="480"/>
        <w:jc w:val="both"/>
        <w:rPr>
          <w:rFonts w:cs="Times New Roman"/>
          <w:kern w:val="2"/>
        </w:rPr>
      </w:pPr>
      <w:r>
        <w:rPr>
          <w:rFonts w:cs="Times New Roman"/>
          <w:kern w:val="2"/>
        </w:rPr>
        <w:t>地面工程建设过程中主要施工机械在不同距离的噪声影响水平类比调查结果见表</w:t>
      </w:r>
      <w:r>
        <w:rPr>
          <w:rFonts w:cs="Times New Roman"/>
          <w:kern w:val="2"/>
        </w:rPr>
        <w:t>5.</w:t>
      </w:r>
      <w:r>
        <w:rPr>
          <w:rFonts w:cs="Times New Roman"/>
          <w:kern w:val="2"/>
        </w:rPr>
        <w:t>6</w:t>
      </w:r>
      <w:r>
        <w:rPr>
          <w:rFonts w:cs="Times New Roman"/>
          <w:kern w:val="2"/>
        </w:rPr>
        <w:t>-1</w:t>
      </w:r>
      <w:r>
        <w:rPr>
          <w:rFonts w:cs="Times New Roman"/>
          <w:kern w:val="2"/>
        </w:rPr>
        <w:t>。</w:t>
      </w:r>
    </w:p>
    <w:p w:rsidR="00C645C9" w:rsidRDefault="00F955D9" w:rsidP="005718BB">
      <w:pPr>
        <w:pStyle w:val="aff8"/>
        <w:ind w:firstLine="512"/>
        <w:rPr>
          <w:rFonts w:eastAsia="黑体" w:cs="Times New Roman"/>
          <w:b w:val="0"/>
          <w:sz w:val="21"/>
          <w:szCs w:val="21"/>
        </w:rPr>
      </w:pPr>
      <w:r>
        <w:rPr>
          <w:rFonts w:eastAsia="黑体" w:cs="Times New Roman" w:hint="eastAsia"/>
          <w:b w:val="0"/>
          <w:sz w:val="21"/>
          <w:szCs w:val="21"/>
        </w:rPr>
        <w:t>表</w:t>
      </w:r>
      <w:r>
        <w:rPr>
          <w:rFonts w:eastAsia="黑体" w:cs="Times New Roman" w:hint="eastAsia"/>
          <w:b w:val="0"/>
          <w:sz w:val="21"/>
          <w:szCs w:val="21"/>
        </w:rPr>
        <w:t xml:space="preserve">5.6-1   </w:t>
      </w:r>
      <w:r>
        <w:rPr>
          <w:rFonts w:eastAsia="黑体" w:cs="Times New Roman" w:hint="eastAsia"/>
          <w:b w:val="0"/>
          <w:sz w:val="21"/>
          <w:szCs w:val="21"/>
        </w:rPr>
        <w:t>主要施工机械在不同距离处的噪声贡献值一览表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693"/>
        <w:gridCol w:w="692"/>
        <w:gridCol w:w="692"/>
        <w:gridCol w:w="692"/>
        <w:gridCol w:w="692"/>
        <w:gridCol w:w="692"/>
        <w:gridCol w:w="692"/>
        <w:gridCol w:w="692"/>
        <w:gridCol w:w="692"/>
        <w:gridCol w:w="707"/>
      </w:tblGrid>
      <w:tr w:rsidR="00C645C9">
        <w:trPr>
          <w:cantSplit/>
        </w:trPr>
        <w:tc>
          <w:tcPr>
            <w:tcW w:w="930" w:type="pct"/>
            <w:vMerge w:val="restart"/>
            <w:vAlign w:val="center"/>
          </w:tcPr>
          <w:p w:rsidR="00C645C9" w:rsidRDefault="00F955D9">
            <w:pPr>
              <w:pStyle w:val="afb"/>
              <w:rPr>
                <w:rFonts w:ascii="宋体" w:hAnsi="宋体" w:cs="宋体"/>
              </w:rPr>
            </w:pPr>
            <w:r>
              <w:rPr>
                <w:rFonts w:hint="eastAsia"/>
              </w:rPr>
              <w:t>机械</w:t>
            </w:r>
          </w:p>
        </w:tc>
        <w:tc>
          <w:tcPr>
            <w:tcW w:w="4069" w:type="pct"/>
            <w:gridSpan w:val="10"/>
          </w:tcPr>
          <w:p w:rsidR="00C645C9" w:rsidRDefault="00F955D9">
            <w:pPr>
              <w:pStyle w:val="afb"/>
              <w:rPr>
                <w:rFonts w:ascii="宋体" w:hAnsi="宋体" w:cs="宋体"/>
              </w:rPr>
            </w:pPr>
            <w:r>
              <w:rPr>
                <w:rFonts w:hint="eastAsia"/>
              </w:rPr>
              <w:t>不同距离处的噪声贡献值</w:t>
            </w:r>
            <w:r>
              <w:rPr>
                <w:rFonts w:hint="eastAsia"/>
              </w:rPr>
              <w:t>dB</w:t>
            </w:r>
            <w:r>
              <w:rPr>
                <w:rFonts w:hint="eastAsia"/>
              </w:rPr>
              <w:t>（</w:t>
            </w:r>
            <w:r>
              <w:rPr>
                <w:rFonts w:hint="eastAsia"/>
              </w:rPr>
              <w:t>A</w:t>
            </w:r>
            <w:r>
              <w:rPr>
                <w:rFonts w:hint="eastAsia"/>
              </w:rPr>
              <w:t>）</w:t>
            </w:r>
          </w:p>
        </w:tc>
      </w:tr>
      <w:tr w:rsidR="00C645C9">
        <w:trPr>
          <w:cantSplit/>
        </w:trPr>
        <w:tc>
          <w:tcPr>
            <w:tcW w:w="930" w:type="pct"/>
            <w:vMerge/>
          </w:tcPr>
          <w:p w:rsidR="00C645C9" w:rsidRDefault="00C645C9">
            <w:pPr>
              <w:rPr>
                <w:rFonts w:ascii="宋体" w:hAnsi="宋体"/>
              </w:rPr>
            </w:pPr>
          </w:p>
        </w:tc>
        <w:tc>
          <w:tcPr>
            <w:tcW w:w="406" w:type="pct"/>
          </w:tcPr>
          <w:p w:rsidR="00C645C9" w:rsidRDefault="00F955D9">
            <w:pPr>
              <w:pStyle w:val="afb"/>
              <w:rPr>
                <w:rFonts w:ascii="宋体" w:hAnsi="宋体" w:cs="宋体"/>
                <w:snapToGrid w:val="0"/>
                <w:kern w:val="2"/>
                <w:szCs w:val="24"/>
              </w:rPr>
            </w:pPr>
            <w:r>
              <w:rPr>
                <w:rFonts w:hint="eastAsia"/>
              </w:rPr>
              <w:t>强度</w:t>
            </w:r>
          </w:p>
        </w:tc>
        <w:tc>
          <w:tcPr>
            <w:tcW w:w="406" w:type="pct"/>
          </w:tcPr>
          <w:p w:rsidR="00C645C9" w:rsidRDefault="00F955D9">
            <w:pPr>
              <w:pStyle w:val="afb"/>
              <w:rPr>
                <w:rFonts w:ascii="宋体" w:hAnsi="宋体" w:cs="宋体"/>
                <w:snapToGrid w:val="0"/>
                <w:kern w:val="2"/>
                <w:szCs w:val="24"/>
              </w:rPr>
            </w:pPr>
            <w:r>
              <w:rPr>
                <w:rFonts w:hint="eastAsia"/>
              </w:rPr>
              <w:t>10</w:t>
            </w:r>
          </w:p>
        </w:tc>
        <w:tc>
          <w:tcPr>
            <w:tcW w:w="406" w:type="pct"/>
          </w:tcPr>
          <w:p w:rsidR="00C645C9" w:rsidRDefault="00F955D9">
            <w:pPr>
              <w:pStyle w:val="afb"/>
              <w:rPr>
                <w:rFonts w:ascii="宋体" w:hAnsi="宋体" w:cs="宋体"/>
                <w:snapToGrid w:val="0"/>
                <w:kern w:val="2"/>
                <w:szCs w:val="24"/>
              </w:rPr>
            </w:pPr>
            <w:r>
              <w:rPr>
                <w:rFonts w:hint="eastAsia"/>
              </w:rPr>
              <w:t>20</w:t>
            </w:r>
          </w:p>
        </w:tc>
        <w:tc>
          <w:tcPr>
            <w:tcW w:w="406" w:type="pct"/>
          </w:tcPr>
          <w:p w:rsidR="00C645C9" w:rsidRDefault="00F955D9">
            <w:pPr>
              <w:pStyle w:val="afb"/>
              <w:rPr>
                <w:rFonts w:ascii="宋体" w:hAnsi="宋体" w:cs="宋体"/>
                <w:snapToGrid w:val="0"/>
                <w:kern w:val="2"/>
                <w:szCs w:val="24"/>
              </w:rPr>
            </w:pPr>
            <w:r>
              <w:rPr>
                <w:rFonts w:hint="eastAsia"/>
              </w:rPr>
              <w:t>40</w:t>
            </w:r>
          </w:p>
        </w:tc>
        <w:tc>
          <w:tcPr>
            <w:tcW w:w="406" w:type="pct"/>
          </w:tcPr>
          <w:p w:rsidR="00C645C9" w:rsidRDefault="00F955D9">
            <w:pPr>
              <w:pStyle w:val="afb"/>
              <w:rPr>
                <w:rFonts w:ascii="宋体" w:hAnsi="宋体" w:cs="宋体"/>
                <w:snapToGrid w:val="0"/>
                <w:kern w:val="2"/>
                <w:szCs w:val="24"/>
              </w:rPr>
            </w:pPr>
            <w:r>
              <w:rPr>
                <w:rFonts w:hint="eastAsia"/>
              </w:rPr>
              <w:t>80</w:t>
            </w:r>
          </w:p>
        </w:tc>
        <w:tc>
          <w:tcPr>
            <w:tcW w:w="406" w:type="pct"/>
          </w:tcPr>
          <w:p w:rsidR="00C645C9" w:rsidRDefault="00F955D9">
            <w:pPr>
              <w:pStyle w:val="afb"/>
              <w:rPr>
                <w:rFonts w:ascii="宋体" w:hAnsi="宋体" w:cs="宋体"/>
                <w:snapToGrid w:val="0"/>
                <w:kern w:val="2"/>
                <w:szCs w:val="24"/>
              </w:rPr>
            </w:pPr>
            <w:r>
              <w:rPr>
                <w:rFonts w:hint="eastAsia"/>
              </w:rPr>
              <w:t>100</w:t>
            </w:r>
          </w:p>
        </w:tc>
        <w:tc>
          <w:tcPr>
            <w:tcW w:w="406" w:type="pct"/>
          </w:tcPr>
          <w:p w:rsidR="00C645C9" w:rsidRDefault="00F955D9">
            <w:pPr>
              <w:pStyle w:val="afb"/>
              <w:rPr>
                <w:rFonts w:ascii="宋体" w:hAnsi="宋体" w:cs="宋体"/>
                <w:snapToGrid w:val="0"/>
                <w:kern w:val="2"/>
                <w:szCs w:val="24"/>
              </w:rPr>
            </w:pPr>
            <w:r>
              <w:rPr>
                <w:rFonts w:hint="eastAsia"/>
              </w:rPr>
              <w:t>200</w:t>
            </w:r>
          </w:p>
        </w:tc>
        <w:tc>
          <w:tcPr>
            <w:tcW w:w="406" w:type="pct"/>
          </w:tcPr>
          <w:p w:rsidR="00C645C9" w:rsidRDefault="00F955D9">
            <w:pPr>
              <w:pStyle w:val="afb"/>
              <w:rPr>
                <w:rFonts w:ascii="宋体" w:hAnsi="宋体" w:cs="宋体"/>
                <w:snapToGrid w:val="0"/>
                <w:kern w:val="2"/>
                <w:szCs w:val="24"/>
              </w:rPr>
            </w:pPr>
            <w:r>
              <w:rPr>
                <w:rFonts w:hint="eastAsia"/>
              </w:rPr>
              <w:t>400</w:t>
            </w:r>
          </w:p>
        </w:tc>
        <w:tc>
          <w:tcPr>
            <w:tcW w:w="406" w:type="pct"/>
          </w:tcPr>
          <w:p w:rsidR="00C645C9" w:rsidRDefault="00F955D9">
            <w:pPr>
              <w:pStyle w:val="afb"/>
              <w:rPr>
                <w:rFonts w:ascii="宋体" w:hAnsi="宋体" w:cs="宋体"/>
                <w:snapToGrid w:val="0"/>
                <w:kern w:val="2"/>
                <w:szCs w:val="24"/>
              </w:rPr>
            </w:pPr>
            <w:r>
              <w:rPr>
                <w:rFonts w:hint="eastAsia"/>
              </w:rPr>
              <w:t>800</w:t>
            </w:r>
          </w:p>
        </w:tc>
        <w:tc>
          <w:tcPr>
            <w:tcW w:w="410" w:type="pct"/>
          </w:tcPr>
          <w:p w:rsidR="00C645C9" w:rsidRDefault="00F955D9">
            <w:pPr>
              <w:pStyle w:val="afb"/>
              <w:rPr>
                <w:rFonts w:ascii="宋体" w:hAnsi="宋体" w:cs="宋体"/>
                <w:snapToGrid w:val="0"/>
                <w:kern w:val="2"/>
                <w:szCs w:val="24"/>
              </w:rPr>
            </w:pPr>
            <w:r>
              <w:rPr>
                <w:rFonts w:hint="eastAsia"/>
              </w:rPr>
              <w:t>1000</w:t>
            </w:r>
          </w:p>
        </w:tc>
      </w:tr>
      <w:tr w:rsidR="00C645C9">
        <w:trPr>
          <w:cantSplit/>
        </w:trPr>
        <w:tc>
          <w:tcPr>
            <w:tcW w:w="930" w:type="pct"/>
            <w:vAlign w:val="center"/>
          </w:tcPr>
          <w:p w:rsidR="00C645C9" w:rsidRDefault="00F955D9">
            <w:pPr>
              <w:pStyle w:val="afb"/>
              <w:rPr>
                <w:rFonts w:ascii="宋体" w:hAnsi="宋体" w:cs="宋体"/>
              </w:rPr>
            </w:pPr>
            <w:r>
              <w:rPr>
                <w:rFonts w:hint="eastAsia"/>
              </w:rPr>
              <w:t>柴油发电机</w:t>
            </w:r>
          </w:p>
        </w:tc>
        <w:tc>
          <w:tcPr>
            <w:tcW w:w="406" w:type="pct"/>
          </w:tcPr>
          <w:p w:rsidR="00C645C9" w:rsidRDefault="00F955D9">
            <w:pPr>
              <w:pStyle w:val="afb"/>
              <w:rPr>
                <w:rFonts w:ascii="宋体" w:hAnsi="宋体" w:cs="宋体"/>
              </w:rPr>
            </w:pPr>
            <w:r>
              <w:rPr>
                <w:rFonts w:hint="eastAsia"/>
              </w:rPr>
              <w:t>105</w:t>
            </w:r>
          </w:p>
        </w:tc>
        <w:tc>
          <w:tcPr>
            <w:tcW w:w="406" w:type="pct"/>
          </w:tcPr>
          <w:p w:rsidR="00C645C9" w:rsidRDefault="00F955D9">
            <w:pPr>
              <w:pStyle w:val="afb"/>
              <w:rPr>
                <w:rFonts w:ascii="宋体" w:hAnsi="宋体" w:cs="宋体"/>
              </w:rPr>
            </w:pPr>
            <w:r>
              <w:rPr>
                <w:rFonts w:hint="eastAsia"/>
              </w:rPr>
              <w:t>85</w:t>
            </w:r>
          </w:p>
        </w:tc>
        <w:tc>
          <w:tcPr>
            <w:tcW w:w="406" w:type="pct"/>
          </w:tcPr>
          <w:p w:rsidR="00C645C9" w:rsidRDefault="00F955D9">
            <w:pPr>
              <w:pStyle w:val="afb"/>
              <w:rPr>
                <w:rFonts w:ascii="宋体" w:hAnsi="宋体" w:cs="宋体"/>
              </w:rPr>
            </w:pPr>
            <w:r>
              <w:rPr>
                <w:rFonts w:hint="eastAsia"/>
              </w:rPr>
              <w:t>79</w:t>
            </w:r>
          </w:p>
        </w:tc>
        <w:tc>
          <w:tcPr>
            <w:tcW w:w="406" w:type="pct"/>
          </w:tcPr>
          <w:p w:rsidR="00C645C9" w:rsidRDefault="00F955D9">
            <w:pPr>
              <w:pStyle w:val="afb"/>
              <w:rPr>
                <w:rFonts w:ascii="宋体" w:hAnsi="宋体" w:cs="宋体"/>
              </w:rPr>
            </w:pPr>
            <w:r>
              <w:rPr>
                <w:rFonts w:hint="eastAsia"/>
              </w:rPr>
              <w:t>73</w:t>
            </w:r>
          </w:p>
        </w:tc>
        <w:tc>
          <w:tcPr>
            <w:tcW w:w="406" w:type="pct"/>
          </w:tcPr>
          <w:p w:rsidR="00C645C9" w:rsidRDefault="00F955D9">
            <w:pPr>
              <w:pStyle w:val="afb"/>
              <w:rPr>
                <w:rFonts w:ascii="宋体" w:hAnsi="宋体" w:cs="宋体"/>
              </w:rPr>
            </w:pPr>
            <w:r>
              <w:rPr>
                <w:rFonts w:hint="eastAsia"/>
              </w:rPr>
              <w:t>67</w:t>
            </w:r>
          </w:p>
        </w:tc>
        <w:tc>
          <w:tcPr>
            <w:tcW w:w="406" w:type="pct"/>
          </w:tcPr>
          <w:p w:rsidR="00C645C9" w:rsidRDefault="00F955D9">
            <w:pPr>
              <w:pStyle w:val="afb"/>
              <w:rPr>
                <w:rFonts w:ascii="宋体" w:hAnsi="宋体" w:cs="宋体"/>
              </w:rPr>
            </w:pPr>
            <w:r>
              <w:rPr>
                <w:rFonts w:hint="eastAsia"/>
              </w:rPr>
              <w:t>65</w:t>
            </w:r>
          </w:p>
        </w:tc>
        <w:tc>
          <w:tcPr>
            <w:tcW w:w="406" w:type="pct"/>
          </w:tcPr>
          <w:p w:rsidR="00C645C9" w:rsidRDefault="00F955D9">
            <w:pPr>
              <w:pStyle w:val="afb"/>
              <w:rPr>
                <w:rFonts w:ascii="宋体" w:hAnsi="宋体" w:cs="宋体"/>
              </w:rPr>
            </w:pPr>
            <w:r>
              <w:rPr>
                <w:rFonts w:hint="eastAsia"/>
              </w:rPr>
              <w:t>59</w:t>
            </w:r>
          </w:p>
        </w:tc>
        <w:tc>
          <w:tcPr>
            <w:tcW w:w="406" w:type="pct"/>
          </w:tcPr>
          <w:p w:rsidR="00C645C9" w:rsidRDefault="00F955D9">
            <w:pPr>
              <w:pStyle w:val="afb"/>
              <w:rPr>
                <w:rFonts w:ascii="宋体" w:hAnsi="宋体" w:cs="宋体"/>
              </w:rPr>
            </w:pPr>
            <w:r>
              <w:rPr>
                <w:rFonts w:hint="eastAsia"/>
              </w:rPr>
              <w:t>53</w:t>
            </w:r>
          </w:p>
        </w:tc>
        <w:tc>
          <w:tcPr>
            <w:tcW w:w="406" w:type="pct"/>
          </w:tcPr>
          <w:p w:rsidR="00C645C9" w:rsidRDefault="00F955D9">
            <w:pPr>
              <w:pStyle w:val="afb"/>
              <w:rPr>
                <w:rFonts w:ascii="宋体" w:hAnsi="宋体" w:cs="宋体"/>
              </w:rPr>
            </w:pPr>
            <w:r>
              <w:rPr>
                <w:rFonts w:hint="eastAsia"/>
              </w:rPr>
              <w:t>47</w:t>
            </w:r>
          </w:p>
        </w:tc>
        <w:tc>
          <w:tcPr>
            <w:tcW w:w="410" w:type="pct"/>
          </w:tcPr>
          <w:p w:rsidR="00C645C9" w:rsidRDefault="00F955D9">
            <w:pPr>
              <w:pStyle w:val="afb"/>
              <w:rPr>
                <w:rFonts w:ascii="宋体" w:hAnsi="宋体" w:cs="宋体"/>
              </w:rPr>
            </w:pPr>
            <w:r>
              <w:rPr>
                <w:rFonts w:hint="eastAsia"/>
              </w:rPr>
              <w:t>45</w:t>
            </w:r>
          </w:p>
        </w:tc>
      </w:tr>
      <w:tr w:rsidR="00C645C9">
        <w:trPr>
          <w:cantSplit/>
        </w:trPr>
        <w:tc>
          <w:tcPr>
            <w:tcW w:w="930" w:type="pct"/>
            <w:vAlign w:val="center"/>
          </w:tcPr>
          <w:p w:rsidR="00C645C9" w:rsidRDefault="00F955D9">
            <w:pPr>
              <w:pStyle w:val="afb"/>
              <w:rPr>
                <w:rFonts w:ascii="宋体" w:hAnsi="宋体" w:cs="宋体"/>
              </w:rPr>
            </w:pPr>
            <w:r>
              <w:rPr>
                <w:rFonts w:hint="eastAsia"/>
              </w:rPr>
              <w:t>钻机</w:t>
            </w:r>
          </w:p>
        </w:tc>
        <w:tc>
          <w:tcPr>
            <w:tcW w:w="406" w:type="pct"/>
          </w:tcPr>
          <w:p w:rsidR="00C645C9" w:rsidRDefault="00F955D9">
            <w:pPr>
              <w:pStyle w:val="afb"/>
              <w:rPr>
                <w:rFonts w:ascii="宋体" w:hAnsi="宋体" w:cs="宋体"/>
              </w:rPr>
            </w:pPr>
            <w:r>
              <w:rPr>
                <w:rFonts w:hint="eastAsia"/>
              </w:rPr>
              <w:t>105</w:t>
            </w:r>
          </w:p>
        </w:tc>
        <w:tc>
          <w:tcPr>
            <w:tcW w:w="406" w:type="pct"/>
          </w:tcPr>
          <w:p w:rsidR="00C645C9" w:rsidRDefault="00F955D9">
            <w:pPr>
              <w:pStyle w:val="afb"/>
              <w:rPr>
                <w:rFonts w:ascii="宋体" w:hAnsi="宋体" w:cs="宋体"/>
              </w:rPr>
            </w:pPr>
            <w:r>
              <w:rPr>
                <w:rFonts w:hint="eastAsia"/>
              </w:rPr>
              <w:t>85</w:t>
            </w:r>
          </w:p>
        </w:tc>
        <w:tc>
          <w:tcPr>
            <w:tcW w:w="406" w:type="pct"/>
          </w:tcPr>
          <w:p w:rsidR="00C645C9" w:rsidRDefault="00F955D9">
            <w:pPr>
              <w:pStyle w:val="afb"/>
              <w:rPr>
                <w:rFonts w:ascii="宋体" w:hAnsi="宋体" w:cs="宋体"/>
              </w:rPr>
            </w:pPr>
            <w:r>
              <w:rPr>
                <w:rFonts w:hint="eastAsia"/>
              </w:rPr>
              <w:t>79</w:t>
            </w:r>
          </w:p>
        </w:tc>
        <w:tc>
          <w:tcPr>
            <w:tcW w:w="406" w:type="pct"/>
          </w:tcPr>
          <w:p w:rsidR="00C645C9" w:rsidRDefault="00F955D9">
            <w:pPr>
              <w:pStyle w:val="afb"/>
              <w:rPr>
                <w:rFonts w:ascii="宋体" w:hAnsi="宋体" w:cs="宋体"/>
              </w:rPr>
            </w:pPr>
            <w:r>
              <w:rPr>
                <w:rFonts w:hint="eastAsia"/>
              </w:rPr>
              <w:t>73</w:t>
            </w:r>
          </w:p>
        </w:tc>
        <w:tc>
          <w:tcPr>
            <w:tcW w:w="406" w:type="pct"/>
          </w:tcPr>
          <w:p w:rsidR="00C645C9" w:rsidRDefault="00F955D9">
            <w:pPr>
              <w:pStyle w:val="afb"/>
              <w:rPr>
                <w:rFonts w:ascii="宋体" w:hAnsi="宋体" w:cs="宋体"/>
              </w:rPr>
            </w:pPr>
            <w:r>
              <w:rPr>
                <w:rFonts w:hint="eastAsia"/>
              </w:rPr>
              <w:t>67</w:t>
            </w:r>
          </w:p>
        </w:tc>
        <w:tc>
          <w:tcPr>
            <w:tcW w:w="406" w:type="pct"/>
          </w:tcPr>
          <w:p w:rsidR="00C645C9" w:rsidRDefault="00F955D9">
            <w:pPr>
              <w:pStyle w:val="afb"/>
              <w:rPr>
                <w:rFonts w:ascii="宋体" w:hAnsi="宋体" w:cs="宋体"/>
              </w:rPr>
            </w:pPr>
            <w:r>
              <w:rPr>
                <w:rFonts w:hint="eastAsia"/>
              </w:rPr>
              <w:t>65</w:t>
            </w:r>
          </w:p>
        </w:tc>
        <w:tc>
          <w:tcPr>
            <w:tcW w:w="406" w:type="pct"/>
          </w:tcPr>
          <w:p w:rsidR="00C645C9" w:rsidRDefault="00F955D9">
            <w:pPr>
              <w:pStyle w:val="afb"/>
              <w:rPr>
                <w:rFonts w:ascii="宋体" w:hAnsi="宋体" w:cs="宋体"/>
              </w:rPr>
            </w:pPr>
            <w:r>
              <w:rPr>
                <w:rFonts w:hint="eastAsia"/>
              </w:rPr>
              <w:t>59</w:t>
            </w:r>
          </w:p>
        </w:tc>
        <w:tc>
          <w:tcPr>
            <w:tcW w:w="406" w:type="pct"/>
          </w:tcPr>
          <w:p w:rsidR="00C645C9" w:rsidRDefault="00F955D9">
            <w:pPr>
              <w:pStyle w:val="afb"/>
              <w:rPr>
                <w:rFonts w:ascii="宋体" w:hAnsi="宋体" w:cs="宋体"/>
              </w:rPr>
            </w:pPr>
            <w:r>
              <w:rPr>
                <w:rFonts w:hint="eastAsia"/>
              </w:rPr>
              <w:t>53</w:t>
            </w:r>
          </w:p>
        </w:tc>
        <w:tc>
          <w:tcPr>
            <w:tcW w:w="406" w:type="pct"/>
          </w:tcPr>
          <w:p w:rsidR="00C645C9" w:rsidRDefault="00F955D9">
            <w:pPr>
              <w:pStyle w:val="afb"/>
              <w:rPr>
                <w:rFonts w:ascii="宋体" w:hAnsi="宋体" w:cs="宋体"/>
              </w:rPr>
            </w:pPr>
            <w:r>
              <w:rPr>
                <w:rFonts w:hint="eastAsia"/>
              </w:rPr>
              <w:t>47</w:t>
            </w:r>
          </w:p>
        </w:tc>
        <w:tc>
          <w:tcPr>
            <w:tcW w:w="410" w:type="pct"/>
          </w:tcPr>
          <w:p w:rsidR="00C645C9" w:rsidRDefault="00F955D9">
            <w:pPr>
              <w:pStyle w:val="afb"/>
              <w:rPr>
                <w:rFonts w:ascii="宋体" w:hAnsi="宋体" w:cs="宋体"/>
              </w:rPr>
            </w:pPr>
            <w:r>
              <w:rPr>
                <w:rFonts w:hint="eastAsia"/>
              </w:rPr>
              <w:t>45</w:t>
            </w:r>
          </w:p>
        </w:tc>
      </w:tr>
      <w:tr w:rsidR="00C645C9">
        <w:trPr>
          <w:cantSplit/>
        </w:trPr>
        <w:tc>
          <w:tcPr>
            <w:tcW w:w="930" w:type="pct"/>
            <w:vAlign w:val="center"/>
          </w:tcPr>
          <w:p w:rsidR="00C645C9" w:rsidRDefault="00F955D9">
            <w:pPr>
              <w:pStyle w:val="afb"/>
              <w:rPr>
                <w:rFonts w:ascii="宋体" w:hAnsi="宋体" w:cs="宋体"/>
              </w:rPr>
            </w:pPr>
            <w:r>
              <w:rPr>
                <w:rFonts w:hint="eastAsia"/>
              </w:rPr>
              <w:t>泥浆泵</w:t>
            </w:r>
          </w:p>
        </w:tc>
        <w:tc>
          <w:tcPr>
            <w:tcW w:w="406" w:type="pct"/>
          </w:tcPr>
          <w:p w:rsidR="00C645C9" w:rsidRDefault="00F955D9">
            <w:pPr>
              <w:pStyle w:val="afb"/>
              <w:rPr>
                <w:rFonts w:ascii="宋体" w:hAnsi="宋体" w:cs="宋体"/>
              </w:rPr>
            </w:pPr>
            <w:r>
              <w:rPr>
                <w:rFonts w:hint="eastAsia"/>
              </w:rPr>
              <w:t>100</w:t>
            </w:r>
          </w:p>
        </w:tc>
        <w:tc>
          <w:tcPr>
            <w:tcW w:w="406" w:type="pct"/>
          </w:tcPr>
          <w:p w:rsidR="00C645C9" w:rsidRDefault="00F955D9">
            <w:pPr>
              <w:pStyle w:val="afb"/>
              <w:rPr>
                <w:rFonts w:ascii="宋体" w:hAnsi="宋体" w:cs="宋体"/>
              </w:rPr>
            </w:pPr>
            <w:r>
              <w:rPr>
                <w:rFonts w:hint="eastAsia"/>
              </w:rPr>
              <w:t>80</w:t>
            </w:r>
          </w:p>
        </w:tc>
        <w:tc>
          <w:tcPr>
            <w:tcW w:w="406" w:type="pct"/>
          </w:tcPr>
          <w:p w:rsidR="00C645C9" w:rsidRDefault="00F955D9">
            <w:pPr>
              <w:pStyle w:val="afb"/>
              <w:rPr>
                <w:rFonts w:ascii="宋体" w:hAnsi="宋体" w:cs="宋体"/>
              </w:rPr>
            </w:pPr>
            <w:r>
              <w:rPr>
                <w:rFonts w:hint="eastAsia"/>
              </w:rPr>
              <w:t>74</w:t>
            </w:r>
          </w:p>
        </w:tc>
        <w:tc>
          <w:tcPr>
            <w:tcW w:w="406" w:type="pct"/>
          </w:tcPr>
          <w:p w:rsidR="00C645C9" w:rsidRDefault="00F955D9">
            <w:pPr>
              <w:pStyle w:val="afb"/>
              <w:rPr>
                <w:rFonts w:ascii="宋体" w:hAnsi="宋体" w:cs="宋体"/>
              </w:rPr>
            </w:pPr>
            <w:r>
              <w:rPr>
                <w:rFonts w:hint="eastAsia"/>
              </w:rPr>
              <w:t>68</w:t>
            </w:r>
          </w:p>
        </w:tc>
        <w:tc>
          <w:tcPr>
            <w:tcW w:w="406" w:type="pct"/>
          </w:tcPr>
          <w:p w:rsidR="00C645C9" w:rsidRDefault="00F955D9">
            <w:pPr>
              <w:pStyle w:val="afb"/>
              <w:rPr>
                <w:rFonts w:ascii="宋体" w:hAnsi="宋体" w:cs="宋体"/>
              </w:rPr>
            </w:pPr>
            <w:r>
              <w:rPr>
                <w:rFonts w:hint="eastAsia"/>
              </w:rPr>
              <w:t>62</w:t>
            </w:r>
          </w:p>
        </w:tc>
        <w:tc>
          <w:tcPr>
            <w:tcW w:w="406" w:type="pct"/>
          </w:tcPr>
          <w:p w:rsidR="00C645C9" w:rsidRDefault="00F955D9">
            <w:pPr>
              <w:pStyle w:val="afb"/>
              <w:rPr>
                <w:rFonts w:ascii="宋体" w:hAnsi="宋体" w:cs="宋体"/>
              </w:rPr>
            </w:pPr>
            <w:r>
              <w:rPr>
                <w:rFonts w:hint="eastAsia"/>
              </w:rPr>
              <w:t>60</w:t>
            </w:r>
          </w:p>
        </w:tc>
        <w:tc>
          <w:tcPr>
            <w:tcW w:w="406" w:type="pct"/>
          </w:tcPr>
          <w:p w:rsidR="00C645C9" w:rsidRDefault="00F955D9">
            <w:pPr>
              <w:pStyle w:val="afb"/>
              <w:rPr>
                <w:rFonts w:ascii="宋体" w:hAnsi="宋体" w:cs="宋体"/>
              </w:rPr>
            </w:pPr>
            <w:r>
              <w:rPr>
                <w:rFonts w:hint="eastAsia"/>
              </w:rPr>
              <w:t>54</w:t>
            </w:r>
          </w:p>
        </w:tc>
        <w:tc>
          <w:tcPr>
            <w:tcW w:w="406" w:type="pct"/>
          </w:tcPr>
          <w:p w:rsidR="00C645C9" w:rsidRDefault="00F955D9">
            <w:pPr>
              <w:pStyle w:val="afb"/>
              <w:rPr>
                <w:rFonts w:ascii="宋体" w:hAnsi="宋体" w:cs="宋体"/>
              </w:rPr>
            </w:pPr>
            <w:r>
              <w:rPr>
                <w:rFonts w:hint="eastAsia"/>
              </w:rPr>
              <w:t>48</w:t>
            </w:r>
          </w:p>
        </w:tc>
        <w:tc>
          <w:tcPr>
            <w:tcW w:w="406" w:type="pct"/>
          </w:tcPr>
          <w:p w:rsidR="00C645C9" w:rsidRDefault="00F955D9">
            <w:pPr>
              <w:pStyle w:val="afb"/>
              <w:rPr>
                <w:rFonts w:ascii="宋体" w:hAnsi="宋体" w:cs="宋体"/>
              </w:rPr>
            </w:pPr>
            <w:r>
              <w:rPr>
                <w:rFonts w:hint="eastAsia"/>
              </w:rPr>
              <w:t>42</w:t>
            </w:r>
          </w:p>
        </w:tc>
        <w:tc>
          <w:tcPr>
            <w:tcW w:w="410" w:type="pct"/>
          </w:tcPr>
          <w:p w:rsidR="00C645C9" w:rsidRDefault="00F955D9">
            <w:pPr>
              <w:pStyle w:val="afb"/>
              <w:rPr>
                <w:rFonts w:ascii="宋体" w:hAnsi="宋体" w:cs="宋体"/>
              </w:rPr>
            </w:pPr>
            <w:r>
              <w:rPr>
                <w:rFonts w:hint="eastAsia"/>
              </w:rPr>
              <w:t>40</w:t>
            </w:r>
          </w:p>
        </w:tc>
      </w:tr>
      <w:tr w:rsidR="00C645C9">
        <w:trPr>
          <w:cantSplit/>
        </w:trPr>
        <w:tc>
          <w:tcPr>
            <w:tcW w:w="930" w:type="pct"/>
          </w:tcPr>
          <w:p w:rsidR="00C645C9" w:rsidRDefault="00F955D9">
            <w:pPr>
              <w:pStyle w:val="afb"/>
              <w:rPr>
                <w:rFonts w:ascii="宋体" w:hAnsi="宋体" w:cs="宋体"/>
              </w:rPr>
            </w:pPr>
            <w:r>
              <w:rPr>
                <w:rFonts w:hint="eastAsia"/>
              </w:rPr>
              <w:t>运输车辆</w:t>
            </w:r>
          </w:p>
        </w:tc>
        <w:tc>
          <w:tcPr>
            <w:tcW w:w="406" w:type="pct"/>
          </w:tcPr>
          <w:p w:rsidR="00C645C9" w:rsidRDefault="00F955D9">
            <w:pPr>
              <w:pStyle w:val="afb"/>
              <w:rPr>
                <w:rFonts w:ascii="宋体" w:hAnsi="宋体" w:cs="宋体"/>
              </w:rPr>
            </w:pPr>
            <w:r>
              <w:rPr>
                <w:rFonts w:hint="eastAsia"/>
              </w:rPr>
              <w:t>75</w:t>
            </w:r>
          </w:p>
        </w:tc>
        <w:tc>
          <w:tcPr>
            <w:tcW w:w="406" w:type="pct"/>
          </w:tcPr>
          <w:p w:rsidR="00C645C9" w:rsidRDefault="00F955D9">
            <w:pPr>
              <w:pStyle w:val="afb"/>
              <w:rPr>
                <w:rFonts w:ascii="宋体" w:hAnsi="宋体" w:cs="宋体"/>
              </w:rPr>
            </w:pPr>
            <w:r>
              <w:rPr>
                <w:rFonts w:hint="eastAsia"/>
              </w:rPr>
              <w:t>55</w:t>
            </w:r>
          </w:p>
        </w:tc>
        <w:tc>
          <w:tcPr>
            <w:tcW w:w="406" w:type="pct"/>
          </w:tcPr>
          <w:p w:rsidR="00C645C9" w:rsidRDefault="00F955D9">
            <w:pPr>
              <w:pStyle w:val="afb"/>
              <w:rPr>
                <w:rFonts w:ascii="宋体" w:hAnsi="宋体" w:cs="宋体"/>
              </w:rPr>
            </w:pPr>
            <w:r>
              <w:rPr>
                <w:rFonts w:hint="eastAsia"/>
              </w:rPr>
              <w:t>49</w:t>
            </w:r>
          </w:p>
        </w:tc>
        <w:tc>
          <w:tcPr>
            <w:tcW w:w="406" w:type="pct"/>
          </w:tcPr>
          <w:p w:rsidR="00C645C9" w:rsidRDefault="00F955D9">
            <w:pPr>
              <w:pStyle w:val="afb"/>
              <w:rPr>
                <w:rFonts w:ascii="宋体" w:hAnsi="宋体" w:cs="宋体"/>
              </w:rPr>
            </w:pPr>
            <w:r>
              <w:rPr>
                <w:rFonts w:hint="eastAsia"/>
              </w:rPr>
              <w:t>43</w:t>
            </w:r>
          </w:p>
        </w:tc>
        <w:tc>
          <w:tcPr>
            <w:tcW w:w="406" w:type="pct"/>
          </w:tcPr>
          <w:p w:rsidR="00C645C9" w:rsidRDefault="00F955D9">
            <w:pPr>
              <w:pStyle w:val="afb"/>
              <w:rPr>
                <w:rFonts w:ascii="宋体" w:hAnsi="宋体" w:cs="宋体"/>
              </w:rPr>
            </w:pPr>
            <w:r>
              <w:rPr>
                <w:rFonts w:hint="eastAsia"/>
              </w:rPr>
              <w:t>37</w:t>
            </w:r>
          </w:p>
        </w:tc>
        <w:tc>
          <w:tcPr>
            <w:tcW w:w="406" w:type="pct"/>
          </w:tcPr>
          <w:p w:rsidR="00C645C9" w:rsidRDefault="00F955D9">
            <w:pPr>
              <w:pStyle w:val="afb"/>
              <w:rPr>
                <w:rFonts w:ascii="宋体" w:hAnsi="宋体" w:cs="宋体"/>
              </w:rPr>
            </w:pPr>
            <w:r>
              <w:rPr>
                <w:rFonts w:hint="eastAsia"/>
              </w:rPr>
              <w:t>35</w:t>
            </w:r>
          </w:p>
        </w:tc>
        <w:tc>
          <w:tcPr>
            <w:tcW w:w="406" w:type="pct"/>
          </w:tcPr>
          <w:p w:rsidR="00C645C9" w:rsidRDefault="00F955D9">
            <w:pPr>
              <w:pStyle w:val="afb"/>
              <w:rPr>
                <w:rFonts w:ascii="宋体" w:hAnsi="宋体" w:cs="宋体"/>
              </w:rPr>
            </w:pPr>
            <w:r>
              <w:rPr>
                <w:rFonts w:hint="eastAsia"/>
              </w:rPr>
              <w:t>29</w:t>
            </w:r>
          </w:p>
        </w:tc>
        <w:tc>
          <w:tcPr>
            <w:tcW w:w="406" w:type="pct"/>
          </w:tcPr>
          <w:p w:rsidR="00C645C9" w:rsidRDefault="00F955D9">
            <w:pPr>
              <w:pStyle w:val="afb"/>
              <w:rPr>
                <w:rFonts w:ascii="宋体" w:hAnsi="宋体" w:cs="宋体"/>
              </w:rPr>
            </w:pPr>
            <w:r>
              <w:rPr>
                <w:rFonts w:hint="eastAsia"/>
              </w:rPr>
              <w:t>/</w:t>
            </w:r>
          </w:p>
        </w:tc>
        <w:tc>
          <w:tcPr>
            <w:tcW w:w="406" w:type="pct"/>
          </w:tcPr>
          <w:p w:rsidR="00C645C9" w:rsidRDefault="00F955D9">
            <w:pPr>
              <w:pStyle w:val="afb"/>
              <w:rPr>
                <w:rFonts w:ascii="宋体" w:hAnsi="宋体" w:cs="宋体"/>
              </w:rPr>
            </w:pPr>
            <w:r>
              <w:rPr>
                <w:rFonts w:hint="eastAsia"/>
              </w:rPr>
              <w:t>/</w:t>
            </w:r>
          </w:p>
        </w:tc>
        <w:tc>
          <w:tcPr>
            <w:tcW w:w="410" w:type="pct"/>
          </w:tcPr>
          <w:p w:rsidR="00C645C9" w:rsidRDefault="00F955D9">
            <w:pPr>
              <w:pStyle w:val="afb"/>
              <w:rPr>
                <w:rFonts w:ascii="宋体" w:hAnsi="宋体" w:cs="宋体"/>
              </w:rPr>
            </w:pPr>
            <w:r>
              <w:rPr>
                <w:rFonts w:hint="eastAsia"/>
              </w:rPr>
              <w:t>/</w:t>
            </w:r>
          </w:p>
        </w:tc>
      </w:tr>
      <w:tr w:rsidR="00C645C9">
        <w:trPr>
          <w:cantSplit/>
        </w:trPr>
        <w:tc>
          <w:tcPr>
            <w:tcW w:w="930" w:type="pct"/>
          </w:tcPr>
          <w:p w:rsidR="00C645C9" w:rsidRDefault="00F955D9">
            <w:pPr>
              <w:pStyle w:val="afb"/>
              <w:rPr>
                <w:rFonts w:ascii="宋体" w:hAnsi="宋体" w:cs="宋体"/>
              </w:rPr>
            </w:pPr>
            <w:r>
              <w:rPr>
                <w:rFonts w:hint="eastAsia"/>
              </w:rPr>
              <w:t>推土机</w:t>
            </w:r>
          </w:p>
        </w:tc>
        <w:tc>
          <w:tcPr>
            <w:tcW w:w="406" w:type="pct"/>
          </w:tcPr>
          <w:p w:rsidR="00C645C9" w:rsidRDefault="00F955D9">
            <w:pPr>
              <w:pStyle w:val="afb"/>
              <w:rPr>
                <w:rFonts w:ascii="宋体" w:hAnsi="宋体" w:cs="宋体"/>
              </w:rPr>
            </w:pPr>
            <w:r>
              <w:rPr>
                <w:rFonts w:hint="eastAsia"/>
              </w:rPr>
              <w:t>90</w:t>
            </w:r>
          </w:p>
        </w:tc>
        <w:tc>
          <w:tcPr>
            <w:tcW w:w="406" w:type="pct"/>
          </w:tcPr>
          <w:p w:rsidR="00C645C9" w:rsidRDefault="00F955D9">
            <w:pPr>
              <w:pStyle w:val="afb"/>
              <w:rPr>
                <w:rFonts w:ascii="宋体" w:hAnsi="宋体" w:cs="宋体"/>
              </w:rPr>
            </w:pPr>
            <w:r>
              <w:rPr>
                <w:rFonts w:hint="eastAsia"/>
              </w:rPr>
              <w:t>78</w:t>
            </w:r>
          </w:p>
        </w:tc>
        <w:tc>
          <w:tcPr>
            <w:tcW w:w="406" w:type="pct"/>
          </w:tcPr>
          <w:p w:rsidR="00C645C9" w:rsidRDefault="00F955D9">
            <w:pPr>
              <w:pStyle w:val="afb"/>
              <w:rPr>
                <w:rFonts w:ascii="宋体" w:hAnsi="宋体" w:cs="宋体"/>
              </w:rPr>
            </w:pPr>
            <w:r>
              <w:rPr>
                <w:rFonts w:hint="eastAsia"/>
              </w:rPr>
              <w:t>72</w:t>
            </w:r>
          </w:p>
        </w:tc>
        <w:tc>
          <w:tcPr>
            <w:tcW w:w="406" w:type="pct"/>
          </w:tcPr>
          <w:p w:rsidR="00C645C9" w:rsidRDefault="00F955D9">
            <w:pPr>
              <w:pStyle w:val="afb"/>
              <w:rPr>
                <w:rFonts w:ascii="宋体" w:hAnsi="宋体" w:cs="宋体"/>
              </w:rPr>
            </w:pPr>
            <w:r>
              <w:rPr>
                <w:rFonts w:hint="eastAsia"/>
              </w:rPr>
              <w:t>66</w:t>
            </w:r>
          </w:p>
        </w:tc>
        <w:tc>
          <w:tcPr>
            <w:tcW w:w="406" w:type="pct"/>
          </w:tcPr>
          <w:p w:rsidR="00C645C9" w:rsidRDefault="00F955D9">
            <w:pPr>
              <w:pStyle w:val="afb"/>
              <w:rPr>
                <w:rFonts w:ascii="宋体" w:hAnsi="宋体" w:cs="宋体"/>
              </w:rPr>
            </w:pPr>
            <w:r>
              <w:rPr>
                <w:rFonts w:hint="eastAsia"/>
              </w:rPr>
              <w:t>60</w:t>
            </w:r>
          </w:p>
        </w:tc>
        <w:tc>
          <w:tcPr>
            <w:tcW w:w="406" w:type="pct"/>
          </w:tcPr>
          <w:p w:rsidR="00C645C9" w:rsidRDefault="00F955D9">
            <w:pPr>
              <w:pStyle w:val="afb"/>
              <w:rPr>
                <w:rFonts w:ascii="宋体" w:hAnsi="宋体" w:cs="宋体"/>
              </w:rPr>
            </w:pPr>
            <w:r>
              <w:rPr>
                <w:rFonts w:hint="eastAsia"/>
              </w:rPr>
              <w:t>58</w:t>
            </w:r>
          </w:p>
        </w:tc>
        <w:tc>
          <w:tcPr>
            <w:tcW w:w="406" w:type="pct"/>
          </w:tcPr>
          <w:p w:rsidR="00C645C9" w:rsidRDefault="00F955D9">
            <w:pPr>
              <w:pStyle w:val="afb"/>
              <w:rPr>
                <w:rFonts w:ascii="宋体" w:hAnsi="宋体" w:cs="宋体"/>
              </w:rPr>
            </w:pPr>
            <w:r>
              <w:rPr>
                <w:rFonts w:hint="eastAsia"/>
              </w:rPr>
              <w:t>52</w:t>
            </w:r>
          </w:p>
        </w:tc>
        <w:tc>
          <w:tcPr>
            <w:tcW w:w="406" w:type="pct"/>
          </w:tcPr>
          <w:p w:rsidR="00C645C9" w:rsidRDefault="00F955D9">
            <w:pPr>
              <w:pStyle w:val="afb"/>
              <w:rPr>
                <w:rFonts w:ascii="宋体" w:hAnsi="宋体" w:cs="宋体"/>
              </w:rPr>
            </w:pPr>
            <w:r>
              <w:rPr>
                <w:rFonts w:hint="eastAsia"/>
              </w:rPr>
              <w:t>46</w:t>
            </w:r>
          </w:p>
        </w:tc>
        <w:tc>
          <w:tcPr>
            <w:tcW w:w="406" w:type="pct"/>
          </w:tcPr>
          <w:p w:rsidR="00C645C9" w:rsidRDefault="00F955D9">
            <w:pPr>
              <w:pStyle w:val="afb"/>
              <w:rPr>
                <w:rFonts w:ascii="宋体" w:hAnsi="宋体" w:cs="宋体"/>
              </w:rPr>
            </w:pPr>
            <w:r>
              <w:rPr>
                <w:rFonts w:hint="eastAsia"/>
              </w:rPr>
              <w:t>40</w:t>
            </w:r>
          </w:p>
        </w:tc>
        <w:tc>
          <w:tcPr>
            <w:tcW w:w="410" w:type="pct"/>
          </w:tcPr>
          <w:p w:rsidR="00C645C9" w:rsidRDefault="00F955D9">
            <w:pPr>
              <w:pStyle w:val="afb"/>
              <w:rPr>
                <w:rFonts w:ascii="宋体" w:hAnsi="宋体" w:cs="宋体"/>
              </w:rPr>
            </w:pPr>
            <w:r>
              <w:rPr>
                <w:rFonts w:hint="eastAsia"/>
              </w:rPr>
              <w:t>38</w:t>
            </w:r>
          </w:p>
        </w:tc>
      </w:tr>
      <w:tr w:rsidR="00C645C9">
        <w:trPr>
          <w:cantSplit/>
        </w:trPr>
        <w:tc>
          <w:tcPr>
            <w:tcW w:w="930" w:type="pct"/>
          </w:tcPr>
          <w:p w:rsidR="00C645C9" w:rsidRDefault="00F955D9">
            <w:pPr>
              <w:pStyle w:val="afb"/>
              <w:rPr>
                <w:rFonts w:ascii="宋体" w:hAnsi="宋体" w:cs="宋体"/>
              </w:rPr>
            </w:pPr>
            <w:r>
              <w:rPr>
                <w:rFonts w:hint="eastAsia"/>
              </w:rPr>
              <w:t>混凝土翻斗车</w:t>
            </w:r>
          </w:p>
        </w:tc>
        <w:tc>
          <w:tcPr>
            <w:tcW w:w="406" w:type="pct"/>
          </w:tcPr>
          <w:p w:rsidR="00C645C9" w:rsidRDefault="00F955D9">
            <w:pPr>
              <w:pStyle w:val="afb"/>
              <w:rPr>
                <w:rFonts w:ascii="宋体" w:hAnsi="宋体" w:cs="宋体"/>
              </w:rPr>
            </w:pPr>
            <w:r>
              <w:rPr>
                <w:rFonts w:hint="eastAsia"/>
              </w:rPr>
              <w:t>90</w:t>
            </w:r>
          </w:p>
        </w:tc>
        <w:tc>
          <w:tcPr>
            <w:tcW w:w="406" w:type="pct"/>
          </w:tcPr>
          <w:p w:rsidR="00C645C9" w:rsidRDefault="00F955D9">
            <w:pPr>
              <w:pStyle w:val="afb"/>
              <w:rPr>
                <w:rFonts w:ascii="宋体" w:hAnsi="宋体" w:cs="宋体"/>
              </w:rPr>
            </w:pPr>
            <w:r>
              <w:rPr>
                <w:rFonts w:hint="eastAsia"/>
              </w:rPr>
              <w:t>78</w:t>
            </w:r>
          </w:p>
        </w:tc>
        <w:tc>
          <w:tcPr>
            <w:tcW w:w="406" w:type="pct"/>
          </w:tcPr>
          <w:p w:rsidR="00C645C9" w:rsidRDefault="00F955D9">
            <w:pPr>
              <w:pStyle w:val="afb"/>
              <w:rPr>
                <w:rFonts w:ascii="宋体" w:hAnsi="宋体" w:cs="宋体"/>
              </w:rPr>
            </w:pPr>
            <w:r>
              <w:rPr>
                <w:rFonts w:hint="eastAsia"/>
              </w:rPr>
              <w:t>72</w:t>
            </w:r>
          </w:p>
        </w:tc>
        <w:tc>
          <w:tcPr>
            <w:tcW w:w="406" w:type="pct"/>
          </w:tcPr>
          <w:p w:rsidR="00C645C9" w:rsidRDefault="00F955D9">
            <w:pPr>
              <w:pStyle w:val="afb"/>
              <w:rPr>
                <w:rFonts w:ascii="宋体" w:hAnsi="宋体" w:cs="宋体"/>
              </w:rPr>
            </w:pPr>
            <w:r>
              <w:rPr>
                <w:rFonts w:hint="eastAsia"/>
              </w:rPr>
              <w:t>66</w:t>
            </w:r>
          </w:p>
        </w:tc>
        <w:tc>
          <w:tcPr>
            <w:tcW w:w="406" w:type="pct"/>
          </w:tcPr>
          <w:p w:rsidR="00C645C9" w:rsidRDefault="00F955D9">
            <w:pPr>
              <w:pStyle w:val="afb"/>
              <w:rPr>
                <w:rFonts w:ascii="宋体" w:hAnsi="宋体" w:cs="宋体"/>
              </w:rPr>
            </w:pPr>
            <w:r>
              <w:rPr>
                <w:rFonts w:hint="eastAsia"/>
              </w:rPr>
              <w:t>60</w:t>
            </w:r>
          </w:p>
        </w:tc>
        <w:tc>
          <w:tcPr>
            <w:tcW w:w="406" w:type="pct"/>
          </w:tcPr>
          <w:p w:rsidR="00C645C9" w:rsidRDefault="00F955D9">
            <w:pPr>
              <w:pStyle w:val="afb"/>
              <w:rPr>
                <w:rFonts w:ascii="宋体" w:hAnsi="宋体" w:cs="宋体"/>
              </w:rPr>
            </w:pPr>
            <w:r>
              <w:rPr>
                <w:rFonts w:hint="eastAsia"/>
              </w:rPr>
              <w:t>58</w:t>
            </w:r>
          </w:p>
        </w:tc>
        <w:tc>
          <w:tcPr>
            <w:tcW w:w="406" w:type="pct"/>
          </w:tcPr>
          <w:p w:rsidR="00C645C9" w:rsidRDefault="00F955D9">
            <w:pPr>
              <w:pStyle w:val="afb"/>
              <w:rPr>
                <w:rFonts w:ascii="宋体" w:hAnsi="宋体" w:cs="宋体"/>
              </w:rPr>
            </w:pPr>
            <w:r>
              <w:rPr>
                <w:rFonts w:hint="eastAsia"/>
              </w:rPr>
              <w:t>52</w:t>
            </w:r>
          </w:p>
        </w:tc>
        <w:tc>
          <w:tcPr>
            <w:tcW w:w="406" w:type="pct"/>
          </w:tcPr>
          <w:p w:rsidR="00C645C9" w:rsidRDefault="00F955D9">
            <w:pPr>
              <w:pStyle w:val="afb"/>
              <w:rPr>
                <w:rFonts w:ascii="宋体" w:hAnsi="宋体" w:cs="宋体"/>
              </w:rPr>
            </w:pPr>
            <w:r>
              <w:rPr>
                <w:rFonts w:hint="eastAsia"/>
              </w:rPr>
              <w:t>46</w:t>
            </w:r>
          </w:p>
        </w:tc>
        <w:tc>
          <w:tcPr>
            <w:tcW w:w="406" w:type="pct"/>
          </w:tcPr>
          <w:p w:rsidR="00C645C9" w:rsidRDefault="00F955D9">
            <w:pPr>
              <w:pStyle w:val="afb"/>
              <w:rPr>
                <w:rFonts w:ascii="宋体" w:hAnsi="宋体" w:cs="宋体"/>
              </w:rPr>
            </w:pPr>
            <w:r>
              <w:rPr>
                <w:rFonts w:hint="eastAsia"/>
              </w:rPr>
              <w:t>40</w:t>
            </w:r>
          </w:p>
        </w:tc>
        <w:tc>
          <w:tcPr>
            <w:tcW w:w="410" w:type="pct"/>
          </w:tcPr>
          <w:p w:rsidR="00C645C9" w:rsidRDefault="00F955D9">
            <w:pPr>
              <w:pStyle w:val="afb"/>
              <w:rPr>
                <w:rFonts w:ascii="宋体" w:hAnsi="宋体" w:cs="宋体"/>
              </w:rPr>
            </w:pPr>
            <w:r>
              <w:rPr>
                <w:rFonts w:hint="eastAsia"/>
              </w:rPr>
              <w:t>38</w:t>
            </w:r>
          </w:p>
        </w:tc>
      </w:tr>
      <w:tr w:rsidR="00C645C9">
        <w:trPr>
          <w:cantSplit/>
        </w:trPr>
        <w:tc>
          <w:tcPr>
            <w:tcW w:w="930" w:type="pct"/>
          </w:tcPr>
          <w:p w:rsidR="00C645C9" w:rsidRDefault="00F955D9">
            <w:pPr>
              <w:pStyle w:val="afb"/>
              <w:rPr>
                <w:rFonts w:ascii="宋体" w:hAnsi="宋体" w:cs="宋体"/>
              </w:rPr>
            </w:pPr>
            <w:r>
              <w:rPr>
                <w:rFonts w:hint="eastAsia"/>
              </w:rPr>
              <w:t>挖掘机</w:t>
            </w:r>
          </w:p>
        </w:tc>
        <w:tc>
          <w:tcPr>
            <w:tcW w:w="406" w:type="pct"/>
          </w:tcPr>
          <w:p w:rsidR="00C645C9" w:rsidRDefault="00F955D9">
            <w:pPr>
              <w:pStyle w:val="afb"/>
              <w:rPr>
                <w:rFonts w:ascii="宋体" w:hAnsi="宋体" w:cs="宋体"/>
              </w:rPr>
            </w:pPr>
            <w:r>
              <w:rPr>
                <w:rFonts w:hint="eastAsia"/>
              </w:rPr>
              <w:t>92</w:t>
            </w:r>
          </w:p>
        </w:tc>
        <w:tc>
          <w:tcPr>
            <w:tcW w:w="406" w:type="pct"/>
          </w:tcPr>
          <w:p w:rsidR="00C645C9" w:rsidRDefault="00F955D9">
            <w:pPr>
              <w:pStyle w:val="afb"/>
              <w:rPr>
                <w:rFonts w:ascii="宋体" w:hAnsi="宋体" w:cs="宋体"/>
              </w:rPr>
            </w:pPr>
            <w:r>
              <w:rPr>
                <w:rFonts w:hint="eastAsia"/>
              </w:rPr>
              <w:t>80</w:t>
            </w:r>
          </w:p>
        </w:tc>
        <w:tc>
          <w:tcPr>
            <w:tcW w:w="406" w:type="pct"/>
          </w:tcPr>
          <w:p w:rsidR="00C645C9" w:rsidRDefault="00F955D9">
            <w:pPr>
              <w:pStyle w:val="afb"/>
              <w:rPr>
                <w:rFonts w:ascii="宋体" w:hAnsi="宋体" w:cs="宋体"/>
              </w:rPr>
            </w:pPr>
            <w:r>
              <w:rPr>
                <w:rFonts w:hint="eastAsia"/>
              </w:rPr>
              <w:t>74</w:t>
            </w:r>
          </w:p>
        </w:tc>
        <w:tc>
          <w:tcPr>
            <w:tcW w:w="406" w:type="pct"/>
          </w:tcPr>
          <w:p w:rsidR="00C645C9" w:rsidRDefault="00F955D9">
            <w:pPr>
              <w:pStyle w:val="afb"/>
              <w:rPr>
                <w:rFonts w:ascii="宋体" w:hAnsi="宋体" w:cs="宋体"/>
              </w:rPr>
            </w:pPr>
            <w:r>
              <w:rPr>
                <w:rFonts w:hint="eastAsia"/>
              </w:rPr>
              <w:t>68</w:t>
            </w:r>
          </w:p>
        </w:tc>
        <w:tc>
          <w:tcPr>
            <w:tcW w:w="406" w:type="pct"/>
          </w:tcPr>
          <w:p w:rsidR="00C645C9" w:rsidRDefault="00F955D9">
            <w:pPr>
              <w:pStyle w:val="afb"/>
              <w:rPr>
                <w:rFonts w:ascii="宋体" w:hAnsi="宋体" w:cs="宋体"/>
              </w:rPr>
            </w:pPr>
            <w:r>
              <w:rPr>
                <w:rFonts w:hint="eastAsia"/>
              </w:rPr>
              <w:t>62</w:t>
            </w:r>
          </w:p>
        </w:tc>
        <w:tc>
          <w:tcPr>
            <w:tcW w:w="406" w:type="pct"/>
          </w:tcPr>
          <w:p w:rsidR="00C645C9" w:rsidRDefault="00F955D9">
            <w:pPr>
              <w:pStyle w:val="afb"/>
              <w:rPr>
                <w:rFonts w:ascii="宋体" w:hAnsi="宋体" w:cs="宋体"/>
              </w:rPr>
            </w:pPr>
            <w:r>
              <w:rPr>
                <w:rFonts w:hint="eastAsia"/>
              </w:rPr>
              <w:t>60</w:t>
            </w:r>
          </w:p>
        </w:tc>
        <w:tc>
          <w:tcPr>
            <w:tcW w:w="406" w:type="pct"/>
          </w:tcPr>
          <w:p w:rsidR="00C645C9" w:rsidRDefault="00F955D9">
            <w:pPr>
              <w:pStyle w:val="afb"/>
              <w:rPr>
                <w:rFonts w:ascii="宋体" w:hAnsi="宋体" w:cs="宋体"/>
              </w:rPr>
            </w:pPr>
            <w:r>
              <w:rPr>
                <w:rFonts w:hint="eastAsia"/>
              </w:rPr>
              <w:t>54</w:t>
            </w:r>
          </w:p>
        </w:tc>
        <w:tc>
          <w:tcPr>
            <w:tcW w:w="406" w:type="pct"/>
          </w:tcPr>
          <w:p w:rsidR="00C645C9" w:rsidRDefault="00F955D9">
            <w:pPr>
              <w:pStyle w:val="afb"/>
              <w:rPr>
                <w:rFonts w:ascii="宋体" w:hAnsi="宋体" w:cs="宋体"/>
              </w:rPr>
            </w:pPr>
            <w:r>
              <w:rPr>
                <w:rFonts w:hint="eastAsia"/>
              </w:rPr>
              <w:t>48</w:t>
            </w:r>
          </w:p>
        </w:tc>
        <w:tc>
          <w:tcPr>
            <w:tcW w:w="406" w:type="pct"/>
          </w:tcPr>
          <w:p w:rsidR="00C645C9" w:rsidRDefault="00F955D9">
            <w:pPr>
              <w:pStyle w:val="afb"/>
              <w:rPr>
                <w:rFonts w:ascii="宋体" w:hAnsi="宋体" w:cs="宋体"/>
              </w:rPr>
            </w:pPr>
            <w:r>
              <w:rPr>
                <w:rFonts w:hint="eastAsia"/>
              </w:rPr>
              <w:t>42</w:t>
            </w:r>
          </w:p>
        </w:tc>
        <w:tc>
          <w:tcPr>
            <w:tcW w:w="410" w:type="pct"/>
          </w:tcPr>
          <w:p w:rsidR="00C645C9" w:rsidRDefault="00F955D9">
            <w:pPr>
              <w:pStyle w:val="afb"/>
              <w:rPr>
                <w:rFonts w:ascii="宋体" w:hAnsi="宋体" w:cs="宋体"/>
              </w:rPr>
            </w:pPr>
            <w:r>
              <w:rPr>
                <w:rFonts w:hint="eastAsia"/>
              </w:rPr>
              <w:t>40</w:t>
            </w:r>
          </w:p>
        </w:tc>
      </w:tr>
      <w:tr w:rsidR="00C645C9">
        <w:trPr>
          <w:cantSplit/>
        </w:trPr>
        <w:tc>
          <w:tcPr>
            <w:tcW w:w="930" w:type="pct"/>
          </w:tcPr>
          <w:p w:rsidR="00C645C9" w:rsidRDefault="00F955D9">
            <w:pPr>
              <w:pStyle w:val="afb"/>
              <w:rPr>
                <w:rFonts w:ascii="宋体" w:hAnsi="宋体" w:cs="宋体"/>
              </w:rPr>
            </w:pPr>
            <w:r>
              <w:rPr>
                <w:rFonts w:hint="eastAsia"/>
              </w:rPr>
              <w:t>混凝土搅拌机</w:t>
            </w:r>
          </w:p>
        </w:tc>
        <w:tc>
          <w:tcPr>
            <w:tcW w:w="406" w:type="pct"/>
          </w:tcPr>
          <w:p w:rsidR="00C645C9" w:rsidRDefault="00F955D9">
            <w:pPr>
              <w:pStyle w:val="afb"/>
              <w:rPr>
                <w:rFonts w:ascii="宋体" w:hAnsi="宋体" w:cs="宋体"/>
              </w:rPr>
            </w:pPr>
            <w:r>
              <w:rPr>
                <w:rFonts w:hint="eastAsia"/>
              </w:rPr>
              <w:t>95</w:t>
            </w:r>
          </w:p>
        </w:tc>
        <w:tc>
          <w:tcPr>
            <w:tcW w:w="406" w:type="pct"/>
          </w:tcPr>
          <w:p w:rsidR="00C645C9" w:rsidRDefault="00F955D9">
            <w:pPr>
              <w:pStyle w:val="afb"/>
              <w:rPr>
                <w:rFonts w:ascii="宋体" w:hAnsi="宋体" w:cs="宋体"/>
              </w:rPr>
            </w:pPr>
            <w:r>
              <w:rPr>
                <w:rFonts w:hint="eastAsia"/>
              </w:rPr>
              <w:t>83</w:t>
            </w:r>
          </w:p>
        </w:tc>
        <w:tc>
          <w:tcPr>
            <w:tcW w:w="406" w:type="pct"/>
          </w:tcPr>
          <w:p w:rsidR="00C645C9" w:rsidRDefault="00F955D9">
            <w:pPr>
              <w:pStyle w:val="afb"/>
              <w:rPr>
                <w:rFonts w:ascii="宋体" w:hAnsi="宋体" w:cs="宋体"/>
              </w:rPr>
            </w:pPr>
            <w:r>
              <w:rPr>
                <w:rFonts w:hint="eastAsia"/>
              </w:rPr>
              <w:t>77</w:t>
            </w:r>
          </w:p>
        </w:tc>
        <w:tc>
          <w:tcPr>
            <w:tcW w:w="406" w:type="pct"/>
          </w:tcPr>
          <w:p w:rsidR="00C645C9" w:rsidRDefault="00F955D9">
            <w:pPr>
              <w:pStyle w:val="afb"/>
              <w:rPr>
                <w:rFonts w:ascii="宋体" w:hAnsi="宋体" w:cs="宋体"/>
              </w:rPr>
            </w:pPr>
            <w:r>
              <w:rPr>
                <w:rFonts w:hint="eastAsia"/>
              </w:rPr>
              <w:t>71</w:t>
            </w:r>
          </w:p>
        </w:tc>
        <w:tc>
          <w:tcPr>
            <w:tcW w:w="406" w:type="pct"/>
          </w:tcPr>
          <w:p w:rsidR="00C645C9" w:rsidRDefault="00F955D9">
            <w:pPr>
              <w:pStyle w:val="afb"/>
              <w:rPr>
                <w:rFonts w:ascii="宋体" w:hAnsi="宋体" w:cs="宋体"/>
              </w:rPr>
            </w:pPr>
            <w:r>
              <w:rPr>
                <w:rFonts w:hint="eastAsia"/>
              </w:rPr>
              <w:t>65</w:t>
            </w:r>
          </w:p>
        </w:tc>
        <w:tc>
          <w:tcPr>
            <w:tcW w:w="406" w:type="pct"/>
          </w:tcPr>
          <w:p w:rsidR="00C645C9" w:rsidRDefault="00F955D9">
            <w:pPr>
              <w:pStyle w:val="afb"/>
              <w:rPr>
                <w:rFonts w:ascii="宋体" w:hAnsi="宋体" w:cs="宋体"/>
              </w:rPr>
            </w:pPr>
            <w:r>
              <w:rPr>
                <w:rFonts w:hint="eastAsia"/>
              </w:rPr>
              <w:t>63</w:t>
            </w:r>
          </w:p>
        </w:tc>
        <w:tc>
          <w:tcPr>
            <w:tcW w:w="406" w:type="pct"/>
          </w:tcPr>
          <w:p w:rsidR="00C645C9" w:rsidRDefault="00F955D9">
            <w:pPr>
              <w:pStyle w:val="afb"/>
              <w:rPr>
                <w:rFonts w:ascii="宋体" w:hAnsi="宋体" w:cs="宋体"/>
              </w:rPr>
            </w:pPr>
            <w:r>
              <w:rPr>
                <w:rFonts w:hint="eastAsia"/>
              </w:rPr>
              <w:t>57</w:t>
            </w:r>
          </w:p>
        </w:tc>
        <w:tc>
          <w:tcPr>
            <w:tcW w:w="406" w:type="pct"/>
          </w:tcPr>
          <w:p w:rsidR="00C645C9" w:rsidRDefault="00F955D9">
            <w:pPr>
              <w:pStyle w:val="afb"/>
              <w:rPr>
                <w:rFonts w:ascii="宋体" w:hAnsi="宋体" w:cs="宋体"/>
              </w:rPr>
            </w:pPr>
            <w:r>
              <w:rPr>
                <w:rFonts w:hint="eastAsia"/>
              </w:rPr>
              <w:t>51</w:t>
            </w:r>
          </w:p>
        </w:tc>
        <w:tc>
          <w:tcPr>
            <w:tcW w:w="406" w:type="pct"/>
          </w:tcPr>
          <w:p w:rsidR="00C645C9" w:rsidRDefault="00F955D9">
            <w:pPr>
              <w:pStyle w:val="afb"/>
              <w:rPr>
                <w:rFonts w:ascii="宋体" w:hAnsi="宋体" w:cs="宋体"/>
              </w:rPr>
            </w:pPr>
            <w:r>
              <w:rPr>
                <w:rFonts w:hint="eastAsia"/>
              </w:rPr>
              <w:t>45</w:t>
            </w:r>
          </w:p>
        </w:tc>
        <w:tc>
          <w:tcPr>
            <w:tcW w:w="410" w:type="pct"/>
          </w:tcPr>
          <w:p w:rsidR="00C645C9" w:rsidRDefault="00F955D9">
            <w:pPr>
              <w:pStyle w:val="afb"/>
              <w:rPr>
                <w:rFonts w:ascii="宋体" w:hAnsi="宋体" w:cs="宋体"/>
              </w:rPr>
            </w:pPr>
            <w:r>
              <w:rPr>
                <w:rFonts w:hint="eastAsia"/>
              </w:rPr>
              <w:t>43</w:t>
            </w:r>
          </w:p>
        </w:tc>
      </w:tr>
    </w:tbl>
    <w:p w:rsidR="00C645C9" w:rsidRDefault="00F955D9">
      <w:pPr>
        <w:adjustRightInd w:val="0"/>
        <w:snapToGrid w:val="0"/>
        <w:spacing w:line="360" w:lineRule="auto"/>
        <w:ind w:firstLineChars="200" w:firstLine="480"/>
        <w:jc w:val="both"/>
      </w:pPr>
      <w:r>
        <w:rPr>
          <w:kern w:val="2"/>
        </w:rPr>
        <w:t>根据表</w:t>
      </w:r>
      <w:r>
        <w:rPr>
          <w:kern w:val="2"/>
        </w:rPr>
        <w:t>5.</w:t>
      </w:r>
      <w:r>
        <w:rPr>
          <w:rFonts w:hint="eastAsia"/>
          <w:kern w:val="2"/>
        </w:rPr>
        <w:t>6</w:t>
      </w:r>
      <w:r>
        <w:rPr>
          <w:kern w:val="2"/>
        </w:rPr>
        <w:t>-1</w:t>
      </w:r>
      <w:r>
        <w:rPr>
          <w:kern w:val="2"/>
        </w:rPr>
        <w:t>可知，各种施工机械噪声预测结果可以看出，在不采取减振降噪措施的情况下，昼间</w:t>
      </w:r>
      <w:bookmarkStart w:id="1613" w:name="OLE_LINK1214"/>
      <w:r>
        <w:rPr>
          <w:kern w:val="2"/>
        </w:rPr>
        <w:t>距</w:t>
      </w:r>
      <w:bookmarkEnd w:id="1613"/>
      <w:r>
        <w:rPr>
          <w:kern w:val="2"/>
        </w:rPr>
        <w:t>施工设备</w:t>
      </w:r>
      <w:r>
        <w:t>80m</w:t>
      </w:r>
      <w:r>
        <w:t>以外</w:t>
      </w:r>
      <w:bookmarkStart w:id="1614" w:name="OLE_LINK1215"/>
      <w:r>
        <w:t>均不超过</w:t>
      </w:r>
      <w:bookmarkEnd w:id="1614"/>
      <w:r>
        <w:rPr>
          <w:rFonts w:hint="eastAsia"/>
        </w:rPr>
        <w:t>《建筑施工场界环境噪声排放标准》</w:t>
      </w:r>
      <w:r>
        <w:t>（</w:t>
      </w:r>
      <w:r>
        <w:rPr>
          <w:shd w:val="clear" w:color="auto" w:fill="FFFFFF"/>
        </w:rPr>
        <w:t>GB 12523-2011</w:t>
      </w:r>
      <w:r>
        <w:t>）</w:t>
      </w:r>
      <w:r>
        <w:rPr>
          <w:rFonts w:hint="eastAsia"/>
        </w:rPr>
        <w:t>昼间限值</w:t>
      </w:r>
      <w:r>
        <w:t>，夜间</w:t>
      </w:r>
      <w:r>
        <w:rPr>
          <w:kern w:val="2"/>
        </w:rPr>
        <w:t>距</w:t>
      </w:r>
      <w:r>
        <w:t>施工场地</w:t>
      </w:r>
      <w:r>
        <w:t>400m</w:t>
      </w:r>
      <w:r>
        <w:t>以外均不超过</w:t>
      </w:r>
      <w:r>
        <w:rPr>
          <w:rFonts w:hint="eastAsia"/>
        </w:rPr>
        <w:t>《建筑施工场界环境噪声排放标准》</w:t>
      </w:r>
      <w:r>
        <w:t>（</w:t>
      </w:r>
      <w:r>
        <w:rPr>
          <w:shd w:val="clear" w:color="auto" w:fill="FFFFFF"/>
        </w:rPr>
        <w:t>GB 12523-2011</w:t>
      </w:r>
      <w:r>
        <w:t>）</w:t>
      </w:r>
      <w:r>
        <w:rPr>
          <w:rFonts w:hint="eastAsia"/>
        </w:rPr>
        <w:t>夜间限值</w:t>
      </w:r>
      <w:r>
        <w:t>。施工期</w:t>
      </w:r>
      <w:r>
        <w:rPr>
          <w:rFonts w:hint="eastAsia"/>
        </w:rPr>
        <w:t>的</w:t>
      </w:r>
      <w:r>
        <w:t>噪声源均为暂时性的，</w:t>
      </w:r>
      <w:r>
        <w:rPr>
          <w:rFonts w:hint="eastAsia"/>
        </w:rPr>
        <w:t>本工程</w:t>
      </w:r>
      <w:r>
        <w:t>施工区周围</w:t>
      </w:r>
      <w:r>
        <w:rPr>
          <w:rFonts w:hint="eastAsia"/>
        </w:rPr>
        <w:t>无村庄等声环境敏感目标</w:t>
      </w:r>
      <w:r>
        <w:t>，</w:t>
      </w:r>
      <w:r>
        <w:rPr>
          <w:rFonts w:hint="eastAsia"/>
        </w:rPr>
        <w:t>本工程</w:t>
      </w:r>
      <w:r>
        <w:t>施工只在短时期对局部环境和施工人员造成影响，待施工结束后这种影响也随之消失。施工期噪声对周围环境造成的影响属可接受程度。</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615" w:name="_Toc7660"/>
      <w:bookmarkStart w:id="1616" w:name="_Toc19396"/>
      <w:bookmarkStart w:id="1617" w:name="_Toc29335"/>
      <w:bookmarkStart w:id="1618" w:name="_Hlk48604532"/>
      <w:r>
        <w:rPr>
          <w:rFonts w:ascii="Times New Roman" w:hAnsi="Times New Roman" w:cs="Times New Roman"/>
          <w:color w:val="auto"/>
          <w:lang w:eastAsia="zh-CN"/>
        </w:rPr>
        <w:t>5.</w:t>
      </w:r>
      <w:bookmarkEnd w:id="1615"/>
      <w:bookmarkEnd w:id="1616"/>
      <w:bookmarkEnd w:id="1617"/>
      <w:r>
        <w:rPr>
          <w:rFonts w:ascii="Times New Roman" w:hAnsi="Times New Roman" w:cs="Times New Roman"/>
          <w:color w:val="auto"/>
          <w:lang w:eastAsia="zh-CN"/>
        </w:rPr>
        <w:t>6.2</w:t>
      </w:r>
      <w:r>
        <w:rPr>
          <w:rFonts w:ascii="Times New Roman" w:hAnsi="Times New Roman" w:cs="Times New Roman"/>
          <w:color w:val="auto"/>
          <w:lang w:eastAsia="zh-CN"/>
        </w:rPr>
        <w:t>运营期声环境影响评价</w:t>
      </w:r>
    </w:p>
    <w:p w:rsidR="00C645C9" w:rsidRDefault="00F955D9">
      <w:pPr>
        <w:pStyle w:val="4"/>
        <w:adjustRightInd w:val="0"/>
        <w:snapToGrid w:val="0"/>
        <w:rPr>
          <w:rFonts w:ascii="Times New Roman" w:hAnsi="Times New Roman" w:cs="Times New Roman"/>
          <w:color w:val="auto"/>
          <w:szCs w:val="24"/>
          <w:lang w:eastAsia="zh-CN"/>
        </w:rPr>
      </w:pPr>
      <w:r>
        <w:rPr>
          <w:rFonts w:ascii="Times New Roman" w:hAnsi="Times New Roman" w:cs="Times New Roman"/>
          <w:color w:val="auto"/>
          <w:szCs w:val="24"/>
          <w:lang w:eastAsia="zh-CN"/>
        </w:rPr>
        <w:t>5.</w:t>
      </w:r>
      <w:r>
        <w:rPr>
          <w:rFonts w:ascii="Times New Roman" w:hAnsi="Times New Roman" w:cs="Times New Roman"/>
          <w:color w:val="auto"/>
          <w:szCs w:val="24"/>
          <w:lang w:eastAsia="zh-CN"/>
        </w:rPr>
        <w:t>6</w:t>
      </w:r>
      <w:r>
        <w:rPr>
          <w:rFonts w:ascii="Times New Roman" w:hAnsi="Times New Roman" w:cs="Times New Roman"/>
          <w:color w:val="auto"/>
          <w:szCs w:val="24"/>
          <w:lang w:eastAsia="zh-CN"/>
        </w:rPr>
        <w:t>.2.1</w:t>
      </w:r>
      <w:r>
        <w:rPr>
          <w:rFonts w:ascii="Times New Roman" w:hAnsi="Times New Roman" w:cs="Times New Roman"/>
          <w:color w:val="auto"/>
          <w:szCs w:val="24"/>
          <w:lang w:eastAsia="zh-CN"/>
        </w:rPr>
        <w:t>运营期主要噪声源</w:t>
      </w:r>
    </w:p>
    <w:p w:rsidR="00C645C9" w:rsidRDefault="00F955D9">
      <w:pPr>
        <w:adjustRightInd w:val="0"/>
        <w:snapToGrid w:val="0"/>
        <w:spacing w:line="360" w:lineRule="auto"/>
        <w:ind w:firstLine="480"/>
        <w:rPr>
          <w:rFonts w:cs="Times New Roman"/>
        </w:rPr>
      </w:pPr>
      <w:r>
        <w:rPr>
          <w:rFonts w:cs="Times New Roman"/>
        </w:rPr>
        <w:t>本工程</w:t>
      </w:r>
      <w:r>
        <w:rPr>
          <w:rFonts w:cs="Times New Roman"/>
        </w:rPr>
        <w:t>运营期噪声源主要为井场</w:t>
      </w:r>
      <w:r>
        <w:rPr>
          <w:rFonts w:cs="Times New Roman" w:hint="eastAsia"/>
        </w:rPr>
        <w:t>泵撬</w:t>
      </w:r>
      <w:r>
        <w:rPr>
          <w:rFonts w:cs="Times New Roman"/>
        </w:rPr>
        <w:t>等设备运转噪声</w:t>
      </w:r>
      <w:r>
        <w:rPr>
          <w:rFonts w:cs="Times New Roman"/>
        </w:rPr>
        <w:t>，以及压裂、修井等井下作业噪声，因井下作业为阶段性作业，故本次噪声预测仅考虑井场机泵噪声。</w:t>
      </w:r>
    </w:p>
    <w:p w:rsidR="00C645C9" w:rsidRDefault="00F955D9">
      <w:pPr>
        <w:pStyle w:val="4"/>
        <w:adjustRightInd w:val="0"/>
        <w:snapToGrid w:val="0"/>
        <w:rPr>
          <w:rFonts w:ascii="Times New Roman" w:hAnsi="Times New Roman" w:cs="Times New Roman"/>
          <w:color w:val="auto"/>
          <w:szCs w:val="24"/>
          <w:lang w:eastAsia="zh-CN"/>
        </w:rPr>
      </w:pPr>
      <w:r>
        <w:rPr>
          <w:rFonts w:ascii="Times New Roman" w:hAnsi="Times New Roman" w:cs="Times New Roman"/>
          <w:color w:val="auto"/>
          <w:szCs w:val="24"/>
          <w:lang w:eastAsia="zh-CN"/>
        </w:rPr>
        <w:t>5.</w:t>
      </w:r>
      <w:r>
        <w:rPr>
          <w:rFonts w:ascii="Times New Roman" w:hAnsi="Times New Roman" w:cs="Times New Roman"/>
          <w:color w:val="auto"/>
          <w:szCs w:val="24"/>
          <w:lang w:eastAsia="zh-CN"/>
        </w:rPr>
        <w:t>6</w:t>
      </w:r>
      <w:r>
        <w:rPr>
          <w:rFonts w:ascii="Times New Roman" w:hAnsi="Times New Roman" w:cs="Times New Roman"/>
          <w:color w:val="auto"/>
          <w:szCs w:val="24"/>
          <w:lang w:eastAsia="zh-CN"/>
        </w:rPr>
        <w:t>.2.2</w:t>
      </w:r>
      <w:r>
        <w:rPr>
          <w:rFonts w:ascii="Times New Roman" w:hAnsi="Times New Roman" w:cs="Times New Roman"/>
          <w:color w:val="auto"/>
          <w:szCs w:val="24"/>
          <w:lang w:eastAsia="zh-CN"/>
        </w:rPr>
        <w:t>运营期井场噪声环境影响预测</w:t>
      </w:r>
    </w:p>
    <w:p w:rsidR="00C645C9" w:rsidRDefault="00F955D9">
      <w:pPr>
        <w:adjustRightInd w:val="0"/>
        <w:snapToGrid w:val="0"/>
        <w:spacing w:line="360" w:lineRule="auto"/>
        <w:ind w:firstLine="480"/>
        <w:rPr>
          <w:rFonts w:cs="Times New Roman"/>
        </w:rPr>
      </w:pPr>
      <w:r>
        <w:rPr>
          <w:rFonts w:cs="Times New Roman"/>
        </w:rPr>
        <w:t>本工程</w:t>
      </w:r>
      <w:r>
        <w:rPr>
          <w:rFonts w:cs="Times New Roman"/>
        </w:rPr>
        <w:t>产噪设备主要包括井场采</w:t>
      </w:r>
      <w:r>
        <w:rPr>
          <w:rFonts w:cs="Times New Roman" w:hint="eastAsia"/>
        </w:rPr>
        <w:t>气</w:t>
      </w:r>
      <w:r>
        <w:rPr>
          <w:rFonts w:cs="Times New Roman"/>
        </w:rPr>
        <w:t>树、泵类等设备。</w:t>
      </w:r>
    </w:p>
    <w:p w:rsidR="00C645C9" w:rsidRDefault="00F955D9">
      <w:pPr>
        <w:adjustRightInd w:val="0"/>
        <w:snapToGrid w:val="0"/>
        <w:spacing w:line="360" w:lineRule="auto"/>
        <w:ind w:firstLine="482"/>
        <w:rPr>
          <w:rFonts w:cs="Times New Roman"/>
          <w:b/>
        </w:rPr>
      </w:pPr>
      <w:r>
        <w:rPr>
          <w:rFonts w:cs="Times New Roman"/>
          <w:b/>
        </w:rPr>
        <w:t>（一）预测模式</w:t>
      </w:r>
    </w:p>
    <w:p w:rsidR="00C645C9" w:rsidRDefault="00F955D9">
      <w:pPr>
        <w:widowControl w:val="0"/>
        <w:adjustRightInd w:val="0"/>
        <w:snapToGrid w:val="0"/>
        <w:spacing w:line="360" w:lineRule="auto"/>
        <w:ind w:firstLineChars="200" w:firstLine="480"/>
        <w:jc w:val="both"/>
        <w:rPr>
          <w:kern w:val="2"/>
        </w:rPr>
      </w:pPr>
      <w:r>
        <w:rPr>
          <w:rFonts w:cs="Times New Roman"/>
          <w:kern w:val="2"/>
        </w:rPr>
        <w:t>a</w:t>
      </w:r>
      <w:r>
        <w:rPr>
          <w:rFonts w:cs="Times New Roman"/>
          <w:kern w:val="2"/>
        </w:rPr>
        <w:t>）根据声源声功率级或参考位置处的声压级、户外声传播衰减，计算预测点的声级：</w:t>
      </w:r>
    </w:p>
    <w:p w:rsidR="00C645C9" w:rsidRDefault="00F955D9">
      <w:pPr>
        <w:widowControl w:val="0"/>
        <w:adjustRightInd w:val="0"/>
        <w:snapToGrid w:val="0"/>
        <w:spacing w:line="360" w:lineRule="auto"/>
        <w:ind w:firstLine="200"/>
        <w:jc w:val="center"/>
        <w:rPr>
          <w:kern w:val="2"/>
          <w:lang w:val="pt-BR"/>
        </w:rPr>
      </w:pPr>
      <w:r>
        <w:rPr>
          <w:kern w:val="2"/>
          <w:position w:val="-14"/>
          <w:lang w:val="pt-BR"/>
        </w:rPr>
        <w:object w:dxaOrig="4720" w:dyaOrig="370">
          <v:shape id="_x0000_i1026" type="#_x0000_t75" style="width:236pt;height:18.5pt" o:ole="">
            <v:imagedata r:id="rId48" o:title=""/>
          </v:shape>
          <o:OLEObject Type="Embed" ProgID="Equation.3" ShapeID="_x0000_i1026" DrawAspect="Content" ObjectID="_1809794799" r:id="rId49"/>
        </w:object>
      </w:r>
    </w:p>
    <w:p w:rsidR="00C645C9" w:rsidRDefault="00F955D9">
      <w:pPr>
        <w:widowControl w:val="0"/>
        <w:adjustRightInd w:val="0"/>
        <w:snapToGrid w:val="0"/>
        <w:spacing w:line="360" w:lineRule="auto"/>
        <w:ind w:firstLineChars="200" w:firstLine="480"/>
        <w:jc w:val="both"/>
        <w:rPr>
          <w:kern w:val="2"/>
          <w:lang w:val="pt-BR"/>
        </w:rPr>
      </w:pPr>
      <w:r>
        <w:rPr>
          <w:kern w:val="2"/>
        </w:rPr>
        <w:t>式中</w:t>
      </w:r>
      <w:r>
        <w:rPr>
          <w:kern w:val="2"/>
          <w:lang w:val="pt-BR"/>
        </w:rPr>
        <w:t>：</w:t>
      </w:r>
      <w:r>
        <w:rPr>
          <w:kern w:val="2"/>
          <w:position w:val="-14"/>
          <w:lang w:val="pt-BR"/>
        </w:rPr>
        <w:object w:dxaOrig="640" w:dyaOrig="370">
          <v:shape id="_x0000_i1027" type="#_x0000_t75" style="width:32pt;height:18.5pt" o:ole="">
            <v:imagedata r:id="rId50" o:title=""/>
          </v:shape>
          <o:OLEObject Type="Embed" ProgID="Equation.3" ShapeID="_x0000_i1027" DrawAspect="Content" ObjectID="_1809794800" r:id="rId51"/>
        </w:object>
      </w:r>
      <w:r>
        <w:rPr>
          <w:rFonts w:cs="Times New Roman"/>
          <w:szCs w:val="20"/>
        </w:rPr>
        <w:t>——</w:t>
      </w:r>
      <w:r>
        <w:rPr>
          <w:kern w:val="2"/>
        </w:rPr>
        <w:t>预测点处声压级</w:t>
      </w:r>
      <w:r>
        <w:rPr>
          <w:kern w:val="2"/>
          <w:lang w:val="pt-BR"/>
        </w:rPr>
        <w:t>，</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lang w:val="pt-BR"/>
        </w:rPr>
        <w:t xml:space="preserve">      </w:t>
      </w:r>
      <w:r>
        <w:rPr>
          <w:kern w:val="2"/>
          <w:position w:val="-12"/>
          <w:lang w:val="pt-BR"/>
        </w:rPr>
        <w:object w:dxaOrig="320" w:dyaOrig="370">
          <v:shape id="_x0000_i1028" type="#_x0000_t75" style="width:16pt;height:18.5pt" o:ole="">
            <v:imagedata r:id="rId52" o:title=""/>
          </v:shape>
          <o:OLEObject Type="Embed" ProgID="Equation.3" ShapeID="_x0000_i1028" DrawAspect="Content" ObjectID="_1809794801" r:id="rId53"/>
        </w:object>
      </w:r>
      <w:r>
        <w:rPr>
          <w:rFonts w:cs="Times New Roman"/>
          <w:szCs w:val="20"/>
        </w:rPr>
        <w:t>——</w:t>
      </w:r>
      <w:r>
        <w:rPr>
          <w:kern w:val="2"/>
        </w:rPr>
        <w:t>由点声源产生的声功率级</w:t>
      </w:r>
      <w:r>
        <w:rPr>
          <w:rFonts w:hint="eastAsia"/>
          <w:kern w:val="2"/>
        </w:rPr>
        <w:t>（</w:t>
      </w:r>
      <w:r>
        <w:rPr>
          <w:kern w:val="2"/>
        </w:rPr>
        <w:t>A</w:t>
      </w:r>
      <w:r>
        <w:rPr>
          <w:kern w:val="2"/>
        </w:rPr>
        <w:t>计权或倍频带</w:t>
      </w:r>
      <w:r>
        <w:rPr>
          <w:rFonts w:hint="eastAsia"/>
          <w:kern w:val="2"/>
        </w:rPr>
        <w:t>）</w:t>
      </w:r>
      <w:r>
        <w:rPr>
          <w:kern w:val="2"/>
          <w:lang w:val="pt-BR"/>
        </w:rPr>
        <w:t>，</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lang w:val="pt-BR"/>
        </w:rPr>
      </w:pPr>
      <w:r>
        <w:rPr>
          <w:kern w:val="2"/>
          <w:position w:val="-12"/>
          <w:lang w:val="pt-BR"/>
        </w:rPr>
        <w:object w:dxaOrig="320" w:dyaOrig="370">
          <v:shape id="_x0000_i1029" type="#_x0000_t75" style="width:16pt;height:18.5pt" o:ole="">
            <v:imagedata r:id="rId54" o:title=""/>
          </v:shape>
          <o:OLEObject Type="Embed" ProgID="Equation.3" ShapeID="_x0000_i1029" DrawAspect="Content" ObjectID="_1809794802" r:id="rId55"/>
        </w:object>
      </w:r>
      <w:r>
        <w:rPr>
          <w:rFonts w:cs="Times New Roman"/>
          <w:szCs w:val="20"/>
        </w:rPr>
        <w:t>——</w:t>
      </w:r>
      <w:r>
        <w:rPr>
          <w:kern w:val="2"/>
          <w:lang w:val="pt-BR"/>
        </w:rPr>
        <w:t>指向性校正，它描述点声源的等效连续声压级与产生声功率级</w:t>
      </w:r>
      <w:r>
        <w:rPr>
          <w:i/>
          <w:iCs/>
          <w:kern w:val="2"/>
          <w:lang w:val="pt-BR"/>
        </w:rPr>
        <w:t>L</w:t>
      </w:r>
      <w:r>
        <w:rPr>
          <w:i/>
          <w:iCs/>
          <w:kern w:val="2"/>
          <w:vertAlign w:val="subscript"/>
        </w:rPr>
        <w:t>w</w:t>
      </w:r>
      <w:r>
        <w:rPr>
          <w:kern w:val="2"/>
          <w:lang w:val="pt-BR"/>
        </w:rPr>
        <w:t>的全向点声源在规定方向的声级的偏差程度，</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lang w:val="pt-BR"/>
        </w:rPr>
        <w:t xml:space="preserve">      </w:t>
      </w:r>
      <w:r>
        <w:rPr>
          <w:kern w:val="2"/>
          <w:position w:val="-12"/>
          <w:lang w:val="pt-BR"/>
        </w:rPr>
        <w:object w:dxaOrig="440" w:dyaOrig="370">
          <v:shape id="_x0000_i1030" type="#_x0000_t75" style="width:22pt;height:18.5pt" o:ole="">
            <v:imagedata r:id="rId56" o:title=""/>
          </v:shape>
          <o:OLEObject Type="Embed" ProgID="Equation.3" ShapeID="_x0000_i1030" DrawAspect="Content" ObjectID="_1809794803" r:id="rId57"/>
        </w:object>
      </w:r>
      <w:r>
        <w:rPr>
          <w:rFonts w:cs="Times New Roman"/>
          <w:szCs w:val="20"/>
        </w:rPr>
        <w:t>——</w:t>
      </w:r>
      <w:r>
        <w:rPr>
          <w:kern w:val="2"/>
        </w:rPr>
        <w:t>几何发散引起的衰减，</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rPr>
        <w:t xml:space="preserve">      </w:t>
      </w:r>
      <w:r>
        <w:rPr>
          <w:kern w:val="2"/>
          <w:position w:val="-12"/>
          <w:lang w:val="pt-BR"/>
        </w:rPr>
        <w:object w:dxaOrig="440" w:dyaOrig="370">
          <v:shape id="_x0000_i1031" type="#_x0000_t75" style="width:22pt;height:18.5pt" o:ole="">
            <v:imagedata r:id="rId58" o:title=""/>
          </v:shape>
          <o:OLEObject Type="Embed" ProgID="Equation.3" ShapeID="_x0000_i1031" DrawAspect="Content" ObjectID="_1809794804" r:id="rId59"/>
        </w:object>
      </w:r>
      <w:r>
        <w:rPr>
          <w:rFonts w:cs="Times New Roman"/>
          <w:szCs w:val="20"/>
        </w:rPr>
        <w:t>——</w:t>
      </w:r>
      <w:r>
        <w:rPr>
          <w:kern w:val="2"/>
        </w:rPr>
        <w:t>大气吸收引起的衰减，</w:t>
      </w:r>
      <w:r>
        <w:rPr>
          <w:kern w:val="2"/>
          <w:lang w:val="pt-BR"/>
        </w:rPr>
        <w:t>dB</w:t>
      </w:r>
      <w:r>
        <w:rPr>
          <w:kern w:val="2"/>
          <w:lang w:val="pt-BR"/>
        </w:rPr>
        <w:t>；</w:t>
      </w:r>
    </w:p>
    <w:p w:rsidR="00C645C9" w:rsidRDefault="00F955D9">
      <w:pPr>
        <w:widowControl w:val="0"/>
        <w:adjustRightInd w:val="0"/>
        <w:snapToGrid w:val="0"/>
        <w:spacing w:line="360" w:lineRule="auto"/>
        <w:ind w:firstLine="200"/>
        <w:jc w:val="both"/>
        <w:rPr>
          <w:kern w:val="2"/>
        </w:rPr>
      </w:pPr>
      <w:r>
        <w:rPr>
          <w:kern w:val="2"/>
        </w:rPr>
        <w:t xml:space="preserve">      </w:t>
      </w:r>
      <w:r>
        <w:rPr>
          <w:rFonts w:hint="eastAsia"/>
          <w:kern w:val="2"/>
        </w:rPr>
        <w:t xml:space="preserve">  </w:t>
      </w:r>
      <w:r>
        <w:rPr>
          <w:kern w:val="2"/>
          <w:position w:val="-14"/>
          <w:lang w:val="pt-BR"/>
        </w:rPr>
        <w:object w:dxaOrig="370" w:dyaOrig="400">
          <v:shape id="_x0000_i1032" type="#_x0000_t75" style="width:18.5pt;height:20pt" o:ole="">
            <v:imagedata r:id="rId60" o:title=""/>
          </v:shape>
          <o:OLEObject Type="Embed" ProgID="Equation.3" ShapeID="_x0000_i1032" DrawAspect="Content" ObjectID="_1809794805" r:id="rId61"/>
        </w:object>
      </w:r>
      <w:r>
        <w:rPr>
          <w:rFonts w:cs="Times New Roman"/>
          <w:szCs w:val="20"/>
        </w:rPr>
        <w:t>——</w:t>
      </w:r>
      <w:r>
        <w:rPr>
          <w:kern w:val="2"/>
        </w:rPr>
        <w:t>地面效应引起的衰减，</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lang w:val="pt-BR"/>
        </w:rPr>
      </w:pPr>
      <w:r>
        <w:rPr>
          <w:kern w:val="2"/>
          <w:position w:val="-12"/>
          <w:lang w:val="pt-BR"/>
        </w:rPr>
        <w:object w:dxaOrig="440" w:dyaOrig="370">
          <v:shape id="_x0000_i1033" type="#_x0000_t75" style="width:22pt;height:18.5pt" o:ole="">
            <v:imagedata r:id="rId62" o:title=""/>
          </v:shape>
          <o:OLEObject Type="Embed" ProgID="Equation.3" ShapeID="_x0000_i1033" DrawAspect="Content" ObjectID="_1809794806" r:id="rId63"/>
        </w:object>
      </w:r>
      <w:r>
        <w:rPr>
          <w:rFonts w:cs="Times New Roman"/>
          <w:szCs w:val="20"/>
        </w:rPr>
        <w:t>——</w:t>
      </w:r>
      <w:r>
        <w:rPr>
          <w:kern w:val="2"/>
        </w:rPr>
        <w:t>障碍物屏蔽引起的衰减，</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rPr>
      </w:pPr>
      <w:r>
        <w:rPr>
          <w:kern w:val="2"/>
          <w:position w:val="-12"/>
          <w:lang w:val="pt-BR"/>
        </w:rPr>
        <w:object w:dxaOrig="500" w:dyaOrig="350">
          <v:shape id="_x0000_i1034" type="#_x0000_t75" style="width:25pt;height:17.5pt" o:ole="">
            <v:imagedata r:id="rId64" o:title=""/>
          </v:shape>
          <o:OLEObject Type="Embed" ProgID="Equation.3" ShapeID="_x0000_i1034" DrawAspect="Content" ObjectID="_1809794807" r:id="rId65"/>
        </w:object>
      </w:r>
      <w:r>
        <w:rPr>
          <w:rFonts w:cs="Times New Roman"/>
          <w:szCs w:val="20"/>
        </w:rPr>
        <w:t>——</w:t>
      </w:r>
      <w:r>
        <w:rPr>
          <w:kern w:val="2"/>
        </w:rPr>
        <w:t>其他多方面效应引起的衰减，</w:t>
      </w:r>
      <w:r>
        <w:rPr>
          <w:kern w:val="2"/>
          <w:lang w:val="pt-BR"/>
        </w:rPr>
        <w:t>dB</w:t>
      </w:r>
      <w:r>
        <w:rPr>
          <w:kern w:val="2"/>
        </w:rPr>
        <w:t>。</w:t>
      </w:r>
    </w:p>
    <w:p w:rsidR="00C645C9" w:rsidRDefault="00F955D9">
      <w:pPr>
        <w:widowControl w:val="0"/>
        <w:adjustRightInd w:val="0"/>
        <w:snapToGrid w:val="0"/>
        <w:spacing w:line="360" w:lineRule="auto"/>
        <w:ind w:firstLine="200"/>
        <w:jc w:val="center"/>
        <w:rPr>
          <w:kern w:val="2"/>
        </w:rPr>
      </w:pPr>
      <w:r>
        <w:rPr>
          <w:kern w:val="2"/>
          <w:position w:val="-14"/>
          <w:lang w:val="pt-BR"/>
        </w:rPr>
        <w:object w:dxaOrig="4960" w:dyaOrig="370">
          <v:shape id="_x0000_i1035" type="#_x0000_t75" style="width:248pt;height:18.5pt" o:ole="">
            <v:imagedata r:id="rId66" o:title=""/>
          </v:shape>
          <o:OLEObject Type="Embed" ProgID="Equation.3" ShapeID="_x0000_i1035" DrawAspect="Content" ObjectID="_1809794808" r:id="rId67"/>
        </w:object>
      </w:r>
    </w:p>
    <w:p w:rsidR="00C645C9" w:rsidRDefault="00F955D9">
      <w:pPr>
        <w:widowControl w:val="0"/>
        <w:adjustRightInd w:val="0"/>
        <w:snapToGrid w:val="0"/>
        <w:spacing w:line="360" w:lineRule="auto"/>
        <w:ind w:firstLineChars="200" w:firstLine="480"/>
        <w:jc w:val="both"/>
        <w:rPr>
          <w:kern w:val="2"/>
          <w:lang w:val="pt-BR"/>
        </w:rPr>
      </w:pPr>
      <w:r>
        <w:rPr>
          <w:kern w:val="2"/>
        </w:rPr>
        <w:t>式中</w:t>
      </w:r>
      <w:r>
        <w:rPr>
          <w:kern w:val="2"/>
          <w:lang w:val="pt-BR"/>
        </w:rPr>
        <w:t>：</w:t>
      </w:r>
      <w:r>
        <w:rPr>
          <w:kern w:val="2"/>
          <w:position w:val="-14"/>
          <w:lang w:val="pt-BR"/>
        </w:rPr>
        <w:object w:dxaOrig="640" w:dyaOrig="370">
          <v:shape id="_x0000_i1036" type="#_x0000_t75" style="width:32pt;height:18.5pt" o:ole="">
            <v:imagedata r:id="rId50" o:title=""/>
          </v:shape>
          <o:OLEObject Type="Embed" ProgID="Equation.3" ShapeID="_x0000_i1036" DrawAspect="Content" ObjectID="_1809794809" r:id="rId68"/>
        </w:object>
      </w:r>
      <w:r>
        <w:rPr>
          <w:rFonts w:cs="Times New Roman"/>
          <w:szCs w:val="20"/>
        </w:rPr>
        <w:t>——</w:t>
      </w:r>
      <w:r>
        <w:rPr>
          <w:kern w:val="2"/>
        </w:rPr>
        <w:t>预测点处声压级</w:t>
      </w:r>
      <w:r>
        <w:rPr>
          <w:kern w:val="2"/>
          <w:lang w:val="pt-BR"/>
        </w:rPr>
        <w:t>，</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lang w:val="pt-BR"/>
        </w:rPr>
        <w:t xml:space="preserve">      </w:t>
      </w:r>
      <w:r>
        <w:rPr>
          <w:kern w:val="2"/>
          <w:position w:val="-14"/>
          <w:lang w:val="pt-BR"/>
        </w:rPr>
        <w:object w:dxaOrig="640" w:dyaOrig="370">
          <v:shape id="_x0000_i1037" type="#_x0000_t75" style="width:32pt;height:18.5pt" o:ole="">
            <v:imagedata r:id="rId69" o:title=""/>
          </v:shape>
          <o:OLEObject Type="Embed" ProgID="Equation.3" ShapeID="_x0000_i1037" DrawAspect="Content" ObjectID="_1809794810" r:id="rId70"/>
        </w:object>
      </w:r>
      <w:r>
        <w:rPr>
          <w:rFonts w:cs="Times New Roman"/>
          <w:szCs w:val="20"/>
        </w:rPr>
        <w:t>——</w:t>
      </w:r>
      <w:r>
        <w:rPr>
          <w:kern w:val="2"/>
        </w:rPr>
        <w:t>参考位置</w:t>
      </w:r>
      <w:r>
        <w:rPr>
          <w:kern w:val="2"/>
        </w:rPr>
        <w:t>r</w:t>
      </w:r>
      <w:r>
        <w:rPr>
          <w:kern w:val="2"/>
          <w:vertAlign w:val="subscript"/>
        </w:rPr>
        <w:t>0</w:t>
      </w:r>
      <w:r>
        <w:rPr>
          <w:kern w:val="2"/>
        </w:rPr>
        <w:t>处的声压级，</w:t>
      </w:r>
      <w:r>
        <w:rPr>
          <w:kern w:val="2"/>
          <w:lang w:val="pt-BR"/>
        </w:rPr>
        <w:t>dB</w:t>
      </w:r>
      <w:r>
        <w:rPr>
          <w:kern w:val="2"/>
          <w:lang w:val="pt-BR"/>
        </w:rPr>
        <w:t>；</w:t>
      </w:r>
    </w:p>
    <w:p w:rsidR="00C645C9" w:rsidRDefault="00F955D9">
      <w:pPr>
        <w:widowControl w:val="0"/>
        <w:adjustRightInd w:val="0"/>
        <w:snapToGrid w:val="0"/>
        <w:spacing w:line="360" w:lineRule="auto"/>
        <w:ind w:firstLineChars="550" w:firstLine="1320"/>
        <w:jc w:val="both"/>
        <w:rPr>
          <w:kern w:val="2"/>
          <w:lang w:val="pt-BR"/>
        </w:rPr>
      </w:pPr>
      <w:r>
        <w:rPr>
          <w:kern w:val="2"/>
          <w:position w:val="-12"/>
          <w:lang w:val="pt-BR"/>
        </w:rPr>
        <w:object w:dxaOrig="320" w:dyaOrig="370">
          <v:shape id="_x0000_i1038" type="#_x0000_t75" style="width:16pt;height:18.5pt" o:ole="">
            <v:imagedata r:id="rId54" o:title=""/>
          </v:shape>
          <o:OLEObject Type="Embed" ProgID="Equation.3" ShapeID="_x0000_i1038" DrawAspect="Content" ObjectID="_1809794811" r:id="rId71"/>
        </w:object>
      </w:r>
      <w:r>
        <w:rPr>
          <w:rFonts w:cs="Times New Roman"/>
          <w:szCs w:val="20"/>
        </w:rPr>
        <w:t>——</w:t>
      </w:r>
      <w:r>
        <w:rPr>
          <w:kern w:val="2"/>
          <w:lang w:val="pt-BR"/>
        </w:rPr>
        <w:t>指向性校正，它描述点声源的等效连续声压级与产生声功率级</w:t>
      </w:r>
      <w:r>
        <w:rPr>
          <w:kern w:val="2"/>
          <w:lang w:val="pt-BR"/>
        </w:rPr>
        <w:t>L</w:t>
      </w:r>
      <w:r>
        <w:rPr>
          <w:kern w:val="2"/>
          <w:vertAlign w:val="subscript"/>
        </w:rPr>
        <w:t>w</w:t>
      </w:r>
      <w:r>
        <w:rPr>
          <w:kern w:val="2"/>
          <w:lang w:val="pt-BR"/>
        </w:rPr>
        <w:t>的全向点声源在规定方向的声级的偏差程度，</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lang w:val="pt-BR"/>
        </w:rPr>
        <w:t xml:space="preserve">      </w:t>
      </w:r>
      <w:r>
        <w:rPr>
          <w:kern w:val="2"/>
          <w:position w:val="-12"/>
          <w:lang w:val="pt-BR"/>
        </w:rPr>
        <w:object w:dxaOrig="440" w:dyaOrig="370">
          <v:shape id="_x0000_i1039" type="#_x0000_t75" style="width:22pt;height:18.5pt" o:ole="">
            <v:imagedata r:id="rId56" o:title=""/>
          </v:shape>
          <o:OLEObject Type="Embed" ProgID="Equation.3" ShapeID="_x0000_i1039" DrawAspect="Content" ObjectID="_1809794812" r:id="rId72"/>
        </w:object>
      </w:r>
      <w:bookmarkStart w:id="1619" w:name="OLE_LINK1494"/>
      <w:r>
        <w:rPr>
          <w:rFonts w:cs="Times New Roman"/>
          <w:szCs w:val="20"/>
        </w:rPr>
        <w:t>——</w:t>
      </w:r>
      <w:bookmarkEnd w:id="1619"/>
      <w:r>
        <w:rPr>
          <w:kern w:val="2"/>
        </w:rPr>
        <w:t>几何发散引起的衰减，</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rPr>
        <w:t xml:space="preserve">      </w:t>
      </w:r>
      <w:r>
        <w:rPr>
          <w:kern w:val="2"/>
          <w:position w:val="-12"/>
          <w:lang w:val="pt-BR"/>
        </w:rPr>
        <w:object w:dxaOrig="440" w:dyaOrig="370">
          <v:shape id="_x0000_i1040" type="#_x0000_t75" style="width:22pt;height:18.5pt" o:ole="">
            <v:imagedata r:id="rId58" o:title=""/>
          </v:shape>
          <o:OLEObject Type="Embed" ProgID="Equation.3" ShapeID="_x0000_i1040" DrawAspect="Content" ObjectID="_1809794813" r:id="rId73"/>
        </w:object>
      </w:r>
      <w:r>
        <w:rPr>
          <w:rFonts w:cs="Times New Roman"/>
          <w:szCs w:val="20"/>
        </w:rPr>
        <w:t>——</w:t>
      </w:r>
      <w:r>
        <w:rPr>
          <w:kern w:val="2"/>
        </w:rPr>
        <w:t>大气吸收引起的衰减，</w:t>
      </w:r>
      <w:r>
        <w:rPr>
          <w:kern w:val="2"/>
          <w:lang w:val="pt-BR"/>
        </w:rPr>
        <w:t>dB</w:t>
      </w:r>
      <w:r>
        <w:rPr>
          <w:kern w:val="2"/>
          <w:lang w:val="pt-BR"/>
        </w:rPr>
        <w:t>；</w:t>
      </w:r>
    </w:p>
    <w:p w:rsidR="00C645C9" w:rsidRDefault="00F955D9">
      <w:pPr>
        <w:widowControl w:val="0"/>
        <w:adjustRightInd w:val="0"/>
        <w:snapToGrid w:val="0"/>
        <w:spacing w:line="360" w:lineRule="auto"/>
        <w:ind w:firstLine="200"/>
        <w:jc w:val="both"/>
        <w:rPr>
          <w:kern w:val="2"/>
        </w:rPr>
      </w:pPr>
      <w:r>
        <w:rPr>
          <w:kern w:val="2"/>
        </w:rPr>
        <w:t xml:space="preserve">      </w:t>
      </w:r>
      <w:r>
        <w:rPr>
          <w:rFonts w:hint="eastAsia"/>
          <w:kern w:val="2"/>
        </w:rPr>
        <w:t xml:space="preserve">  </w:t>
      </w:r>
      <w:r>
        <w:rPr>
          <w:kern w:val="2"/>
          <w:position w:val="-14"/>
          <w:lang w:val="pt-BR"/>
        </w:rPr>
        <w:object w:dxaOrig="370" w:dyaOrig="400">
          <v:shape id="_x0000_i1041" type="#_x0000_t75" style="width:18.5pt;height:20pt" o:ole="">
            <v:imagedata r:id="rId60" o:title=""/>
          </v:shape>
          <o:OLEObject Type="Embed" ProgID="Equation.3" ShapeID="_x0000_i1041" DrawAspect="Content" ObjectID="_1809794814" r:id="rId74"/>
        </w:object>
      </w:r>
      <w:r>
        <w:rPr>
          <w:rFonts w:cs="Times New Roman"/>
          <w:szCs w:val="20"/>
        </w:rPr>
        <w:t>——</w:t>
      </w:r>
      <w:r>
        <w:rPr>
          <w:kern w:val="2"/>
        </w:rPr>
        <w:t>地面效应引起的衰减，</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lang w:val="pt-BR"/>
        </w:rPr>
      </w:pPr>
      <w:r>
        <w:rPr>
          <w:kern w:val="2"/>
          <w:position w:val="-12"/>
          <w:lang w:val="pt-BR"/>
        </w:rPr>
        <w:object w:dxaOrig="440" w:dyaOrig="370">
          <v:shape id="_x0000_i1042" type="#_x0000_t75" style="width:22pt;height:18.5pt" o:ole="">
            <v:imagedata r:id="rId62" o:title=""/>
          </v:shape>
          <o:OLEObject Type="Embed" ProgID="Equation.3" ShapeID="_x0000_i1042" DrawAspect="Content" ObjectID="_1809794815" r:id="rId75"/>
        </w:object>
      </w:r>
      <w:r>
        <w:rPr>
          <w:rFonts w:cs="Times New Roman"/>
          <w:szCs w:val="20"/>
        </w:rPr>
        <w:t>——</w:t>
      </w:r>
      <w:r>
        <w:rPr>
          <w:kern w:val="2"/>
        </w:rPr>
        <w:t>障碍物屏蔽引起的衰减，</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rPr>
      </w:pPr>
      <w:r>
        <w:rPr>
          <w:kern w:val="2"/>
          <w:position w:val="-12"/>
          <w:lang w:val="pt-BR"/>
        </w:rPr>
        <w:object w:dxaOrig="500" w:dyaOrig="350">
          <v:shape id="_x0000_i1043" type="#_x0000_t75" style="width:25pt;height:17.5pt" o:ole="">
            <v:imagedata r:id="rId64" o:title=""/>
          </v:shape>
          <o:OLEObject Type="Embed" ProgID="Equation.3" ShapeID="_x0000_i1043" DrawAspect="Content" ObjectID="_1809794816" r:id="rId76"/>
        </w:object>
      </w:r>
      <w:r>
        <w:rPr>
          <w:rFonts w:cs="Times New Roman"/>
          <w:szCs w:val="20"/>
        </w:rPr>
        <w:t>——</w:t>
      </w:r>
      <w:r>
        <w:rPr>
          <w:kern w:val="2"/>
        </w:rPr>
        <w:t>其他多方面效应引起的衰减，</w:t>
      </w:r>
      <w:r>
        <w:rPr>
          <w:kern w:val="2"/>
          <w:lang w:val="pt-BR"/>
        </w:rPr>
        <w:t>dB</w:t>
      </w:r>
      <w:r>
        <w:rPr>
          <w:kern w:val="2"/>
        </w:rPr>
        <w:t>。</w:t>
      </w:r>
    </w:p>
    <w:p w:rsidR="00C645C9" w:rsidRDefault="00F955D9">
      <w:pPr>
        <w:widowControl w:val="0"/>
        <w:adjustRightInd w:val="0"/>
        <w:snapToGrid w:val="0"/>
        <w:spacing w:line="360" w:lineRule="auto"/>
        <w:ind w:firstLineChars="200" w:firstLine="480"/>
        <w:jc w:val="both"/>
        <w:rPr>
          <w:kern w:val="2"/>
        </w:rPr>
      </w:pPr>
      <w:r>
        <w:rPr>
          <w:kern w:val="2"/>
        </w:rPr>
        <w:t>b</w:t>
      </w:r>
      <w:r>
        <w:rPr>
          <w:rFonts w:hint="eastAsia"/>
          <w:kern w:val="2"/>
        </w:rPr>
        <w:t>）</w:t>
      </w:r>
      <w:r>
        <w:rPr>
          <w:kern w:val="2"/>
        </w:rPr>
        <w:t>预测点的</w:t>
      </w:r>
      <w:r>
        <w:rPr>
          <w:kern w:val="2"/>
        </w:rPr>
        <w:t>A</w:t>
      </w:r>
      <w:r>
        <w:rPr>
          <w:kern w:val="2"/>
        </w:rPr>
        <w:t>声级</w:t>
      </w:r>
      <w:r>
        <w:rPr>
          <w:i/>
          <w:iCs/>
          <w:kern w:val="2"/>
        </w:rPr>
        <w:t>L</w:t>
      </w:r>
      <w:r>
        <w:rPr>
          <w:i/>
          <w:iCs/>
          <w:kern w:val="2"/>
          <w:vertAlign w:val="subscript"/>
        </w:rPr>
        <w:t>A</w:t>
      </w:r>
      <w:r>
        <w:rPr>
          <w:rFonts w:hint="eastAsia"/>
          <w:i/>
          <w:iCs/>
          <w:kern w:val="2"/>
          <w:vertAlign w:val="subscript"/>
        </w:rPr>
        <w:t>（</w:t>
      </w:r>
      <w:r>
        <w:rPr>
          <w:i/>
          <w:iCs/>
          <w:kern w:val="2"/>
        </w:rPr>
        <w:t>r</w:t>
      </w:r>
      <w:r>
        <w:rPr>
          <w:rFonts w:hint="eastAsia"/>
          <w:i/>
          <w:iCs/>
          <w:kern w:val="2"/>
        </w:rPr>
        <w:t>）</w:t>
      </w:r>
      <w:r>
        <w:rPr>
          <w:kern w:val="2"/>
        </w:rPr>
        <w:t>可按下式计算：</w:t>
      </w:r>
    </w:p>
    <w:p w:rsidR="00C645C9" w:rsidRDefault="00F955D9">
      <w:pPr>
        <w:widowControl w:val="0"/>
        <w:adjustRightInd w:val="0"/>
        <w:snapToGrid w:val="0"/>
        <w:spacing w:line="360" w:lineRule="auto"/>
        <w:ind w:firstLineChars="200" w:firstLine="480"/>
        <w:jc w:val="center"/>
        <w:rPr>
          <w:kern w:val="2"/>
        </w:rPr>
      </w:pPr>
      <w:r>
        <w:rPr>
          <w:kern w:val="2"/>
          <w:position w:val="-30"/>
        </w:rPr>
        <w:object w:dxaOrig="3010" w:dyaOrig="740">
          <v:shape id="_x0000_i1044" type="#_x0000_t75" style="width:150.5pt;height:37pt" o:ole="">
            <v:imagedata r:id="rId77" o:title=""/>
          </v:shape>
          <o:OLEObject Type="Embed" ProgID="Equation.3" ShapeID="_x0000_i1044" DrawAspect="Content" ObjectID="_1809794817" r:id="rId78"/>
        </w:object>
      </w:r>
    </w:p>
    <w:p w:rsidR="00C645C9" w:rsidRDefault="00F955D9">
      <w:pPr>
        <w:widowControl w:val="0"/>
        <w:adjustRightInd w:val="0"/>
        <w:snapToGrid w:val="0"/>
        <w:spacing w:line="360" w:lineRule="auto"/>
        <w:ind w:firstLineChars="200" w:firstLine="480"/>
        <w:jc w:val="both"/>
        <w:rPr>
          <w:kern w:val="2"/>
          <w:lang w:val="pt-BR"/>
        </w:rPr>
      </w:pPr>
      <w:r>
        <w:rPr>
          <w:kern w:val="2"/>
        </w:rPr>
        <w:t>式中</w:t>
      </w:r>
      <w:r>
        <w:rPr>
          <w:kern w:val="2"/>
          <w:lang w:val="pt-BR"/>
        </w:rPr>
        <w:t>：</w:t>
      </w:r>
      <w:r>
        <w:rPr>
          <w:kern w:val="2"/>
          <w:position w:val="-10"/>
          <w:lang w:val="pt-BR"/>
        </w:rPr>
        <w:object w:dxaOrig="640" w:dyaOrig="350">
          <v:shape id="_x0000_i1045" type="#_x0000_t75" style="width:32pt;height:17.5pt" o:ole="">
            <v:imagedata r:id="rId79" o:title=""/>
          </v:shape>
          <o:OLEObject Type="Embed" ProgID="Equation.3" ShapeID="_x0000_i1045" DrawAspect="Content" ObjectID="_1809794818" r:id="rId80"/>
        </w:object>
      </w:r>
      <w:r>
        <w:rPr>
          <w:rFonts w:cs="Times New Roman"/>
          <w:szCs w:val="20"/>
        </w:rPr>
        <w:t>——</w:t>
      </w:r>
      <w:r>
        <w:rPr>
          <w:kern w:val="2"/>
        </w:rPr>
        <w:t>距声源</w:t>
      </w:r>
      <w:r>
        <w:rPr>
          <w:i/>
          <w:iCs/>
          <w:kern w:val="2"/>
        </w:rPr>
        <w:t>r</w:t>
      </w:r>
      <w:r>
        <w:rPr>
          <w:kern w:val="2"/>
        </w:rPr>
        <w:t>处的</w:t>
      </w:r>
      <w:r>
        <w:rPr>
          <w:kern w:val="2"/>
        </w:rPr>
        <w:t>A</w:t>
      </w:r>
      <w:r>
        <w:rPr>
          <w:kern w:val="2"/>
        </w:rPr>
        <w:t>声级</w:t>
      </w:r>
      <w:r>
        <w:rPr>
          <w:kern w:val="2"/>
          <w:lang w:val="pt-BR"/>
        </w:rPr>
        <w:t>，</w:t>
      </w:r>
      <w:r>
        <w:rPr>
          <w:kern w:val="2"/>
          <w:lang w:val="pt-BR"/>
        </w:rPr>
        <w:t>dB</w:t>
      </w:r>
      <w:r>
        <w:rPr>
          <w:rFonts w:hint="eastAsia"/>
          <w:kern w:val="2"/>
        </w:rPr>
        <w:t>（</w:t>
      </w:r>
      <w:r>
        <w:rPr>
          <w:kern w:val="2"/>
        </w:rPr>
        <w:t>A</w:t>
      </w:r>
      <w:r>
        <w:rPr>
          <w:rFonts w:hint="eastAsia"/>
          <w:kern w:val="2"/>
        </w:rPr>
        <w:t>）</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lang w:val="pt-BR"/>
        </w:rPr>
        <w:t xml:space="preserve">      </w:t>
      </w:r>
      <w:r>
        <w:rPr>
          <w:kern w:val="2"/>
          <w:position w:val="-14"/>
          <w:lang w:val="pt-BR"/>
        </w:rPr>
        <w:object w:dxaOrig="590" w:dyaOrig="370">
          <v:shape id="_x0000_i1046" type="#_x0000_t75" style="width:29.5pt;height:18.5pt" o:ole="">
            <v:imagedata r:id="rId81" o:title=""/>
          </v:shape>
          <o:OLEObject Type="Embed" ProgID="Equation.3" ShapeID="_x0000_i1046" DrawAspect="Content" ObjectID="_1809794819" r:id="rId82"/>
        </w:object>
      </w:r>
      <w:r>
        <w:rPr>
          <w:rFonts w:cs="Times New Roman"/>
          <w:szCs w:val="20"/>
        </w:rPr>
        <w:t>——</w:t>
      </w:r>
      <w:r>
        <w:rPr>
          <w:kern w:val="2"/>
        </w:rPr>
        <w:t>预测点</w:t>
      </w:r>
      <w:r>
        <w:rPr>
          <w:rFonts w:hint="eastAsia"/>
          <w:kern w:val="2"/>
        </w:rPr>
        <w:t>（</w:t>
      </w:r>
      <w:r>
        <w:rPr>
          <w:i/>
          <w:iCs/>
          <w:kern w:val="2"/>
        </w:rPr>
        <w:t>r</w:t>
      </w:r>
      <w:r>
        <w:rPr>
          <w:rFonts w:hint="eastAsia"/>
          <w:i/>
          <w:iCs/>
          <w:kern w:val="2"/>
        </w:rPr>
        <w:t>）</w:t>
      </w:r>
      <w:r>
        <w:rPr>
          <w:kern w:val="2"/>
        </w:rPr>
        <w:t>处，第</w:t>
      </w:r>
      <w:r>
        <w:rPr>
          <w:i/>
          <w:iCs/>
          <w:kern w:val="2"/>
        </w:rPr>
        <w:t>i</w:t>
      </w:r>
      <w:r>
        <w:rPr>
          <w:kern w:val="2"/>
        </w:rPr>
        <w:t>倍频带声压级，</w:t>
      </w:r>
      <w:r>
        <w:rPr>
          <w:kern w:val="2"/>
          <w:lang w:val="pt-BR"/>
        </w:rPr>
        <w:t>dB</w:t>
      </w:r>
      <w:r>
        <w:rPr>
          <w:kern w:val="2"/>
          <w:lang w:val="pt-BR"/>
        </w:rPr>
        <w:t>；</w:t>
      </w:r>
    </w:p>
    <w:p w:rsidR="00C645C9" w:rsidRDefault="00F955D9">
      <w:pPr>
        <w:widowControl w:val="0"/>
        <w:adjustRightInd w:val="0"/>
        <w:snapToGrid w:val="0"/>
        <w:spacing w:line="360" w:lineRule="auto"/>
        <w:ind w:firstLineChars="500" w:firstLine="1200"/>
        <w:jc w:val="both"/>
        <w:rPr>
          <w:kern w:val="2"/>
        </w:rPr>
      </w:pPr>
      <w:r>
        <w:rPr>
          <w:rFonts w:ascii="Cambria Math" w:hAnsi="Cambria Math" w:cs="Cambria Math"/>
          <w:kern w:val="2"/>
        </w:rPr>
        <w:t>△</w:t>
      </w:r>
      <w:r>
        <w:rPr>
          <w:i/>
          <w:iCs/>
          <w:kern w:val="2"/>
        </w:rPr>
        <w:t>L</w:t>
      </w:r>
      <w:r>
        <w:rPr>
          <w:i/>
          <w:iCs/>
          <w:kern w:val="2"/>
          <w:vertAlign w:val="subscript"/>
        </w:rPr>
        <w:t>i</w:t>
      </w:r>
      <w:r>
        <w:rPr>
          <w:rFonts w:cs="Times New Roman"/>
          <w:szCs w:val="20"/>
        </w:rPr>
        <w:t>——</w:t>
      </w:r>
      <w:r>
        <w:rPr>
          <w:kern w:val="2"/>
        </w:rPr>
        <w:t>第</w:t>
      </w:r>
      <w:r>
        <w:rPr>
          <w:i/>
          <w:iCs/>
          <w:kern w:val="2"/>
        </w:rPr>
        <w:t>i</w:t>
      </w:r>
      <w:r>
        <w:rPr>
          <w:kern w:val="2"/>
        </w:rPr>
        <w:t>倍频带的</w:t>
      </w:r>
      <w:r>
        <w:rPr>
          <w:kern w:val="2"/>
        </w:rPr>
        <w:t>A</w:t>
      </w:r>
      <w:r>
        <w:rPr>
          <w:kern w:val="2"/>
        </w:rPr>
        <w:t>计权网络修正值，</w:t>
      </w:r>
      <w:r>
        <w:rPr>
          <w:kern w:val="2"/>
        </w:rPr>
        <w:t>dB</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rPr>
        <w:t>c</w:t>
      </w:r>
      <w:r>
        <w:rPr>
          <w:rFonts w:hint="eastAsia"/>
          <w:kern w:val="2"/>
        </w:rPr>
        <w:t>）</w:t>
      </w:r>
      <w:r>
        <w:rPr>
          <w:kern w:val="2"/>
        </w:rPr>
        <w:t>在只考虑几何发散衰减时按下式计算：</w:t>
      </w:r>
    </w:p>
    <w:p w:rsidR="00C645C9" w:rsidRDefault="00F955D9">
      <w:pPr>
        <w:widowControl w:val="0"/>
        <w:adjustRightInd w:val="0"/>
        <w:snapToGrid w:val="0"/>
        <w:spacing w:line="360" w:lineRule="auto"/>
        <w:ind w:firstLineChars="200" w:firstLine="480"/>
        <w:jc w:val="center"/>
        <w:rPr>
          <w:kern w:val="2"/>
        </w:rPr>
      </w:pPr>
      <w:r>
        <w:rPr>
          <w:kern w:val="2"/>
          <w:position w:val="-12"/>
        </w:rPr>
        <w:object w:dxaOrig="1880" w:dyaOrig="370">
          <v:shape id="_x0000_i1047" type="#_x0000_t75" style="width:94pt;height:18.5pt" o:ole="">
            <v:imagedata r:id="rId83" o:title=""/>
          </v:shape>
          <o:OLEObject Type="Embed" ProgID="Equation.3" ShapeID="_x0000_i1047" DrawAspect="Content" ObjectID="_1809794820" r:id="rId84"/>
        </w:object>
      </w:r>
    </w:p>
    <w:p w:rsidR="00C645C9" w:rsidRDefault="00F955D9">
      <w:pPr>
        <w:widowControl w:val="0"/>
        <w:adjustRightInd w:val="0"/>
        <w:snapToGrid w:val="0"/>
        <w:spacing w:line="360" w:lineRule="auto"/>
        <w:ind w:firstLineChars="200" w:firstLine="480"/>
        <w:jc w:val="both"/>
        <w:rPr>
          <w:kern w:val="2"/>
          <w:lang w:val="pt-BR"/>
        </w:rPr>
      </w:pPr>
      <w:r>
        <w:rPr>
          <w:kern w:val="2"/>
        </w:rPr>
        <w:t>式中</w:t>
      </w:r>
      <w:r>
        <w:rPr>
          <w:kern w:val="2"/>
          <w:lang w:val="pt-BR"/>
        </w:rPr>
        <w:t>：</w:t>
      </w:r>
      <w:r>
        <w:rPr>
          <w:kern w:val="2"/>
          <w:position w:val="-10"/>
          <w:lang w:val="pt-BR"/>
        </w:rPr>
        <w:object w:dxaOrig="640" w:dyaOrig="350">
          <v:shape id="_x0000_i1048" type="#_x0000_t75" style="width:32pt;height:17.5pt" o:ole="">
            <v:imagedata r:id="rId79" o:title=""/>
          </v:shape>
          <o:OLEObject Type="Embed" ProgID="Equation.3" ShapeID="_x0000_i1048" DrawAspect="Content" ObjectID="_1809794821" r:id="rId85"/>
        </w:object>
      </w:r>
      <w:r>
        <w:rPr>
          <w:rFonts w:cs="Times New Roman"/>
          <w:szCs w:val="20"/>
        </w:rPr>
        <w:t>——</w:t>
      </w:r>
      <w:r>
        <w:rPr>
          <w:kern w:val="2"/>
        </w:rPr>
        <w:t>距声源</w:t>
      </w:r>
      <w:r>
        <w:rPr>
          <w:i/>
          <w:iCs/>
          <w:kern w:val="2"/>
        </w:rPr>
        <w:t>r</w:t>
      </w:r>
      <w:r>
        <w:rPr>
          <w:kern w:val="2"/>
        </w:rPr>
        <w:t>处的</w:t>
      </w:r>
      <w:r>
        <w:rPr>
          <w:kern w:val="2"/>
        </w:rPr>
        <w:t>A</w:t>
      </w:r>
      <w:r>
        <w:rPr>
          <w:kern w:val="2"/>
        </w:rPr>
        <w:t>声级</w:t>
      </w:r>
      <w:r>
        <w:rPr>
          <w:kern w:val="2"/>
          <w:lang w:val="pt-BR"/>
        </w:rPr>
        <w:t>，</w:t>
      </w:r>
      <w:r>
        <w:rPr>
          <w:kern w:val="2"/>
          <w:lang w:val="pt-BR"/>
        </w:rPr>
        <w:t>dB</w:t>
      </w:r>
      <w:r>
        <w:rPr>
          <w:rFonts w:hint="eastAsia"/>
          <w:kern w:val="2"/>
        </w:rPr>
        <w:t>（</w:t>
      </w:r>
      <w:r>
        <w:rPr>
          <w:kern w:val="2"/>
        </w:rPr>
        <w:t>A</w:t>
      </w:r>
      <w:r>
        <w:rPr>
          <w:rFonts w:hint="eastAsia"/>
          <w:kern w:val="2"/>
        </w:rPr>
        <w:t>）</w:t>
      </w:r>
      <w:r>
        <w:rPr>
          <w:kern w:val="2"/>
          <w:lang w:val="pt-BR"/>
        </w:rPr>
        <w:t>；</w:t>
      </w:r>
    </w:p>
    <w:p w:rsidR="00C645C9" w:rsidRDefault="00F955D9">
      <w:pPr>
        <w:widowControl w:val="0"/>
        <w:adjustRightInd w:val="0"/>
        <w:snapToGrid w:val="0"/>
        <w:spacing w:line="360" w:lineRule="auto"/>
        <w:ind w:firstLineChars="200" w:firstLine="480"/>
        <w:jc w:val="both"/>
        <w:rPr>
          <w:kern w:val="2"/>
          <w:lang w:val="pt-BR"/>
        </w:rPr>
      </w:pPr>
      <w:r>
        <w:rPr>
          <w:kern w:val="2"/>
          <w:lang w:val="pt-BR"/>
        </w:rPr>
        <w:t xml:space="preserve">      </w:t>
      </w:r>
      <w:r>
        <w:rPr>
          <w:kern w:val="2"/>
          <w:position w:val="-12"/>
          <w:lang w:val="pt-BR"/>
        </w:rPr>
        <w:object w:dxaOrig="640" w:dyaOrig="370">
          <v:shape id="_x0000_i1049" type="#_x0000_t75" style="width:32pt;height:18.5pt" o:ole="">
            <v:imagedata r:id="rId86" o:title=""/>
          </v:shape>
          <o:OLEObject Type="Embed" ProgID="Equation.3" ShapeID="_x0000_i1049" DrawAspect="Content" ObjectID="_1809794822" r:id="rId87"/>
        </w:object>
      </w:r>
      <w:r>
        <w:rPr>
          <w:rFonts w:cs="Times New Roman"/>
          <w:szCs w:val="20"/>
        </w:rPr>
        <w:t>——</w:t>
      </w:r>
      <w:r>
        <w:rPr>
          <w:kern w:val="2"/>
        </w:rPr>
        <w:t>参考位置</w:t>
      </w:r>
      <w:r>
        <w:rPr>
          <w:i/>
          <w:iCs/>
          <w:kern w:val="2"/>
        </w:rPr>
        <w:t>r</w:t>
      </w:r>
      <w:r>
        <w:rPr>
          <w:i/>
          <w:iCs/>
          <w:kern w:val="2"/>
          <w:vertAlign w:val="subscript"/>
        </w:rPr>
        <w:t>0</w:t>
      </w:r>
      <w:r>
        <w:rPr>
          <w:kern w:val="2"/>
        </w:rPr>
        <w:t>处的</w:t>
      </w:r>
      <w:r>
        <w:rPr>
          <w:kern w:val="2"/>
        </w:rPr>
        <w:t>A</w:t>
      </w:r>
      <w:r>
        <w:rPr>
          <w:kern w:val="2"/>
        </w:rPr>
        <w:t>声级，</w:t>
      </w:r>
      <w:r>
        <w:rPr>
          <w:kern w:val="2"/>
          <w:lang w:val="pt-BR"/>
        </w:rPr>
        <w:t>dB</w:t>
      </w:r>
      <w:r>
        <w:rPr>
          <w:rFonts w:hint="eastAsia"/>
          <w:kern w:val="2"/>
        </w:rPr>
        <w:t>（</w:t>
      </w:r>
      <w:r>
        <w:rPr>
          <w:kern w:val="2"/>
        </w:rPr>
        <w:t>A</w:t>
      </w:r>
      <w:r>
        <w:rPr>
          <w:rFonts w:hint="eastAsia"/>
          <w:kern w:val="2"/>
        </w:rPr>
        <w:t>）</w:t>
      </w:r>
      <w:r>
        <w:rPr>
          <w:kern w:val="2"/>
          <w:lang w:val="pt-BR"/>
        </w:rPr>
        <w:t>；</w:t>
      </w:r>
    </w:p>
    <w:p w:rsidR="00C645C9" w:rsidRDefault="00F955D9">
      <w:pPr>
        <w:widowControl w:val="0"/>
        <w:adjustRightInd w:val="0"/>
        <w:snapToGrid w:val="0"/>
        <w:spacing w:line="360" w:lineRule="auto"/>
        <w:ind w:firstLineChars="500" w:firstLine="1200"/>
        <w:jc w:val="both"/>
        <w:rPr>
          <w:kern w:val="2"/>
        </w:rPr>
      </w:pPr>
      <w:r>
        <w:rPr>
          <w:i/>
          <w:iCs/>
          <w:kern w:val="2"/>
        </w:rPr>
        <w:t>A</w:t>
      </w:r>
      <w:r>
        <w:rPr>
          <w:i/>
          <w:iCs/>
          <w:kern w:val="2"/>
          <w:vertAlign w:val="subscript"/>
        </w:rPr>
        <w:t>div</w:t>
      </w:r>
      <w:r>
        <w:rPr>
          <w:rFonts w:cs="Times New Roman"/>
          <w:szCs w:val="20"/>
        </w:rPr>
        <w:t>——</w:t>
      </w:r>
      <w:r>
        <w:rPr>
          <w:kern w:val="2"/>
        </w:rPr>
        <w:t>几何发散引起的衰减，</w:t>
      </w:r>
      <w:r>
        <w:rPr>
          <w:kern w:val="2"/>
        </w:rPr>
        <w:t>dB</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rPr>
        <w:t>d</w:t>
      </w:r>
      <w:r>
        <w:rPr>
          <w:rFonts w:hint="eastAsia"/>
          <w:kern w:val="2"/>
        </w:rPr>
        <w:t>）</w:t>
      </w:r>
      <w:r>
        <w:rPr>
          <w:kern w:val="2"/>
        </w:rPr>
        <w:t>工业企业噪声计算</w:t>
      </w:r>
    </w:p>
    <w:p w:rsidR="00C645C9" w:rsidRDefault="00F955D9">
      <w:pPr>
        <w:widowControl w:val="0"/>
        <w:adjustRightInd w:val="0"/>
        <w:snapToGrid w:val="0"/>
        <w:spacing w:line="360" w:lineRule="auto"/>
        <w:ind w:firstLineChars="200" w:firstLine="480"/>
        <w:jc w:val="both"/>
        <w:rPr>
          <w:kern w:val="2"/>
        </w:rPr>
      </w:pPr>
      <w:r>
        <w:rPr>
          <w:kern w:val="2"/>
        </w:rPr>
        <w:t>设第</w:t>
      </w:r>
      <w:r>
        <w:rPr>
          <w:i/>
          <w:iCs/>
          <w:kern w:val="2"/>
        </w:rPr>
        <w:t>i</w:t>
      </w:r>
      <w:r>
        <w:rPr>
          <w:kern w:val="2"/>
        </w:rPr>
        <w:t>个室外声源在预测点产生的</w:t>
      </w:r>
      <w:r>
        <w:rPr>
          <w:kern w:val="2"/>
        </w:rPr>
        <w:t>A</w:t>
      </w:r>
      <w:r>
        <w:rPr>
          <w:kern w:val="2"/>
        </w:rPr>
        <w:t>声级为</w:t>
      </w:r>
      <w:r>
        <w:rPr>
          <w:i/>
          <w:iCs/>
          <w:kern w:val="2"/>
        </w:rPr>
        <w:t>L</w:t>
      </w:r>
      <w:r>
        <w:rPr>
          <w:i/>
          <w:iCs/>
          <w:kern w:val="2"/>
          <w:vertAlign w:val="subscript"/>
        </w:rPr>
        <w:t>Ai</w:t>
      </w:r>
      <w:r>
        <w:rPr>
          <w:i/>
          <w:iCs/>
          <w:kern w:val="2"/>
        </w:rPr>
        <w:t>，</w:t>
      </w:r>
      <w:r>
        <w:rPr>
          <w:kern w:val="2"/>
        </w:rPr>
        <w:t>在</w:t>
      </w:r>
      <w:r>
        <w:rPr>
          <w:i/>
          <w:iCs/>
          <w:kern w:val="2"/>
        </w:rPr>
        <w:t>T</w:t>
      </w:r>
      <w:r>
        <w:rPr>
          <w:kern w:val="2"/>
        </w:rPr>
        <w:t>时间内该声源工作时间为</w:t>
      </w:r>
      <w:r>
        <w:rPr>
          <w:i/>
          <w:iCs/>
          <w:kern w:val="2"/>
        </w:rPr>
        <w:t>t</w:t>
      </w:r>
      <w:r>
        <w:rPr>
          <w:i/>
          <w:iCs/>
          <w:kern w:val="2"/>
          <w:vertAlign w:val="subscript"/>
        </w:rPr>
        <w:t>i</w:t>
      </w:r>
      <w:r>
        <w:rPr>
          <w:kern w:val="2"/>
        </w:rPr>
        <w:t>；第</w:t>
      </w:r>
      <w:r>
        <w:rPr>
          <w:i/>
          <w:iCs/>
          <w:kern w:val="2"/>
        </w:rPr>
        <w:t>j</w:t>
      </w:r>
      <w:r>
        <w:rPr>
          <w:kern w:val="2"/>
        </w:rPr>
        <w:t>个等效室外声源在预测点产生的</w:t>
      </w:r>
      <w:r>
        <w:rPr>
          <w:kern w:val="2"/>
        </w:rPr>
        <w:t>A</w:t>
      </w:r>
      <w:r>
        <w:rPr>
          <w:kern w:val="2"/>
        </w:rPr>
        <w:t>声级为</w:t>
      </w:r>
      <w:r>
        <w:rPr>
          <w:i/>
          <w:iCs/>
          <w:kern w:val="2"/>
        </w:rPr>
        <w:t>L</w:t>
      </w:r>
      <w:r>
        <w:rPr>
          <w:i/>
          <w:iCs/>
          <w:kern w:val="2"/>
          <w:vertAlign w:val="subscript"/>
        </w:rPr>
        <w:t>Aj</w:t>
      </w:r>
      <w:r>
        <w:rPr>
          <w:kern w:val="2"/>
        </w:rPr>
        <w:t>，在</w:t>
      </w:r>
      <w:r>
        <w:rPr>
          <w:kern w:val="2"/>
        </w:rPr>
        <w:t>T</w:t>
      </w:r>
      <w:r>
        <w:rPr>
          <w:kern w:val="2"/>
        </w:rPr>
        <w:t>时间内该声源工作时间为</w:t>
      </w:r>
      <w:r>
        <w:rPr>
          <w:i/>
          <w:iCs/>
          <w:kern w:val="2"/>
        </w:rPr>
        <w:t>t</w:t>
      </w:r>
      <w:r>
        <w:rPr>
          <w:i/>
          <w:iCs/>
          <w:kern w:val="2"/>
          <w:vertAlign w:val="subscript"/>
        </w:rPr>
        <w:t>j</w:t>
      </w:r>
      <w:r>
        <w:rPr>
          <w:kern w:val="2"/>
        </w:rPr>
        <w:t>，则拟建项目声源对预测点产生的贡献值</w:t>
      </w:r>
      <w:r>
        <w:rPr>
          <w:rFonts w:hint="eastAsia"/>
          <w:kern w:val="2"/>
        </w:rPr>
        <w:t>（</w:t>
      </w:r>
      <w:r>
        <w:rPr>
          <w:i/>
          <w:iCs/>
          <w:kern w:val="2"/>
        </w:rPr>
        <w:t>L</w:t>
      </w:r>
      <w:r>
        <w:rPr>
          <w:i/>
          <w:iCs/>
          <w:kern w:val="2"/>
          <w:vertAlign w:val="subscript"/>
        </w:rPr>
        <w:t>eqg</w:t>
      </w:r>
      <w:r>
        <w:rPr>
          <w:rFonts w:hint="eastAsia"/>
          <w:i/>
          <w:iCs/>
          <w:kern w:val="2"/>
          <w:vertAlign w:val="subscript"/>
        </w:rPr>
        <w:t>）</w:t>
      </w:r>
      <w:r>
        <w:rPr>
          <w:kern w:val="2"/>
        </w:rPr>
        <w:t>为：</w:t>
      </w:r>
    </w:p>
    <w:p w:rsidR="00C645C9" w:rsidRDefault="00F955D9">
      <w:pPr>
        <w:widowControl w:val="0"/>
        <w:adjustRightInd w:val="0"/>
        <w:snapToGrid w:val="0"/>
        <w:spacing w:line="360" w:lineRule="auto"/>
        <w:ind w:firstLine="200"/>
        <w:jc w:val="center"/>
        <w:rPr>
          <w:kern w:val="2"/>
        </w:rPr>
      </w:pPr>
      <w:r>
        <w:rPr>
          <w:kern w:val="2"/>
          <w:position w:val="-30"/>
        </w:rPr>
        <w:object w:dxaOrig="3970" w:dyaOrig="700">
          <v:shape id="_x0000_i1050" type="#_x0000_t75" style="width:198.5pt;height:35pt" o:ole="">
            <v:imagedata r:id="rId88" o:title=""/>
          </v:shape>
          <o:OLEObject Type="Embed" ProgID="Equation.3" ShapeID="_x0000_i1050" DrawAspect="Content" ObjectID="_1809794823" r:id="rId89"/>
        </w:object>
      </w:r>
    </w:p>
    <w:p w:rsidR="00C645C9" w:rsidRDefault="00F955D9">
      <w:pPr>
        <w:widowControl w:val="0"/>
        <w:adjustRightInd w:val="0"/>
        <w:snapToGrid w:val="0"/>
        <w:spacing w:line="360" w:lineRule="auto"/>
        <w:ind w:firstLineChars="200" w:firstLine="480"/>
        <w:jc w:val="both"/>
        <w:rPr>
          <w:kern w:val="2"/>
        </w:rPr>
      </w:pPr>
      <w:r>
        <w:rPr>
          <w:kern w:val="2"/>
        </w:rPr>
        <w:t>式中：</w:t>
      </w:r>
      <w:r>
        <w:rPr>
          <w:i/>
          <w:iCs/>
          <w:kern w:val="2"/>
        </w:rPr>
        <w:t>L</w:t>
      </w:r>
      <w:r>
        <w:rPr>
          <w:i/>
          <w:iCs/>
          <w:kern w:val="2"/>
          <w:vertAlign w:val="subscript"/>
        </w:rPr>
        <w:t>eqg</w:t>
      </w:r>
      <w:r>
        <w:rPr>
          <w:rFonts w:cs="Times New Roman"/>
          <w:szCs w:val="20"/>
        </w:rPr>
        <w:t>——</w:t>
      </w:r>
      <w:r>
        <w:rPr>
          <w:kern w:val="2"/>
        </w:rPr>
        <w:t>建设项目声源在预测点产生的噪声贡献值，</w:t>
      </w:r>
      <w:r>
        <w:rPr>
          <w:kern w:val="2"/>
        </w:rPr>
        <w:t>dB</w:t>
      </w:r>
      <w:r>
        <w:rPr>
          <w:kern w:val="2"/>
        </w:rPr>
        <w:t>；</w:t>
      </w:r>
    </w:p>
    <w:p w:rsidR="00C645C9" w:rsidRDefault="00F955D9">
      <w:pPr>
        <w:widowControl w:val="0"/>
        <w:adjustRightInd w:val="0"/>
        <w:snapToGrid w:val="0"/>
        <w:spacing w:line="360" w:lineRule="auto"/>
        <w:ind w:firstLineChars="500" w:firstLine="1200"/>
        <w:jc w:val="both"/>
        <w:rPr>
          <w:kern w:val="2"/>
        </w:rPr>
      </w:pPr>
      <w:r>
        <w:rPr>
          <w:i/>
          <w:iCs/>
          <w:kern w:val="2"/>
        </w:rPr>
        <w:t>T</w:t>
      </w:r>
      <w:r>
        <w:rPr>
          <w:rFonts w:cs="Times New Roman"/>
          <w:szCs w:val="20"/>
        </w:rPr>
        <w:t>——</w:t>
      </w:r>
      <w:r>
        <w:rPr>
          <w:kern w:val="2"/>
        </w:rPr>
        <w:t>用于计算等效声级的时间，</w:t>
      </w:r>
      <w:r>
        <w:rPr>
          <w:kern w:val="2"/>
        </w:rPr>
        <w:t>s</w:t>
      </w:r>
      <w:r>
        <w:rPr>
          <w:kern w:val="2"/>
        </w:rPr>
        <w:t>；</w:t>
      </w:r>
    </w:p>
    <w:p w:rsidR="00C645C9" w:rsidRDefault="00F955D9">
      <w:pPr>
        <w:widowControl w:val="0"/>
        <w:adjustRightInd w:val="0"/>
        <w:snapToGrid w:val="0"/>
        <w:spacing w:line="360" w:lineRule="auto"/>
        <w:ind w:firstLineChars="500" w:firstLine="1200"/>
        <w:jc w:val="both"/>
        <w:rPr>
          <w:kern w:val="2"/>
        </w:rPr>
      </w:pPr>
      <w:r>
        <w:rPr>
          <w:i/>
          <w:iCs/>
          <w:kern w:val="2"/>
        </w:rPr>
        <w:t>N</w:t>
      </w:r>
      <w:r>
        <w:rPr>
          <w:rFonts w:cs="Times New Roman"/>
          <w:szCs w:val="20"/>
        </w:rPr>
        <w:t>——</w:t>
      </w:r>
      <w:r>
        <w:rPr>
          <w:kern w:val="2"/>
        </w:rPr>
        <w:t>室外声源个数；</w:t>
      </w:r>
    </w:p>
    <w:p w:rsidR="00C645C9" w:rsidRDefault="00F955D9">
      <w:pPr>
        <w:widowControl w:val="0"/>
        <w:adjustRightInd w:val="0"/>
        <w:snapToGrid w:val="0"/>
        <w:spacing w:line="360" w:lineRule="auto"/>
        <w:ind w:firstLineChars="500" w:firstLine="1200"/>
        <w:jc w:val="both"/>
        <w:rPr>
          <w:kern w:val="2"/>
        </w:rPr>
      </w:pPr>
      <w:r>
        <w:rPr>
          <w:i/>
          <w:iCs/>
          <w:kern w:val="2"/>
        </w:rPr>
        <w:t>t</w:t>
      </w:r>
      <w:r>
        <w:rPr>
          <w:i/>
          <w:iCs/>
          <w:kern w:val="2"/>
          <w:vertAlign w:val="subscript"/>
        </w:rPr>
        <w:t>i</w:t>
      </w:r>
      <w:r>
        <w:rPr>
          <w:rFonts w:cs="Times New Roman"/>
          <w:szCs w:val="20"/>
        </w:rPr>
        <w:t>——</w:t>
      </w:r>
      <w:r>
        <w:rPr>
          <w:kern w:val="2"/>
        </w:rPr>
        <w:t>在</w:t>
      </w:r>
      <w:r>
        <w:rPr>
          <w:kern w:val="2"/>
        </w:rPr>
        <w:t>T</w:t>
      </w:r>
      <w:r>
        <w:rPr>
          <w:kern w:val="2"/>
        </w:rPr>
        <w:t>时间内</w:t>
      </w:r>
      <w:r>
        <w:rPr>
          <w:i/>
          <w:iCs/>
          <w:kern w:val="2"/>
        </w:rPr>
        <w:t>i</w:t>
      </w:r>
      <w:r>
        <w:rPr>
          <w:kern w:val="2"/>
        </w:rPr>
        <w:t>声源工作时间，</w:t>
      </w:r>
      <w:r>
        <w:rPr>
          <w:kern w:val="2"/>
        </w:rPr>
        <w:t>s</w:t>
      </w:r>
      <w:r>
        <w:rPr>
          <w:kern w:val="2"/>
        </w:rPr>
        <w:t>；</w:t>
      </w:r>
    </w:p>
    <w:p w:rsidR="00C645C9" w:rsidRDefault="00F955D9">
      <w:pPr>
        <w:widowControl w:val="0"/>
        <w:adjustRightInd w:val="0"/>
        <w:snapToGrid w:val="0"/>
        <w:spacing w:line="360" w:lineRule="auto"/>
        <w:ind w:firstLineChars="500" w:firstLine="1200"/>
        <w:jc w:val="both"/>
        <w:rPr>
          <w:kern w:val="2"/>
        </w:rPr>
      </w:pPr>
      <w:r>
        <w:rPr>
          <w:i/>
          <w:iCs/>
          <w:kern w:val="2"/>
        </w:rPr>
        <w:t>M</w:t>
      </w:r>
      <w:r>
        <w:rPr>
          <w:rFonts w:cs="Times New Roman"/>
          <w:szCs w:val="20"/>
        </w:rPr>
        <w:t>——</w:t>
      </w:r>
      <w:r>
        <w:rPr>
          <w:kern w:val="2"/>
        </w:rPr>
        <w:t>等效室外声源个数；</w:t>
      </w:r>
    </w:p>
    <w:p w:rsidR="00C645C9" w:rsidRDefault="00F955D9">
      <w:pPr>
        <w:widowControl w:val="0"/>
        <w:adjustRightInd w:val="0"/>
        <w:snapToGrid w:val="0"/>
        <w:spacing w:line="360" w:lineRule="auto"/>
        <w:ind w:firstLineChars="500" w:firstLine="1200"/>
        <w:jc w:val="both"/>
        <w:rPr>
          <w:kern w:val="2"/>
        </w:rPr>
      </w:pPr>
      <w:r>
        <w:rPr>
          <w:i/>
          <w:iCs/>
          <w:kern w:val="2"/>
        </w:rPr>
        <w:t>t</w:t>
      </w:r>
      <w:r>
        <w:rPr>
          <w:i/>
          <w:iCs/>
          <w:kern w:val="2"/>
          <w:vertAlign w:val="subscript"/>
        </w:rPr>
        <w:t>j</w:t>
      </w:r>
      <w:r>
        <w:rPr>
          <w:rFonts w:cs="Times New Roman"/>
          <w:szCs w:val="20"/>
        </w:rPr>
        <w:t>——</w:t>
      </w:r>
      <w:r>
        <w:rPr>
          <w:kern w:val="2"/>
        </w:rPr>
        <w:t>在</w:t>
      </w:r>
      <w:r>
        <w:rPr>
          <w:kern w:val="2"/>
        </w:rPr>
        <w:t>T</w:t>
      </w:r>
      <w:r>
        <w:rPr>
          <w:kern w:val="2"/>
        </w:rPr>
        <w:t>时间内</w:t>
      </w:r>
      <w:r>
        <w:rPr>
          <w:i/>
          <w:iCs/>
          <w:kern w:val="2"/>
        </w:rPr>
        <w:t>j</w:t>
      </w:r>
      <w:r>
        <w:rPr>
          <w:kern w:val="2"/>
        </w:rPr>
        <w:t>声源工作时间，</w:t>
      </w:r>
      <w:r>
        <w:rPr>
          <w:kern w:val="2"/>
        </w:rPr>
        <w:t>s</w:t>
      </w:r>
      <w:r>
        <w:rPr>
          <w:kern w:val="2"/>
        </w:rPr>
        <w:t>。</w:t>
      </w:r>
    </w:p>
    <w:p w:rsidR="00C645C9" w:rsidRDefault="00F955D9">
      <w:pPr>
        <w:widowControl w:val="0"/>
        <w:adjustRightInd w:val="0"/>
        <w:snapToGrid w:val="0"/>
        <w:spacing w:line="360" w:lineRule="auto"/>
        <w:ind w:firstLineChars="200" w:firstLine="480"/>
        <w:jc w:val="both"/>
        <w:rPr>
          <w:kern w:val="2"/>
          <w:position w:val="-14"/>
        </w:rPr>
      </w:pPr>
      <w:r>
        <w:rPr>
          <w:kern w:val="2"/>
          <w:position w:val="-14"/>
        </w:rPr>
        <w:t>e</w:t>
      </w:r>
      <w:r>
        <w:rPr>
          <w:rFonts w:hint="eastAsia"/>
          <w:kern w:val="2"/>
          <w:position w:val="-14"/>
        </w:rPr>
        <w:t>）</w:t>
      </w:r>
      <w:r>
        <w:rPr>
          <w:kern w:val="2"/>
          <w:position w:val="-14"/>
        </w:rPr>
        <w:t>噪声预测值计算</w:t>
      </w:r>
    </w:p>
    <w:p w:rsidR="00C645C9" w:rsidRDefault="00F955D9">
      <w:pPr>
        <w:widowControl w:val="0"/>
        <w:adjustRightInd w:val="0"/>
        <w:snapToGrid w:val="0"/>
        <w:spacing w:line="360" w:lineRule="auto"/>
        <w:ind w:firstLine="200"/>
        <w:jc w:val="center"/>
        <w:rPr>
          <w:kern w:val="2"/>
        </w:rPr>
      </w:pPr>
      <w:r>
        <w:rPr>
          <w:kern w:val="2"/>
          <w:position w:val="-14"/>
        </w:rPr>
        <w:object w:dxaOrig="2810" w:dyaOrig="440">
          <v:shape id="_x0000_i1051" type="#_x0000_t75" style="width:140.5pt;height:22pt" o:ole="">
            <v:imagedata r:id="rId90" o:title=""/>
          </v:shape>
          <o:OLEObject Type="Embed" ProgID="Equation.3" ShapeID="_x0000_i1051" DrawAspect="Content" ObjectID="_1809794824" r:id="rId91"/>
        </w:object>
      </w:r>
    </w:p>
    <w:p w:rsidR="00C645C9" w:rsidRDefault="00F955D9">
      <w:pPr>
        <w:widowControl w:val="0"/>
        <w:adjustRightInd w:val="0"/>
        <w:snapToGrid w:val="0"/>
        <w:spacing w:line="360" w:lineRule="auto"/>
        <w:ind w:firstLineChars="200" w:firstLine="480"/>
        <w:jc w:val="both"/>
        <w:rPr>
          <w:kern w:val="2"/>
        </w:rPr>
      </w:pPr>
      <w:r>
        <w:rPr>
          <w:kern w:val="2"/>
        </w:rPr>
        <w:t>式中：</w:t>
      </w:r>
      <w:r>
        <w:rPr>
          <w:i/>
          <w:iCs/>
          <w:kern w:val="2"/>
        </w:rPr>
        <w:t>L</w:t>
      </w:r>
      <w:r>
        <w:rPr>
          <w:i/>
          <w:iCs/>
          <w:kern w:val="2"/>
          <w:vertAlign w:val="subscript"/>
        </w:rPr>
        <w:t>eq</w:t>
      </w:r>
      <w:r>
        <w:rPr>
          <w:rFonts w:cs="Times New Roman"/>
          <w:szCs w:val="20"/>
        </w:rPr>
        <w:t>——</w:t>
      </w:r>
      <w:r>
        <w:rPr>
          <w:kern w:val="2"/>
        </w:rPr>
        <w:t>预测点的噪声预测值，</w:t>
      </w:r>
      <w:r>
        <w:rPr>
          <w:kern w:val="2"/>
        </w:rPr>
        <w:t>dB</w:t>
      </w:r>
      <w:r>
        <w:rPr>
          <w:kern w:val="2"/>
        </w:rPr>
        <w:t>；</w:t>
      </w:r>
    </w:p>
    <w:p w:rsidR="00C645C9" w:rsidRDefault="00F955D9">
      <w:pPr>
        <w:widowControl w:val="0"/>
        <w:adjustRightInd w:val="0"/>
        <w:snapToGrid w:val="0"/>
        <w:spacing w:line="360" w:lineRule="auto"/>
        <w:ind w:firstLineChars="500" w:firstLine="1200"/>
        <w:jc w:val="both"/>
        <w:rPr>
          <w:kern w:val="2"/>
          <w:lang w:val="pt-BR"/>
        </w:rPr>
      </w:pPr>
      <w:r>
        <w:rPr>
          <w:i/>
          <w:iCs/>
          <w:kern w:val="2"/>
        </w:rPr>
        <w:t>L</w:t>
      </w:r>
      <w:r>
        <w:rPr>
          <w:i/>
          <w:iCs/>
          <w:kern w:val="2"/>
          <w:vertAlign w:val="subscript"/>
        </w:rPr>
        <w:t>eqg</w:t>
      </w:r>
      <w:r>
        <w:rPr>
          <w:rFonts w:cs="Times New Roman"/>
          <w:szCs w:val="20"/>
        </w:rPr>
        <w:t>——</w:t>
      </w:r>
      <w:r>
        <w:rPr>
          <w:kern w:val="2"/>
          <w:lang w:val="pt-BR"/>
        </w:rPr>
        <w:t>建设项目声源在预测点</w:t>
      </w:r>
      <w:r>
        <w:rPr>
          <w:kern w:val="2"/>
        </w:rPr>
        <w:t>产生的噪声贡献值</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lang w:val="pt-BR"/>
        </w:rPr>
        <w:t xml:space="preserve">      </w:t>
      </w:r>
      <w:r>
        <w:rPr>
          <w:i/>
          <w:iCs/>
          <w:kern w:val="2"/>
        </w:rPr>
        <w:t>L</w:t>
      </w:r>
      <w:r>
        <w:rPr>
          <w:i/>
          <w:iCs/>
          <w:kern w:val="2"/>
          <w:vertAlign w:val="subscript"/>
        </w:rPr>
        <w:t>eqb</w:t>
      </w:r>
      <w:r>
        <w:rPr>
          <w:rFonts w:cs="Times New Roman"/>
          <w:szCs w:val="20"/>
        </w:rPr>
        <w:t>——</w:t>
      </w:r>
      <w:r>
        <w:rPr>
          <w:kern w:val="2"/>
          <w:lang w:val="pt-BR"/>
        </w:rPr>
        <w:t>预测点的背景</w:t>
      </w:r>
      <w:r>
        <w:rPr>
          <w:kern w:val="2"/>
        </w:rPr>
        <w:t>噪声</w:t>
      </w:r>
      <w:r>
        <w:rPr>
          <w:kern w:val="2"/>
          <w:lang w:val="pt-BR"/>
        </w:rPr>
        <w:t>值，</w:t>
      </w:r>
      <w:r>
        <w:rPr>
          <w:kern w:val="2"/>
          <w:lang w:val="pt-BR"/>
        </w:rPr>
        <w:t>dB</w:t>
      </w:r>
      <w:r>
        <w:rPr>
          <w:kern w:val="2"/>
          <w:lang w:val="pt-BR"/>
        </w:rPr>
        <w:t>。</w:t>
      </w:r>
    </w:p>
    <w:p w:rsidR="00C645C9" w:rsidRDefault="00F955D9">
      <w:pPr>
        <w:widowControl w:val="0"/>
        <w:adjustRightInd w:val="0"/>
        <w:snapToGrid w:val="0"/>
        <w:spacing w:line="360" w:lineRule="auto"/>
        <w:ind w:firstLineChars="200" w:firstLine="480"/>
        <w:jc w:val="both"/>
        <w:rPr>
          <w:kern w:val="2"/>
        </w:rPr>
      </w:pPr>
      <w:r>
        <w:rPr>
          <w:kern w:val="2"/>
        </w:rPr>
        <w:t>f</w:t>
      </w:r>
      <w:r>
        <w:rPr>
          <w:rFonts w:hint="eastAsia"/>
          <w:kern w:val="2"/>
        </w:rPr>
        <w:t>）</w:t>
      </w:r>
      <w:r>
        <w:rPr>
          <w:kern w:val="2"/>
        </w:rPr>
        <w:t>噪声预测点位</w:t>
      </w:r>
    </w:p>
    <w:p w:rsidR="00C645C9" w:rsidRDefault="00F955D9">
      <w:pPr>
        <w:widowControl w:val="0"/>
        <w:adjustRightInd w:val="0"/>
        <w:snapToGrid w:val="0"/>
        <w:spacing w:line="360" w:lineRule="auto"/>
        <w:ind w:firstLineChars="200" w:firstLine="480"/>
        <w:jc w:val="both"/>
        <w:rPr>
          <w:kern w:val="2"/>
        </w:rPr>
      </w:pPr>
      <w:r>
        <w:rPr>
          <w:kern w:val="2"/>
        </w:rPr>
        <w:t>本评价预测噪声源对场界四周噪声贡献值。</w:t>
      </w:r>
    </w:p>
    <w:p w:rsidR="00C645C9" w:rsidRDefault="00F955D9">
      <w:pPr>
        <w:adjustRightInd w:val="0"/>
        <w:snapToGrid w:val="0"/>
        <w:spacing w:line="360" w:lineRule="auto"/>
        <w:ind w:firstLine="482"/>
        <w:rPr>
          <w:b/>
        </w:rPr>
      </w:pPr>
      <w:r>
        <w:rPr>
          <w:b/>
        </w:rPr>
        <w:t>（二）噪声源参数的确定</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本工程各井场噪声源类似，井场面积及平面布置基本相同，井场噪声源噪声参数见表</w:t>
      </w:r>
      <w:r>
        <w:rPr>
          <w:rFonts w:cs="Times New Roman" w:hint="eastAsia"/>
          <w:spacing w:val="4"/>
          <w:kern w:val="24"/>
        </w:rPr>
        <w:t>5.</w:t>
      </w:r>
      <w:r>
        <w:rPr>
          <w:rFonts w:cs="Times New Roman" w:hint="eastAsia"/>
          <w:spacing w:val="4"/>
          <w:kern w:val="24"/>
        </w:rPr>
        <w:t>6</w:t>
      </w:r>
      <w:r>
        <w:rPr>
          <w:rFonts w:cs="Times New Roman" w:hint="eastAsia"/>
          <w:spacing w:val="4"/>
          <w:kern w:val="24"/>
        </w:rPr>
        <w:t>-2</w:t>
      </w:r>
      <w:r>
        <w:rPr>
          <w:rFonts w:cs="Times New Roman" w:hint="eastAsia"/>
          <w:spacing w:val="4"/>
          <w:kern w:val="24"/>
        </w:rPr>
        <w:t>。</w:t>
      </w:r>
    </w:p>
    <w:p w:rsidR="00C645C9" w:rsidRDefault="00F955D9" w:rsidP="005718BB">
      <w:pPr>
        <w:pStyle w:val="aff8"/>
        <w:ind w:firstLine="512"/>
      </w:pPr>
      <w:r>
        <w:rPr>
          <w:rFonts w:eastAsia="黑体" w:cs="Times New Roman" w:hint="eastAsia"/>
          <w:b w:val="0"/>
          <w:sz w:val="21"/>
          <w:szCs w:val="21"/>
        </w:rPr>
        <w:t>表</w:t>
      </w:r>
      <w:r>
        <w:rPr>
          <w:rFonts w:eastAsia="黑体" w:cs="Times New Roman" w:hint="eastAsia"/>
          <w:b w:val="0"/>
          <w:sz w:val="21"/>
          <w:szCs w:val="21"/>
        </w:rPr>
        <w:t xml:space="preserve">5.6-2   </w:t>
      </w:r>
      <w:r>
        <w:rPr>
          <w:rFonts w:eastAsia="黑体" w:cs="Times New Roman" w:hint="eastAsia"/>
          <w:b w:val="0"/>
          <w:sz w:val="21"/>
          <w:szCs w:val="21"/>
        </w:rPr>
        <w:t>井场噪声源参数一览表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73"/>
        <w:gridCol w:w="846"/>
        <w:gridCol w:w="910"/>
        <w:gridCol w:w="740"/>
        <w:gridCol w:w="740"/>
        <w:gridCol w:w="742"/>
        <w:gridCol w:w="1565"/>
        <w:gridCol w:w="1332"/>
        <w:gridCol w:w="938"/>
      </w:tblGrid>
      <w:tr w:rsidR="00C645C9">
        <w:trPr>
          <w:trHeight w:val="454"/>
          <w:jc w:val="center"/>
        </w:trPr>
        <w:tc>
          <w:tcPr>
            <w:tcW w:w="473" w:type="dxa"/>
            <w:vMerge w:val="restart"/>
            <w:tcBorders>
              <w:tl2br w:val="nil"/>
              <w:tr2bl w:val="nil"/>
            </w:tcBorders>
            <w:vAlign w:val="center"/>
          </w:tcPr>
          <w:p w:rsidR="00C645C9" w:rsidRDefault="00F955D9">
            <w:pPr>
              <w:pStyle w:val="afb"/>
            </w:pPr>
            <w:r>
              <w:t>序号</w:t>
            </w:r>
          </w:p>
        </w:tc>
        <w:tc>
          <w:tcPr>
            <w:tcW w:w="1756" w:type="dxa"/>
            <w:gridSpan w:val="2"/>
            <w:vMerge w:val="restart"/>
            <w:tcBorders>
              <w:tl2br w:val="nil"/>
              <w:tr2bl w:val="nil"/>
            </w:tcBorders>
            <w:vAlign w:val="center"/>
          </w:tcPr>
          <w:p w:rsidR="00C645C9" w:rsidRDefault="00F955D9">
            <w:pPr>
              <w:pStyle w:val="afb"/>
            </w:pPr>
            <w:r>
              <w:t>声源名称</w:t>
            </w:r>
          </w:p>
        </w:tc>
        <w:tc>
          <w:tcPr>
            <w:tcW w:w="2222" w:type="dxa"/>
            <w:gridSpan w:val="3"/>
            <w:tcBorders>
              <w:tl2br w:val="nil"/>
              <w:tr2bl w:val="nil"/>
            </w:tcBorders>
            <w:vAlign w:val="center"/>
          </w:tcPr>
          <w:p w:rsidR="00C645C9" w:rsidRDefault="00F955D9">
            <w:pPr>
              <w:pStyle w:val="afb"/>
            </w:pPr>
            <w:r>
              <w:t>空间相对位置</w:t>
            </w:r>
            <w:r>
              <w:t>/m</w:t>
            </w:r>
          </w:p>
        </w:tc>
        <w:tc>
          <w:tcPr>
            <w:tcW w:w="1565" w:type="dxa"/>
            <w:vMerge w:val="restart"/>
            <w:tcBorders>
              <w:tl2br w:val="nil"/>
              <w:tr2bl w:val="nil"/>
            </w:tcBorders>
            <w:vAlign w:val="center"/>
          </w:tcPr>
          <w:p w:rsidR="00C645C9" w:rsidRDefault="00F955D9">
            <w:pPr>
              <w:widowControl w:val="0"/>
              <w:adjustRightInd w:val="0"/>
              <w:snapToGrid w:val="0"/>
              <w:jc w:val="center"/>
            </w:pPr>
            <w:r>
              <w:rPr>
                <w:rFonts w:hAnsi="宋体" w:cs="Times New Roman" w:hint="eastAsia"/>
                <w:spacing w:val="-10"/>
                <w:sz w:val="21"/>
                <w:szCs w:val="21"/>
              </w:rPr>
              <w:t>声源源强</w:t>
            </w:r>
            <w:r>
              <w:rPr>
                <w:rFonts w:hAnsi="宋体" w:cs="Times New Roman" w:hint="eastAsia"/>
                <w:spacing w:val="-10"/>
                <w:sz w:val="21"/>
                <w:szCs w:val="21"/>
              </w:rPr>
              <w:t>（</w:t>
            </w:r>
            <w:r>
              <w:rPr>
                <w:rFonts w:hAnsi="宋体" w:cs="Times New Roman" w:hint="eastAsia"/>
                <w:spacing w:val="-10"/>
                <w:sz w:val="21"/>
                <w:szCs w:val="21"/>
              </w:rPr>
              <w:t>dB</w:t>
            </w:r>
            <w:r>
              <w:rPr>
                <w:rFonts w:hAnsi="宋体" w:cs="Times New Roman" w:hint="eastAsia"/>
                <w:spacing w:val="-10"/>
                <w:sz w:val="21"/>
                <w:szCs w:val="21"/>
              </w:rPr>
              <w:t>（</w:t>
            </w:r>
            <w:r>
              <w:rPr>
                <w:rFonts w:hAnsi="宋体" w:cs="Times New Roman" w:hint="eastAsia"/>
                <w:spacing w:val="-10"/>
                <w:sz w:val="21"/>
                <w:szCs w:val="21"/>
              </w:rPr>
              <w:t>A</w:t>
            </w:r>
            <w:r>
              <w:rPr>
                <w:rFonts w:hAnsi="宋体" w:cs="Times New Roman" w:hint="eastAsia"/>
                <w:spacing w:val="-10"/>
                <w:sz w:val="21"/>
                <w:szCs w:val="21"/>
              </w:rPr>
              <w:t>））</w:t>
            </w:r>
          </w:p>
        </w:tc>
        <w:tc>
          <w:tcPr>
            <w:tcW w:w="1332" w:type="dxa"/>
            <w:vMerge w:val="restart"/>
            <w:tcBorders>
              <w:tl2br w:val="nil"/>
              <w:tr2bl w:val="nil"/>
            </w:tcBorders>
            <w:vAlign w:val="center"/>
          </w:tcPr>
          <w:p w:rsidR="00C645C9" w:rsidRDefault="00F955D9">
            <w:pPr>
              <w:pStyle w:val="afb"/>
            </w:pPr>
            <w:r>
              <w:t>声源控制措施</w:t>
            </w:r>
          </w:p>
        </w:tc>
        <w:tc>
          <w:tcPr>
            <w:tcW w:w="938" w:type="dxa"/>
            <w:vMerge w:val="restart"/>
            <w:tcBorders>
              <w:tl2br w:val="nil"/>
              <w:tr2bl w:val="nil"/>
            </w:tcBorders>
            <w:vAlign w:val="center"/>
          </w:tcPr>
          <w:p w:rsidR="00C645C9" w:rsidRDefault="00F955D9">
            <w:pPr>
              <w:pStyle w:val="afb"/>
            </w:pPr>
            <w:r>
              <w:t>运行时段</w:t>
            </w:r>
          </w:p>
        </w:tc>
      </w:tr>
      <w:tr w:rsidR="00C645C9">
        <w:trPr>
          <w:trHeight w:val="454"/>
          <w:jc w:val="center"/>
        </w:trPr>
        <w:tc>
          <w:tcPr>
            <w:tcW w:w="473" w:type="dxa"/>
            <w:vMerge/>
            <w:tcBorders>
              <w:tl2br w:val="nil"/>
              <w:tr2bl w:val="nil"/>
            </w:tcBorders>
            <w:vAlign w:val="center"/>
          </w:tcPr>
          <w:p w:rsidR="00C645C9" w:rsidRDefault="00C645C9">
            <w:pPr>
              <w:pStyle w:val="afb"/>
            </w:pPr>
          </w:p>
        </w:tc>
        <w:tc>
          <w:tcPr>
            <w:tcW w:w="1756" w:type="dxa"/>
            <w:gridSpan w:val="2"/>
            <w:vMerge/>
            <w:tcBorders>
              <w:tl2br w:val="nil"/>
              <w:tr2bl w:val="nil"/>
            </w:tcBorders>
            <w:vAlign w:val="center"/>
          </w:tcPr>
          <w:p w:rsidR="00C645C9" w:rsidRDefault="00C645C9">
            <w:pPr>
              <w:pStyle w:val="afb"/>
            </w:pPr>
          </w:p>
        </w:tc>
        <w:tc>
          <w:tcPr>
            <w:tcW w:w="740" w:type="dxa"/>
            <w:tcBorders>
              <w:tl2br w:val="nil"/>
              <w:tr2bl w:val="nil"/>
            </w:tcBorders>
            <w:vAlign w:val="center"/>
          </w:tcPr>
          <w:p w:rsidR="00C645C9" w:rsidRDefault="00F955D9">
            <w:pPr>
              <w:pStyle w:val="afb"/>
            </w:pPr>
            <w:r>
              <w:t>X</w:t>
            </w:r>
          </w:p>
        </w:tc>
        <w:tc>
          <w:tcPr>
            <w:tcW w:w="740" w:type="dxa"/>
            <w:tcBorders>
              <w:tl2br w:val="nil"/>
              <w:tr2bl w:val="nil"/>
            </w:tcBorders>
            <w:vAlign w:val="center"/>
          </w:tcPr>
          <w:p w:rsidR="00C645C9" w:rsidRDefault="00F955D9">
            <w:pPr>
              <w:pStyle w:val="afb"/>
            </w:pPr>
            <w:r>
              <w:t>Y</w:t>
            </w:r>
          </w:p>
        </w:tc>
        <w:tc>
          <w:tcPr>
            <w:tcW w:w="742" w:type="dxa"/>
            <w:tcBorders>
              <w:tl2br w:val="nil"/>
              <w:tr2bl w:val="nil"/>
            </w:tcBorders>
            <w:vAlign w:val="center"/>
          </w:tcPr>
          <w:p w:rsidR="00C645C9" w:rsidRDefault="00F955D9">
            <w:pPr>
              <w:pStyle w:val="afb"/>
            </w:pPr>
            <w:r>
              <w:t>Z</w:t>
            </w:r>
          </w:p>
        </w:tc>
        <w:tc>
          <w:tcPr>
            <w:tcW w:w="1565" w:type="dxa"/>
            <w:vMerge/>
            <w:tcBorders>
              <w:tl2br w:val="nil"/>
              <w:tr2bl w:val="nil"/>
            </w:tcBorders>
            <w:vAlign w:val="center"/>
          </w:tcPr>
          <w:p w:rsidR="00C645C9" w:rsidRDefault="00C645C9">
            <w:pPr>
              <w:pStyle w:val="afb"/>
            </w:pPr>
          </w:p>
        </w:tc>
        <w:tc>
          <w:tcPr>
            <w:tcW w:w="1332" w:type="dxa"/>
            <w:vMerge/>
            <w:tcBorders>
              <w:tl2br w:val="nil"/>
              <w:tr2bl w:val="nil"/>
            </w:tcBorders>
            <w:vAlign w:val="center"/>
          </w:tcPr>
          <w:p w:rsidR="00C645C9" w:rsidRDefault="00C645C9">
            <w:pPr>
              <w:pStyle w:val="afb"/>
            </w:pPr>
          </w:p>
        </w:tc>
        <w:tc>
          <w:tcPr>
            <w:tcW w:w="938" w:type="dxa"/>
            <w:vMerge/>
            <w:tcBorders>
              <w:tl2br w:val="nil"/>
              <w:tr2bl w:val="nil"/>
            </w:tcBorders>
            <w:vAlign w:val="center"/>
          </w:tcPr>
          <w:p w:rsidR="00C645C9" w:rsidRDefault="00C645C9">
            <w:pPr>
              <w:pStyle w:val="afb"/>
            </w:pPr>
          </w:p>
        </w:tc>
      </w:tr>
      <w:tr w:rsidR="00C645C9">
        <w:trPr>
          <w:trHeight w:val="454"/>
          <w:jc w:val="center"/>
        </w:trPr>
        <w:tc>
          <w:tcPr>
            <w:tcW w:w="473" w:type="dxa"/>
            <w:tcBorders>
              <w:tl2br w:val="nil"/>
              <w:tr2bl w:val="nil"/>
            </w:tcBorders>
            <w:vAlign w:val="center"/>
          </w:tcPr>
          <w:p w:rsidR="00C645C9" w:rsidRDefault="00F955D9">
            <w:pPr>
              <w:pStyle w:val="afb"/>
            </w:pPr>
            <w:r>
              <w:rPr>
                <w:rFonts w:hint="eastAsia"/>
              </w:rPr>
              <w:lastRenderedPageBreak/>
              <w:t>1</w:t>
            </w:r>
          </w:p>
        </w:tc>
        <w:tc>
          <w:tcPr>
            <w:tcW w:w="846" w:type="dxa"/>
            <w:vMerge w:val="restart"/>
            <w:tcBorders>
              <w:tl2br w:val="nil"/>
              <w:tr2bl w:val="nil"/>
            </w:tcBorders>
            <w:vAlign w:val="center"/>
          </w:tcPr>
          <w:p w:rsidR="00C645C9" w:rsidRDefault="00F955D9">
            <w:pPr>
              <w:pStyle w:val="afb"/>
              <w:rPr>
                <w:rFonts w:hAnsi="宋体"/>
                <w:spacing w:val="-10"/>
                <w:szCs w:val="21"/>
              </w:rPr>
            </w:pPr>
            <w:r>
              <w:rPr>
                <w:rFonts w:hAnsi="宋体" w:hint="eastAsia"/>
                <w:spacing w:val="-10"/>
                <w:szCs w:val="21"/>
              </w:rPr>
              <w:t>井场</w:t>
            </w:r>
          </w:p>
        </w:tc>
        <w:tc>
          <w:tcPr>
            <w:tcW w:w="91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采气树</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83</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100</w:t>
            </w:r>
          </w:p>
        </w:tc>
        <w:tc>
          <w:tcPr>
            <w:tcW w:w="742" w:type="dxa"/>
            <w:tcBorders>
              <w:tl2br w:val="nil"/>
              <w:tr2bl w:val="nil"/>
            </w:tcBorders>
            <w:vAlign w:val="center"/>
          </w:tcPr>
          <w:p w:rsidR="00C645C9" w:rsidRDefault="00F955D9">
            <w:pPr>
              <w:pStyle w:val="afb"/>
            </w:pPr>
            <w:r>
              <w:rPr>
                <w:rFonts w:hint="eastAsia"/>
              </w:rPr>
              <w:t>2</w:t>
            </w:r>
          </w:p>
        </w:tc>
        <w:tc>
          <w:tcPr>
            <w:tcW w:w="1565" w:type="dxa"/>
            <w:tcBorders>
              <w:tl2br w:val="nil"/>
              <w:tr2bl w:val="nil"/>
            </w:tcBorders>
            <w:vAlign w:val="center"/>
          </w:tcPr>
          <w:p w:rsidR="00C645C9" w:rsidRDefault="00F955D9">
            <w:pPr>
              <w:pStyle w:val="afb"/>
            </w:pPr>
            <w:r>
              <w:rPr>
                <w:rFonts w:hint="eastAsia"/>
              </w:rPr>
              <w:t>85</w:t>
            </w:r>
          </w:p>
        </w:tc>
        <w:tc>
          <w:tcPr>
            <w:tcW w:w="1332" w:type="dxa"/>
            <w:tcBorders>
              <w:tl2br w:val="nil"/>
              <w:tr2bl w:val="nil"/>
            </w:tcBorders>
            <w:vAlign w:val="center"/>
          </w:tcPr>
          <w:p w:rsidR="00C645C9" w:rsidRDefault="00F955D9">
            <w:pPr>
              <w:pStyle w:val="afb"/>
              <w:rPr>
                <w:lang w:val="zh-CN"/>
              </w:rPr>
            </w:pPr>
            <w:r>
              <w:rPr>
                <w:lang w:val="zh-CN"/>
              </w:rPr>
              <w:t>基础减振</w:t>
            </w:r>
          </w:p>
        </w:tc>
        <w:tc>
          <w:tcPr>
            <w:tcW w:w="938" w:type="dxa"/>
            <w:tcBorders>
              <w:tl2br w:val="nil"/>
              <w:tr2bl w:val="nil"/>
            </w:tcBorders>
            <w:vAlign w:val="center"/>
          </w:tcPr>
          <w:p w:rsidR="00C645C9" w:rsidRDefault="00F955D9">
            <w:pPr>
              <w:pStyle w:val="afb"/>
            </w:pPr>
            <w:r>
              <w:t>昼夜</w:t>
            </w:r>
          </w:p>
        </w:tc>
      </w:tr>
      <w:tr w:rsidR="00C645C9">
        <w:trPr>
          <w:trHeight w:val="454"/>
          <w:jc w:val="center"/>
        </w:trPr>
        <w:tc>
          <w:tcPr>
            <w:tcW w:w="473" w:type="dxa"/>
            <w:tcBorders>
              <w:tl2br w:val="nil"/>
              <w:tr2bl w:val="nil"/>
            </w:tcBorders>
            <w:vAlign w:val="center"/>
          </w:tcPr>
          <w:p w:rsidR="00C645C9" w:rsidRDefault="00F955D9">
            <w:pPr>
              <w:pStyle w:val="afb"/>
            </w:pPr>
            <w:r>
              <w:rPr>
                <w:rFonts w:hint="eastAsia"/>
              </w:rPr>
              <w:t>2</w:t>
            </w:r>
          </w:p>
        </w:tc>
        <w:tc>
          <w:tcPr>
            <w:tcW w:w="846" w:type="dxa"/>
            <w:vMerge/>
            <w:tcBorders>
              <w:tl2br w:val="nil"/>
              <w:tr2bl w:val="nil"/>
            </w:tcBorders>
            <w:vAlign w:val="center"/>
          </w:tcPr>
          <w:p w:rsidR="00C645C9" w:rsidRDefault="00C645C9">
            <w:pPr>
              <w:pStyle w:val="afb"/>
              <w:rPr>
                <w:rFonts w:hAnsi="宋体"/>
                <w:spacing w:val="-10"/>
                <w:szCs w:val="21"/>
              </w:rPr>
            </w:pPr>
          </w:p>
        </w:tc>
        <w:tc>
          <w:tcPr>
            <w:tcW w:w="91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加热炉</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124</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90</w:t>
            </w:r>
          </w:p>
        </w:tc>
        <w:tc>
          <w:tcPr>
            <w:tcW w:w="742" w:type="dxa"/>
            <w:tcBorders>
              <w:tl2br w:val="nil"/>
              <w:tr2bl w:val="nil"/>
            </w:tcBorders>
            <w:vAlign w:val="center"/>
          </w:tcPr>
          <w:p w:rsidR="00C645C9" w:rsidRDefault="00F955D9">
            <w:pPr>
              <w:pStyle w:val="afb"/>
            </w:pPr>
            <w:r>
              <w:rPr>
                <w:rFonts w:hint="eastAsia"/>
              </w:rPr>
              <w:t>2</w:t>
            </w:r>
          </w:p>
        </w:tc>
        <w:tc>
          <w:tcPr>
            <w:tcW w:w="1565" w:type="dxa"/>
            <w:tcBorders>
              <w:tl2br w:val="nil"/>
              <w:tr2bl w:val="nil"/>
            </w:tcBorders>
            <w:vAlign w:val="center"/>
          </w:tcPr>
          <w:p w:rsidR="00C645C9" w:rsidRDefault="00F955D9">
            <w:pPr>
              <w:pStyle w:val="afb"/>
            </w:pPr>
            <w:r>
              <w:rPr>
                <w:rFonts w:hint="eastAsia"/>
              </w:rPr>
              <w:t>90</w:t>
            </w:r>
          </w:p>
        </w:tc>
        <w:tc>
          <w:tcPr>
            <w:tcW w:w="1332" w:type="dxa"/>
            <w:tcBorders>
              <w:tl2br w:val="nil"/>
              <w:tr2bl w:val="nil"/>
            </w:tcBorders>
            <w:vAlign w:val="center"/>
          </w:tcPr>
          <w:p w:rsidR="00C645C9" w:rsidRDefault="00F955D9">
            <w:pPr>
              <w:pStyle w:val="afb"/>
              <w:rPr>
                <w:lang w:val="zh-CN"/>
              </w:rPr>
            </w:pPr>
            <w:r>
              <w:rPr>
                <w:lang w:val="zh-CN"/>
              </w:rPr>
              <w:t>基础减振</w:t>
            </w:r>
          </w:p>
        </w:tc>
        <w:tc>
          <w:tcPr>
            <w:tcW w:w="938" w:type="dxa"/>
            <w:tcBorders>
              <w:tl2br w:val="nil"/>
              <w:tr2bl w:val="nil"/>
            </w:tcBorders>
            <w:vAlign w:val="center"/>
          </w:tcPr>
          <w:p w:rsidR="00C645C9" w:rsidRDefault="00F955D9">
            <w:pPr>
              <w:pStyle w:val="afb"/>
            </w:pPr>
            <w:r>
              <w:t>昼夜</w:t>
            </w:r>
          </w:p>
        </w:tc>
      </w:tr>
      <w:tr w:rsidR="00C645C9">
        <w:trPr>
          <w:trHeight w:val="454"/>
          <w:jc w:val="center"/>
        </w:trPr>
        <w:tc>
          <w:tcPr>
            <w:tcW w:w="473" w:type="dxa"/>
            <w:tcBorders>
              <w:tl2br w:val="nil"/>
              <w:tr2bl w:val="nil"/>
            </w:tcBorders>
            <w:vAlign w:val="center"/>
          </w:tcPr>
          <w:p w:rsidR="00C645C9" w:rsidRDefault="00F955D9">
            <w:pPr>
              <w:pStyle w:val="afb"/>
            </w:pPr>
            <w:r>
              <w:rPr>
                <w:rFonts w:hint="eastAsia"/>
              </w:rPr>
              <w:t>3</w:t>
            </w:r>
          </w:p>
        </w:tc>
        <w:tc>
          <w:tcPr>
            <w:tcW w:w="846" w:type="dxa"/>
            <w:vMerge/>
            <w:tcBorders>
              <w:tl2br w:val="nil"/>
              <w:tr2bl w:val="nil"/>
            </w:tcBorders>
            <w:vAlign w:val="center"/>
          </w:tcPr>
          <w:p w:rsidR="00C645C9" w:rsidRDefault="00C645C9">
            <w:pPr>
              <w:pStyle w:val="afb"/>
              <w:rPr>
                <w:rFonts w:hAnsi="宋体"/>
                <w:spacing w:val="-10"/>
                <w:szCs w:val="21"/>
              </w:rPr>
            </w:pPr>
          </w:p>
        </w:tc>
        <w:tc>
          <w:tcPr>
            <w:tcW w:w="91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int="eastAsia"/>
                <w:sz w:val="21"/>
                <w:szCs w:val="21"/>
              </w:rPr>
              <w:t>分离器</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sz w:val="21"/>
                <w:szCs w:val="21"/>
              </w:rPr>
              <w:t>155</w:t>
            </w:r>
          </w:p>
        </w:tc>
        <w:tc>
          <w:tcPr>
            <w:tcW w:w="740" w:type="dxa"/>
            <w:tcBorders>
              <w:tl2br w:val="nil"/>
              <w:tr2bl w:val="nil"/>
            </w:tcBorders>
            <w:vAlign w:val="center"/>
          </w:tcPr>
          <w:p w:rsidR="00C645C9" w:rsidRDefault="00F955D9">
            <w:pPr>
              <w:widowControl w:val="0"/>
              <w:adjustRightInd w:val="0"/>
              <w:snapToGrid w:val="0"/>
              <w:jc w:val="center"/>
              <w:rPr>
                <w:rFonts w:hAnsi="宋体" w:cs="Times New Roman"/>
                <w:spacing w:val="-10"/>
                <w:kern w:val="2"/>
                <w:sz w:val="21"/>
                <w:szCs w:val="21"/>
              </w:rPr>
            </w:pPr>
            <w:r>
              <w:rPr>
                <w:rFonts w:hAnsi="宋体" w:cs="Times New Roman" w:hint="eastAsia"/>
                <w:spacing w:val="-10"/>
                <w:kern w:val="2"/>
                <w:sz w:val="21"/>
                <w:szCs w:val="21"/>
              </w:rPr>
              <w:t>95</w:t>
            </w:r>
          </w:p>
        </w:tc>
        <w:tc>
          <w:tcPr>
            <w:tcW w:w="742" w:type="dxa"/>
            <w:tcBorders>
              <w:tl2br w:val="nil"/>
              <w:tr2bl w:val="nil"/>
            </w:tcBorders>
            <w:vAlign w:val="center"/>
          </w:tcPr>
          <w:p w:rsidR="00C645C9" w:rsidRDefault="00F955D9">
            <w:pPr>
              <w:pStyle w:val="afb"/>
            </w:pPr>
            <w:r>
              <w:rPr>
                <w:rFonts w:hint="eastAsia"/>
              </w:rPr>
              <w:t>2</w:t>
            </w:r>
          </w:p>
        </w:tc>
        <w:tc>
          <w:tcPr>
            <w:tcW w:w="1565" w:type="dxa"/>
            <w:tcBorders>
              <w:tl2br w:val="nil"/>
              <w:tr2bl w:val="nil"/>
            </w:tcBorders>
            <w:vAlign w:val="center"/>
          </w:tcPr>
          <w:p w:rsidR="00C645C9" w:rsidRDefault="00F955D9">
            <w:pPr>
              <w:pStyle w:val="afb"/>
            </w:pPr>
            <w:r>
              <w:rPr>
                <w:rFonts w:hint="eastAsia"/>
              </w:rPr>
              <w:t>85</w:t>
            </w:r>
          </w:p>
        </w:tc>
        <w:tc>
          <w:tcPr>
            <w:tcW w:w="1332" w:type="dxa"/>
            <w:tcBorders>
              <w:tl2br w:val="nil"/>
              <w:tr2bl w:val="nil"/>
            </w:tcBorders>
            <w:vAlign w:val="center"/>
          </w:tcPr>
          <w:p w:rsidR="00C645C9" w:rsidRDefault="00F955D9">
            <w:pPr>
              <w:pStyle w:val="afb"/>
              <w:rPr>
                <w:lang w:val="zh-CN"/>
              </w:rPr>
            </w:pPr>
            <w:r>
              <w:rPr>
                <w:lang w:val="zh-CN"/>
              </w:rPr>
              <w:t>基础减振</w:t>
            </w:r>
          </w:p>
        </w:tc>
        <w:tc>
          <w:tcPr>
            <w:tcW w:w="938" w:type="dxa"/>
            <w:tcBorders>
              <w:tl2br w:val="nil"/>
              <w:tr2bl w:val="nil"/>
            </w:tcBorders>
            <w:vAlign w:val="center"/>
          </w:tcPr>
          <w:p w:rsidR="00C645C9" w:rsidRDefault="00F955D9">
            <w:pPr>
              <w:pStyle w:val="afb"/>
            </w:pPr>
            <w:r>
              <w:t>昼夜</w:t>
            </w:r>
          </w:p>
        </w:tc>
      </w:tr>
    </w:tbl>
    <w:p w:rsidR="00C645C9" w:rsidRDefault="00F955D9">
      <w:pPr>
        <w:adjustRightInd w:val="0"/>
        <w:snapToGrid w:val="0"/>
        <w:spacing w:line="360" w:lineRule="auto"/>
        <w:ind w:firstLine="482"/>
        <w:rPr>
          <w:b/>
        </w:rPr>
      </w:pPr>
      <w:r>
        <w:rPr>
          <w:b/>
        </w:rPr>
        <w:t>（三）预测结果及评价</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按照噪声预测模式，结合噪声源到各预测点距离，通过计算，本工程各噪声源对四周场界的贡献声级值见表</w:t>
      </w:r>
      <w:r>
        <w:rPr>
          <w:rFonts w:cs="Times New Roman" w:hint="eastAsia"/>
          <w:spacing w:val="4"/>
          <w:kern w:val="24"/>
        </w:rPr>
        <w:t>5.6-3</w:t>
      </w:r>
      <w:r>
        <w:rPr>
          <w:rFonts w:cs="Times New Roman" w:hint="eastAsia"/>
          <w:spacing w:val="4"/>
          <w:kern w:val="24"/>
        </w:rPr>
        <w:t>。</w:t>
      </w:r>
    </w:p>
    <w:p w:rsidR="00C645C9" w:rsidRDefault="00F955D9" w:rsidP="005718BB">
      <w:pPr>
        <w:pStyle w:val="aff8"/>
        <w:ind w:firstLine="512"/>
      </w:pPr>
      <w:r>
        <w:rPr>
          <w:rFonts w:eastAsia="黑体" w:cs="Times New Roman" w:hint="eastAsia"/>
          <w:b w:val="0"/>
          <w:sz w:val="21"/>
          <w:szCs w:val="21"/>
        </w:rPr>
        <w:t>表</w:t>
      </w:r>
      <w:r>
        <w:rPr>
          <w:rFonts w:eastAsia="黑体" w:cs="Times New Roman" w:hint="eastAsia"/>
          <w:b w:val="0"/>
          <w:sz w:val="21"/>
          <w:szCs w:val="21"/>
        </w:rPr>
        <w:t xml:space="preserve">5.6-3   </w:t>
      </w:r>
      <w:r>
        <w:rPr>
          <w:rFonts w:eastAsia="黑体" w:cs="Times New Roman" w:hint="eastAsia"/>
          <w:b w:val="0"/>
          <w:sz w:val="21"/>
          <w:szCs w:val="21"/>
        </w:rPr>
        <w:t>井场噪声预测结果一览表</w:t>
      </w:r>
      <w:r>
        <w:rPr>
          <w:rFonts w:eastAsia="黑体" w:cs="Times New Roman" w:hint="eastAsia"/>
          <w:b w:val="0"/>
          <w:sz w:val="21"/>
          <w:szCs w:val="21"/>
        </w:rPr>
        <w:t xml:space="preserve">   </w:t>
      </w:r>
      <w:r>
        <w:rPr>
          <w:rFonts w:eastAsia="黑体" w:cs="Times New Roman" w:hint="eastAsia"/>
          <w:b w:val="0"/>
          <w:sz w:val="21"/>
          <w:szCs w:val="21"/>
        </w:rPr>
        <w:t>单位：</w:t>
      </w:r>
      <w:r>
        <w:rPr>
          <w:rFonts w:eastAsia="黑体" w:cs="Times New Roman" w:hint="eastAsia"/>
          <w:b w:val="0"/>
          <w:sz w:val="21"/>
          <w:szCs w:val="21"/>
        </w:rPr>
        <w:t>dB</w:t>
      </w:r>
      <w:r>
        <w:rPr>
          <w:rFonts w:eastAsia="黑体" w:cs="Times New Roman" w:hint="eastAsia"/>
          <w:b w:val="0"/>
          <w:sz w:val="21"/>
          <w:szCs w:val="21"/>
        </w:rPr>
        <w:t>（</w:t>
      </w:r>
      <w:r>
        <w:rPr>
          <w:rFonts w:eastAsia="黑体" w:cs="Times New Roman" w:hint="eastAsia"/>
          <w:b w:val="0"/>
          <w:sz w:val="21"/>
          <w:szCs w:val="21"/>
        </w:rPr>
        <w:t>A</w:t>
      </w:r>
      <w:r>
        <w:rPr>
          <w:rFonts w:eastAsia="黑体" w:cs="Times New Roman" w:hint="eastAsia"/>
          <w:b w:val="0"/>
          <w:sz w:val="21"/>
          <w:szCs w:val="21"/>
        </w:rPr>
        <w:t>）</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4"/>
        <w:gridCol w:w="1414"/>
        <w:gridCol w:w="1736"/>
        <w:gridCol w:w="2008"/>
        <w:gridCol w:w="722"/>
        <w:gridCol w:w="1065"/>
      </w:tblGrid>
      <w:tr w:rsidR="00C645C9">
        <w:trPr>
          <w:trHeight w:val="370"/>
          <w:jc w:val="center"/>
        </w:trPr>
        <w:tc>
          <w:tcPr>
            <w:tcW w:w="845" w:type="pct"/>
            <w:vAlign w:val="center"/>
          </w:tcPr>
          <w:p w:rsidR="00C645C9" w:rsidRDefault="00F955D9">
            <w:pPr>
              <w:pStyle w:val="afb"/>
            </w:pPr>
            <w:r>
              <w:t>场地</w:t>
            </w:r>
          </w:p>
        </w:tc>
        <w:tc>
          <w:tcPr>
            <w:tcW w:w="845" w:type="pct"/>
            <w:vAlign w:val="center"/>
          </w:tcPr>
          <w:p w:rsidR="00C645C9" w:rsidRDefault="00F955D9">
            <w:pPr>
              <w:pStyle w:val="afb"/>
            </w:pPr>
            <w:r>
              <w:t>场界</w:t>
            </w:r>
          </w:p>
        </w:tc>
        <w:tc>
          <w:tcPr>
            <w:tcW w:w="1038" w:type="pct"/>
            <w:vAlign w:val="center"/>
          </w:tcPr>
          <w:p w:rsidR="00C645C9" w:rsidRDefault="00F955D9">
            <w:pPr>
              <w:pStyle w:val="afb"/>
            </w:pPr>
            <w:r>
              <w:t>贡献值</w:t>
            </w:r>
          </w:p>
        </w:tc>
        <w:tc>
          <w:tcPr>
            <w:tcW w:w="1633" w:type="pct"/>
            <w:gridSpan w:val="2"/>
            <w:vAlign w:val="center"/>
          </w:tcPr>
          <w:p w:rsidR="00C645C9" w:rsidRDefault="00F955D9">
            <w:pPr>
              <w:pStyle w:val="afb"/>
            </w:pPr>
            <w:r>
              <w:t>标准值</w:t>
            </w:r>
          </w:p>
        </w:tc>
        <w:tc>
          <w:tcPr>
            <w:tcW w:w="637" w:type="pct"/>
            <w:vAlign w:val="center"/>
          </w:tcPr>
          <w:p w:rsidR="00C645C9" w:rsidRDefault="00F955D9">
            <w:pPr>
              <w:pStyle w:val="afb"/>
            </w:pPr>
            <w:r>
              <w:t>结论</w:t>
            </w:r>
          </w:p>
        </w:tc>
      </w:tr>
      <w:tr w:rsidR="00C645C9">
        <w:trPr>
          <w:trHeight w:val="325"/>
          <w:jc w:val="center"/>
        </w:trPr>
        <w:tc>
          <w:tcPr>
            <w:tcW w:w="845" w:type="pct"/>
            <w:vMerge w:val="restart"/>
            <w:vAlign w:val="center"/>
          </w:tcPr>
          <w:p w:rsidR="00C645C9" w:rsidRDefault="00F955D9">
            <w:pPr>
              <w:pStyle w:val="afb"/>
            </w:pPr>
            <w:r>
              <w:t>井场</w:t>
            </w:r>
          </w:p>
        </w:tc>
        <w:tc>
          <w:tcPr>
            <w:tcW w:w="845" w:type="pct"/>
            <w:vMerge w:val="restart"/>
            <w:vAlign w:val="center"/>
          </w:tcPr>
          <w:p w:rsidR="00C645C9" w:rsidRDefault="00F955D9">
            <w:pPr>
              <w:pStyle w:val="afb"/>
            </w:pPr>
            <w:r>
              <w:t>东场界</w:t>
            </w:r>
          </w:p>
        </w:tc>
        <w:tc>
          <w:tcPr>
            <w:tcW w:w="1038" w:type="pct"/>
            <w:vMerge w:val="restart"/>
            <w:vAlign w:val="center"/>
          </w:tcPr>
          <w:p w:rsidR="00C645C9" w:rsidRDefault="00F955D9">
            <w:pPr>
              <w:pStyle w:val="afb"/>
            </w:pPr>
            <w:r>
              <w:t>4</w:t>
            </w:r>
            <w:r>
              <w:rPr>
                <w:rFonts w:hint="eastAsia"/>
              </w:rPr>
              <w:t>7.7</w:t>
            </w:r>
          </w:p>
        </w:tc>
        <w:tc>
          <w:tcPr>
            <w:tcW w:w="1201" w:type="pct"/>
            <w:vAlign w:val="center"/>
          </w:tcPr>
          <w:p w:rsidR="00C645C9" w:rsidRDefault="00F955D9">
            <w:pPr>
              <w:pStyle w:val="afb"/>
            </w:pPr>
            <w:r>
              <w:t>昼间</w:t>
            </w:r>
          </w:p>
        </w:tc>
        <w:tc>
          <w:tcPr>
            <w:tcW w:w="432" w:type="pct"/>
            <w:vAlign w:val="center"/>
          </w:tcPr>
          <w:p w:rsidR="00C645C9" w:rsidRDefault="00F955D9">
            <w:pPr>
              <w:pStyle w:val="afb"/>
            </w:pPr>
            <w:r>
              <w:t>60</w:t>
            </w:r>
          </w:p>
        </w:tc>
        <w:tc>
          <w:tcPr>
            <w:tcW w:w="637" w:type="pct"/>
            <w:vAlign w:val="center"/>
          </w:tcPr>
          <w:p w:rsidR="00C645C9" w:rsidRDefault="00F955D9">
            <w:pPr>
              <w:pStyle w:val="afb"/>
            </w:pPr>
            <w:r>
              <w:t>达标</w:t>
            </w:r>
          </w:p>
        </w:tc>
      </w:tr>
      <w:tr w:rsidR="00C645C9">
        <w:trPr>
          <w:trHeight w:val="220"/>
          <w:jc w:val="center"/>
        </w:trPr>
        <w:tc>
          <w:tcPr>
            <w:tcW w:w="845" w:type="pct"/>
            <w:vMerge/>
            <w:vAlign w:val="center"/>
          </w:tcPr>
          <w:p w:rsidR="00C645C9" w:rsidRDefault="00C645C9"/>
        </w:tc>
        <w:tc>
          <w:tcPr>
            <w:tcW w:w="845" w:type="pct"/>
            <w:vMerge/>
            <w:vAlign w:val="center"/>
          </w:tcPr>
          <w:p w:rsidR="00C645C9" w:rsidRDefault="00C645C9"/>
        </w:tc>
        <w:tc>
          <w:tcPr>
            <w:tcW w:w="1038" w:type="pct"/>
            <w:vMerge/>
            <w:vAlign w:val="center"/>
          </w:tcPr>
          <w:p w:rsidR="00C645C9" w:rsidRDefault="00C645C9"/>
        </w:tc>
        <w:tc>
          <w:tcPr>
            <w:tcW w:w="1201" w:type="pct"/>
            <w:vAlign w:val="center"/>
          </w:tcPr>
          <w:p w:rsidR="00C645C9" w:rsidRDefault="00F955D9">
            <w:pPr>
              <w:pStyle w:val="afb"/>
            </w:pPr>
            <w:r>
              <w:t>夜间</w:t>
            </w:r>
          </w:p>
        </w:tc>
        <w:tc>
          <w:tcPr>
            <w:tcW w:w="432" w:type="pct"/>
            <w:vAlign w:val="center"/>
          </w:tcPr>
          <w:p w:rsidR="00C645C9" w:rsidRDefault="00F955D9">
            <w:pPr>
              <w:pStyle w:val="afb"/>
            </w:pPr>
            <w:r>
              <w:t>50</w:t>
            </w:r>
          </w:p>
        </w:tc>
        <w:tc>
          <w:tcPr>
            <w:tcW w:w="637" w:type="pct"/>
            <w:vAlign w:val="center"/>
          </w:tcPr>
          <w:p w:rsidR="00C645C9" w:rsidRDefault="00F955D9">
            <w:pPr>
              <w:pStyle w:val="afb"/>
            </w:pPr>
            <w:r>
              <w:t>达标</w:t>
            </w:r>
          </w:p>
        </w:tc>
      </w:tr>
      <w:tr w:rsidR="00C645C9">
        <w:trPr>
          <w:trHeight w:val="220"/>
          <w:jc w:val="center"/>
        </w:trPr>
        <w:tc>
          <w:tcPr>
            <w:tcW w:w="845" w:type="pct"/>
            <w:vMerge/>
            <w:vAlign w:val="center"/>
          </w:tcPr>
          <w:p w:rsidR="00C645C9" w:rsidRDefault="00C645C9"/>
        </w:tc>
        <w:tc>
          <w:tcPr>
            <w:tcW w:w="845" w:type="pct"/>
            <w:vMerge w:val="restart"/>
            <w:vAlign w:val="center"/>
          </w:tcPr>
          <w:p w:rsidR="00C645C9" w:rsidRDefault="00F955D9">
            <w:pPr>
              <w:pStyle w:val="afb"/>
            </w:pPr>
            <w:r>
              <w:t>南场界</w:t>
            </w:r>
          </w:p>
        </w:tc>
        <w:tc>
          <w:tcPr>
            <w:tcW w:w="1038" w:type="pct"/>
            <w:vMerge w:val="restart"/>
            <w:vAlign w:val="center"/>
          </w:tcPr>
          <w:p w:rsidR="00C645C9" w:rsidRDefault="00F955D9">
            <w:pPr>
              <w:pStyle w:val="afb"/>
            </w:pPr>
            <w:r>
              <w:rPr>
                <w:rFonts w:hint="eastAsia"/>
              </w:rPr>
              <w:t>41.7</w:t>
            </w:r>
          </w:p>
        </w:tc>
        <w:tc>
          <w:tcPr>
            <w:tcW w:w="1201" w:type="pct"/>
            <w:vAlign w:val="center"/>
          </w:tcPr>
          <w:p w:rsidR="00C645C9" w:rsidRDefault="00F955D9">
            <w:pPr>
              <w:pStyle w:val="afb"/>
            </w:pPr>
            <w:r>
              <w:t>昼间</w:t>
            </w:r>
          </w:p>
        </w:tc>
        <w:tc>
          <w:tcPr>
            <w:tcW w:w="432" w:type="pct"/>
            <w:vAlign w:val="center"/>
          </w:tcPr>
          <w:p w:rsidR="00C645C9" w:rsidRDefault="00F955D9">
            <w:pPr>
              <w:pStyle w:val="afb"/>
            </w:pPr>
            <w:r>
              <w:t>60</w:t>
            </w:r>
          </w:p>
        </w:tc>
        <w:tc>
          <w:tcPr>
            <w:tcW w:w="637" w:type="pct"/>
            <w:vAlign w:val="center"/>
          </w:tcPr>
          <w:p w:rsidR="00C645C9" w:rsidRDefault="00F955D9">
            <w:pPr>
              <w:pStyle w:val="afb"/>
            </w:pPr>
            <w:r>
              <w:t>达标</w:t>
            </w:r>
          </w:p>
        </w:tc>
      </w:tr>
      <w:tr w:rsidR="00C645C9">
        <w:trPr>
          <w:trHeight w:val="310"/>
          <w:jc w:val="center"/>
        </w:trPr>
        <w:tc>
          <w:tcPr>
            <w:tcW w:w="845" w:type="pct"/>
            <w:vMerge/>
            <w:vAlign w:val="center"/>
          </w:tcPr>
          <w:p w:rsidR="00C645C9" w:rsidRDefault="00C645C9"/>
        </w:tc>
        <w:tc>
          <w:tcPr>
            <w:tcW w:w="845" w:type="pct"/>
            <w:vMerge/>
            <w:vAlign w:val="center"/>
          </w:tcPr>
          <w:p w:rsidR="00C645C9" w:rsidRDefault="00C645C9"/>
        </w:tc>
        <w:tc>
          <w:tcPr>
            <w:tcW w:w="1038" w:type="pct"/>
            <w:vMerge/>
            <w:vAlign w:val="center"/>
          </w:tcPr>
          <w:p w:rsidR="00C645C9" w:rsidRDefault="00C645C9"/>
        </w:tc>
        <w:tc>
          <w:tcPr>
            <w:tcW w:w="1201" w:type="pct"/>
            <w:vAlign w:val="center"/>
          </w:tcPr>
          <w:p w:rsidR="00C645C9" w:rsidRDefault="00F955D9">
            <w:pPr>
              <w:pStyle w:val="afb"/>
            </w:pPr>
            <w:r>
              <w:t>夜间</w:t>
            </w:r>
          </w:p>
        </w:tc>
        <w:tc>
          <w:tcPr>
            <w:tcW w:w="432" w:type="pct"/>
            <w:vAlign w:val="center"/>
          </w:tcPr>
          <w:p w:rsidR="00C645C9" w:rsidRDefault="00F955D9">
            <w:pPr>
              <w:pStyle w:val="afb"/>
            </w:pPr>
            <w:r>
              <w:t>50</w:t>
            </w:r>
          </w:p>
        </w:tc>
        <w:tc>
          <w:tcPr>
            <w:tcW w:w="637" w:type="pct"/>
            <w:vAlign w:val="center"/>
          </w:tcPr>
          <w:p w:rsidR="00C645C9" w:rsidRDefault="00F955D9">
            <w:pPr>
              <w:pStyle w:val="afb"/>
            </w:pPr>
            <w:r>
              <w:t>达标</w:t>
            </w:r>
          </w:p>
        </w:tc>
      </w:tr>
      <w:tr w:rsidR="00C645C9">
        <w:trPr>
          <w:trHeight w:val="310"/>
          <w:jc w:val="center"/>
        </w:trPr>
        <w:tc>
          <w:tcPr>
            <w:tcW w:w="845" w:type="pct"/>
            <w:vMerge/>
            <w:vAlign w:val="center"/>
          </w:tcPr>
          <w:p w:rsidR="00C645C9" w:rsidRDefault="00C645C9"/>
        </w:tc>
        <w:tc>
          <w:tcPr>
            <w:tcW w:w="845" w:type="pct"/>
            <w:vMerge w:val="restart"/>
            <w:vAlign w:val="center"/>
          </w:tcPr>
          <w:p w:rsidR="00C645C9" w:rsidRDefault="00F955D9">
            <w:pPr>
              <w:pStyle w:val="afb"/>
            </w:pPr>
            <w:r>
              <w:t>西场界</w:t>
            </w:r>
          </w:p>
        </w:tc>
        <w:tc>
          <w:tcPr>
            <w:tcW w:w="1038" w:type="pct"/>
            <w:vMerge w:val="restart"/>
            <w:vAlign w:val="center"/>
          </w:tcPr>
          <w:p w:rsidR="00C645C9" w:rsidRDefault="00F955D9">
            <w:pPr>
              <w:pStyle w:val="afb"/>
            </w:pPr>
            <w:r>
              <w:rPr>
                <w:rFonts w:hint="eastAsia"/>
              </w:rPr>
              <w:t>39.1</w:t>
            </w:r>
          </w:p>
        </w:tc>
        <w:tc>
          <w:tcPr>
            <w:tcW w:w="1201" w:type="pct"/>
            <w:vAlign w:val="center"/>
          </w:tcPr>
          <w:p w:rsidR="00C645C9" w:rsidRDefault="00F955D9">
            <w:pPr>
              <w:pStyle w:val="afb"/>
            </w:pPr>
            <w:r>
              <w:t>昼间</w:t>
            </w:r>
          </w:p>
        </w:tc>
        <w:tc>
          <w:tcPr>
            <w:tcW w:w="432" w:type="pct"/>
            <w:vAlign w:val="center"/>
          </w:tcPr>
          <w:p w:rsidR="00C645C9" w:rsidRDefault="00F955D9">
            <w:pPr>
              <w:pStyle w:val="afb"/>
            </w:pPr>
            <w:r>
              <w:t>60</w:t>
            </w:r>
          </w:p>
        </w:tc>
        <w:tc>
          <w:tcPr>
            <w:tcW w:w="637" w:type="pct"/>
            <w:vAlign w:val="center"/>
          </w:tcPr>
          <w:p w:rsidR="00C645C9" w:rsidRDefault="00F955D9">
            <w:pPr>
              <w:pStyle w:val="afb"/>
            </w:pPr>
            <w:r>
              <w:t>达标</w:t>
            </w:r>
          </w:p>
        </w:tc>
      </w:tr>
      <w:tr w:rsidR="00C645C9">
        <w:trPr>
          <w:trHeight w:val="280"/>
          <w:jc w:val="center"/>
        </w:trPr>
        <w:tc>
          <w:tcPr>
            <w:tcW w:w="845" w:type="pct"/>
            <w:vMerge/>
            <w:vAlign w:val="center"/>
          </w:tcPr>
          <w:p w:rsidR="00C645C9" w:rsidRDefault="00C645C9"/>
        </w:tc>
        <w:tc>
          <w:tcPr>
            <w:tcW w:w="845" w:type="pct"/>
            <w:vMerge/>
            <w:vAlign w:val="center"/>
          </w:tcPr>
          <w:p w:rsidR="00C645C9" w:rsidRDefault="00C645C9"/>
        </w:tc>
        <w:tc>
          <w:tcPr>
            <w:tcW w:w="1038" w:type="pct"/>
            <w:vMerge/>
            <w:vAlign w:val="center"/>
          </w:tcPr>
          <w:p w:rsidR="00C645C9" w:rsidRDefault="00C645C9"/>
        </w:tc>
        <w:tc>
          <w:tcPr>
            <w:tcW w:w="1201" w:type="pct"/>
            <w:vAlign w:val="center"/>
          </w:tcPr>
          <w:p w:rsidR="00C645C9" w:rsidRDefault="00F955D9">
            <w:pPr>
              <w:pStyle w:val="afb"/>
            </w:pPr>
            <w:r>
              <w:t>夜间</w:t>
            </w:r>
          </w:p>
        </w:tc>
        <w:tc>
          <w:tcPr>
            <w:tcW w:w="432" w:type="pct"/>
            <w:vAlign w:val="center"/>
          </w:tcPr>
          <w:p w:rsidR="00C645C9" w:rsidRDefault="00F955D9">
            <w:pPr>
              <w:pStyle w:val="afb"/>
            </w:pPr>
            <w:r>
              <w:t>50</w:t>
            </w:r>
          </w:p>
        </w:tc>
        <w:tc>
          <w:tcPr>
            <w:tcW w:w="637" w:type="pct"/>
            <w:vAlign w:val="center"/>
          </w:tcPr>
          <w:p w:rsidR="00C645C9" w:rsidRDefault="00F955D9">
            <w:pPr>
              <w:pStyle w:val="afb"/>
            </w:pPr>
            <w:r>
              <w:t>达标</w:t>
            </w:r>
          </w:p>
        </w:tc>
      </w:tr>
      <w:tr w:rsidR="00C645C9">
        <w:trPr>
          <w:trHeight w:val="295"/>
          <w:jc w:val="center"/>
        </w:trPr>
        <w:tc>
          <w:tcPr>
            <w:tcW w:w="845" w:type="pct"/>
            <w:vMerge/>
            <w:vAlign w:val="center"/>
          </w:tcPr>
          <w:p w:rsidR="00C645C9" w:rsidRDefault="00C645C9"/>
        </w:tc>
        <w:tc>
          <w:tcPr>
            <w:tcW w:w="845" w:type="pct"/>
            <w:vMerge w:val="restart"/>
            <w:vAlign w:val="center"/>
          </w:tcPr>
          <w:p w:rsidR="00C645C9" w:rsidRDefault="00F955D9">
            <w:pPr>
              <w:pStyle w:val="afb"/>
            </w:pPr>
            <w:r>
              <w:t>北场界</w:t>
            </w:r>
          </w:p>
        </w:tc>
        <w:tc>
          <w:tcPr>
            <w:tcW w:w="1038" w:type="pct"/>
            <w:vMerge w:val="restart"/>
            <w:vAlign w:val="center"/>
          </w:tcPr>
          <w:p w:rsidR="00C645C9" w:rsidRDefault="00F955D9">
            <w:pPr>
              <w:pStyle w:val="afb"/>
            </w:pPr>
            <w:r>
              <w:rPr>
                <w:rFonts w:hint="eastAsia"/>
              </w:rPr>
              <w:t>37.1</w:t>
            </w:r>
          </w:p>
        </w:tc>
        <w:tc>
          <w:tcPr>
            <w:tcW w:w="1201" w:type="pct"/>
            <w:vAlign w:val="center"/>
          </w:tcPr>
          <w:p w:rsidR="00C645C9" w:rsidRDefault="00F955D9">
            <w:pPr>
              <w:pStyle w:val="afb"/>
            </w:pPr>
            <w:r>
              <w:t>昼间</w:t>
            </w:r>
          </w:p>
        </w:tc>
        <w:tc>
          <w:tcPr>
            <w:tcW w:w="432" w:type="pct"/>
            <w:vAlign w:val="center"/>
          </w:tcPr>
          <w:p w:rsidR="00C645C9" w:rsidRDefault="00F955D9">
            <w:pPr>
              <w:pStyle w:val="afb"/>
            </w:pPr>
            <w:r>
              <w:t>60</w:t>
            </w:r>
          </w:p>
        </w:tc>
        <w:tc>
          <w:tcPr>
            <w:tcW w:w="637" w:type="pct"/>
            <w:vAlign w:val="center"/>
          </w:tcPr>
          <w:p w:rsidR="00C645C9" w:rsidRDefault="00F955D9">
            <w:pPr>
              <w:pStyle w:val="afb"/>
            </w:pPr>
            <w:r>
              <w:t>达标</w:t>
            </w:r>
          </w:p>
        </w:tc>
      </w:tr>
      <w:tr w:rsidR="00C645C9">
        <w:trPr>
          <w:trHeight w:val="310"/>
          <w:jc w:val="center"/>
        </w:trPr>
        <w:tc>
          <w:tcPr>
            <w:tcW w:w="845" w:type="pct"/>
            <w:vMerge/>
            <w:vAlign w:val="center"/>
          </w:tcPr>
          <w:p w:rsidR="00C645C9" w:rsidRDefault="00C645C9"/>
        </w:tc>
        <w:tc>
          <w:tcPr>
            <w:tcW w:w="845" w:type="pct"/>
            <w:vMerge/>
            <w:vAlign w:val="center"/>
          </w:tcPr>
          <w:p w:rsidR="00C645C9" w:rsidRDefault="00C645C9"/>
        </w:tc>
        <w:tc>
          <w:tcPr>
            <w:tcW w:w="1038" w:type="pct"/>
            <w:vMerge/>
            <w:vAlign w:val="center"/>
          </w:tcPr>
          <w:p w:rsidR="00C645C9" w:rsidRDefault="00C645C9"/>
        </w:tc>
        <w:tc>
          <w:tcPr>
            <w:tcW w:w="1201" w:type="pct"/>
            <w:vAlign w:val="center"/>
          </w:tcPr>
          <w:p w:rsidR="00C645C9" w:rsidRDefault="00F955D9">
            <w:pPr>
              <w:pStyle w:val="afb"/>
            </w:pPr>
            <w:r>
              <w:t>夜间</w:t>
            </w:r>
          </w:p>
        </w:tc>
        <w:tc>
          <w:tcPr>
            <w:tcW w:w="432" w:type="pct"/>
            <w:vAlign w:val="center"/>
          </w:tcPr>
          <w:p w:rsidR="00C645C9" w:rsidRDefault="00F955D9">
            <w:pPr>
              <w:pStyle w:val="afb"/>
            </w:pPr>
            <w:r>
              <w:t>50</w:t>
            </w:r>
          </w:p>
        </w:tc>
        <w:tc>
          <w:tcPr>
            <w:tcW w:w="637" w:type="pct"/>
            <w:vAlign w:val="center"/>
          </w:tcPr>
          <w:p w:rsidR="00C645C9" w:rsidRDefault="00F955D9">
            <w:pPr>
              <w:pStyle w:val="afb"/>
            </w:pPr>
            <w:r>
              <w:t>达标</w:t>
            </w:r>
          </w:p>
        </w:tc>
      </w:tr>
    </w:tbl>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由表</w:t>
      </w:r>
      <w:r>
        <w:rPr>
          <w:rFonts w:cs="Times New Roman" w:hint="eastAsia"/>
          <w:spacing w:val="4"/>
          <w:kern w:val="24"/>
        </w:rPr>
        <w:t>5.6-3</w:t>
      </w:r>
      <w:r>
        <w:rPr>
          <w:rFonts w:cs="Times New Roman"/>
          <w:spacing w:val="4"/>
          <w:kern w:val="24"/>
        </w:rPr>
        <w:t>可知，井场噪声源对场界的噪声贡献值昼间、夜间为</w:t>
      </w:r>
      <w:r>
        <w:rPr>
          <w:rFonts w:cs="Times New Roman" w:hint="eastAsia"/>
          <w:spacing w:val="4"/>
          <w:kern w:val="24"/>
        </w:rPr>
        <w:t>37.1</w:t>
      </w:r>
      <w:r>
        <w:rPr>
          <w:rFonts w:cs="Times New Roman"/>
          <w:spacing w:val="4"/>
          <w:kern w:val="24"/>
        </w:rPr>
        <w:t>～</w:t>
      </w:r>
      <w:r>
        <w:rPr>
          <w:rFonts w:cs="Times New Roman"/>
          <w:spacing w:val="4"/>
          <w:kern w:val="24"/>
        </w:rPr>
        <w:t>4</w:t>
      </w:r>
      <w:r>
        <w:rPr>
          <w:rFonts w:cs="Times New Roman" w:hint="eastAsia"/>
          <w:spacing w:val="4"/>
          <w:kern w:val="24"/>
        </w:rPr>
        <w:t>7.7</w:t>
      </w:r>
      <w:r>
        <w:rPr>
          <w:rFonts w:cs="Times New Roman"/>
          <w:spacing w:val="4"/>
          <w:kern w:val="24"/>
        </w:rPr>
        <w:t>dB</w:t>
      </w:r>
      <w:r>
        <w:rPr>
          <w:rFonts w:cs="Times New Roman" w:hint="eastAsia"/>
          <w:spacing w:val="4"/>
          <w:kern w:val="24"/>
        </w:rPr>
        <w:t>（</w:t>
      </w:r>
      <w:r>
        <w:rPr>
          <w:rFonts w:cs="Times New Roman"/>
          <w:spacing w:val="4"/>
          <w:kern w:val="24"/>
        </w:rPr>
        <w:t>A</w:t>
      </w:r>
      <w:r>
        <w:rPr>
          <w:rFonts w:cs="Times New Roman" w:hint="eastAsia"/>
          <w:spacing w:val="4"/>
          <w:kern w:val="24"/>
        </w:rPr>
        <w:t>）</w:t>
      </w:r>
      <w:r>
        <w:rPr>
          <w:rFonts w:cs="Times New Roman"/>
          <w:spacing w:val="4"/>
          <w:kern w:val="24"/>
        </w:rPr>
        <w:t>，满足《</w:t>
      </w:r>
      <w:bookmarkStart w:id="1620" w:name="OLE_LINK1216"/>
      <w:r>
        <w:rPr>
          <w:rFonts w:cs="Times New Roman"/>
          <w:spacing w:val="4"/>
          <w:kern w:val="24"/>
        </w:rPr>
        <w:t>工业企业厂界环境噪声排放标准</w:t>
      </w:r>
      <w:bookmarkEnd w:id="1620"/>
      <w:r>
        <w:rPr>
          <w:rFonts w:cs="Times New Roman"/>
          <w:spacing w:val="4"/>
          <w:kern w:val="24"/>
        </w:rPr>
        <w:t>》</w:t>
      </w:r>
      <w:r>
        <w:rPr>
          <w:rFonts w:cs="Times New Roman" w:hint="eastAsia"/>
          <w:spacing w:val="4"/>
          <w:kern w:val="24"/>
        </w:rPr>
        <w:t>（</w:t>
      </w:r>
      <w:r>
        <w:rPr>
          <w:rFonts w:cs="Times New Roman"/>
          <w:spacing w:val="4"/>
          <w:kern w:val="24"/>
        </w:rPr>
        <w:t>GB12348-2008</w:t>
      </w:r>
      <w:r>
        <w:rPr>
          <w:rFonts w:cs="Times New Roman" w:hint="eastAsia"/>
          <w:spacing w:val="4"/>
          <w:kern w:val="24"/>
        </w:rPr>
        <w:t>）</w:t>
      </w:r>
      <w:r>
        <w:rPr>
          <w:rFonts w:cs="Times New Roman"/>
          <w:spacing w:val="4"/>
          <w:kern w:val="24"/>
        </w:rPr>
        <w:t>中</w:t>
      </w:r>
      <w:r>
        <w:rPr>
          <w:rFonts w:cs="Times New Roman"/>
          <w:spacing w:val="4"/>
          <w:kern w:val="24"/>
        </w:rPr>
        <w:t>2</w:t>
      </w:r>
      <w:r>
        <w:rPr>
          <w:rFonts w:cs="Times New Roman"/>
          <w:spacing w:val="4"/>
          <w:kern w:val="24"/>
        </w:rPr>
        <w:t>类区昼间、夜间标准要求。</w:t>
      </w:r>
    </w:p>
    <w:p w:rsidR="00C645C9" w:rsidRDefault="00F955D9">
      <w:pPr>
        <w:adjustRightInd w:val="0"/>
        <w:snapToGrid w:val="0"/>
        <w:spacing w:line="360" w:lineRule="auto"/>
        <w:ind w:firstLineChars="200" w:firstLine="496"/>
        <w:jc w:val="both"/>
        <w:rPr>
          <w:rFonts w:cs="Times New Roman"/>
          <w:spacing w:val="4"/>
          <w:kern w:val="24"/>
        </w:rPr>
      </w:pPr>
      <w:r>
        <w:rPr>
          <w:rFonts w:cs="Times New Roman"/>
          <w:spacing w:val="4"/>
          <w:kern w:val="24"/>
        </w:rPr>
        <w:t>综上，本工程实施后不会对周边声环境产生明显影响，</w:t>
      </w:r>
      <w:r>
        <w:rPr>
          <w:rFonts w:cs="Times New Roman" w:hint="eastAsia"/>
          <w:spacing w:val="4"/>
          <w:kern w:val="24"/>
        </w:rPr>
        <w:t>本工程</w:t>
      </w:r>
      <w:r>
        <w:rPr>
          <w:rFonts w:cs="Times New Roman"/>
          <w:spacing w:val="4"/>
          <w:kern w:val="24"/>
        </w:rPr>
        <w:t>周边无噪声敏感目标，不会造成噪声污染。</w:t>
      </w:r>
    </w:p>
    <w:p w:rsidR="00C645C9" w:rsidRDefault="00F955D9">
      <w:pPr>
        <w:pStyle w:val="4"/>
        <w:adjustRightInd w:val="0"/>
        <w:snapToGrid w:val="0"/>
        <w:jc w:val="both"/>
        <w:rPr>
          <w:rFonts w:ascii="Times New Roman" w:hAnsi="Times New Roman" w:cs="Times New Roman"/>
          <w:color w:val="auto"/>
          <w:lang w:eastAsia="zh-CN"/>
        </w:rPr>
      </w:pPr>
      <w:r>
        <w:rPr>
          <w:rFonts w:ascii="Times New Roman" w:hAnsi="Times New Roman" w:cs="Times New Roman"/>
          <w:color w:val="auto"/>
          <w:lang w:eastAsia="zh-CN"/>
        </w:rPr>
        <w:t>5.</w:t>
      </w:r>
      <w:r>
        <w:rPr>
          <w:rFonts w:ascii="Times New Roman" w:hAnsi="Times New Roman" w:cs="Times New Roman"/>
          <w:color w:val="auto"/>
          <w:lang w:eastAsia="zh-CN"/>
        </w:rPr>
        <w:t>6</w:t>
      </w:r>
      <w:r>
        <w:rPr>
          <w:rFonts w:ascii="Times New Roman" w:hAnsi="Times New Roman" w:cs="Times New Roman"/>
          <w:color w:val="auto"/>
          <w:lang w:eastAsia="zh-CN"/>
        </w:rPr>
        <w:t>.2.</w:t>
      </w:r>
      <w:r>
        <w:rPr>
          <w:rFonts w:ascii="Times New Roman" w:hAnsi="Times New Roman" w:cs="Times New Roman"/>
          <w:color w:val="auto"/>
          <w:lang w:eastAsia="zh-CN"/>
        </w:rPr>
        <w:t>3</w:t>
      </w:r>
      <w:r>
        <w:rPr>
          <w:rFonts w:ascii="Times New Roman" w:hAnsi="Times New Roman" w:cs="Times New Roman"/>
          <w:color w:val="auto"/>
          <w:lang w:eastAsia="zh-CN"/>
        </w:rPr>
        <w:t>井下作业噪声环境影响分析</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井下作业过程中最强的噪声源为压裂车噪声，最高可达</w:t>
      </w:r>
      <w:r>
        <w:rPr>
          <w:rFonts w:cs="Times New Roman"/>
          <w:spacing w:val="4"/>
          <w:kern w:val="24"/>
        </w:rPr>
        <w:t>120dB</w:t>
      </w:r>
      <w:r>
        <w:rPr>
          <w:rFonts w:cs="Times New Roman" w:hint="eastAsia"/>
          <w:spacing w:val="4"/>
          <w:kern w:val="24"/>
        </w:rPr>
        <w:t>（</w:t>
      </w:r>
      <w:r>
        <w:rPr>
          <w:rFonts w:cs="Times New Roman"/>
          <w:spacing w:val="4"/>
          <w:kern w:val="24"/>
        </w:rPr>
        <w:t>A</w:t>
      </w:r>
      <w:r>
        <w:rPr>
          <w:rFonts w:cs="Times New Roman" w:hint="eastAsia"/>
          <w:spacing w:val="4"/>
          <w:kern w:val="24"/>
        </w:rPr>
        <w:t>）</w:t>
      </w:r>
      <w:r>
        <w:rPr>
          <w:rFonts w:cs="Times New Roman"/>
          <w:spacing w:val="4"/>
          <w:kern w:val="24"/>
        </w:rPr>
        <w:t>，导致作业现场周围噪声超出《</w:t>
      </w:r>
      <w:bookmarkStart w:id="1621" w:name="OLE_LINK1217"/>
      <w:r>
        <w:rPr>
          <w:rFonts w:cs="Times New Roman"/>
          <w:spacing w:val="4"/>
          <w:kern w:val="24"/>
        </w:rPr>
        <w:t>建筑施工场界环境噪声排放标准</w:t>
      </w:r>
      <w:bookmarkEnd w:id="1621"/>
      <w:r>
        <w:rPr>
          <w:rFonts w:cs="Times New Roman"/>
          <w:spacing w:val="4"/>
          <w:kern w:val="24"/>
        </w:rPr>
        <w:t>》（</w:t>
      </w:r>
      <w:r>
        <w:rPr>
          <w:rFonts w:cs="Times New Roman"/>
          <w:spacing w:val="4"/>
          <w:kern w:val="24"/>
        </w:rPr>
        <w:t>GB12523-2011</w:t>
      </w:r>
      <w:r>
        <w:rPr>
          <w:rFonts w:cs="Times New Roman"/>
          <w:spacing w:val="4"/>
          <w:kern w:val="24"/>
        </w:rPr>
        <w:t>）标准要求，但是由于油井多分布在空旷地带，加上井下作业周期较短，声源具有不固定性和不稳定性，在施工时，对高噪声设备设置临时屏蔽设施，则其对周围环境的影响是可以接受的。</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622" w:name="_Toc6147"/>
      <w:bookmarkStart w:id="1623" w:name="_Toc30088"/>
      <w:bookmarkStart w:id="1624" w:name="_Toc4540"/>
      <w:bookmarkEnd w:id="1618"/>
      <w:r>
        <w:rPr>
          <w:rFonts w:ascii="Times New Roman" w:hAnsi="Times New Roman" w:cs="Times New Roman"/>
          <w:color w:val="auto"/>
          <w:lang w:eastAsia="zh-CN"/>
        </w:rPr>
        <w:t>5.</w:t>
      </w:r>
      <w:bookmarkEnd w:id="1622"/>
      <w:bookmarkEnd w:id="1623"/>
      <w:bookmarkEnd w:id="1624"/>
      <w:r>
        <w:rPr>
          <w:rFonts w:ascii="Times New Roman" w:hAnsi="Times New Roman" w:cs="Times New Roman"/>
          <w:color w:val="auto"/>
          <w:lang w:eastAsia="zh-CN"/>
        </w:rPr>
        <w:t>6.3</w:t>
      </w:r>
      <w:r>
        <w:rPr>
          <w:rFonts w:ascii="Times New Roman" w:hAnsi="Times New Roman" w:cs="Times New Roman"/>
          <w:color w:val="auto"/>
          <w:lang w:eastAsia="zh-CN"/>
        </w:rPr>
        <w:t>退役期声环境影响分析</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本工程退役期，噪声主要源自井场</w:t>
      </w:r>
      <w:r>
        <w:rPr>
          <w:rFonts w:cs="Times New Roman"/>
          <w:spacing w:val="4"/>
          <w:kern w:val="24"/>
        </w:rPr>
        <w:t>设备拆卸，且</w:t>
      </w:r>
      <w:r>
        <w:rPr>
          <w:rFonts w:cs="Times New Roman" w:hint="eastAsia"/>
          <w:spacing w:val="4"/>
          <w:kern w:val="24"/>
        </w:rPr>
        <w:t>本工程</w:t>
      </w:r>
      <w:r>
        <w:rPr>
          <w:rFonts w:cs="Times New Roman"/>
          <w:spacing w:val="4"/>
          <w:kern w:val="24"/>
        </w:rPr>
        <w:t>周边无声环境敏感目标，不会造成噪声污染。</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bookmarkStart w:id="1625" w:name="_Toc12962"/>
      <w:bookmarkStart w:id="1626" w:name="_Toc7189"/>
      <w:bookmarkStart w:id="1627" w:name="_Toc8204"/>
      <w:bookmarkStart w:id="1628" w:name="OLE_LINK989"/>
      <w:r>
        <w:rPr>
          <w:rFonts w:ascii="Times New Roman" w:hAnsi="Times New Roman" w:cs="Times New Roman"/>
          <w:color w:val="auto"/>
          <w:lang w:eastAsia="zh-CN"/>
        </w:rPr>
        <w:t>5.</w:t>
      </w:r>
      <w:bookmarkEnd w:id="1625"/>
      <w:bookmarkEnd w:id="1626"/>
      <w:bookmarkEnd w:id="1627"/>
      <w:r>
        <w:rPr>
          <w:rFonts w:ascii="Times New Roman" w:hAnsi="Times New Roman" w:cs="Times New Roman"/>
          <w:color w:val="auto"/>
          <w:lang w:eastAsia="zh-CN"/>
        </w:rPr>
        <w:t>6.4</w:t>
      </w:r>
      <w:r>
        <w:rPr>
          <w:rFonts w:ascii="Times New Roman" w:hAnsi="Times New Roman" w:cs="Times New Roman"/>
          <w:color w:val="auto"/>
          <w:lang w:eastAsia="zh-CN"/>
        </w:rPr>
        <w:t>声环境影响评价结论</w:t>
      </w:r>
    </w:p>
    <w:bookmarkEnd w:id="1628"/>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综上所述，本工程施工期噪声源主要是各类施工机械和运输车辆。施工期噪声影响是短暂的，随施工结束即消失。</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lastRenderedPageBreak/>
        <w:t>本工程运营期产生的噪声主要包括泵撬等设备运转噪声，以及井下作业噪声等。井场设备噪声源强较低，影响范围有限，类比同类井场，正常生产时，单井井场厂界噪声值较低，能够满足</w:t>
      </w:r>
      <w:r>
        <w:rPr>
          <w:rFonts w:cs="Times New Roman"/>
          <w:spacing w:val="4"/>
          <w:kern w:val="24"/>
          <w:lang w:val="zh-CN"/>
        </w:rPr>
        <w:t>《</w:t>
      </w:r>
      <w:bookmarkStart w:id="1629" w:name="OLE_LINK1218"/>
      <w:r>
        <w:rPr>
          <w:rFonts w:cs="Times New Roman"/>
          <w:spacing w:val="4"/>
          <w:kern w:val="24"/>
          <w:lang w:val="zh-CN"/>
        </w:rPr>
        <w:t>工业企业厂界环境噪声排放标准</w:t>
      </w:r>
      <w:bookmarkEnd w:id="1629"/>
      <w:r>
        <w:rPr>
          <w:rFonts w:cs="Times New Roman"/>
          <w:spacing w:val="4"/>
          <w:kern w:val="24"/>
          <w:lang w:val="zh-CN"/>
        </w:rPr>
        <w:t>》（</w:t>
      </w:r>
      <w:r>
        <w:rPr>
          <w:rFonts w:cs="Times New Roman"/>
          <w:spacing w:val="4"/>
          <w:kern w:val="24"/>
          <w:lang w:val="zh-CN"/>
        </w:rPr>
        <w:t>GB12348-2008</w:t>
      </w:r>
      <w:r>
        <w:rPr>
          <w:rFonts w:cs="Times New Roman"/>
          <w:spacing w:val="4"/>
          <w:kern w:val="24"/>
          <w:lang w:val="zh-CN"/>
        </w:rPr>
        <w:t>）中的</w:t>
      </w:r>
      <w:r>
        <w:rPr>
          <w:rFonts w:cs="Times New Roman"/>
          <w:spacing w:val="4"/>
          <w:kern w:val="24"/>
          <w:lang w:val="zh-CN"/>
        </w:rPr>
        <w:t>2</w:t>
      </w:r>
      <w:r>
        <w:rPr>
          <w:rFonts w:cs="Times New Roman"/>
          <w:spacing w:val="4"/>
          <w:kern w:val="24"/>
          <w:lang w:val="zh-CN"/>
        </w:rPr>
        <w:t>类区标准要求；井下作业将产生高强度噪声，厂界噪声会出现短期超标现象，但井下作业具有阶段性特</w:t>
      </w:r>
      <w:r>
        <w:rPr>
          <w:rFonts w:cs="Times New Roman"/>
          <w:spacing w:val="4"/>
          <w:kern w:val="24"/>
          <w:lang w:val="zh-CN"/>
        </w:rPr>
        <w:t>征，井下作业结束其噪声影响即消失。井场周边范围内</w:t>
      </w:r>
      <w:r>
        <w:rPr>
          <w:rFonts w:cs="Times New Roman"/>
          <w:spacing w:val="4"/>
          <w:kern w:val="24"/>
        </w:rPr>
        <w:t>无居民区，不会出现噪声扰民现象。</w:t>
      </w:r>
    </w:p>
    <w:p w:rsidR="00C645C9" w:rsidRDefault="00F955D9">
      <w:pPr>
        <w:pStyle w:val="3"/>
        <w:widowControl w:val="0"/>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5.6.</w:t>
      </w:r>
      <w:r>
        <w:rPr>
          <w:rFonts w:ascii="Times New Roman" w:hAnsi="Times New Roman" w:cs="Times New Roman"/>
          <w:color w:val="auto"/>
          <w:lang w:eastAsia="zh-CN"/>
        </w:rPr>
        <w:t>5</w:t>
      </w:r>
      <w:r>
        <w:rPr>
          <w:rFonts w:ascii="Times New Roman" w:hAnsi="Times New Roman" w:cs="Times New Roman"/>
          <w:color w:val="auto"/>
          <w:lang w:eastAsia="zh-CN"/>
        </w:rPr>
        <w:t>声环境影响评价自查表</w:t>
      </w:r>
    </w:p>
    <w:p w:rsidR="00C645C9" w:rsidRDefault="00F955D9">
      <w:pPr>
        <w:widowControl w:val="0"/>
        <w:adjustRightInd w:val="0"/>
        <w:snapToGrid w:val="0"/>
        <w:spacing w:line="360" w:lineRule="auto"/>
        <w:ind w:firstLineChars="200" w:firstLine="480"/>
        <w:jc w:val="both"/>
        <w:rPr>
          <w:kern w:val="2"/>
        </w:rPr>
      </w:pPr>
      <w:r>
        <w:rPr>
          <w:rFonts w:cs="Times New Roman"/>
          <w:kern w:val="2"/>
        </w:rPr>
        <w:t>拟建项目声环境影响评价自</w:t>
      </w:r>
      <w:r>
        <w:rPr>
          <w:kern w:val="2"/>
        </w:rPr>
        <w:t>查表见表</w:t>
      </w:r>
      <w:r>
        <w:rPr>
          <w:kern w:val="2"/>
        </w:rPr>
        <w:t>5.</w:t>
      </w:r>
      <w:r>
        <w:rPr>
          <w:rFonts w:hint="eastAsia"/>
          <w:kern w:val="2"/>
        </w:rPr>
        <w:t>6</w:t>
      </w:r>
      <w:r>
        <w:rPr>
          <w:kern w:val="2"/>
        </w:rPr>
        <w:t>-</w:t>
      </w:r>
      <w:r>
        <w:rPr>
          <w:rFonts w:hint="eastAsia"/>
          <w:kern w:val="2"/>
        </w:rPr>
        <w:t>4</w:t>
      </w:r>
      <w:r>
        <w:rPr>
          <w:kern w:val="2"/>
        </w:rPr>
        <w:t>。</w:t>
      </w:r>
    </w:p>
    <w:p w:rsidR="00C645C9" w:rsidRDefault="00F955D9" w:rsidP="005718BB">
      <w:pPr>
        <w:pStyle w:val="aff8"/>
        <w:ind w:firstLine="512"/>
        <w:rPr>
          <w:rFonts w:eastAsia="黑体" w:cs="Times New Roman"/>
          <w:b w:val="0"/>
          <w:sz w:val="21"/>
          <w:szCs w:val="21"/>
        </w:rPr>
      </w:pPr>
      <w:r>
        <w:rPr>
          <w:rFonts w:eastAsia="黑体" w:cs="Times New Roman" w:hint="eastAsia"/>
          <w:b w:val="0"/>
          <w:sz w:val="21"/>
          <w:szCs w:val="21"/>
        </w:rPr>
        <w:t>表</w:t>
      </w:r>
      <w:r>
        <w:rPr>
          <w:rFonts w:eastAsia="黑体" w:cs="Times New Roman" w:hint="eastAsia"/>
          <w:b w:val="0"/>
          <w:sz w:val="21"/>
          <w:szCs w:val="21"/>
        </w:rPr>
        <w:t xml:space="preserve">5.6-4  </w:t>
      </w:r>
      <w:r>
        <w:rPr>
          <w:rFonts w:eastAsia="黑体" w:cs="Times New Roman" w:hint="eastAsia"/>
          <w:b w:val="0"/>
          <w:sz w:val="21"/>
          <w:szCs w:val="21"/>
        </w:rPr>
        <w:t>声环境影响评价自查表</w:t>
      </w:r>
    </w:p>
    <w:tbl>
      <w:tblPr>
        <w:tblW w:w="499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
        <w:gridCol w:w="911"/>
        <w:gridCol w:w="1098"/>
        <w:gridCol w:w="1210"/>
        <w:gridCol w:w="506"/>
        <w:gridCol w:w="294"/>
        <w:gridCol w:w="204"/>
        <w:gridCol w:w="1007"/>
        <w:gridCol w:w="17"/>
        <w:gridCol w:w="1015"/>
        <w:gridCol w:w="514"/>
        <w:gridCol w:w="462"/>
        <w:gridCol w:w="27"/>
        <w:gridCol w:w="1070"/>
      </w:tblGrid>
      <w:tr w:rsidR="00C645C9">
        <w:trPr>
          <w:gridBefore w:val="1"/>
          <w:wBefore w:w="7" w:type="pct"/>
          <w:trHeight w:val="397"/>
          <w:jc w:val="center"/>
        </w:trPr>
        <w:tc>
          <w:tcPr>
            <w:tcW w:w="1203"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工作内容</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自查项目</w:t>
            </w:r>
          </w:p>
        </w:tc>
      </w:tr>
      <w:tr w:rsidR="00C645C9">
        <w:trPr>
          <w:gridBefore w:val="1"/>
          <w:wBefore w:w="7" w:type="pct"/>
          <w:trHeight w:val="397"/>
          <w:jc w:val="center"/>
        </w:trPr>
        <w:tc>
          <w:tcPr>
            <w:tcW w:w="545" w:type="pct"/>
            <w:vMerge w:val="restar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评价等级与范围</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评价等级</w:t>
            </w:r>
          </w:p>
        </w:tc>
        <w:tc>
          <w:tcPr>
            <w:tcW w:w="3790" w:type="pct"/>
            <w:gridSpan w:val="11"/>
            <w:vAlign w:val="center"/>
          </w:tcPr>
          <w:p w:rsidR="00C645C9" w:rsidRDefault="00F955D9">
            <w:pPr>
              <w:widowControl w:val="0"/>
              <w:tabs>
                <w:tab w:val="left" w:pos="2103"/>
                <w:tab w:val="left" w:pos="3635"/>
              </w:tabs>
              <w:wordWrap w:val="0"/>
              <w:spacing w:line="0" w:lineRule="atLeast"/>
              <w:jc w:val="center"/>
              <w:rPr>
                <w:rFonts w:cs="Times New Roman"/>
                <w:kern w:val="2"/>
                <w:sz w:val="21"/>
                <w:szCs w:val="21"/>
              </w:rPr>
            </w:pPr>
            <w:r>
              <w:rPr>
                <w:rFonts w:cs="Times New Roman"/>
                <w:kern w:val="2"/>
                <w:sz w:val="21"/>
                <w:szCs w:val="21"/>
              </w:rPr>
              <w:t>一级</w:t>
            </w:r>
            <w:r>
              <w:rPr>
                <w:rFonts w:cs="Times New Roman"/>
                <w:kern w:val="2"/>
                <w:sz w:val="21"/>
                <w:szCs w:val="21"/>
              </w:rPr>
              <w:t xml:space="preserve">□          </w:t>
            </w:r>
            <w:r>
              <w:rPr>
                <w:rFonts w:cs="Times New Roman"/>
                <w:kern w:val="2"/>
                <w:sz w:val="21"/>
                <w:szCs w:val="21"/>
              </w:rPr>
              <w:t>二级</w:t>
            </w:r>
            <w:r>
              <w:rPr>
                <w:rFonts w:cs="Times New Roman"/>
                <w:kern w:val="2"/>
                <w:sz w:val="21"/>
                <w:szCs w:val="21"/>
              </w:rPr>
              <w:t>☑</w:t>
            </w:r>
            <w:r>
              <w:rPr>
                <w:rFonts w:cs="Times New Roman"/>
                <w:kern w:val="2"/>
                <w:sz w:val="21"/>
                <w:szCs w:val="21"/>
              </w:rPr>
              <w:t xml:space="preserve">          </w:t>
            </w:r>
            <w:r>
              <w:rPr>
                <w:rFonts w:cs="Times New Roman"/>
                <w:kern w:val="2"/>
                <w:sz w:val="21"/>
                <w:szCs w:val="21"/>
              </w:rPr>
              <w:t>三级</w:t>
            </w:r>
            <w:r>
              <w:rPr>
                <w:rFonts w:cs="Times New Roman"/>
                <w:kern w:val="2"/>
                <w:sz w:val="21"/>
                <w:szCs w:val="21"/>
              </w:rPr>
              <w:t>□</w:t>
            </w:r>
          </w:p>
        </w:tc>
      </w:tr>
      <w:tr w:rsidR="00C645C9">
        <w:trPr>
          <w:gridBefore w:val="1"/>
          <w:wBefore w:w="7" w:type="pct"/>
          <w:trHeight w:val="397"/>
          <w:jc w:val="center"/>
        </w:trPr>
        <w:tc>
          <w:tcPr>
            <w:tcW w:w="545" w:type="pct"/>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评价范围</w:t>
            </w:r>
          </w:p>
        </w:tc>
        <w:tc>
          <w:tcPr>
            <w:tcW w:w="3790" w:type="pct"/>
            <w:gridSpan w:val="11"/>
            <w:vAlign w:val="center"/>
          </w:tcPr>
          <w:p w:rsidR="00C645C9" w:rsidRDefault="00F955D9">
            <w:pPr>
              <w:widowControl w:val="0"/>
              <w:tabs>
                <w:tab w:val="left" w:pos="2384"/>
                <w:tab w:val="left" w:pos="5315"/>
              </w:tabs>
              <w:wordWrap w:val="0"/>
              <w:spacing w:line="0" w:lineRule="atLeast"/>
              <w:jc w:val="center"/>
              <w:rPr>
                <w:rFonts w:cs="Times New Roman"/>
                <w:kern w:val="2"/>
                <w:sz w:val="21"/>
                <w:szCs w:val="21"/>
              </w:rPr>
            </w:pPr>
            <w:r>
              <w:rPr>
                <w:rFonts w:cs="Times New Roman"/>
                <w:kern w:val="2"/>
                <w:sz w:val="21"/>
                <w:szCs w:val="21"/>
              </w:rPr>
              <w:t xml:space="preserve">200m☑          </w:t>
            </w:r>
            <w:r>
              <w:rPr>
                <w:rFonts w:cs="Times New Roman"/>
                <w:kern w:val="2"/>
                <w:sz w:val="21"/>
                <w:szCs w:val="21"/>
              </w:rPr>
              <w:t>大于</w:t>
            </w:r>
            <w:r>
              <w:rPr>
                <w:rFonts w:cs="Times New Roman"/>
                <w:kern w:val="2"/>
                <w:sz w:val="21"/>
                <w:szCs w:val="21"/>
              </w:rPr>
              <w:t xml:space="preserve">200m□          </w:t>
            </w:r>
            <w:r>
              <w:rPr>
                <w:rFonts w:cs="Times New Roman"/>
                <w:kern w:val="2"/>
                <w:sz w:val="21"/>
                <w:szCs w:val="21"/>
              </w:rPr>
              <w:t>小于</w:t>
            </w:r>
            <w:r>
              <w:rPr>
                <w:rFonts w:cs="Times New Roman"/>
                <w:kern w:val="2"/>
                <w:sz w:val="21"/>
                <w:szCs w:val="21"/>
              </w:rPr>
              <w:t>200m□</w:t>
            </w:r>
          </w:p>
        </w:tc>
      </w:tr>
      <w:tr w:rsidR="00C645C9">
        <w:trPr>
          <w:gridBefore w:val="1"/>
          <w:wBefore w:w="7" w:type="pct"/>
          <w:trHeight w:val="397"/>
          <w:jc w:val="center"/>
        </w:trPr>
        <w:tc>
          <w:tcPr>
            <w:tcW w:w="545"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评价因子</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评价因子</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等效连续</w:t>
            </w:r>
            <w:r>
              <w:rPr>
                <w:rFonts w:cs="Times New Roman"/>
                <w:kern w:val="2"/>
                <w:sz w:val="21"/>
                <w:szCs w:val="21"/>
              </w:rPr>
              <w:t>A</w:t>
            </w:r>
            <w:r>
              <w:rPr>
                <w:rFonts w:cs="Times New Roman"/>
                <w:kern w:val="2"/>
                <w:sz w:val="21"/>
                <w:szCs w:val="21"/>
              </w:rPr>
              <w:t>声级</w:t>
            </w:r>
            <w:r>
              <w:rPr>
                <w:rFonts w:cs="Times New Roman"/>
                <w:kern w:val="2"/>
                <w:sz w:val="21"/>
                <w:szCs w:val="21"/>
              </w:rPr>
              <w:t>☑</w:t>
            </w:r>
            <w:r>
              <w:rPr>
                <w:rFonts w:cs="Times New Roman"/>
                <w:kern w:val="2"/>
                <w:sz w:val="21"/>
                <w:szCs w:val="21"/>
              </w:rPr>
              <w:t xml:space="preserve"> </w:t>
            </w:r>
            <w:r>
              <w:rPr>
                <w:rFonts w:cs="Times New Roman"/>
                <w:kern w:val="2"/>
                <w:sz w:val="21"/>
                <w:szCs w:val="21"/>
              </w:rPr>
              <w:t>最大</w:t>
            </w:r>
            <w:r>
              <w:rPr>
                <w:rFonts w:cs="Times New Roman"/>
                <w:kern w:val="2"/>
                <w:sz w:val="21"/>
                <w:szCs w:val="21"/>
              </w:rPr>
              <w:t>A</w:t>
            </w:r>
            <w:r>
              <w:rPr>
                <w:rFonts w:cs="Times New Roman"/>
                <w:kern w:val="2"/>
                <w:sz w:val="21"/>
                <w:szCs w:val="21"/>
              </w:rPr>
              <w:t>声级</w:t>
            </w:r>
            <w:r>
              <w:rPr>
                <w:rFonts w:cs="Times New Roman"/>
                <w:kern w:val="2"/>
                <w:sz w:val="21"/>
                <w:szCs w:val="21"/>
              </w:rPr>
              <w:t xml:space="preserve">□ </w:t>
            </w:r>
            <w:r>
              <w:rPr>
                <w:rFonts w:cs="Times New Roman"/>
                <w:kern w:val="2"/>
                <w:sz w:val="21"/>
                <w:szCs w:val="21"/>
              </w:rPr>
              <w:t>计权等效连续感觉噪声级</w:t>
            </w:r>
            <w:r>
              <w:rPr>
                <w:rFonts w:cs="Times New Roman"/>
                <w:kern w:val="2"/>
                <w:sz w:val="21"/>
                <w:szCs w:val="21"/>
              </w:rPr>
              <w:t>□</w:t>
            </w:r>
          </w:p>
        </w:tc>
      </w:tr>
      <w:tr w:rsidR="00C645C9">
        <w:trPr>
          <w:gridBefore w:val="1"/>
          <w:wBefore w:w="7" w:type="pct"/>
          <w:trHeight w:val="397"/>
          <w:jc w:val="center"/>
        </w:trPr>
        <w:tc>
          <w:tcPr>
            <w:tcW w:w="545"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评价标准</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评价标准</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国家标准</w:t>
            </w:r>
            <w:r>
              <w:rPr>
                <w:rFonts w:cs="Times New Roman"/>
                <w:kern w:val="2"/>
                <w:sz w:val="21"/>
                <w:szCs w:val="21"/>
              </w:rPr>
              <w:t>☑</w:t>
            </w:r>
            <w:r>
              <w:rPr>
                <w:rFonts w:cs="Times New Roman"/>
                <w:kern w:val="2"/>
                <w:sz w:val="21"/>
                <w:szCs w:val="21"/>
              </w:rPr>
              <w:t xml:space="preserve">     </w:t>
            </w:r>
            <w:r>
              <w:rPr>
                <w:rFonts w:cs="Times New Roman"/>
                <w:kern w:val="2"/>
                <w:sz w:val="21"/>
                <w:szCs w:val="21"/>
              </w:rPr>
              <w:t>地方标准</w:t>
            </w:r>
            <w:r>
              <w:rPr>
                <w:rFonts w:cs="Times New Roman"/>
                <w:kern w:val="2"/>
                <w:sz w:val="21"/>
                <w:szCs w:val="21"/>
              </w:rPr>
              <w:t xml:space="preserve">□     </w:t>
            </w:r>
            <w:r>
              <w:rPr>
                <w:rFonts w:cs="Times New Roman"/>
                <w:kern w:val="2"/>
                <w:sz w:val="21"/>
                <w:szCs w:val="21"/>
              </w:rPr>
              <w:t>国外标准</w:t>
            </w:r>
            <w:r>
              <w:rPr>
                <w:rFonts w:cs="Times New Roman"/>
                <w:kern w:val="2"/>
                <w:sz w:val="21"/>
                <w:szCs w:val="21"/>
              </w:rPr>
              <w:t>□</w:t>
            </w:r>
          </w:p>
        </w:tc>
      </w:tr>
      <w:tr w:rsidR="00C645C9">
        <w:trPr>
          <w:gridBefore w:val="1"/>
          <w:wBefore w:w="7" w:type="pct"/>
          <w:trHeight w:val="397"/>
          <w:jc w:val="center"/>
        </w:trPr>
        <w:tc>
          <w:tcPr>
            <w:tcW w:w="545" w:type="pct"/>
            <w:vMerge w:val="restar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现状评价</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环境功能区</w:t>
            </w:r>
          </w:p>
        </w:tc>
        <w:tc>
          <w:tcPr>
            <w:tcW w:w="725"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0</w:t>
            </w:r>
            <w:r>
              <w:rPr>
                <w:rFonts w:cs="Times New Roman"/>
                <w:kern w:val="2"/>
                <w:sz w:val="21"/>
                <w:szCs w:val="21"/>
              </w:rPr>
              <w:t>类区</w:t>
            </w:r>
            <w:r>
              <w:rPr>
                <w:rFonts w:cs="Times New Roman"/>
                <w:kern w:val="2"/>
                <w:sz w:val="21"/>
                <w:szCs w:val="21"/>
              </w:rPr>
              <w:t>□</w:t>
            </w:r>
          </w:p>
        </w:tc>
        <w:tc>
          <w:tcPr>
            <w:tcW w:w="601" w:type="pct"/>
            <w:gridSpan w:val="3"/>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1</w:t>
            </w:r>
            <w:r>
              <w:rPr>
                <w:rFonts w:cs="Times New Roman"/>
                <w:kern w:val="2"/>
                <w:sz w:val="21"/>
                <w:szCs w:val="21"/>
              </w:rPr>
              <w:t>类区</w:t>
            </w:r>
            <w:r>
              <w:rPr>
                <w:rFonts w:cs="Times New Roman"/>
                <w:kern w:val="2"/>
                <w:sz w:val="21"/>
                <w:szCs w:val="21"/>
              </w:rPr>
              <w:t>□</w:t>
            </w:r>
          </w:p>
        </w:tc>
        <w:tc>
          <w:tcPr>
            <w:tcW w:w="602"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2</w:t>
            </w:r>
            <w:r>
              <w:rPr>
                <w:rFonts w:cs="Times New Roman"/>
                <w:kern w:val="2"/>
                <w:sz w:val="21"/>
                <w:szCs w:val="21"/>
              </w:rPr>
              <w:t>类区</w:t>
            </w:r>
            <w:r>
              <w:rPr>
                <w:rFonts w:cs="Times New Roman"/>
                <w:kern w:val="2"/>
                <w:sz w:val="21"/>
                <w:szCs w:val="21"/>
              </w:rPr>
              <w:t>☑</w:t>
            </w:r>
          </w:p>
        </w:tc>
        <w:tc>
          <w:tcPr>
            <w:tcW w:w="618"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3</w:t>
            </w:r>
            <w:r>
              <w:rPr>
                <w:rFonts w:cs="Times New Roman"/>
                <w:kern w:val="2"/>
                <w:sz w:val="21"/>
                <w:szCs w:val="21"/>
              </w:rPr>
              <w:t>类区</w:t>
            </w:r>
            <w:r>
              <w:rPr>
                <w:rFonts w:cs="Times New Roman"/>
                <w:kern w:val="2"/>
                <w:sz w:val="21"/>
                <w:szCs w:val="21"/>
              </w:rPr>
              <w:t>□</w:t>
            </w:r>
          </w:p>
        </w:tc>
        <w:tc>
          <w:tcPr>
            <w:tcW w:w="585"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4a</w:t>
            </w:r>
            <w:r>
              <w:rPr>
                <w:rFonts w:cs="Times New Roman"/>
                <w:kern w:val="2"/>
                <w:sz w:val="21"/>
                <w:szCs w:val="21"/>
              </w:rPr>
              <w:t>类区</w:t>
            </w:r>
            <w:r>
              <w:rPr>
                <w:rFonts w:cs="Times New Roman"/>
                <w:kern w:val="2"/>
                <w:sz w:val="21"/>
                <w:szCs w:val="21"/>
              </w:rPr>
              <w:t>□</w:t>
            </w:r>
          </w:p>
        </w:tc>
        <w:tc>
          <w:tcPr>
            <w:tcW w:w="658"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4b</w:t>
            </w:r>
            <w:r>
              <w:rPr>
                <w:rFonts w:cs="Times New Roman"/>
                <w:kern w:val="2"/>
                <w:sz w:val="21"/>
                <w:szCs w:val="21"/>
              </w:rPr>
              <w:t>类区</w:t>
            </w:r>
            <w:r>
              <w:rPr>
                <w:rFonts w:cs="Times New Roman"/>
                <w:kern w:val="2"/>
                <w:sz w:val="21"/>
                <w:szCs w:val="21"/>
              </w:rPr>
              <w:t>□</w:t>
            </w:r>
          </w:p>
        </w:tc>
      </w:tr>
      <w:tr w:rsidR="00C645C9">
        <w:trPr>
          <w:gridBefore w:val="1"/>
          <w:wBefore w:w="7" w:type="pct"/>
          <w:trHeight w:val="397"/>
          <w:jc w:val="center"/>
        </w:trPr>
        <w:tc>
          <w:tcPr>
            <w:tcW w:w="545" w:type="pct"/>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评价年度</w:t>
            </w:r>
          </w:p>
        </w:tc>
        <w:tc>
          <w:tcPr>
            <w:tcW w:w="1028"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初期</w:t>
            </w:r>
            <w:r>
              <w:rPr>
                <w:rFonts w:cs="Times New Roman"/>
                <w:kern w:val="2"/>
                <w:sz w:val="21"/>
                <w:szCs w:val="21"/>
              </w:rPr>
              <w:t>□</w:t>
            </w:r>
          </w:p>
        </w:tc>
        <w:tc>
          <w:tcPr>
            <w:tcW w:w="901" w:type="pct"/>
            <w:gridSpan w:val="3"/>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近期</w:t>
            </w:r>
            <w:r>
              <w:rPr>
                <w:rFonts w:cs="Times New Roman"/>
                <w:kern w:val="2"/>
                <w:sz w:val="21"/>
                <w:szCs w:val="21"/>
              </w:rPr>
              <w:t>☑</w:t>
            </w:r>
          </w:p>
        </w:tc>
        <w:tc>
          <w:tcPr>
            <w:tcW w:w="926" w:type="pct"/>
            <w:gridSpan w:val="3"/>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中期</w:t>
            </w:r>
            <w:r>
              <w:rPr>
                <w:rFonts w:cs="Times New Roman"/>
                <w:kern w:val="2"/>
                <w:sz w:val="21"/>
                <w:szCs w:val="21"/>
              </w:rPr>
              <w:t>□</w:t>
            </w:r>
          </w:p>
        </w:tc>
        <w:tc>
          <w:tcPr>
            <w:tcW w:w="936" w:type="pct"/>
            <w:gridSpan w:val="3"/>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远期</w:t>
            </w:r>
            <w:r>
              <w:rPr>
                <w:rFonts w:cs="Times New Roman"/>
                <w:kern w:val="2"/>
                <w:sz w:val="21"/>
                <w:szCs w:val="21"/>
              </w:rPr>
              <w:t>□</w:t>
            </w:r>
          </w:p>
        </w:tc>
      </w:tr>
      <w:tr w:rsidR="00C645C9">
        <w:trPr>
          <w:gridBefore w:val="1"/>
          <w:wBefore w:w="7" w:type="pct"/>
          <w:trHeight w:val="397"/>
          <w:jc w:val="center"/>
        </w:trPr>
        <w:tc>
          <w:tcPr>
            <w:tcW w:w="545" w:type="pct"/>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现状调查方法</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现场实测法</w:t>
            </w:r>
            <w:r>
              <w:rPr>
                <w:rFonts w:cs="Times New Roman"/>
                <w:kern w:val="2"/>
                <w:sz w:val="21"/>
                <w:szCs w:val="21"/>
              </w:rPr>
              <w:t>☑</w:t>
            </w:r>
            <w:r>
              <w:rPr>
                <w:rFonts w:cs="Times New Roman"/>
                <w:kern w:val="2"/>
                <w:sz w:val="21"/>
                <w:szCs w:val="21"/>
              </w:rPr>
              <w:t xml:space="preserve">   </w:t>
            </w:r>
            <w:r>
              <w:rPr>
                <w:rFonts w:cs="Times New Roman"/>
                <w:kern w:val="2"/>
                <w:sz w:val="21"/>
                <w:szCs w:val="21"/>
              </w:rPr>
              <w:t>现场实测加模型计算法</w:t>
            </w:r>
            <w:r>
              <w:rPr>
                <w:rFonts w:cs="Times New Roman"/>
                <w:kern w:val="2"/>
                <w:sz w:val="21"/>
                <w:szCs w:val="21"/>
              </w:rPr>
              <w:t xml:space="preserve">□   </w:t>
            </w:r>
            <w:r>
              <w:rPr>
                <w:rFonts w:cs="Times New Roman"/>
                <w:kern w:val="2"/>
                <w:sz w:val="21"/>
                <w:szCs w:val="21"/>
              </w:rPr>
              <w:t>收集资料</w:t>
            </w:r>
            <w:r>
              <w:rPr>
                <w:rFonts w:cs="Times New Roman"/>
                <w:kern w:val="2"/>
                <w:sz w:val="21"/>
                <w:szCs w:val="21"/>
              </w:rPr>
              <w:t>□</w:t>
            </w:r>
          </w:p>
        </w:tc>
      </w:tr>
      <w:tr w:rsidR="00C645C9">
        <w:trPr>
          <w:gridBefore w:val="1"/>
          <w:wBefore w:w="7" w:type="pct"/>
          <w:trHeight w:val="397"/>
          <w:jc w:val="center"/>
        </w:trPr>
        <w:tc>
          <w:tcPr>
            <w:tcW w:w="545" w:type="pct"/>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现状评价</w:t>
            </w:r>
          </w:p>
        </w:tc>
        <w:tc>
          <w:tcPr>
            <w:tcW w:w="1204" w:type="pct"/>
            <w:gridSpan w:val="3"/>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达标百分比</w:t>
            </w:r>
          </w:p>
        </w:tc>
        <w:tc>
          <w:tcPr>
            <w:tcW w:w="2586" w:type="pct"/>
            <w:gridSpan w:val="8"/>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100</w:t>
            </w:r>
          </w:p>
        </w:tc>
      </w:tr>
      <w:tr w:rsidR="00C645C9">
        <w:trPr>
          <w:trHeight w:val="397"/>
          <w:jc w:val="center"/>
        </w:trPr>
        <w:tc>
          <w:tcPr>
            <w:tcW w:w="553"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噪声源调查</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噪声源调查方法</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现场实测</w:t>
            </w:r>
            <w:r>
              <w:rPr>
                <w:rFonts w:cs="Times New Roman"/>
                <w:kern w:val="2"/>
                <w:sz w:val="21"/>
                <w:szCs w:val="21"/>
              </w:rPr>
              <w:t xml:space="preserve">□     </w:t>
            </w:r>
            <w:r>
              <w:rPr>
                <w:rFonts w:cs="Times New Roman"/>
                <w:kern w:val="2"/>
                <w:sz w:val="21"/>
                <w:szCs w:val="21"/>
              </w:rPr>
              <w:t>已有资料</w:t>
            </w:r>
            <w:r>
              <w:rPr>
                <w:rFonts w:cs="Times New Roman"/>
                <w:kern w:val="2"/>
                <w:sz w:val="21"/>
                <w:szCs w:val="21"/>
              </w:rPr>
              <w:t>☑</w:t>
            </w:r>
            <w:r>
              <w:rPr>
                <w:rFonts w:cs="Times New Roman"/>
                <w:kern w:val="2"/>
                <w:sz w:val="21"/>
                <w:szCs w:val="21"/>
              </w:rPr>
              <w:t xml:space="preserve">     </w:t>
            </w:r>
            <w:r>
              <w:rPr>
                <w:rFonts w:cs="Times New Roman"/>
                <w:kern w:val="2"/>
                <w:sz w:val="21"/>
                <w:szCs w:val="21"/>
              </w:rPr>
              <w:t>研究成果</w:t>
            </w:r>
            <w:r>
              <w:rPr>
                <w:rFonts w:cs="Times New Roman"/>
                <w:kern w:val="2"/>
                <w:sz w:val="21"/>
                <w:szCs w:val="21"/>
              </w:rPr>
              <w:t>□</w:t>
            </w:r>
          </w:p>
        </w:tc>
      </w:tr>
      <w:tr w:rsidR="00C645C9">
        <w:trPr>
          <w:trHeight w:val="397"/>
          <w:jc w:val="center"/>
        </w:trPr>
        <w:tc>
          <w:tcPr>
            <w:tcW w:w="553" w:type="pct"/>
            <w:gridSpan w:val="2"/>
            <w:vMerge w:val="restar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声环境影响预测与评价</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预测模型</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导则推荐模型</w:t>
            </w:r>
            <w:r>
              <w:rPr>
                <w:rFonts w:cs="Times New Roman"/>
                <w:kern w:val="2"/>
                <w:sz w:val="21"/>
                <w:szCs w:val="21"/>
              </w:rPr>
              <w:t>☑</w:t>
            </w:r>
            <w:r>
              <w:rPr>
                <w:rFonts w:cs="Times New Roman"/>
                <w:kern w:val="2"/>
                <w:sz w:val="21"/>
                <w:szCs w:val="21"/>
              </w:rPr>
              <w:t xml:space="preserve">          </w:t>
            </w:r>
            <w:r>
              <w:rPr>
                <w:rFonts w:cs="Times New Roman"/>
                <w:kern w:val="2"/>
                <w:sz w:val="21"/>
                <w:szCs w:val="21"/>
              </w:rPr>
              <w:t>其他</w:t>
            </w:r>
            <w:r>
              <w:rPr>
                <w:rFonts w:cs="Times New Roman"/>
                <w:kern w:val="2"/>
                <w:sz w:val="21"/>
                <w:szCs w:val="21"/>
              </w:rPr>
              <w:t>□</w:t>
            </w:r>
          </w:p>
        </w:tc>
      </w:tr>
      <w:tr w:rsidR="00C645C9">
        <w:trPr>
          <w:trHeight w:val="397"/>
          <w:jc w:val="center"/>
        </w:trPr>
        <w:tc>
          <w:tcPr>
            <w:tcW w:w="553" w:type="pct"/>
            <w:gridSpan w:val="2"/>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预测范围</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 xml:space="preserve">200m☑     </w:t>
            </w:r>
            <w:r>
              <w:rPr>
                <w:rFonts w:cs="Times New Roman"/>
                <w:kern w:val="2"/>
                <w:sz w:val="21"/>
                <w:szCs w:val="21"/>
              </w:rPr>
              <w:t>大于</w:t>
            </w:r>
            <w:r>
              <w:rPr>
                <w:rFonts w:cs="Times New Roman"/>
                <w:kern w:val="2"/>
                <w:sz w:val="21"/>
                <w:szCs w:val="21"/>
              </w:rPr>
              <w:t xml:space="preserve">200m□     </w:t>
            </w:r>
            <w:r>
              <w:rPr>
                <w:rFonts w:cs="Times New Roman"/>
                <w:kern w:val="2"/>
                <w:sz w:val="21"/>
                <w:szCs w:val="21"/>
              </w:rPr>
              <w:t>小于</w:t>
            </w:r>
            <w:r>
              <w:rPr>
                <w:rFonts w:cs="Times New Roman"/>
                <w:kern w:val="2"/>
                <w:sz w:val="21"/>
                <w:szCs w:val="21"/>
              </w:rPr>
              <w:t>200m□</w:t>
            </w:r>
          </w:p>
        </w:tc>
      </w:tr>
      <w:tr w:rsidR="00C645C9">
        <w:trPr>
          <w:trHeight w:val="397"/>
          <w:jc w:val="center"/>
        </w:trPr>
        <w:tc>
          <w:tcPr>
            <w:tcW w:w="553" w:type="pct"/>
            <w:gridSpan w:val="2"/>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预测因子</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等效连续</w:t>
            </w:r>
            <w:r>
              <w:rPr>
                <w:rFonts w:cs="Times New Roman"/>
                <w:kern w:val="2"/>
                <w:sz w:val="21"/>
                <w:szCs w:val="21"/>
              </w:rPr>
              <w:t>A</w:t>
            </w:r>
            <w:r>
              <w:rPr>
                <w:rFonts w:cs="Times New Roman"/>
                <w:kern w:val="2"/>
                <w:sz w:val="21"/>
                <w:szCs w:val="21"/>
              </w:rPr>
              <w:t>声级</w:t>
            </w:r>
            <w:r>
              <w:rPr>
                <w:rFonts w:cs="Times New Roman"/>
                <w:kern w:val="2"/>
                <w:sz w:val="21"/>
                <w:szCs w:val="21"/>
              </w:rPr>
              <w:t>☑</w:t>
            </w:r>
            <w:r>
              <w:rPr>
                <w:rFonts w:cs="Times New Roman"/>
                <w:kern w:val="2"/>
                <w:sz w:val="21"/>
                <w:szCs w:val="21"/>
              </w:rPr>
              <w:t xml:space="preserve"> </w:t>
            </w:r>
            <w:r>
              <w:rPr>
                <w:rFonts w:cs="Times New Roman"/>
                <w:kern w:val="2"/>
                <w:sz w:val="21"/>
                <w:szCs w:val="21"/>
              </w:rPr>
              <w:t>最大</w:t>
            </w:r>
            <w:r>
              <w:rPr>
                <w:rFonts w:cs="Times New Roman"/>
                <w:kern w:val="2"/>
                <w:sz w:val="21"/>
                <w:szCs w:val="21"/>
              </w:rPr>
              <w:t>A</w:t>
            </w:r>
            <w:r>
              <w:rPr>
                <w:rFonts w:cs="Times New Roman"/>
                <w:kern w:val="2"/>
                <w:sz w:val="21"/>
                <w:szCs w:val="21"/>
              </w:rPr>
              <w:t>声级</w:t>
            </w:r>
            <w:r>
              <w:rPr>
                <w:rFonts w:cs="Times New Roman"/>
                <w:kern w:val="2"/>
                <w:sz w:val="21"/>
                <w:szCs w:val="21"/>
              </w:rPr>
              <w:t xml:space="preserve">□ </w:t>
            </w:r>
            <w:r>
              <w:rPr>
                <w:rFonts w:cs="Times New Roman"/>
                <w:kern w:val="2"/>
                <w:sz w:val="21"/>
                <w:szCs w:val="21"/>
              </w:rPr>
              <w:t>计权等效连续感觉噪声级</w:t>
            </w:r>
            <w:r>
              <w:rPr>
                <w:rFonts w:cs="Times New Roman"/>
                <w:kern w:val="2"/>
                <w:sz w:val="21"/>
                <w:szCs w:val="21"/>
              </w:rPr>
              <w:t>□</w:t>
            </w:r>
          </w:p>
        </w:tc>
      </w:tr>
      <w:tr w:rsidR="00C645C9">
        <w:trPr>
          <w:trHeight w:val="397"/>
          <w:jc w:val="center"/>
        </w:trPr>
        <w:tc>
          <w:tcPr>
            <w:tcW w:w="553" w:type="pct"/>
            <w:gridSpan w:val="2"/>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厂界噪声贡献值</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达标</w:t>
            </w:r>
            <w:r>
              <w:rPr>
                <w:rFonts w:cs="Times New Roman"/>
                <w:kern w:val="2"/>
                <w:sz w:val="21"/>
                <w:szCs w:val="21"/>
              </w:rPr>
              <w:t>☑</w:t>
            </w:r>
            <w:r>
              <w:rPr>
                <w:rFonts w:cs="Times New Roman"/>
                <w:kern w:val="2"/>
                <w:sz w:val="21"/>
                <w:szCs w:val="21"/>
              </w:rPr>
              <w:t xml:space="preserve">          </w:t>
            </w:r>
            <w:r>
              <w:rPr>
                <w:rFonts w:cs="Times New Roman"/>
                <w:kern w:val="2"/>
                <w:sz w:val="21"/>
                <w:szCs w:val="21"/>
              </w:rPr>
              <w:t>不达标</w:t>
            </w:r>
            <w:r>
              <w:rPr>
                <w:rFonts w:cs="Times New Roman"/>
                <w:kern w:val="2"/>
                <w:sz w:val="21"/>
                <w:szCs w:val="21"/>
              </w:rPr>
              <w:t>□</w:t>
            </w:r>
          </w:p>
        </w:tc>
      </w:tr>
      <w:tr w:rsidR="00C645C9">
        <w:trPr>
          <w:trHeight w:val="397"/>
          <w:jc w:val="center"/>
        </w:trPr>
        <w:tc>
          <w:tcPr>
            <w:tcW w:w="553" w:type="pct"/>
            <w:gridSpan w:val="2"/>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声环境保护目标处噪声值</w:t>
            </w:r>
          </w:p>
        </w:tc>
        <w:tc>
          <w:tcPr>
            <w:tcW w:w="3790" w:type="pct"/>
            <w:gridSpan w:val="11"/>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达标</w:t>
            </w:r>
            <w:r>
              <w:rPr>
                <w:rFonts w:cs="Times New Roman"/>
                <w:kern w:val="2"/>
                <w:sz w:val="21"/>
                <w:szCs w:val="21"/>
              </w:rPr>
              <w:t xml:space="preserve">□          </w:t>
            </w:r>
            <w:r>
              <w:rPr>
                <w:rFonts w:cs="Times New Roman"/>
                <w:kern w:val="2"/>
                <w:sz w:val="21"/>
                <w:szCs w:val="21"/>
              </w:rPr>
              <w:t>不达标</w:t>
            </w:r>
            <w:r>
              <w:rPr>
                <w:rFonts w:cs="Times New Roman"/>
                <w:kern w:val="2"/>
                <w:sz w:val="21"/>
                <w:szCs w:val="21"/>
              </w:rPr>
              <w:t>□</w:t>
            </w:r>
          </w:p>
        </w:tc>
      </w:tr>
      <w:tr w:rsidR="00C645C9">
        <w:trPr>
          <w:trHeight w:val="397"/>
          <w:jc w:val="center"/>
        </w:trPr>
        <w:tc>
          <w:tcPr>
            <w:tcW w:w="553" w:type="pct"/>
            <w:gridSpan w:val="2"/>
            <w:vMerge w:val="restar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环境监测计划</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排放监测</w:t>
            </w:r>
          </w:p>
        </w:tc>
        <w:tc>
          <w:tcPr>
            <w:tcW w:w="3790" w:type="pct"/>
            <w:gridSpan w:val="11"/>
            <w:vAlign w:val="center"/>
          </w:tcPr>
          <w:p w:rsidR="00C645C9" w:rsidRDefault="00F955D9">
            <w:pPr>
              <w:widowControl w:val="0"/>
              <w:tabs>
                <w:tab w:val="left" w:pos="1621"/>
              </w:tabs>
              <w:wordWrap w:val="0"/>
              <w:spacing w:line="0" w:lineRule="atLeast"/>
              <w:jc w:val="center"/>
              <w:rPr>
                <w:rFonts w:cs="Times New Roman"/>
                <w:kern w:val="2"/>
                <w:sz w:val="21"/>
                <w:szCs w:val="21"/>
              </w:rPr>
            </w:pPr>
            <w:r>
              <w:rPr>
                <w:rFonts w:cs="Times New Roman"/>
                <w:kern w:val="2"/>
                <w:sz w:val="21"/>
                <w:szCs w:val="21"/>
              </w:rPr>
              <w:t>厂界监测</w:t>
            </w:r>
            <w:r>
              <w:rPr>
                <w:rFonts w:cs="Times New Roman"/>
                <w:kern w:val="2"/>
                <w:sz w:val="21"/>
                <w:szCs w:val="21"/>
              </w:rPr>
              <w:t>□</w:t>
            </w:r>
            <w:r>
              <w:rPr>
                <w:rFonts w:cs="Times New Roman"/>
                <w:kern w:val="2"/>
                <w:sz w:val="21"/>
                <w:szCs w:val="21"/>
              </w:rPr>
              <w:t xml:space="preserve"> </w:t>
            </w:r>
            <w:r>
              <w:rPr>
                <w:rFonts w:cs="Times New Roman"/>
                <w:kern w:val="2"/>
                <w:sz w:val="21"/>
                <w:szCs w:val="21"/>
              </w:rPr>
              <w:t>固定位置监测</w:t>
            </w:r>
            <w:r>
              <w:rPr>
                <w:rFonts w:cs="Times New Roman"/>
                <w:kern w:val="2"/>
                <w:sz w:val="21"/>
                <w:szCs w:val="21"/>
              </w:rPr>
              <w:t xml:space="preserve">□ </w:t>
            </w:r>
            <w:r>
              <w:rPr>
                <w:rFonts w:cs="Times New Roman"/>
                <w:kern w:val="2"/>
                <w:sz w:val="21"/>
                <w:szCs w:val="21"/>
              </w:rPr>
              <w:t>自动监测</w:t>
            </w:r>
            <w:r>
              <w:rPr>
                <w:rFonts w:cs="Times New Roman"/>
                <w:kern w:val="2"/>
                <w:sz w:val="21"/>
                <w:szCs w:val="21"/>
              </w:rPr>
              <w:t xml:space="preserve">□ </w:t>
            </w:r>
            <w:r>
              <w:rPr>
                <w:rFonts w:cs="Times New Roman"/>
                <w:kern w:val="2"/>
                <w:sz w:val="21"/>
                <w:szCs w:val="21"/>
              </w:rPr>
              <w:t>手动监测</w:t>
            </w:r>
            <w:r>
              <w:rPr>
                <w:rFonts w:cs="Times New Roman"/>
                <w:kern w:val="2"/>
                <w:sz w:val="21"/>
                <w:szCs w:val="21"/>
              </w:rPr>
              <w:t xml:space="preserve">□ </w:t>
            </w:r>
            <w:r>
              <w:rPr>
                <w:rFonts w:cs="Times New Roman"/>
                <w:kern w:val="2"/>
                <w:sz w:val="21"/>
                <w:szCs w:val="21"/>
              </w:rPr>
              <w:t>无监测</w:t>
            </w:r>
            <w:r>
              <w:rPr>
                <w:rFonts w:cs="Times New Roman"/>
                <w:kern w:val="2"/>
                <w:sz w:val="21"/>
                <w:szCs w:val="21"/>
              </w:rPr>
              <w:t>□</w:t>
            </w:r>
          </w:p>
        </w:tc>
      </w:tr>
      <w:tr w:rsidR="00C645C9">
        <w:trPr>
          <w:trHeight w:val="397"/>
          <w:jc w:val="center"/>
        </w:trPr>
        <w:tc>
          <w:tcPr>
            <w:tcW w:w="553" w:type="pct"/>
            <w:gridSpan w:val="2"/>
            <w:vMerge/>
            <w:vAlign w:val="center"/>
          </w:tcPr>
          <w:p w:rsidR="00C645C9" w:rsidRDefault="00C645C9">
            <w:pPr>
              <w:widowControl w:val="0"/>
              <w:wordWrap w:val="0"/>
              <w:spacing w:line="0" w:lineRule="atLeast"/>
              <w:jc w:val="center"/>
              <w:rPr>
                <w:rFonts w:cs="Times New Roman"/>
                <w:kern w:val="2"/>
                <w:sz w:val="21"/>
                <w:szCs w:val="21"/>
              </w:rPr>
            </w:pP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声环境保护目标处噪声监测</w:t>
            </w:r>
          </w:p>
        </w:tc>
        <w:tc>
          <w:tcPr>
            <w:tcW w:w="1939" w:type="pct"/>
            <w:gridSpan w:val="6"/>
            <w:vAlign w:val="center"/>
          </w:tcPr>
          <w:p w:rsidR="00C645C9" w:rsidRDefault="00F955D9">
            <w:pPr>
              <w:widowControl w:val="0"/>
              <w:tabs>
                <w:tab w:val="left" w:pos="2252"/>
              </w:tabs>
              <w:wordWrap w:val="0"/>
              <w:spacing w:line="0" w:lineRule="atLeast"/>
              <w:jc w:val="center"/>
              <w:rPr>
                <w:rFonts w:cs="Times New Roman"/>
                <w:kern w:val="2"/>
                <w:sz w:val="21"/>
                <w:szCs w:val="21"/>
              </w:rPr>
            </w:pPr>
            <w:r>
              <w:rPr>
                <w:rFonts w:cs="Times New Roman"/>
                <w:kern w:val="2"/>
                <w:sz w:val="21"/>
                <w:szCs w:val="21"/>
              </w:rPr>
              <w:t>监测因子：</w:t>
            </w:r>
            <w:r>
              <w:rPr>
                <w:rFonts w:cs="Times New Roman"/>
                <w:kern w:val="2"/>
                <w:sz w:val="21"/>
                <w:szCs w:val="21"/>
              </w:rPr>
              <w:t>（</w:t>
            </w:r>
            <w:r>
              <w:rPr>
                <w:rFonts w:cs="Times New Roman"/>
                <w:kern w:val="2"/>
                <w:sz w:val="21"/>
                <w:szCs w:val="21"/>
              </w:rPr>
              <w:t xml:space="preserve">  </w:t>
            </w:r>
            <w:r>
              <w:rPr>
                <w:rFonts w:cs="Times New Roman"/>
                <w:kern w:val="2"/>
                <w:sz w:val="21"/>
                <w:szCs w:val="21"/>
              </w:rPr>
              <w:t>）</w:t>
            </w:r>
          </w:p>
        </w:tc>
        <w:tc>
          <w:tcPr>
            <w:tcW w:w="1209" w:type="pct"/>
            <w:gridSpan w:val="4"/>
            <w:vAlign w:val="center"/>
          </w:tcPr>
          <w:p w:rsidR="00C645C9" w:rsidRDefault="00F955D9">
            <w:pPr>
              <w:widowControl w:val="0"/>
              <w:tabs>
                <w:tab w:val="left" w:pos="1735"/>
              </w:tabs>
              <w:wordWrap w:val="0"/>
              <w:spacing w:line="0" w:lineRule="atLeast"/>
              <w:jc w:val="center"/>
              <w:rPr>
                <w:rFonts w:cs="Times New Roman"/>
                <w:kern w:val="2"/>
                <w:sz w:val="21"/>
                <w:szCs w:val="21"/>
              </w:rPr>
            </w:pPr>
            <w:r>
              <w:rPr>
                <w:rFonts w:cs="Times New Roman"/>
                <w:kern w:val="2"/>
                <w:sz w:val="21"/>
                <w:szCs w:val="21"/>
              </w:rPr>
              <w:t>监测点位数</w:t>
            </w:r>
            <w:r>
              <w:rPr>
                <w:rFonts w:cs="Times New Roman"/>
                <w:kern w:val="2"/>
                <w:sz w:val="21"/>
                <w:szCs w:val="21"/>
              </w:rPr>
              <w:t>（</w:t>
            </w:r>
            <w:r>
              <w:rPr>
                <w:rFonts w:cs="Times New Roman"/>
                <w:kern w:val="2"/>
                <w:sz w:val="21"/>
                <w:szCs w:val="21"/>
              </w:rPr>
              <w:t xml:space="preserve">  </w:t>
            </w:r>
            <w:r>
              <w:rPr>
                <w:rFonts w:cs="Times New Roman"/>
                <w:kern w:val="2"/>
                <w:sz w:val="21"/>
                <w:szCs w:val="21"/>
              </w:rPr>
              <w:t>）</w:t>
            </w:r>
          </w:p>
        </w:tc>
        <w:tc>
          <w:tcPr>
            <w:tcW w:w="642"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无监测</w:t>
            </w:r>
            <w:r>
              <w:rPr>
                <w:rFonts w:cs="Times New Roman"/>
                <w:kern w:val="2"/>
                <w:sz w:val="21"/>
                <w:szCs w:val="21"/>
              </w:rPr>
              <w:t>☑</w:t>
            </w:r>
          </w:p>
        </w:tc>
      </w:tr>
      <w:tr w:rsidR="00C645C9">
        <w:trPr>
          <w:trHeight w:val="397"/>
          <w:jc w:val="center"/>
        </w:trPr>
        <w:tc>
          <w:tcPr>
            <w:tcW w:w="553" w:type="pct"/>
            <w:gridSpan w:val="2"/>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评价结论</w:t>
            </w:r>
          </w:p>
        </w:tc>
        <w:tc>
          <w:tcPr>
            <w:tcW w:w="658" w:type="pct"/>
            <w:vAlign w:val="center"/>
          </w:tcPr>
          <w:p w:rsidR="00C645C9" w:rsidRDefault="00F955D9">
            <w:pPr>
              <w:widowControl w:val="0"/>
              <w:wordWrap w:val="0"/>
              <w:spacing w:line="0" w:lineRule="atLeast"/>
              <w:jc w:val="center"/>
              <w:rPr>
                <w:rFonts w:cs="Times New Roman"/>
                <w:kern w:val="2"/>
                <w:sz w:val="21"/>
                <w:szCs w:val="21"/>
              </w:rPr>
            </w:pPr>
            <w:r>
              <w:rPr>
                <w:rFonts w:cs="Times New Roman"/>
                <w:kern w:val="2"/>
                <w:sz w:val="21"/>
                <w:szCs w:val="21"/>
              </w:rPr>
              <w:t>环境影响</w:t>
            </w:r>
          </w:p>
        </w:tc>
        <w:tc>
          <w:tcPr>
            <w:tcW w:w="3790" w:type="pct"/>
            <w:gridSpan w:val="11"/>
            <w:vAlign w:val="center"/>
          </w:tcPr>
          <w:p w:rsidR="00C645C9" w:rsidRDefault="00F955D9">
            <w:pPr>
              <w:widowControl w:val="0"/>
              <w:tabs>
                <w:tab w:val="left" w:pos="1202"/>
              </w:tabs>
              <w:wordWrap w:val="0"/>
              <w:spacing w:line="0" w:lineRule="atLeast"/>
              <w:jc w:val="center"/>
              <w:rPr>
                <w:rFonts w:cs="Times New Roman"/>
                <w:kern w:val="2"/>
                <w:sz w:val="21"/>
                <w:szCs w:val="21"/>
              </w:rPr>
            </w:pPr>
            <w:r>
              <w:rPr>
                <w:rFonts w:cs="Times New Roman"/>
                <w:kern w:val="2"/>
                <w:sz w:val="21"/>
                <w:szCs w:val="21"/>
              </w:rPr>
              <w:t>可行</w:t>
            </w:r>
            <w:r>
              <w:rPr>
                <w:rFonts w:cs="Times New Roman"/>
                <w:kern w:val="2"/>
                <w:sz w:val="21"/>
                <w:szCs w:val="21"/>
              </w:rPr>
              <w:t>☑</w:t>
            </w:r>
            <w:r>
              <w:rPr>
                <w:rFonts w:cs="Times New Roman"/>
                <w:kern w:val="2"/>
                <w:sz w:val="21"/>
                <w:szCs w:val="21"/>
              </w:rPr>
              <w:t xml:space="preserve">    </w:t>
            </w:r>
            <w:r>
              <w:rPr>
                <w:rFonts w:cs="Times New Roman"/>
                <w:kern w:val="2"/>
                <w:sz w:val="21"/>
                <w:szCs w:val="21"/>
              </w:rPr>
              <w:t>不可行</w:t>
            </w:r>
            <w:r>
              <w:rPr>
                <w:rFonts w:cs="Times New Roman"/>
                <w:kern w:val="2"/>
                <w:sz w:val="21"/>
                <w:szCs w:val="21"/>
              </w:rPr>
              <w:t>□</w:t>
            </w:r>
          </w:p>
        </w:tc>
      </w:tr>
      <w:tr w:rsidR="00C645C9">
        <w:trPr>
          <w:trHeight w:val="397"/>
          <w:jc w:val="center"/>
        </w:trPr>
        <w:tc>
          <w:tcPr>
            <w:tcW w:w="5000" w:type="pct"/>
            <w:gridSpan w:val="14"/>
            <w:vAlign w:val="center"/>
          </w:tcPr>
          <w:p w:rsidR="00C645C9" w:rsidRDefault="00F955D9">
            <w:pPr>
              <w:widowControl w:val="0"/>
              <w:tabs>
                <w:tab w:val="left" w:pos="3079"/>
              </w:tabs>
              <w:wordWrap w:val="0"/>
              <w:spacing w:line="0" w:lineRule="atLeast"/>
              <w:jc w:val="both"/>
              <w:rPr>
                <w:rFonts w:cs="Times New Roman"/>
                <w:kern w:val="2"/>
                <w:sz w:val="21"/>
                <w:szCs w:val="21"/>
              </w:rPr>
            </w:pPr>
            <w:r>
              <w:rPr>
                <w:rFonts w:cs="Times New Roman"/>
                <w:kern w:val="2"/>
                <w:sz w:val="21"/>
                <w:szCs w:val="21"/>
              </w:rPr>
              <w:t>注：</w:t>
            </w:r>
            <w:r>
              <w:rPr>
                <w:rFonts w:cs="Times New Roman"/>
                <w:kern w:val="2"/>
                <w:sz w:val="21"/>
                <w:szCs w:val="21"/>
              </w:rPr>
              <w:t>“□”</w:t>
            </w:r>
            <w:r>
              <w:rPr>
                <w:rFonts w:cs="Times New Roman"/>
                <w:kern w:val="2"/>
                <w:sz w:val="21"/>
                <w:szCs w:val="21"/>
              </w:rPr>
              <w:t>为勾选项，可</w:t>
            </w:r>
            <w:r>
              <w:rPr>
                <w:rFonts w:cs="Times New Roman"/>
                <w:kern w:val="2"/>
                <w:sz w:val="21"/>
                <w:szCs w:val="21"/>
              </w:rPr>
              <w:t>√</w:t>
            </w:r>
            <w:r>
              <w:rPr>
                <w:rFonts w:cs="Times New Roman"/>
                <w:kern w:val="2"/>
                <w:sz w:val="21"/>
                <w:szCs w:val="21"/>
              </w:rPr>
              <w:t>；</w:t>
            </w:r>
            <w:r>
              <w:rPr>
                <w:rFonts w:cs="Times New Roman"/>
                <w:kern w:val="2"/>
                <w:sz w:val="21"/>
                <w:szCs w:val="21"/>
              </w:rPr>
              <w:t>“</w:t>
            </w:r>
            <w:r>
              <w:rPr>
                <w:rFonts w:cs="Times New Roman"/>
                <w:kern w:val="2"/>
                <w:sz w:val="21"/>
                <w:szCs w:val="21"/>
              </w:rPr>
              <w:t>（</w:t>
            </w:r>
            <w:r>
              <w:rPr>
                <w:rFonts w:cs="Times New Roman"/>
                <w:kern w:val="2"/>
                <w:sz w:val="21"/>
                <w:szCs w:val="21"/>
              </w:rPr>
              <w:t xml:space="preserve">  </w:t>
            </w:r>
            <w:r>
              <w:rPr>
                <w:rFonts w:cs="Times New Roman"/>
                <w:kern w:val="2"/>
                <w:sz w:val="21"/>
                <w:szCs w:val="21"/>
              </w:rPr>
              <w:t>）</w:t>
            </w:r>
            <w:r>
              <w:rPr>
                <w:rFonts w:cs="Times New Roman"/>
                <w:kern w:val="2"/>
                <w:sz w:val="21"/>
                <w:szCs w:val="21"/>
              </w:rPr>
              <w:t>”</w:t>
            </w:r>
            <w:r>
              <w:rPr>
                <w:rFonts w:cs="Times New Roman"/>
                <w:kern w:val="2"/>
                <w:sz w:val="21"/>
                <w:szCs w:val="21"/>
              </w:rPr>
              <w:t>为内容填写项。</w:t>
            </w:r>
          </w:p>
        </w:tc>
      </w:tr>
    </w:tbl>
    <w:p w:rsidR="00C645C9" w:rsidRDefault="00F955D9">
      <w:pPr>
        <w:pStyle w:val="2"/>
        <w:adjustRightInd w:val="0"/>
        <w:snapToGrid w:val="0"/>
        <w:spacing w:after="0" w:line="360" w:lineRule="auto"/>
        <w:rPr>
          <w:rFonts w:ascii="Times New Roman" w:hAnsi="Times New Roman" w:cs="Times New Roman"/>
          <w:color w:val="auto"/>
          <w:lang w:eastAsia="zh-CN"/>
        </w:rPr>
      </w:pPr>
      <w:bookmarkStart w:id="1630" w:name="_Toc508291897"/>
      <w:bookmarkStart w:id="1631" w:name="_Toc21419"/>
      <w:bookmarkStart w:id="1632" w:name="_Toc75438903"/>
      <w:bookmarkStart w:id="1633" w:name="_Toc42981118"/>
      <w:bookmarkStart w:id="1634" w:name="_Toc24280"/>
      <w:r>
        <w:rPr>
          <w:rFonts w:ascii="Times New Roman" w:hAnsi="Times New Roman" w:cs="Times New Roman"/>
          <w:color w:val="auto"/>
          <w:lang w:eastAsia="zh-CN"/>
        </w:rPr>
        <w:lastRenderedPageBreak/>
        <w:t>5.</w:t>
      </w:r>
      <w:bookmarkEnd w:id="1630"/>
      <w:bookmarkEnd w:id="1631"/>
      <w:bookmarkEnd w:id="1632"/>
      <w:bookmarkEnd w:id="1633"/>
      <w:r>
        <w:rPr>
          <w:rFonts w:ascii="Times New Roman" w:hAnsi="Times New Roman" w:cs="Times New Roman"/>
          <w:color w:val="auto"/>
          <w:lang w:eastAsia="zh-CN"/>
        </w:rPr>
        <w:t>7</w:t>
      </w:r>
      <w:r>
        <w:rPr>
          <w:rFonts w:ascii="Times New Roman" w:hAnsi="Times New Roman" w:cs="Times New Roman"/>
          <w:color w:val="auto"/>
          <w:lang w:eastAsia="zh-CN"/>
        </w:rPr>
        <w:t>固体废物影响分析</w:t>
      </w:r>
      <w:bookmarkEnd w:id="1634"/>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635" w:name="_Toc12524"/>
      <w:bookmarkStart w:id="1636" w:name="_Toc34"/>
      <w:bookmarkStart w:id="1637" w:name="_Toc20321"/>
      <w:bookmarkStart w:id="1638" w:name="_Hlk48692888"/>
      <w:bookmarkStart w:id="1639" w:name="_Toc212280213"/>
      <w:bookmarkStart w:id="1640" w:name="_Toc125468031"/>
      <w:bookmarkStart w:id="1641" w:name="_Toc246160433"/>
      <w:bookmarkStart w:id="1642" w:name="OLE_LINK505"/>
      <w:r>
        <w:rPr>
          <w:rFonts w:ascii="Times New Roman" w:hAnsi="Times New Roman" w:cs="Times New Roman"/>
          <w:color w:val="auto"/>
          <w:lang w:eastAsia="zh-CN"/>
        </w:rPr>
        <w:t>5.7.1</w:t>
      </w:r>
      <w:r>
        <w:rPr>
          <w:rFonts w:ascii="Times New Roman" w:hAnsi="Times New Roman" w:cs="Times New Roman"/>
          <w:color w:val="auto"/>
          <w:lang w:eastAsia="zh-CN"/>
        </w:rPr>
        <w:t>施工期固体废物影响分析</w:t>
      </w:r>
      <w:bookmarkEnd w:id="1635"/>
      <w:bookmarkEnd w:id="1636"/>
      <w:bookmarkEnd w:id="1637"/>
    </w:p>
    <w:p w:rsidR="00C645C9" w:rsidRDefault="00F955D9">
      <w:pPr>
        <w:adjustRightInd w:val="0"/>
        <w:snapToGrid w:val="0"/>
        <w:spacing w:line="360" w:lineRule="auto"/>
        <w:ind w:firstLineChars="200" w:firstLine="480"/>
        <w:jc w:val="both"/>
        <w:rPr>
          <w:rFonts w:cs="Times New Roman"/>
          <w:kern w:val="2"/>
          <w:szCs w:val="32"/>
        </w:rPr>
      </w:pPr>
      <w:r>
        <w:rPr>
          <w:rFonts w:cs="Times New Roman"/>
          <w:kern w:val="2"/>
          <w:szCs w:val="32"/>
        </w:rPr>
        <w:t>本工程施工期产生的固体废物主要</w:t>
      </w:r>
      <w:r>
        <w:rPr>
          <w:rFonts w:cs="Times New Roman" w:hint="eastAsia"/>
          <w:kern w:val="2"/>
          <w:szCs w:val="32"/>
        </w:rPr>
        <w:t>包括</w:t>
      </w:r>
      <w:r>
        <w:rPr>
          <w:rFonts w:cs="Times New Roman"/>
          <w:kern w:val="2"/>
          <w:szCs w:val="32"/>
        </w:rPr>
        <w:t>钻井泥浆</w:t>
      </w:r>
      <w:r>
        <w:rPr>
          <w:rFonts w:cs="Times New Roman" w:hint="eastAsia"/>
          <w:kern w:val="2"/>
          <w:szCs w:val="32"/>
        </w:rPr>
        <w:t>、钻井岩屑、落地油、废润滑油、</w:t>
      </w:r>
      <w:r>
        <w:rPr>
          <w:rFonts w:cs="Times New Roman"/>
          <w:kern w:val="2"/>
          <w:szCs w:val="32"/>
        </w:rPr>
        <w:t>生活垃圾</w:t>
      </w:r>
      <w:r>
        <w:rPr>
          <w:rFonts w:cs="Times New Roman"/>
          <w:kern w:val="2"/>
          <w:szCs w:val="32"/>
        </w:rPr>
        <w:t>、施工废料</w:t>
      </w:r>
      <w:r>
        <w:rPr>
          <w:rFonts w:cs="Times New Roman"/>
          <w:kern w:val="2"/>
          <w:szCs w:val="32"/>
        </w:rPr>
        <w:t>和土石方。</w:t>
      </w:r>
    </w:p>
    <w:p w:rsidR="00C645C9" w:rsidRDefault="00F955D9">
      <w:pPr>
        <w:pStyle w:val="af0"/>
        <w:widowControl w:val="0"/>
        <w:adjustRightInd w:val="0"/>
        <w:snapToGrid w:val="0"/>
        <w:spacing w:line="360" w:lineRule="auto"/>
        <w:ind w:firstLineChars="200" w:firstLine="480"/>
        <w:jc w:val="both"/>
        <w:rPr>
          <w:rFonts w:cs="Times New Roman"/>
          <w:spacing w:val="5"/>
          <w:kern w:val="2"/>
        </w:rPr>
      </w:pPr>
      <w:r>
        <w:rPr>
          <w:rFonts w:cs="Times New Roman"/>
        </w:rPr>
        <w:t>①</w:t>
      </w:r>
      <w:r>
        <w:rPr>
          <w:rFonts w:cs="Times New Roman"/>
          <w:spacing w:val="5"/>
          <w:kern w:val="2"/>
        </w:rPr>
        <w:t>钻井泥浆</w:t>
      </w:r>
    </w:p>
    <w:p w:rsidR="00C645C9" w:rsidRDefault="00F955D9">
      <w:pPr>
        <w:pStyle w:val="afe"/>
        <w:widowControl w:val="0"/>
        <w:snapToGrid w:val="0"/>
        <w:spacing w:line="360" w:lineRule="auto"/>
        <w:ind w:firstLine="480"/>
        <w:jc w:val="both"/>
        <w:rPr>
          <w:rFonts w:ascii="Times New Roman" w:hAnsi="Times New Roman"/>
          <w:szCs w:val="24"/>
        </w:rPr>
      </w:pPr>
      <w:bookmarkStart w:id="1643" w:name="OLE_LINK846"/>
      <w:r>
        <w:rPr>
          <w:rFonts w:ascii="Times New Roman" w:hAnsi="Times New Roman"/>
          <w:szCs w:val="24"/>
        </w:rPr>
        <w:t>本工程</w:t>
      </w:r>
      <w:bookmarkEnd w:id="1643"/>
      <w:r>
        <w:rPr>
          <w:rFonts w:ascii="Times New Roman" w:hAnsi="Times New Roman"/>
          <w:szCs w:val="24"/>
        </w:rPr>
        <w:t>泥浆在井口采用</w:t>
      </w:r>
      <w:r>
        <w:rPr>
          <w:rFonts w:ascii="Times New Roman" w:hAnsi="Times New Roman"/>
          <w:szCs w:val="24"/>
        </w:rPr>
        <w:t>“</w:t>
      </w:r>
      <w:r>
        <w:rPr>
          <w:rFonts w:ascii="Times New Roman" w:hAnsi="Times New Roman"/>
          <w:szCs w:val="24"/>
        </w:rPr>
        <w:t>振动筛</w:t>
      </w:r>
      <w:r>
        <w:rPr>
          <w:rFonts w:ascii="Times New Roman" w:hAnsi="Times New Roman"/>
          <w:szCs w:val="24"/>
        </w:rPr>
        <w:t>+</w:t>
      </w:r>
      <w:r>
        <w:rPr>
          <w:rFonts w:ascii="Times New Roman" w:hAnsi="Times New Roman"/>
          <w:szCs w:val="24"/>
        </w:rPr>
        <w:t>除砂器</w:t>
      </w:r>
      <w:r>
        <w:rPr>
          <w:rFonts w:ascii="Times New Roman" w:hAnsi="Times New Roman"/>
          <w:szCs w:val="24"/>
        </w:rPr>
        <w:t>+</w:t>
      </w:r>
      <w:r>
        <w:rPr>
          <w:rFonts w:ascii="Times New Roman" w:hAnsi="Times New Roman"/>
          <w:szCs w:val="24"/>
        </w:rPr>
        <w:t>处理器</w:t>
      </w:r>
      <w:r>
        <w:rPr>
          <w:rFonts w:ascii="Times New Roman" w:hAnsi="Times New Roman"/>
          <w:szCs w:val="24"/>
        </w:rPr>
        <w:t>+</w:t>
      </w:r>
      <w:r>
        <w:rPr>
          <w:rFonts w:ascii="Times New Roman" w:hAnsi="Times New Roman"/>
          <w:szCs w:val="24"/>
        </w:rPr>
        <w:t>离心分离机</w:t>
      </w:r>
      <w:r>
        <w:rPr>
          <w:rFonts w:ascii="Times New Roman" w:hAnsi="Times New Roman"/>
          <w:szCs w:val="24"/>
        </w:rPr>
        <w:t>”</w:t>
      </w:r>
      <w:r>
        <w:rPr>
          <w:rFonts w:ascii="Times New Roman" w:hAnsi="Times New Roman"/>
          <w:szCs w:val="24"/>
        </w:rPr>
        <w:t>分离岩屑后，进入泥浆罐循环使用。</w:t>
      </w:r>
      <w:r>
        <w:rPr>
          <w:rFonts w:ascii="Times New Roman" w:hAnsi="Times New Roman" w:hint="eastAsia"/>
          <w:szCs w:val="24"/>
        </w:rPr>
        <w:t>本</w:t>
      </w:r>
      <w:r>
        <w:rPr>
          <w:rFonts w:ascii="Times New Roman" w:hAnsi="Times New Roman"/>
          <w:szCs w:val="24"/>
        </w:rPr>
        <w:t>工程泥浆使用过程中根据地层情况循环使用，泥浆钻井结束后回收。</w:t>
      </w:r>
      <w:r>
        <w:rPr>
          <w:rFonts w:ascii="Times New Roman" w:hAnsi="Times New Roman"/>
        </w:rPr>
        <w:t>本</w:t>
      </w:r>
      <w:r>
        <w:rPr>
          <w:rFonts w:ascii="Times New Roman" w:hAnsi="Times New Roman"/>
        </w:rPr>
        <w:t>工程</w:t>
      </w:r>
      <w:r>
        <w:rPr>
          <w:rFonts w:ascii="Times New Roman" w:hAnsi="Times New Roman"/>
        </w:rPr>
        <w:t>产生的废弃泥浆量约</w:t>
      </w:r>
      <w:r>
        <w:rPr>
          <w:rFonts w:ascii="Times New Roman" w:hAnsi="Times New Roman"/>
        </w:rPr>
        <w:t>1082.9</w:t>
      </w:r>
      <w:r>
        <w:rPr>
          <w:rFonts w:ascii="Times New Roman" w:hAnsi="Times New Roman" w:hint="eastAsia"/>
        </w:rPr>
        <w:t>8</w:t>
      </w:r>
      <w:r>
        <w:rPr>
          <w:rFonts w:ascii="Times New Roman" w:hAnsi="Times New Roman"/>
        </w:rPr>
        <w:t>m</w:t>
      </w:r>
      <w:r>
        <w:rPr>
          <w:rFonts w:ascii="Times New Roman" w:hAnsi="Times New Roman"/>
          <w:vertAlign w:val="superscript"/>
        </w:rPr>
        <w:t>3</w:t>
      </w:r>
      <w:r>
        <w:rPr>
          <w:rFonts w:ascii="Times New Roman" w:hAnsi="Times New Roman"/>
        </w:rPr>
        <w:t>。</w:t>
      </w:r>
    </w:p>
    <w:p w:rsidR="00C645C9" w:rsidRDefault="00F955D9" w:rsidP="005718BB">
      <w:pPr>
        <w:pStyle w:val="afe"/>
        <w:snapToGrid w:val="0"/>
        <w:spacing w:line="360" w:lineRule="auto"/>
        <w:ind w:firstLine="500"/>
        <w:jc w:val="both"/>
        <w:rPr>
          <w:rFonts w:ascii="Times New Roman" w:hAnsi="Times New Roman"/>
          <w:szCs w:val="24"/>
        </w:rPr>
      </w:pPr>
      <w:r>
        <w:rPr>
          <w:rFonts w:ascii="Times New Roman" w:hAnsi="Times New Roman"/>
          <w:sz w:val="25"/>
          <w:szCs w:val="25"/>
        </w:rPr>
        <w:t>②</w:t>
      </w:r>
      <w:r>
        <w:rPr>
          <w:rFonts w:ascii="Times New Roman" w:hAnsi="Times New Roman"/>
          <w:kern w:val="2"/>
          <w:szCs w:val="24"/>
        </w:rPr>
        <w:t>钻井岩屑</w:t>
      </w:r>
    </w:p>
    <w:p w:rsidR="00C645C9" w:rsidRDefault="00F955D9">
      <w:pPr>
        <w:pStyle w:val="a5"/>
        <w:snapToGrid w:val="0"/>
        <w:ind w:firstLineChars="200" w:firstLine="480"/>
        <w:jc w:val="both"/>
        <w:rPr>
          <w:rFonts w:ascii="Times New Roman" w:hAnsi="Times New Roman" w:cs="Times New Roman"/>
        </w:rPr>
      </w:pPr>
      <w:r>
        <w:rPr>
          <w:rFonts w:ascii="Times New Roman" w:hAnsi="Times New Roman" w:cs="Times New Roman"/>
        </w:rPr>
        <w:t>本工程</w:t>
      </w:r>
      <w:r>
        <w:rPr>
          <w:rFonts w:ascii="Times New Roman" w:hAnsi="Times New Roman" w:cs="Times New Roman"/>
        </w:rPr>
        <w:t>钻井期内产生的岩屑量为</w:t>
      </w:r>
      <w:r>
        <w:rPr>
          <w:rFonts w:ascii="Times New Roman" w:hAnsi="Times New Roman" w:cs="Times New Roman"/>
          <w:kern w:val="2"/>
        </w:rPr>
        <w:t>1812.1</w:t>
      </w:r>
      <w:r>
        <w:rPr>
          <w:rFonts w:ascii="Times New Roman" w:hAnsi="Times New Roman" w:cs="Times New Roman" w:hint="eastAsia"/>
          <w:kern w:val="2"/>
        </w:rPr>
        <w:t>7</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。根据目前西北油田分公司钻井工程的要求，</w:t>
      </w:r>
      <w:bookmarkStart w:id="1644" w:name="OLE_LINK1423"/>
      <w:r>
        <w:rPr>
          <w:rFonts w:ascii="Times New Roman" w:hAnsi="Times New Roman" w:cs="Times New Roman"/>
        </w:rPr>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ascii="Times New Roman" w:hAnsi="Times New Roman" w:cs="Times New Roman"/>
        </w:rPr>
        <w:t>DB65/T 3997-2017</w:t>
      </w:r>
      <w:r>
        <w:rPr>
          <w:rFonts w:ascii="Times New Roman" w:hAnsi="Times New Roman" w:cs="Times New Roman"/>
        </w:rPr>
        <w:t>）中综合利用污染物限值要求，同时石油烃满足《土壤环境质量</w:t>
      </w:r>
      <w:r>
        <w:rPr>
          <w:rFonts w:ascii="Times New Roman" w:hAnsi="Times New Roman" w:cs="Times New Roman"/>
        </w:rPr>
        <w:t xml:space="preserve"> </w:t>
      </w:r>
      <w:r>
        <w:rPr>
          <w:rFonts w:ascii="Times New Roman" w:hAnsi="Times New Roman" w:cs="Times New Roman"/>
        </w:rPr>
        <w:t>建设用地土壤污染风险管控标准（试行）》（</w:t>
      </w:r>
      <w:r>
        <w:rPr>
          <w:rFonts w:ascii="Times New Roman" w:hAnsi="Times New Roman" w:cs="Times New Roman"/>
        </w:rPr>
        <w:t>GB36600-2018</w:t>
      </w:r>
      <w:r>
        <w:rPr>
          <w:rFonts w:ascii="Times New Roman" w:hAnsi="Times New Roman" w:cs="Times New Roman"/>
        </w:rPr>
        <w:t>）中表</w:t>
      </w:r>
      <w:r>
        <w:rPr>
          <w:rFonts w:ascii="Times New Roman" w:hAnsi="Times New Roman" w:cs="Times New Roman"/>
        </w:rPr>
        <w:t>2</w:t>
      </w:r>
      <w:r>
        <w:rPr>
          <w:rFonts w:ascii="Times New Roman" w:hAnsi="Times New Roman" w:cs="Times New Roman"/>
        </w:rPr>
        <w:t>第二类用地风险筛选值后，可用于铺垫油区内的井场等；磺化水基泥浆在现场进行固液分离，分离后的液体用于钻井液配备，固相拉运至塔河油田绿色环保工作站的含油污泥处理系</w:t>
      </w:r>
      <w:r>
        <w:rPr>
          <w:rFonts w:ascii="Times New Roman" w:hAnsi="Times New Roman" w:cs="Times New Roman"/>
        </w:rPr>
        <w:t>统处置。油基泥浆采用油基泥浆不落地系统在井场进行固液分离，液相回用于钻井，固相使用专用罐收集后，拉运至塔河油田绿色环保工作站的含油污泥处理系统处置</w:t>
      </w:r>
      <w:bookmarkEnd w:id="1644"/>
      <w:r>
        <w:rPr>
          <w:rFonts w:ascii="Times New Roman" w:hAnsi="Times New Roman" w:cs="Times New Roman"/>
        </w:rPr>
        <w:t>。</w:t>
      </w:r>
    </w:p>
    <w:p w:rsidR="00C645C9" w:rsidRDefault="00F955D9">
      <w:pPr>
        <w:pStyle w:val="affff4"/>
        <w:adjustRightInd w:val="0"/>
        <w:ind w:firstLine="480"/>
        <w:rPr>
          <w:kern w:val="2"/>
          <w:sz w:val="24"/>
          <w:szCs w:val="24"/>
        </w:rPr>
      </w:pPr>
      <w:r>
        <w:rPr>
          <w:kern w:val="2"/>
          <w:sz w:val="24"/>
          <w:szCs w:val="24"/>
        </w:rPr>
        <w:fldChar w:fldCharType="begin"/>
      </w:r>
      <w:r>
        <w:rPr>
          <w:kern w:val="2"/>
          <w:sz w:val="24"/>
          <w:szCs w:val="24"/>
        </w:rPr>
        <w:instrText xml:space="preserve"> = 3 \* GB3 \* MERGEFORMAT </w:instrText>
      </w:r>
      <w:r>
        <w:rPr>
          <w:kern w:val="2"/>
          <w:sz w:val="24"/>
          <w:szCs w:val="24"/>
        </w:rPr>
        <w:fldChar w:fldCharType="separate"/>
      </w:r>
      <w:r>
        <w:rPr>
          <w:rFonts w:ascii="宋体" w:hAnsi="宋体" w:hint="eastAsia"/>
          <w:kern w:val="2"/>
          <w:sz w:val="24"/>
          <w:szCs w:val="24"/>
        </w:rPr>
        <w:t>③</w:t>
      </w:r>
      <w:r>
        <w:rPr>
          <w:kern w:val="2"/>
          <w:sz w:val="24"/>
          <w:szCs w:val="24"/>
        </w:rPr>
        <w:fldChar w:fldCharType="end"/>
      </w:r>
      <w:r>
        <w:rPr>
          <w:kern w:val="2"/>
          <w:sz w:val="24"/>
          <w:szCs w:val="24"/>
        </w:rPr>
        <w:t>落地油</w:t>
      </w:r>
    </w:p>
    <w:p w:rsidR="00C645C9" w:rsidRDefault="00F955D9">
      <w:pPr>
        <w:widowControl w:val="0"/>
        <w:adjustRightInd w:val="0"/>
        <w:snapToGrid w:val="0"/>
        <w:spacing w:line="360" w:lineRule="auto"/>
        <w:ind w:firstLineChars="200" w:firstLine="480"/>
        <w:rPr>
          <w:rFonts w:cs="Times New Roman"/>
        </w:rPr>
      </w:pPr>
      <w:r>
        <w:rPr>
          <w:rFonts w:cs="Times New Roman"/>
        </w:rPr>
        <w:t>落地油主要来自突发环境事件和</w:t>
      </w:r>
      <w:r>
        <w:rPr>
          <w:rFonts w:cs="Times New Roman" w:hint="eastAsia"/>
        </w:rPr>
        <w:t>油气</w:t>
      </w:r>
      <w:r>
        <w:rPr>
          <w:rFonts w:cs="Times New Roman"/>
        </w:rPr>
        <w:t>处理环节等，属于《国家危险废物名录（</w:t>
      </w:r>
      <w:r>
        <w:rPr>
          <w:rFonts w:cs="Times New Roman"/>
        </w:rPr>
        <w:t>2025</w:t>
      </w:r>
      <w:r>
        <w:rPr>
          <w:rFonts w:cs="Times New Roman"/>
        </w:rPr>
        <w:t>年版）》，</w:t>
      </w:r>
      <w:r>
        <w:rPr>
          <w:rFonts w:cs="Times New Roman"/>
        </w:rPr>
        <w:t>HW08</w:t>
      </w:r>
      <w:r>
        <w:rPr>
          <w:rFonts w:cs="Times New Roman"/>
        </w:rPr>
        <w:t>类危险废物（废物代码：</w:t>
      </w:r>
      <w:r>
        <w:rPr>
          <w:rFonts w:cs="Times New Roman"/>
        </w:rPr>
        <w:t>071-001-08</w:t>
      </w:r>
      <w:r>
        <w:rPr>
          <w:rFonts w:cs="Times New Roman"/>
        </w:rPr>
        <w:t>）。</w:t>
      </w:r>
    </w:p>
    <w:p w:rsidR="00C645C9" w:rsidRDefault="00F955D9">
      <w:pPr>
        <w:pStyle w:val="affff4"/>
        <w:adjustRightInd w:val="0"/>
        <w:ind w:firstLine="480"/>
        <w:rPr>
          <w:rFonts w:cs="Times New Roman"/>
          <w:sz w:val="24"/>
          <w:szCs w:val="24"/>
        </w:rPr>
      </w:pPr>
      <w:r>
        <w:rPr>
          <w:rFonts w:cs="Times New Roman"/>
          <w:sz w:val="24"/>
          <w:szCs w:val="24"/>
        </w:rPr>
        <w:t>本工程预计新增落地油</w:t>
      </w:r>
      <w:r>
        <w:rPr>
          <w:rFonts w:cs="Times New Roman"/>
          <w:sz w:val="24"/>
          <w:szCs w:val="24"/>
        </w:rPr>
        <w:t>0.3t/a</w:t>
      </w:r>
      <w:r>
        <w:rPr>
          <w:rFonts w:cs="Times New Roman"/>
          <w:sz w:val="24"/>
          <w:szCs w:val="24"/>
        </w:rPr>
        <w:t>，落地油回收率为</w:t>
      </w:r>
      <w:r>
        <w:rPr>
          <w:rFonts w:cs="Times New Roman"/>
          <w:sz w:val="24"/>
          <w:szCs w:val="24"/>
        </w:rPr>
        <w:t>100%</w:t>
      </w:r>
      <w:r>
        <w:rPr>
          <w:rFonts w:cs="Times New Roman"/>
          <w:sz w:val="24"/>
          <w:szCs w:val="24"/>
        </w:rPr>
        <w:t>，落地油不在施工站场储存，直接在作业施工现场由施工人员回收至罐车内，罐车采用密闭的专用罐车，统</w:t>
      </w:r>
      <w:r>
        <w:rPr>
          <w:rFonts w:cs="Times New Roman"/>
          <w:sz w:val="24"/>
          <w:szCs w:val="24"/>
        </w:rPr>
        <w:t>一由塔河油田绿色环保</w:t>
      </w:r>
      <w:r>
        <w:rPr>
          <w:rFonts w:cs="Times New Roman" w:hint="eastAsia"/>
          <w:sz w:val="24"/>
          <w:szCs w:val="24"/>
        </w:rPr>
        <w:t>工作</w:t>
      </w:r>
      <w:r>
        <w:rPr>
          <w:rFonts w:cs="Times New Roman"/>
          <w:sz w:val="24"/>
          <w:szCs w:val="24"/>
        </w:rPr>
        <w:t>站进行无害化处理。严格按照《危险废物贮存污染控制标准》（</w:t>
      </w:r>
      <w:r>
        <w:rPr>
          <w:rFonts w:cs="Times New Roman"/>
          <w:sz w:val="24"/>
          <w:szCs w:val="24"/>
        </w:rPr>
        <w:t>GB18597-2023</w:t>
      </w:r>
      <w:r>
        <w:rPr>
          <w:rFonts w:cs="Times New Roman"/>
          <w:sz w:val="24"/>
          <w:szCs w:val="24"/>
        </w:rPr>
        <w:t>）、《危险废物收集</w:t>
      </w:r>
      <w:r>
        <w:rPr>
          <w:rFonts w:cs="Times New Roman" w:hint="eastAsia"/>
          <w:sz w:val="24"/>
          <w:szCs w:val="24"/>
        </w:rPr>
        <w:t xml:space="preserve"> </w:t>
      </w:r>
      <w:r>
        <w:rPr>
          <w:rFonts w:cs="Times New Roman"/>
          <w:sz w:val="24"/>
          <w:szCs w:val="24"/>
        </w:rPr>
        <w:t>贮存</w:t>
      </w:r>
      <w:r>
        <w:rPr>
          <w:rFonts w:cs="Times New Roman" w:hint="eastAsia"/>
          <w:sz w:val="24"/>
          <w:szCs w:val="24"/>
        </w:rPr>
        <w:t xml:space="preserve"> </w:t>
      </w:r>
      <w:r>
        <w:rPr>
          <w:rFonts w:cs="Times New Roman"/>
          <w:sz w:val="24"/>
          <w:szCs w:val="24"/>
        </w:rPr>
        <w:t>运输技术规范》（</w:t>
      </w:r>
      <w:r>
        <w:rPr>
          <w:rFonts w:cs="Times New Roman"/>
          <w:sz w:val="24"/>
          <w:szCs w:val="24"/>
        </w:rPr>
        <w:t>HJ2025-2012</w:t>
      </w:r>
      <w:r>
        <w:rPr>
          <w:rFonts w:cs="Times New Roman"/>
          <w:sz w:val="24"/>
          <w:szCs w:val="24"/>
        </w:rPr>
        <w:t>）和《危险废物转移管理办法》</w:t>
      </w:r>
      <w:r>
        <w:rPr>
          <w:rFonts w:cs="Times New Roman" w:hint="eastAsia"/>
          <w:sz w:val="24"/>
          <w:szCs w:val="24"/>
        </w:rPr>
        <w:t>（生态环境部、公安部、交通运输部令第</w:t>
      </w:r>
      <w:r>
        <w:rPr>
          <w:rFonts w:cs="Times New Roman" w:hint="eastAsia"/>
          <w:sz w:val="24"/>
          <w:szCs w:val="24"/>
        </w:rPr>
        <w:t>23</w:t>
      </w:r>
      <w:r>
        <w:rPr>
          <w:rFonts w:cs="Times New Roman" w:hint="eastAsia"/>
          <w:sz w:val="24"/>
          <w:szCs w:val="24"/>
        </w:rPr>
        <w:t>号）</w:t>
      </w:r>
      <w:r>
        <w:rPr>
          <w:rFonts w:cs="Times New Roman"/>
          <w:sz w:val="24"/>
          <w:szCs w:val="24"/>
        </w:rPr>
        <w:t>中的相关要求收集、贮存、运输</w:t>
      </w:r>
      <w:r>
        <w:rPr>
          <w:rFonts w:cs="Times New Roman" w:hint="eastAsia"/>
          <w:sz w:val="24"/>
          <w:szCs w:val="24"/>
        </w:rPr>
        <w:t>。</w:t>
      </w:r>
    </w:p>
    <w:p w:rsidR="00C645C9" w:rsidRDefault="00F955D9">
      <w:pPr>
        <w:pStyle w:val="affff4"/>
        <w:adjustRightInd w:val="0"/>
        <w:ind w:firstLine="480"/>
        <w:rPr>
          <w:rFonts w:cs="Times New Roman"/>
          <w:sz w:val="24"/>
          <w:szCs w:val="24"/>
        </w:rPr>
      </w:pPr>
      <w:r>
        <w:rPr>
          <w:rFonts w:cs="Times New Roman" w:hint="eastAsia"/>
          <w:sz w:val="24"/>
          <w:szCs w:val="24"/>
        </w:rPr>
        <w:lastRenderedPageBreak/>
        <w:t>④废润滑油</w:t>
      </w:r>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hint="eastAsia"/>
        </w:rPr>
        <w:t>废润滑油主要来自设备维修过程，属于《国家危险废物名录（</w:t>
      </w:r>
      <w:r>
        <w:rPr>
          <w:rFonts w:ascii="Times New Roman" w:hAnsi="Times New Roman" w:cs="Times New Roman" w:hint="eastAsia"/>
        </w:rPr>
        <w:t>2025</w:t>
      </w:r>
      <w:r>
        <w:rPr>
          <w:rFonts w:ascii="Times New Roman" w:hAnsi="Times New Roman" w:cs="Times New Roman" w:hint="eastAsia"/>
        </w:rPr>
        <w:t>年版）》，</w:t>
      </w:r>
      <w:r>
        <w:rPr>
          <w:rFonts w:ascii="Times New Roman" w:hAnsi="Times New Roman" w:cs="Times New Roman" w:hint="eastAsia"/>
        </w:rPr>
        <w:t>HW08</w:t>
      </w:r>
      <w:r>
        <w:rPr>
          <w:rFonts w:ascii="Times New Roman" w:hAnsi="Times New Roman" w:cs="Times New Roman" w:hint="eastAsia"/>
        </w:rPr>
        <w:t>类危险废物（废物代码：</w:t>
      </w:r>
      <w:r>
        <w:rPr>
          <w:rFonts w:ascii="Times New Roman" w:hAnsi="Times New Roman" w:cs="Times New Roman" w:hint="eastAsia"/>
        </w:rPr>
        <w:t>900-214-08</w:t>
      </w:r>
      <w:r>
        <w:rPr>
          <w:rFonts w:ascii="Times New Roman" w:hAnsi="Times New Roman" w:cs="Times New Roman" w:hint="eastAsia"/>
        </w:rPr>
        <w:t>）。废润滑油间歇产生，废润滑油产生量约</w:t>
      </w:r>
      <w:r>
        <w:rPr>
          <w:rFonts w:ascii="Times New Roman" w:hAnsi="Times New Roman" w:cs="Times New Roman" w:hint="eastAsia"/>
        </w:rPr>
        <w:t>0</w:t>
      </w:r>
      <w:r>
        <w:rPr>
          <w:rFonts w:ascii="Times New Roman" w:hAnsi="Times New Roman" w:cs="Times New Roman"/>
        </w:rPr>
        <w:t>.5t/a</w:t>
      </w:r>
      <w:r>
        <w:rPr>
          <w:rFonts w:ascii="Times New Roman" w:hAnsi="Times New Roman" w:cs="Times New Roman"/>
        </w:rPr>
        <w:t>，</w:t>
      </w:r>
      <w:r>
        <w:rPr>
          <w:rFonts w:ascii="Times New Roman" w:hAnsi="Times New Roman" w:cs="Times New Roman" w:hint="eastAsia"/>
        </w:rPr>
        <w:t>收集后委托持有危险废物经营许可证的单位利用处置</w:t>
      </w:r>
      <w:r>
        <w:rPr>
          <w:rFonts w:ascii="Times New Roman" w:hAnsi="Times New Roman" w:cs="Times New Roman"/>
        </w:rPr>
        <w:t>。</w:t>
      </w:r>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5 \* GB3 \* MERGEFORMAT </w:instrText>
      </w:r>
      <w:r>
        <w:rPr>
          <w:rFonts w:ascii="Times New Roman" w:hAnsi="Times New Roman" w:cs="Times New Roman"/>
        </w:rPr>
        <w:fldChar w:fldCharType="separate"/>
      </w:r>
      <w:r>
        <w:rPr>
          <w:rFonts w:ascii="Times New Roman" w:hAnsi="Times New Roman" w:cs="Times New Roman"/>
        </w:rPr>
        <w:t>⑤</w:t>
      </w:r>
      <w:r>
        <w:rPr>
          <w:rFonts w:ascii="Times New Roman" w:hAnsi="Times New Roman" w:cs="Times New Roman"/>
        </w:rPr>
        <w:fldChar w:fldCharType="end"/>
      </w:r>
      <w:r>
        <w:rPr>
          <w:rFonts w:ascii="Times New Roman" w:hAnsi="Times New Roman" w:cs="Times New Roman"/>
        </w:rPr>
        <w:t>生活垃圾</w:t>
      </w:r>
    </w:p>
    <w:p w:rsidR="00C645C9" w:rsidRDefault="00F955D9" w:rsidP="005718BB">
      <w:pPr>
        <w:pStyle w:val="aff"/>
        <w:adjustRightInd w:val="0"/>
        <w:snapToGrid w:val="0"/>
        <w:rPr>
          <w:rFonts w:cs="Times New Roman"/>
          <w:color w:val="auto"/>
        </w:rPr>
      </w:pPr>
      <w:r>
        <w:rPr>
          <w:rFonts w:cs="Times New Roman"/>
          <w:color w:val="auto"/>
        </w:rPr>
        <w:t>本工程施工期施工人员</w:t>
      </w:r>
      <w:r>
        <w:rPr>
          <w:rFonts w:cs="Times New Roman"/>
          <w:color w:val="auto"/>
        </w:rPr>
        <w:t>1</w:t>
      </w:r>
      <w:r>
        <w:rPr>
          <w:rFonts w:cs="Times New Roman"/>
          <w:color w:val="auto"/>
        </w:rPr>
        <w:t>0</w:t>
      </w:r>
      <w:r>
        <w:rPr>
          <w:rFonts w:cs="Times New Roman"/>
          <w:color w:val="auto"/>
        </w:rPr>
        <w:t>人，施工期</w:t>
      </w:r>
      <w:r>
        <w:rPr>
          <w:rFonts w:cs="Times New Roman"/>
          <w:color w:val="auto"/>
        </w:rPr>
        <w:t>270</w:t>
      </w:r>
      <w:r>
        <w:rPr>
          <w:rFonts w:cs="Times New Roman"/>
          <w:color w:val="auto"/>
        </w:rPr>
        <w:t>天</w:t>
      </w:r>
      <w:r>
        <w:rPr>
          <w:rFonts w:cs="Times New Roman"/>
          <w:color w:val="auto"/>
        </w:rPr>
        <w:t>，平均每人每天产生生活垃圾</w:t>
      </w:r>
      <w:r>
        <w:rPr>
          <w:rFonts w:cs="Times New Roman"/>
          <w:color w:val="auto"/>
        </w:rPr>
        <w:t>0.5kg</w:t>
      </w:r>
      <w:r>
        <w:rPr>
          <w:rFonts w:cs="Times New Roman"/>
          <w:color w:val="auto"/>
        </w:rPr>
        <w:t>。整个施工过程生活垃圾产生量共计</w:t>
      </w:r>
      <w:r>
        <w:rPr>
          <w:rFonts w:cs="Times New Roman"/>
          <w:color w:val="auto"/>
        </w:rPr>
        <w:t>1.35</w:t>
      </w:r>
      <w:r>
        <w:rPr>
          <w:rFonts w:cs="Times New Roman"/>
          <w:color w:val="auto"/>
        </w:rPr>
        <w:t>t</w:t>
      </w:r>
      <w:r>
        <w:rPr>
          <w:rFonts w:cs="Times New Roman"/>
          <w:color w:val="auto"/>
        </w:rPr>
        <w:t>，生活垃圾集中收集后，委托库车绿能环保科技有限公司清运处置</w:t>
      </w:r>
      <w:r>
        <w:rPr>
          <w:rFonts w:cs="Times New Roman"/>
          <w:color w:val="auto"/>
        </w:rPr>
        <w:t>。</w:t>
      </w:r>
    </w:p>
    <w:p w:rsidR="00C645C9" w:rsidRDefault="00F955D9">
      <w:pPr>
        <w:pStyle w:val="afe"/>
        <w:widowControl w:val="0"/>
        <w:snapToGrid w:val="0"/>
        <w:spacing w:line="360" w:lineRule="auto"/>
        <w:ind w:firstLine="500"/>
        <w:jc w:val="both"/>
        <w:rPr>
          <w:rFonts w:ascii="Times New Roman" w:hAnsi="Times New Roman"/>
          <w:kern w:val="2"/>
          <w:szCs w:val="24"/>
        </w:rPr>
      </w:pPr>
      <w:r>
        <w:rPr>
          <w:rFonts w:ascii="Times New Roman" w:hAnsi="Times New Roman"/>
          <w:sz w:val="25"/>
          <w:szCs w:val="25"/>
        </w:rPr>
        <w:fldChar w:fldCharType="begin"/>
      </w:r>
      <w:r>
        <w:rPr>
          <w:rFonts w:ascii="Times New Roman" w:hAnsi="Times New Roman"/>
          <w:sz w:val="25"/>
          <w:szCs w:val="25"/>
        </w:rPr>
        <w:instrText xml:space="preserve"> = 6 \* GB3 \* MERGEFORMAT </w:instrText>
      </w:r>
      <w:r>
        <w:rPr>
          <w:rFonts w:ascii="Times New Roman" w:hAnsi="Times New Roman"/>
          <w:sz w:val="25"/>
          <w:szCs w:val="25"/>
        </w:rPr>
        <w:fldChar w:fldCharType="separate"/>
      </w:r>
      <w:r>
        <w:rPr>
          <w:rFonts w:ascii="Times New Roman" w:hAnsi="Times New Roman"/>
        </w:rPr>
        <w:t>⑥</w:t>
      </w:r>
      <w:r>
        <w:rPr>
          <w:rFonts w:ascii="Times New Roman" w:hAnsi="Times New Roman"/>
          <w:sz w:val="25"/>
          <w:szCs w:val="25"/>
        </w:rPr>
        <w:fldChar w:fldCharType="end"/>
      </w:r>
      <w:r>
        <w:rPr>
          <w:rFonts w:ascii="Times New Roman" w:hAnsi="Times New Roman"/>
          <w:kern w:val="2"/>
          <w:szCs w:val="24"/>
        </w:rPr>
        <w:t>施工废料</w:t>
      </w:r>
    </w:p>
    <w:p w:rsidR="00C645C9" w:rsidRDefault="00F955D9">
      <w:pPr>
        <w:widowControl w:val="0"/>
        <w:adjustRightInd w:val="0"/>
        <w:snapToGrid w:val="0"/>
        <w:spacing w:line="360" w:lineRule="auto"/>
        <w:ind w:firstLineChars="200" w:firstLine="480"/>
        <w:rPr>
          <w:rFonts w:cs="Times New Roman"/>
        </w:rPr>
      </w:pPr>
      <w:r>
        <w:rPr>
          <w:rFonts w:cs="Times New Roman"/>
        </w:rPr>
        <w:t>施工废料主要包括管材边角料、焊接作业中产生的废焊渣等。根据类比调查，施工废料的产生量约为</w:t>
      </w:r>
      <w:r>
        <w:rPr>
          <w:rFonts w:cs="Times New Roman"/>
        </w:rPr>
        <w:t>0.2t/km</w:t>
      </w:r>
      <w:r>
        <w:rPr>
          <w:rFonts w:cs="Times New Roman"/>
        </w:rPr>
        <w:t>，</w:t>
      </w:r>
      <w:r>
        <w:rPr>
          <w:rFonts w:cs="Times New Roman"/>
        </w:rPr>
        <w:t>本</w:t>
      </w:r>
      <w:r>
        <w:rPr>
          <w:rFonts w:cs="Times New Roman"/>
        </w:rPr>
        <w:t>工程</w:t>
      </w:r>
      <w:r>
        <w:rPr>
          <w:rFonts w:cs="Times New Roman"/>
        </w:rPr>
        <w:t>新建管线</w:t>
      </w:r>
      <w:r>
        <w:rPr>
          <w:rFonts w:cs="Times New Roman"/>
        </w:rPr>
        <w:t>0.078</w:t>
      </w:r>
      <w:r>
        <w:rPr>
          <w:rFonts w:cs="Times New Roman"/>
        </w:rPr>
        <w:t>km</w:t>
      </w:r>
      <w:r>
        <w:rPr>
          <w:rFonts w:cs="Times New Roman"/>
        </w:rPr>
        <w:t>，施工废料产生量约为</w:t>
      </w:r>
      <w:r>
        <w:rPr>
          <w:rFonts w:cs="Times New Roman"/>
        </w:rPr>
        <w:t>0.0156</w:t>
      </w:r>
      <w:r>
        <w:rPr>
          <w:rFonts w:cs="Times New Roman"/>
        </w:rPr>
        <w:t>t</w:t>
      </w:r>
      <w:r>
        <w:rPr>
          <w:rFonts w:cs="Times New Roman"/>
        </w:rPr>
        <w:t>。施工废料应首先考虑回收利用，不可回收利用部分由库车绿能环保科技有限公司拉运至库车经济开发区工业固废填埋场合规处置。</w:t>
      </w:r>
    </w:p>
    <w:p w:rsidR="00C645C9" w:rsidRDefault="00F955D9" w:rsidP="005718BB">
      <w:pPr>
        <w:pStyle w:val="aff"/>
        <w:adjustRightInd w:val="0"/>
        <w:snapToGrid w:val="0"/>
        <w:ind w:firstLine="563"/>
        <w:rPr>
          <w:rFonts w:cs="Times New Roman"/>
          <w:color w:val="auto"/>
        </w:rPr>
      </w:pPr>
      <w:r>
        <w:rPr>
          <w:rFonts w:cs="Times New Roman"/>
          <w:color w:val="auto"/>
          <w:kern w:val="2"/>
          <w:sz w:val="25"/>
          <w:szCs w:val="25"/>
        </w:rPr>
        <w:fldChar w:fldCharType="begin"/>
      </w:r>
      <w:r>
        <w:rPr>
          <w:rFonts w:cs="Times New Roman"/>
          <w:color w:val="auto"/>
          <w:kern w:val="2"/>
          <w:sz w:val="25"/>
          <w:szCs w:val="25"/>
        </w:rPr>
        <w:instrText xml:space="preserve"> = 7 \* GB3 \* MERGEFORMAT </w:instrText>
      </w:r>
      <w:r>
        <w:rPr>
          <w:rFonts w:cs="Times New Roman"/>
          <w:color w:val="auto"/>
          <w:kern w:val="2"/>
          <w:sz w:val="25"/>
          <w:szCs w:val="25"/>
        </w:rPr>
        <w:fldChar w:fldCharType="separate"/>
      </w:r>
      <w:r>
        <w:rPr>
          <w:rFonts w:cs="Times New Roman"/>
          <w:color w:val="auto"/>
        </w:rPr>
        <w:t>⑦</w:t>
      </w:r>
      <w:r>
        <w:rPr>
          <w:rFonts w:cs="Times New Roman"/>
          <w:color w:val="auto"/>
          <w:kern w:val="2"/>
          <w:sz w:val="25"/>
          <w:szCs w:val="25"/>
        </w:rPr>
        <w:fldChar w:fldCharType="end"/>
      </w:r>
      <w:r>
        <w:rPr>
          <w:rFonts w:cs="Times New Roman"/>
          <w:color w:val="auto"/>
        </w:rPr>
        <w:t>土石方平衡</w:t>
      </w:r>
    </w:p>
    <w:p w:rsidR="00C645C9" w:rsidRDefault="00F955D9">
      <w:pPr>
        <w:widowControl w:val="0"/>
        <w:adjustRightInd w:val="0"/>
        <w:snapToGrid w:val="0"/>
        <w:spacing w:line="360" w:lineRule="auto"/>
        <w:ind w:firstLineChars="200" w:firstLine="480"/>
        <w:jc w:val="both"/>
      </w:pPr>
      <w:r>
        <w:rPr>
          <w:rFonts w:cs="Times New Roman"/>
          <w:bCs/>
        </w:rPr>
        <w:t>本工程挖方量</w:t>
      </w:r>
      <w:r>
        <w:rPr>
          <w:rFonts w:cs="Times New Roman"/>
          <w:bCs/>
        </w:rPr>
        <w:t>2.9065</w:t>
      </w:r>
      <w:r>
        <w:rPr>
          <w:rFonts w:cs="Times New Roman"/>
          <w:bCs/>
        </w:rPr>
        <w:t>万</w:t>
      </w:r>
      <w:r>
        <w:rPr>
          <w:rFonts w:cs="Times New Roman"/>
          <w:kern w:val="2"/>
        </w:rPr>
        <w:t>m</w:t>
      </w:r>
      <w:r>
        <w:rPr>
          <w:rFonts w:cs="Times New Roman"/>
          <w:kern w:val="2"/>
          <w:vertAlign w:val="superscript"/>
        </w:rPr>
        <w:t>3</w:t>
      </w:r>
      <w:r>
        <w:rPr>
          <w:rFonts w:cs="Times New Roman"/>
          <w:kern w:val="2"/>
        </w:rPr>
        <w:t>，</w:t>
      </w:r>
      <w:r>
        <w:rPr>
          <w:rFonts w:cs="Times New Roman"/>
          <w:bCs/>
        </w:rPr>
        <w:t>填方量</w:t>
      </w:r>
      <w:r>
        <w:rPr>
          <w:rFonts w:cs="Times New Roman"/>
          <w:bCs/>
        </w:rPr>
        <w:t>2.9065</w:t>
      </w:r>
      <w:r>
        <w:rPr>
          <w:rFonts w:cs="Times New Roman"/>
          <w:bCs/>
        </w:rPr>
        <w:t>万</w:t>
      </w:r>
      <w:r>
        <w:rPr>
          <w:rFonts w:cs="Times New Roman"/>
          <w:kern w:val="2"/>
        </w:rPr>
        <w:t>m</w:t>
      </w:r>
      <w:r>
        <w:rPr>
          <w:rFonts w:cs="Times New Roman"/>
          <w:kern w:val="2"/>
          <w:vertAlign w:val="superscript"/>
        </w:rPr>
        <w:t>3</w:t>
      </w:r>
      <w:r>
        <w:rPr>
          <w:rFonts w:cs="Times New Roman"/>
          <w:kern w:val="2"/>
        </w:rPr>
        <w:t>，</w:t>
      </w:r>
      <w:r>
        <w:rPr>
          <w:rFonts w:cs="Times New Roman" w:hint="eastAsia"/>
          <w:kern w:val="2"/>
        </w:rPr>
        <w:t>无</w:t>
      </w:r>
      <w:r>
        <w:rPr>
          <w:rFonts w:cs="Times New Roman"/>
          <w:kern w:val="2"/>
        </w:rPr>
        <w:t>借方</w:t>
      </w:r>
      <w:r>
        <w:rPr>
          <w:rFonts w:cs="Times New Roman" w:hint="eastAsia"/>
          <w:kern w:val="2"/>
        </w:rPr>
        <w:t>、</w:t>
      </w:r>
      <w:r>
        <w:rPr>
          <w:rFonts w:cs="Times New Roman"/>
          <w:bCs/>
        </w:rPr>
        <w:t>弃方</w:t>
      </w:r>
      <w:r>
        <w:rPr>
          <w:rFonts w:cs="Times New Roman"/>
          <w:bCs/>
        </w:rPr>
        <w:t>。</w:t>
      </w:r>
      <w:r>
        <w:rPr>
          <w:rFonts w:cs="Times New Roman" w:hint="eastAsia"/>
          <w:bCs/>
        </w:rPr>
        <w:t>本工程场平高度约为</w:t>
      </w:r>
      <w:r>
        <w:rPr>
          <w:rFonts w:cs="Times New Roman" w:hint="eastAsia"/>
          <w:bCs/>
        </w:rPr>
        <w:t>0.5m</w:t>
      </w:r>
      <w:r>
        <w:rPr>
          <w:rFonts w:cs="Times New Roman" w:hint="eastAsia"/>
          <w:bCs/>
        </w:rPr>
        <w:t>，</w:t>
      </w:r>
      <w:r>
        <w:rPr>
          <w:rFonts w:cs="Times New Roman"/>
        </w:rPr>
        <w:t>开挖量为</w:t>
      </w:r>
      <w:r>
        <w:rPr>
          <w:rFonts w:cs="Times New Roman"/>
          <w:bCs/>
        </w:rPr>
        <w:t>29065</w:t>
      </w:r>
      <w:r>
        <w:rPr>
          <w:rFonts w:cs="Times New Roman"/>
        </w:rPr>
        <w:t>m</w:t>
      </w:r>
      <w:r>
        <w:rPr>
          <w:rFonts w:cs="Times New Roman"/>
          <w:vertAlign w:val="superscript"/>
        </w:rPr>
        <w:t>3</w:t>
      </w:r>
      <w:r>
        <w:rPr>
          <w:rFonts w:cs="Times New Roman"/>
        </w:rPr>
        <w:t>，全部用于回填，场地平整</w:t>
      </w:r>
      <w:r>
        <w:rPr>
          <w:rFonts w:cs="Times New Roman"/>
          <w:bCs/>
        </w:rPr>
        <w:t>。</w:t>
      </w:r>
    </w:p>
    <w:bookmarkEnd w:id="1638"/>
    <w:bookmarkEnd w:id="1639"/>
    <w:bookmarkEnd w:id="1640"/>
    <w:bookmarkEnd w:id="1641"/>
    <w:bookmarkEnd w:id="1642"/>
    <w:p w:rsidR="00C645C9" w:rsidRDefault="00F955D9">
      <w:pPr>
        <w:pStyle w:val="3"/>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color w:val="auto"/>
          <w:lang w:eastAsia="zh-CN"/>
        </w:rPr>
        <w:t>5.7.</w:t>
      </w:r>
      <w:r>
        <w:rPr>
          <w:rFonts w:ascii="Times New Roman" w:hAnsi="Times New Roman" w:cs="Times New Roman" w:hint="eastAsia"/>
          <w:color w:val="auto"/>
          <w:lang w:eastAsia="zh-CN"/>
        </w:rPr>
        <w:t>2</w:t>
      </w:r>
      <w:bookmarkStart w:id="1645" w:name="OLE_LINK851"/>
      <w:r>
        <w:rPr>
          <w:rFonts w:ascii="Times New Roman" w:hAnsi="Times New Roman" w:cs="Times New Roman"/>
          <w:color w:val="auto"/>
          <w:lang w:eastAsia="zh-CN"/>
        </w:rPr>
        <w:t>运营期</w:t>
      </w:r>
      <w:bookmarkEnd w:id="1645"/>
      <w:r>
        <w:rPr>
          <w:rFonts w:ascii="Times New Roman" w:hAnsi="Times New Roman" w:cs="Times New Roman"/>
          <w:color w:val="auto"/>
          <w:lang w:eastAsia="zh-CN"/>
        </w:rPr>
        <w:t>固体废物影响分析</w:t>
      </w:r>
    </w:p>
    <w:p w:rsidR="00C645C9" w:rsidRDefault="00F955D9">
      <w:pPr>
        <w:widowControl w:val="0"/>
        <w:adjustRightInd w:val="0"/>
        <w:snapToGrid w:val="0"/>
        <w:spacing w:line="360" w:lineRule="auto"/>
        <w:ind w:firstLineChars="200" w:firstLine="480"/>
        <w:rPr>
          <w:rFonts w:cs="Times New Roman"/>
        </w:rPr>
      </w:pPr>
      <w:r>
        <w:rPr>
          <w:rFonts w:cs="Times New Roman"/>
        </w:rPr>
        <w:t>本工程运营期产生的危险废物主要有落地油、</w:t>
      </w:r>
      <w:r>
        <w:rPr>
          <w:rFonts w:cs="Times New Roman" w:hint="eastAsia"/>
        </w:rPr>
        <w:t>废防渗材料、清罐底泥</w:t>
      </w:r>
      <w:r>
        <w:rPr>
          <w:rFonts w:cs="Times New Roman" w:hint="eastAsia"/>
        </w:rPr>
        <w:t>、</w:t>
      </w:r>
      <w:r>
        <w:rPr>
          <w:rFonts w:cs="Times New Roman" w:hint="eastAsia"/>
        </w:rPr>
        <w:t>废润滑油</w:t>
      </w:r>
      <w:r>
        <w:rPr>
          <w:rFonts w:cs="Times New Roman" w:hint="eastAsia"/>
        </w:rPr>
        <w:t>和</w:t>
      </w:r>
      <w:r>
        <w:rPr>
          <w:rFonts w:cs="Times New Roman"/>
        </w:rPr>
        <w:t>生活垃圾</w:t>
      </w:r>
      <w:r>
        <w:rPr>
          <w:rFonts w:cs="Times New Roman"/>
        </w:rPr>
        <w:t>等。</w:t>
      </w:r>
    </w:p>
    <w:p w:rsidR="00C645C9" w:rsidRDefault="00F955D9" w:rsidP="005718BB">
      <w:pPr>
        <w:pStyle w:val="aff"/>
        <w:widowControl w:val="0"/>
        <w:adjustRightInd w:val="0"/>
        <w:snapToGrid w:val="0"/>
        <w:rPr>
          <w:rFonts w:cs="Times New Roman"/>
          <w:color w:val="auto"/>
        </w:rPr>
      </w:pPr>
      <w:r>
        <w:rPr>
          <w:rFonts w:cs="Times New Roman"/>
          <w:color w:val="auto"/>
        </w:rPr>
        <w:fldChar w:fldCharType="begin"/>
      </w:r>
      <w:r>
        <w:rPr>
          <w:rFonts w:cs="Times New Roman"/>
          <w:color w:val="auto"/>
        </w:rPr>
        <w:instrText xml:space="preserve"> = 1 \* GB3 \* MERGEFORMAT </w:instrText>
      </w:r>
      <w:r>
        <w:rPr>
          <w:rFonts w:cs="Times New Roman"/>
          <w:color w:val="auto"/>
        </w:rPr>
        <w:fldChar w:fldCharType="separate"/>
      </w:r>
      <w:r>
        <w:rPr>
          <w:color w:val="auto"/>
        </w:rPr>
        <w:t>①</w:t>
      </w:r>
      <w:r>
        <w:rPr>
          <w:rFonts w:cs="Times New Roman"/>
          <w:color w:val="auto"/>
        </w:rPr>
        <w:fldChar w:fldCharType="end"/>
      </w:r>
      <w:bookmarkStart w:id="1646" w:name="OLE_LINK852"/>
      <w:r>
        <w:rPr>
          <w:rFonts w:cs="Times New Roman"/>
          <w:color w:val="auto"/>
        </w:rPr>
        <w:t>落地油</w:t>
      </w:r>
      <w:bookmarkEnd w:id="1646"/>
    </w:p>
    <w:p w:rsidR="00C645C9" w:rsidRDefault="00F955D9">
      <w:pPr>
        <w:adjustRightInd w:val="0"/>
        <w:snapToGrid w:val="0"/>
        <w:spacing w:line="360" w:lineRule="auto"/>
        <w:ind w:firstLineChars="200" w:firstLine="480"/>
        <w:jc w:val="both"/>
        <w:rPr>
          <w:rFonts w:cs="Times New Roman"/>
        </w:rPr>
      </w:pPr>
      <w:r>
        <w:t>落地油主要</w:t>
      </w:r>
      <w:r>
        <w:rPr>
          <w:rFonts w:cs="Times New Roman"/>
        </w:rPr>
        <w:t>来自</w:t>
      </w:r>
      <w:r>
        <w:rPr>
          <w:rFonts w:cs="Times New Roman" w:hint="eastAsia"/>
        </w:rPr>
        <w:t>井下作业环节</w:t>
      </w:r>
      <w:r>
        <w:rPr>
          <w:rFonts w:cs="Times New Roman"/>
        </w:rPr>
        <w:t>和</w:t>
      </w:r>
      <w:r>
        <w:rPr>
          <w:rFonts w:cs="Times New Roman" w:hint="eastAsia"/>
        </w:rPr>
        <w:t>油气</w:t>
      </w:r>
      <w:r>
        <w:rPr>
          <w:rFonts w:cs="Times New Roman"/>
        </w:rPr>
        <w:t>处理环节等</w:t>
      </w:r>
      <w:r>
        <w:rPr>
          <w:rFonts w:cs="Times New Roman" w:hint="eastAsia"/>
        </w:rPr>
        <w:t>。</w:t>
      </w:r>
      <w:r>
        <w:rPr>
          <w:rFonts w:hint="eastAsia"/>
        </w:rPr>
        <w:t>根据《国家危险废物名录（</w:t>
      </w:r>
      <w:r>
        <w:rPr>
          <w:rFonts w:hint="eastAsia"/>
        </w:rPr>
        <w:t>2025</w:t>
      </w:r>
      <w:r>
        <w:rPr>
          <w:rFonts w:hint="eastAsia"/>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hint="eastAsia"/>
        </w:rPr>
        <w:t>，</w:t>
      </w:r>
      <w:r>
        <w:rPr>
          <w:rFonts w:cs="Times New Roman"/>
        </w:rPr>
        <w:t>落地油</w:t>
      </w:r>
      <w:r>
        <w:t>废物类别</w:t>
      </w:r>
      <w:r>
        <w:rPr>
          <w:rFonts w:hint="eastAsia"/>
        </w:rPr>
        <w:t>为</w:t>
      </w:r>
      <w:r>
        <w:t>HW08</w:t>
      </w:r>
      <w:r>
        <w:t>废矿物油与含矿物油废物</w:t>
      </w:r>
      <w:r>
        <w:t>（废物代码：</w:t>
      </w:r>
      <w:r>
        <w:t>071-001-08</w:t>
      </w:r>
      <w:r>
        <w:t>）</w:t>
      </w:r>
      <w:r>
        <w:rPr>
          <w:rFonts w:hint="eastAsia"/>
        </w:rPr>
        <w:t>。</w:t>
      </w:r>
    </w:p>
    <w:p w:rsidR="00C645C9" w:rsidRDefault="00F955D9">
      <w:pPr>
        <w:adjustRightInd w:val="0"/>
        <w:snapToGrid w:val="0"/>
        <w:spacing w:line="360" w:lineRule="auto"/>
        <w:ind w:firstLineChars="200" w:firstLine="496"/>
        <w:jc w:val="both"/>
        <w:rPr>
          <w:rFonts w:cs="Times New Roman"/>
        </w:rPr>
      </w:pPr>
      <w:r>
        <w:rPr>
          <w:rFonts w:cs="Times New Roman"/>
          <w:snapToGrid w:val="0"/>
          <w:spacing w:val="4"/>
          <w:szCs w:val="22"/>
        </w:rPr>
        <w:t>本</w:t>
      </w:r>
      <w:r>
        <w:rPr>
          <w:rFonts w:cs="Times New Roman" w:hint="eastAsia"/>
          <w:snapToGrid w:val="0"/>
          <w:spacing w:val="4"/>
          <w:szCs w:val="22"/>
        </w:rPr>
        <w:t>工程</w:t>
      </w:r>
      <w:r>
        <w:rPr>
          <w:rFonts w:cs="Times New Roman"/>
          <w:snapToGrid w:val="0"/>
          <w:spacing w:val="4"/>
          <w:szCs w:val="22"/>
        </w:rPr>
        <w:t>井下作业时带罐作业，防止产生落地油，井口排出物全部进罐，做到</w:t>
      </w:r>
      <w:r>
        <w:rPr>
          <w:rFonts w:cs="Times New Roman" w:hint="eastAsia"/>
        </w:rPr>
        <w:t>凝析油</w:t>
      </w:r>
      <w:r>
        <w:rPr>
          <w:rFonts w:cs="Times New Roman"/>
          <w:snapToGrid w:val="0"/>
          <w:spacing w:val="4"/>
          <w:szCs w:val="22"/>
        </w:rPr>
        <w:t>100%</w:t>
      </w:r>
      <w:r>
        <w:rPr>
          <w:rFonts w:cs="Times New Roman"/>
          <w:snapToGrid w:val="0"/>
          <w:spacing w:val="4"/>
          <w:szCs w:val="22"/>
        </w:rPr>
        <w:t>回收</w:t>
      </w:r>
      <w:r>
        <w:rPr>
          <w:rFonts w:cs="Times New Roman" w:hint="eastAsia"/>
          <w:snapToGrid w:val="0"/>
          <w:spacing w:val="4"/>
          <w:szCs w:val="22"/>
        </w:rPr>
        <w:t>。</w:t>
      </w:r>
      <w:r>
        <w:t>按照单井落地</w:t>
      </w:r>
      <w:r>
        <w:rPr>
          <w:rFonts w:cs="Times New Roman" w:hint="eastAsia"/>
        </w:rPr>
        <w:t>凝析油</w:t>
      </w:r>
      <w:r>
        <w:t>产生量约</w:t>
      </w:r>
      <w:r>
        <w:t>0.1t/a</w:t>
      </w:r>
      <w:r>
        <w:t>计算，本工程运行后落地油总产生量约</w:t>
      </w:r>
      <w:bookmarkStart w:id="1647" w:name="OLE_LINK853"/>
      <w:r>
        <w:t>0</w:t>
      </w:r>
      <w:r>
        <w:rPr>
          <w:rFonts w:hint="eastAsia"/>
        </w:rPr>
        <w:t>.</w:t>
      </w:r>
      <w:r>
        <w:rPr>
          <w:rFonts w:hint="eastAsia"/>
        </w:rPr>
        <w:t>2</w:t>
      </w:r>
      <w:r>
        <w:t>t/a</w:t>
      </w:r>
      <w:bookmarkEnd w:id="1647"/>
      <w:r>
        <w:rPr>
          <w:rFonts w:cs="Times New Roman"/>
          <w:snapToGrid w:val="0"/>
          <w:spacing w:val="4"/>
          <w:szCs w:val="22"/>
        </w:rPr>
        <w:t>。</w:t>
      </w:r>
      <w:r>
        <w:rPr>
          <w:rFonts w:cs="Times New Roman"/>
        </w:rPr>
        <w:t>落地油不在施工井场储存，直接在作业施工现场由施工人员回收至密闭的专用罐车内，</w:t>
      </w:r>
      <w:r>
        <w:rPr>
          <w:rFonts w:cs="Times New Roman"/>
          <w:snapToGrid w:val="0"/>
          <w:spacing w:val="4"/>
          <w:szCs w:val="22"/>
        </w:rPr>
        <w:t>统一由塔河油田绿色环保站进行无害化处理。严格按照《危险废物贮存污染控制标准》</w:t>
      </w:r>
      <w:r>
        <w:rPr>
          <w:rFonts w:cs="Times New Roman"/>
          <w:snapToGrid w:val="0"/>
          <w:spacing w:val="4"/>
          <w:szCs w:val="22"/>
        </w:rPr>
        <w:t>（</w:t>
      </w:r>
      <w:r>
        <w:rPr>
          <w:rFonts w:cs="Times New Roman"/>
          <w:snapToGrid w:val="0"/>
          <w:spacing w:val="4"/>
          <w:szCs w:val="22"/>
        </w:rPr>
        <w:t>GB18597-2023</w:t>
      </w:r>
      <w:r>
        <w:rPr>
          <w:rFonts w:cs="Times New Roman"/>
          <w:snapToGrid w:val="0"/>
          <w:spacing w:val="4"/>
          <w:szCs w:val="22"/>
        </w:rPr>
        <w:t>）、</w:t>
      </w:r>
      <w:r>
        <w:rPr>
          <w:rFonts w:cs="Times New Roman"/>
          <w:snapToGrid w:val="0"/>
          <w:spacing w:val="4"/>
          <w:szCs w:val="22"/>
        </w:rPr>
        <w:t>《危险废物收集</w:t>
      </w:r>
      <w:r>
        <w:rPr>
          <w:rFonts w:cs="Times New Roman"/>
          <w:snapToGrid w:val="0"/>
          <w:spacing w:val="4"/>
          <w:szCs w:val="22"/>
        </w:rPr>
        <w:t xml:space="preserve"> </w:t>
      </w:r>
      <w:r>
        <w:rPr>
          <w:rFonts w:cs="Times New Roman"/>
          <w:snapToGrid w:val="0"/>
          <w:spacing w:val="4"/>
          <w:szCs w:val="22"/>
        </w:rPr>
        <w:t>贮存</w:t>
      </w:r>
      <w:r>
        <w:rPr>
          <w:rFonts w:cs="Times New Roman"/>
          <w:snapToGrid w:val="0"/>
          <w:spacing w:val="4"/>
          <w:szCs w:val="22"/>
        </w:rPr>
        <w:t xml:space="preserve"> </w:t>
      </w:r>
      <w:r>
        <w:rPr>
          <w:rFonts w:cs="Times New Roman"/>
          <w:snapToGrid w:val="0"/>
          <w:spacing w:val="4"/>
          <w:szCs w:val="22"/>
        </w:rPr>
        <w:t>运输技术规范》</w:t>
      </w:r>
      <w:r>
        <w:rPr>
          <w:rFonts w:cs="Times New Roman"/>
          <w:snapToGrid w:val="0"/>
          <w:spacing w:val="4"/>
          <w:szCs w:val="22"/>
        </w:rPr>
        <w:t>（</w:t>
      </w:r>
      <w:r>
        <w:rPr>
          <w:rFonts w:cs="Times New Roman"/>
          <w:snapToGrid w:val="0"/>
          <w:spacing w:val="4"/>
          <w:szCs w:val="22"/>
        </w:rPr>
        <w:t>HJ2025-2012</w:t>
      </w:r>
      <w:r>
        <w:rPr>
          <w:rFonts w:cs="Times New Roman"/>
          <w:snapToGrid w:val="0"/>
          <w:spacing w:val="4"/>
          <w:szCs w:val="22"/>
        </w:rPr>
        <w:t>）</w:t>
      </w:r>
      <w:r>
        <w:rPr>
          <w:rFonts w:cs="Times New Roman"/>
          <w:snapToGrid w:val="0"/>
          <w:spacing w:val="4"/>
          <w:szCs w:val="22"/>
        </w:rPr>
        <w:t>和《危险废物转移管理办法》</w:t>
      </w:r>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r>
        <w:rPr>
          <w:rFonts w:cs="Times New Roman"/>
          <w:snapToGrid w:val="0"/>
          <w:spacing w:val="4"/>
          <w:szCs w:val="22"/>
        </w:rPr>
        <w:t>中的相关要求收集、贮存、运输</w:t>
      </w:r>
      <w:r>
        <w:rPr>
          <w:rFonts w:cs="Times New Roman"/>
        </w:rPr>
        <w:t>。</w:t>
      </w:r>
    </w:p>
    <w:p w:rsidR="00C645C9" w:rsidRDefault="00F955D9" w:rsidP="005718BB">
      <w:pPr>
        <w:pStyle w:val="aff"/>
        <w:widowControl w:val="0"/>
        <w:adjustRightInd w:val="0"/>
        <w:snapToGrid w:val="0"/>
        <w:rPr>
          <w:rFonts w:cs="Times New Roman"/>
          <w:color w:val="auto"/>
        </w:rPr>
      </w:pPr>
      <w:r>
        <w:rPr>
          <w:rFonts w:cs="Times New Roman" w:hint="eastAsia"/>
          <w:color w:val="auto"/>
        </w:rPr>
        <w:lastRenderedPageBreak/>
        <w:fldChar w:fldCharType="begin"/>
      </w:r>
      <w:r>
        <w:rPr>
          <w:rFonts w:cs="Times New Roman" w:hint="eastAsia"/>
          <w:color w:val="auto"/>
        </w:rPr>
        <w:instrText xml:space="preserve"> = 2 \* GB3 \* MERGEFORMAT </w:instrText>
      </w:r>
      <w:r>
        <w:rPr>
          <w:rFonts w:cs="Times New Roman" w:hint="eastAsia"/>
          <w:color w:val="auto"/>
        </w:rPr>
        <w:fldChar w:fldCharType="separate"/>
      </w:r>
      <w:r>
        <w:rPr>
          <w:color w:val="auto"/>
        </w:rPr>
        <w:t>②</w:t>
      </w:r>
      <w:r>
        <w:rPr>
          <w:rFonts w:cs="Times New Roman" w:hint="eastAsia"/>
          <w:color w:val="auto"/>
        </w:rPr>
        <w:fldChar w:fldCharType="end"/>
      </w:r>
      <w:bookmarkStart w:id="1648" w:name="OLE_LINK854"/>
      <w:r>
        <w:rPr>
          <w:rFonts w:cs="Times New Roman"/>
          <w:color w:val="auto"/>
        </w:rPr>
        <w:t>废防渗材料</w:t>
      </w:r>
      <w:bookmarkEnd w:id="1648"/>
    </w:p>
    <w:p w:rsidR="00C645C9" w:rsidRDefault="00F955D9">
      <w:pPr>
        <w:adjustRightInd w:val="0"/>
        <w:snapToGrid w:val="0"/>
        <w:spacing w:line="360" w:lineRule="auto"/>
        <w:ind w:firstLineChars="200" w:firstLine="496"/>
        <w:jc w:val="both"/>
        <w:rPr>
          <w:rFonts w:cs="Times New Roman"/>
        </w:rPr>
      </w:pPr>
      <w:r>
        <w:rPr>
          <w:rFonts w:cs="Times New Roman"/>
          <w:snapToGrid w:val="0"/>
          <w:spacing w:val="4"/>
          <w:szCs w:val="22"/>
        </w:rPr>
        <w:t>废防渗材料主要来自作业过程</w:t>
      </w:r>
      <w:r>
        <w:rPr>
          <w:rFonts w:cs="Times New Roman" w:hint="eastAsia"/>
          <w:snapToGrid w:val="0"/>
          <w:spacing w:val="4"/>
          <w:szCs w:val="22"/>
        </w:rPr>
        <w:t>。</w:t>
      </w:r>
      <w:r>
        <w:rPr>
          <w:rFonts w:cs="Times New Roman"/>
          <w:snapToGrid w:val="0"/>
          <w:spacing w:val="4"/>
          <w:szCs w:val="22"/>
        </w:rPr>
        <w:t>根据《国家危险废物名录（</w:t>
      </w:r>
      <w:r>
        <w:rPr>
          <w:rFonts w:cs="Times New Roman"/>
          <w:snapToGrid w:val="0"/>
          <w:spacing w:val="4"/>
          <w:szCs w:val="22"/>
        </w:rPr>
        <w:t>2025</w:t>
      </w:r>
      <w:r>
        <w:rPr>
          <w:rFonts w:cs="Times New Roman"/>
          <w:snapToGrid w:val="0"/>
          <w:spacing w:val="4"/>
          <w:szCs w:val="22"/>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snapToGrid w:val="0"/>
          <w:spacing w:val="4"/>
          <w:szCs w:val="22"/>
        </w:rPr>
        <w:t>，废防渗材料</w:t>
      </w:r>
      <w:r>
        <w:t>废物类别</w:t>
      </w:r>
      <w:r>
        <w:rPr>
          <w:rFonts w:hint="eastAsia"/>
        </w:rPr>
        <w:t>为</w:t>
      </w:r>
      <w:r>
        <w:t>HW08</w:t>
      </w:r>
      <w:r>
        <w:t>废矿物油与含矿物油废物</w:t>
      </w:r>
      <w:r>
        <w:t>（废物代码：</w:t>
      </w:r>
      <w:r>
        <w:t>900-249-08</w:t>
      </w:r>
      <w:r>
        <w:t>）</w:t>
      </w:r>
      <w:r>
        <w:rPr>
          <w:rFonts w:cs="Times New Roman" w:hint="eastAsia"/>
          <w:snapToGrid w:val="0"/>
          <w:spacing w:val="4"/>
          <w:szCs w:val="22"/>
        </w:rPr>
        <w:t>。</w:t>
      </w:r>
    </w:p>
    <w:p w:rsidR="00C645C9" w:rsidRDefault="00F955D9">
      <w:pPr>
        <w:pStyle w:val="a5"/>
        <w:widowControl w:val="0"/>
        <w:snapToGrid w:val="0"/>
        <w:ind w:firstLineChars="200" w:firstLine="480"/>
        <w:jc w:val="both"/>
        <w:rPr>
          <w:rFonts w:ascii="Times New Roman" w:hAnsi="Times New Roman" w:cs="Times New Roman"/>
        </w:rPr>
      </w:pPr>
      <w:r>
        <w:rPr>
          <w:rFonts w:cs="Times New Roman" w:hint="eastAsia"/>
        </w:rPr>
        <w:t>本工程</w:t>
      </w:r>
      <w:r>
        <w:rPr>
          <w:rFonts w:ascii="Times New Roman" w:hAnsi="Times New Roman" w:cs="Times New Roman"/>
        </w:rPr>
        <w:t>运营期作业时，作业场地下方铺设防渗</w:t>
      </w:r>
      <w:r>
        <w:rPr>
          <w:rFonts w:hint="eastAsia"/>
        </w:rPr>
        <w:t>材料</w:t>
      </w:r>
      <w:r>
        <w:rPr>
          <w:rFonts w:ascii="Times New Roman" w:hAnsi="Times New Roman" w:cs="Times New Roman"/>
        </w:rPr>
        <w:t>，产生的落地油直接落在防渗</w:t>
      </w:r>
      <w:r>
        <w:rPr>
          <w:rFonts w:hint="eastAsia"/>
        </w:rPr>
        <w:t>材料</w:t>
      </w:r>
      <w:r>
        <w:rPr>
          <w:rFonts w:ascii="Times New Roman" w:hAnsi="Times New Roman" w:cs="Times New Roman"/>
        </w:rPr>
        <w:t>上，目前油田使用的防渗</w:t>
      </w:r>
      <w:r>
        <w:rPr>
          <w:rFonts w:hint="eastAsia"/>
        </w:rPr>
        <w:t>材料</w:t>
      </w:r>
      <w:r>
        <w:rPr>
          <w:rFonts w:ascii="Times New Roman" w:hAnsi="Times New Roman" w:cs="Times New Roman"/>
        </w:rPr>
        <w:t>均可重复利用，平均重复利用</w:t>
      </w:r>
      <w:r>
        <w:rPr>
          <w:rFonts w:ascii="Times New Roman" w:hAnsi="Times New Roman" w:cs="Times New Roman"/>
        </w:rPr>
        <w:t>1-2</w:t>
      </w:r>
      <w:r>
        <w:rPr>
          <w:rFonts w:ascii="Times New Roman" w:hAnsi="Times New Roman" w:cs="Times New Roman"/>
        </w:rPr>
        <w:t>年。单块防渗</w:t>
      </w:r>
      <w:r>
        <w:rPr>
          <w:rFonts w:hint="eastAsia"/>
        </w:rPr>
        <w:t>材料</w:t>
      </w:r>
      <w:r>
        <w:rPr>
          <w:rFonts w:ascii="Times New Roman" w:hAnsi="Times New Roman" w:cs="Times New Roman"/>
        </w:rPr>
        <w:t>重约</w:t>
      </w:r>
      <w:r>
        <w:rPr>
          <w:rFonts w:ascii="Times New Roman" w:hAnsi="Times New Roman" w:cs="Times New Roman"/>
        </w:rPr>
        <w:t>250kg</w:t>
      </w:r>
      <w:r>
        <w:rPr>
          <w:rFonts w:ascii="Times New Roman" w:hAnsi="Times New Roman" w:cs="Times New Roman"/>
        </w:rPr>
        <w:t>（</w:t>
      </w:r>
      <w:r>
        <w:rPr>
          <w:rFonts w:ascii="Times New Roman" w:hAnsi="Times New Roman" w:cs="Times New Roman"/>
        </w:rPr>
        <w:t>12m×12m</w:t>
      </w:r>
      <w:r>
        <w:rPr>
          <w:rFonts w:ascii="Times New Roman" w:hAnsi="Times New Roman" w:cs="Times New Roman"/>
        </w:rPr>
        <w:t>），口井作业用</w:t>
      </w:r>
      <w:r>
        <w:rPr>
          <w:rFonts w:ascii="Times New Roman" w:hAnsi="Times New Roman" w:cs="Times New Roman"/>
        </w:rPr>
        <w:t>2</w:t>
      </w:r>
      <w:r>
        <w:rPr>
          <w:rFonts w:ascii="Times New Roman" w:hAnsi="Times New Roman" w:cs="Times New Roman"/>
        </w:rPr>
        <w:t>块，约合</w:t>
      </w:r>
      <w:r>
        <w:rPr>
          <w:rFonts w:ascii="Times New Roman" w:hAnsi="Times New Roman" w:cs="Times New Roman"/>
        </w:rPr>
        <w:t>0.25t/a·</w:t>
      </w:r>
      <w:r>
        <w:rPr>
          <w:rFonts w:ascii="Times New Roman" w:hAnsi="Times New Roman" w:cs="Times New Roman"/>
        </w:rPr>
        <w:t>井</w:t>
      </w:r>
      <w:r>
        <w:rPr>
          <w:rFonts w:ascii="Times New Roman" w:hAnsi="Times New Roman" w:cs="Times New Roman"/>
        </w:rPr>
        <w:t>。本</w:t>
      </w:r>
      <w:r>
        <w:rPr>
          <w:rFonts w:ascii="Times New Roman" w:hAnsi="Times New Roman" w:cs="Times New Roman"/>
        </w:rPr>
        <w:t>工程</w:t>
      </w:r>
      <w:r>
        <w:rPr>
          <w:rFonts w:ascii="Times New Roman" w:hAnsi="Times New Roman" w:cs="Times New Roman"/>
        </w:rPr>
        <w:t>产生废弃防渗材料量约</w:t>
      </w:r>
      <w:bookmarkStart w:id="1649" w:name="OLE_LINK855"/>
      <w:r>
        <w:rPr>
          <w:rFonts w:ascii="Times New Roman" w:hAnsi="Times New Roman" w:cs="Times New Roman"/>
        </w:rPr>
        <w:t>0.</w:t>
      </w:r>
      <w:bookmarkEnd w:id="1649"/>
      <w:r>
        <w:rPr>
          <w:rFonts w:ascii="Times New Roman" w:hAnsi="Times New Roman" w:cs="Times New Roman" w:hint="eastAsia"/>
        </w:rPr>
        <w:t>5</w:t>
      </w:r>
      <w:r>
        <w:rPr>
          <w:rFonts w:ascii="Times New Roman" w:hAnsi="Times New Roman" w:cs="Times New Roman"/>
        </w:rPr>
        <w:t>t/a</w:t>
      </w:r>
      <w:r>
        <w:rPr>
          <w:rFonts w:ascii="Times New Roman" w:hAnsi="Times New Roman" w:cs="Times New Roman"/>
        </w:rPr>
        <w:t>。作业施工结束后，由施工单位将废弃的</w:t>
      </w:r>
      <w:r>
        <w:rPr>
          <w:rFonts w:ascii="Times New Roman" w:hAnsi="Times New Roman" w:cs="Times New Roman"/>
          <w:snapToGrid w:val="0"/>
          <w:spacing w:val="4"/>
          <w:szCs w:val="22"/>
        </w:rPr>
        <w:t>废防渗材料</w:t>
      </w:r>
      <w:r>
        <w:rPr>
          <w:rFonts w:ascii="Times New Roman" w:hAnsi="Times New Roman" w:cs="Times New Roman"/>
        </w:rPr>
        <w:t>集中收集，不在井场贮存，委托持有危险废物经营许可证的</w:t>
      </w:r>
      <w:r>
        <w:rPr>
          <w:rFonts w:ascii="Times New Roman" w:hAnsi="Times New Roman" w:cs="Times New Roman" w:hint="eastAsia"/>
        </w:rPr>
        <w:t>单位利用处置</w:t>
      </w:r>
      <w:r>
        <w:rPr>
          <w:rFonts w:ascii="Times New Roman" w:hAnsi="Times New Roman" w:cs="Times New Roman"/>
        </w:rPr>
        <w:t>，拉运过程中持有危险废物经营许可证的单位应使用专车、按照指定的拉运路线。</w:t>
      </w:r>
    </w:p>
    <w:p w:rsidR="00C645C9" w:rsidRDefault="00F955D9">
      <w:pPr>
        <w:adjustRightInd w:val="0"/>
        <w:snapToGrid w:val="0"/>
        <w:spacing w:line="360" w:lineRule="auto"/>
        <w:ind w:firstLineChars="200" w:firstLine="480"/>
        <w:jc w:val="both"/>
        <w:rPr>
          <w:rFonts w:cs="Times New Roman"/>
        </w:rPr>
      </w:pPr>
      <w:r>
        <w:rPr>
          <w:rFonts w:cs="Times New Roman" w:hint="eastAsia"/>
        </w:rPr>
        <w:fldChar w:fldCharType="begin"/>
      </w:r>
      <w:r>
        <w:rPr>
          <w:rFonts w:cs="Times New Roman" w:hint="eastAsia"/>
        </w:rPr>
        <w:instrText xml:space="preserve"> = 3 \* GB3 \* MERGEFORMAT </w:instrText>
      </w:r>
      <w:r>
        <w:rPr>
          <w:rFonts w:cs="Times New Roman" w:hint="eastAsia"/>
        </w:rPr>
        <w:fldChar w:fldCharType="separate"/>
      </w:r>
      <w:r>
        <w:t>③</w:t>
      </w:r>
      <w:r>
        <w:rPr>
          <w:rFonts w:cs="Times New Roman" w:hint="eastAsia"/>
        </w:rPr>
        <w:fldChar w:fldCharType="end"/>
      </w:r>
      <w:r>
        <w:rPr>
          <w:rFonts w:cs="Times New Roman" w:hint="eastAsia"/>
        </w:rPr>
        <w:t>清罐底泥</w:t>
      </w:r>
    </w:p>
    <w:p w:rsidR="00C645C9" w:rsidRDefault="00F955D9">
      <w:pPr>
        <w:adjustRightInd w:val="0"/>
        <w:snapToGrid w:val="0"/>
        <w:spacing w:line="360" w:lineRule="auto"/>
        <w:ind w:firstLineChars="200" w:firstLine="480"/>
        <w:jc w:val="both"/>
        <w:rPr>
          <w:rFonts w:cs="Times New Roman"/>
        </w:rPr>
      </w:pPr>
      <w:r>
        <w:rPr>
          <w:rFonts w:cs="Times New Roman" w:hint="eastAsia"/>
        </w:rPr>
        <w:t>清罐底泥主要来自井场储罐和天然气</w:t>
      </w:r>
      <w:r>
        <w:rPr>
          <w:rFonts w:cs="Times New Roman" w:hint="eastAsia"/>
        </w:rPr>
        <w:t>处理装置</w:t>
      </w:r>
      <w:r>
        <w:rPr>
          <w:rFonts w:cs="Times New Roman" w:hint="eastAsia"/>
        </w:rPr>
        <w:t>排污罐。</w:t>
      </w:r>
      <w:r>
        <w:rPr>
          <w:rFonts w:hint="eastAsia"/>
        </w:rPr>
        <w:t>根据《国家危险废物名录（</w:t>
      </w:r>
      <w:r>
        <w:rPr>
          <w:rFonts w:hint="eastAsia"/>
        </w:rPr>
        <w:t>2025</w:t>
      </w:r>
      <w:r>
        <w:rPr>
          <w:rFonts w:hint="eastAsia"/>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hint="eastAsia"/>
        </w:rPr>
        <w:t>，</w:t>
      </w:r>
      <w:r>
        <w:rPr>
          <w:rFonts w:cs="Times New Roman"/>
        </w:rPr>
        <w:t>落地油</w:t>
      </w:r>
      <w:r>
        <w:t>废物类别</w:t>
      </w:r>
      <w:r>
        <w:rPr>
          <w:rFonts w:hint="eastAsia"/>
        </w:rPr>
        <w:t>为</w:t>
      </w:r>
      <w:r>
        <w:t>HW08</w:t>
      </w:r>
      <w:r>
        <w:t>废矿物油与含矿物油废物</w:t>
      </w:r>
      <w:r>
        <w:t>（废物代码：</w:t>
      </w:r>
      <w:r>
        <w:t>071-001-08</w:t>
      </w:r>
      <w:r>
        <w:t>）</w:t>
      </w:r>
      <w:r>
        <w:rPr>
          <w:rFonts w:hint="eastAsia"/>
        </w:rPr>
        <w:t>。</w:t>
      </w:r>
      <w:r>
        <w:rPr>
          <w:rFonts w:hint="eastAsia"/>
        </w:rPr>
        <w:t>根据油田资料</w:t>
      </w:r>
      <w:r>
        <w:rPr>
          <w:rFonts w:hint="eastAsia"/>
        </w:rPr>
        <w:t>类比分析，预计回收油泥</w:t>
      </w:r>
      <w:r>
        <w:rPr>
          <w:rFonts w:hint="eastAsia"/>
        </w:rPr>
        <w:t>0.1t</w:t>
      </w:r>
      <w:r>
        <w:rPr>
          <w:rFonts w:hint="eastAsia"/>
        </w:rPr>
        <w:t>/a</w:t>
      </w:r>
      <w:r>
        <w:rPr>
          <w:rFonts w:hint="eastAsia"/>
        </w:rPr>
        <w:t>。清罐底泥直接在作业施工现场由施工人员回收至密闭的专用罐车内，</w:t>
      </w:r>
      <w:r>
        <w:rPr>
          <w:rFonts w:cs="Times New Roman"/>
        </w:rPr>
        <w:t>委托持有危险废物经营许可证的</w:t>
      </w:r>
      <w:r>
        <w:rPr>
          <w:rFonts w:cs="Times New Roman" w:hint="eastAsia"/>
        </w:rPr>
        <w:t>单位利用处置</w:t>
      </w:r>
      <w:r>
        <w:rPr>
          <w:rFonts w:cs="Times New Roman" w:hint="eastAsia"/>
        </w:rPr>
        <w:t>。</w:t>
      </w:r>
    </w:p>
    <w:p w:rsidR="00C645C9" w:rsidRDefault="00F955D9">
      <w:pPr>
        <w:adjustRightInd w:val="0"/>
        <w:snapToGrid w:val="0"/>
        <w:spacing w:line="360" w:lineRule="auto"/>
        <w:ind w:firstLineChars="200" w:firstLine="480"/>
        <w:jc w:val="both"/>
        <w:rPr>
          <w:rFonts w:cs="Times New Roman"/>
        </w:rPr>
      </w:pPr>
      <w:r>
        <w:rPr>
          <w:rFonts w:cs="Times New Roman" w:hint="eastAsia"/>
        </w:rPr>
        <w:fldChar w:fldCharType="begin"/>
      </w:r>
      <w:r>
        <w:rPr>
          <w:rFonts w:cs="Times New Roman" w:hint="eastAsia"/>
        </w:rPr>
        <w:instrText xml:space="preserve"> = 4 \* GB3 \* MERGEFORMAT </w:instrText>
      </w:r>
      <w:r>
        <w:rPr>
          <w:rFonts w:cs="Times New Roman" w:hint="eastAsia"/>
        </w:rPr>
        <w:fldChar w:fldCharType="separate"/>
      </w:r>
      <w:r>
        <w:t>④</w:t>
      </w:r>
      <w:r>
        <w:rPr>
          <w:rFonts w:cs="Times New Roman" w:hint="eastAsia"/>
        </w:rPr>
        <w:fldChar w:fldCharType="end"/>
      </w:r>
      <w:bookmarkStart w:id="1650" w:name="OLE_LINK666"/>
      <w:r>
        <w:rPr>
          <w:rFonts w:cs="Times New Roman" w:hint="eastAsia"/>
        </w:rPr>
        <w:t>废润滑油</w:t>
      </w:r>
      <w:bookmarkEnd w:id="1650"/>
    </w:p>
    <w:p w:rsidR="00C645C9" w:rsidRDefault="00F955D9">
      <w:pPr>
        <w:adjustRightInd w:val="0"/>
        <w:snapToGrid w:val="0"/>
        <w:spacing w:line="360" w:lineRule="auto"/>
        <w:ind w:firstLineChars="200" w:firstLine="480"/>
        <w:jc w:val="both"/>
        <w:rPr>
          <w:rFonts w:cs="Times New Roman"/>
        </w:rPr>
      </w:pPr>
      <w:r>
        <w:rPr>
          <w:rFonts w:cs="Times New Roman"/>
        </w:rPr>
        <w:t>废润滑油主要来自设备维修</w:t>
      </w:r>
      <w:r>
        <w:rPr>
          <w:rFonts w:cs="Times New Roman"/>
        </w:rPr>
        <w:t>过程</w:t>
      </w:r>
      <w:r>
        <w:rPr>
          <w:rFonts w:cs="Times New Roman" w:hint="eastAsia"/>
        </w:rPr>
        <w:t>。</w:t>
      </w:r>
      <w:r>
        <w:rPr>
          <w:rFonts w:hint="eastAsia"/>
        </w:rPr>
        <w:t>根据</w:t>
      </w:r>
      <w:r>
        <w:rPr>
          <w:rFonts w:cs="Times New Roman"/>
        </w:rPr>
        <w:t>《国家危险废物名录（</w:t>
      </w:r>
      <w:r>
        <w:rPr>
          <w:rFonts w:cs="Times New Roman"/>
        </w:rPr>
        <w:t>2025</w:t>
      </w:r>
      <w:r>
        <w:rPr>
          <w:rFonts w:cs="Times New Roman"/>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rPr>
        <w:t>，废润滑油</w:t>
      </w:r>
      <w:r>
        <w:rPr>
          <w:rFonts w:cs="Times New Roman" w:hint="eastAsia"/>
        </w:rPr>
        <w:t>属于</w:t>
      </w:r>
      <w:r>
        <w:rPr>
          <w:rFonts w:cs="Times New Roman"/>
        </w:rPr>
        <w:t>HW08</w:t>
      </w:r>
      <w:r>
        <w:rPr>
          <w:rFonts w:cs="Times New Roman"/>
        </w:rPr>
        <w:t>废矿物油与含矿物油废物（废物代码：</w:t>
      </w:r>
      <w:r>
        <w:rPr>
          <w:rFonts w:cs="Times New Roman"/>
        </w:rPr>
        <w:t>900-214-08</w:t>
      </w:r>
      <w:r>
        <w:rPr>
          <w:rFonts w:cs="Times New Roman"/>
        </w:rPr>
        <w:t>）。废润滑油间歇产生，废润滑油</w:t>
      </w:r>
      <w:r>
        <w:rPr>
          <w:rFonts w:cs="Times New Roman"/>
        </w:rPr>
        <w:t>产生</w:t>
      </w:r>
      <w:r>
        <w:rPr>
          <w:rFonts w:cs="Times New Roman"/>
        </w:rPr>
        <w:t>量约</w:t>
      </w:r>
      <w:r>
        <w:rPr>
          <w:rFonts w:cs="Times New Roman"/>
        </w:rPr>
        <w:t>0.5</w:t>
      </w:r>
      <w:r>
        <w:rPr>
          <w:rFonts w:cs="Times New Roman"/>
        </w:rPr>
        <w:t>t/a</w:t>
      </w:r>
      <w:r>
        <w:rPr>
          <w:rFonts w:cs="Times New Roman"/>
        </w:rPr>
        <w:t>，</w:t>
      </w:r>
      <w:r>
        <w:rPr>
          <w:rFonts w:cs="Times New Roman"/>
        </w:rPr>
        <w:t>收集后委托持有危险废物经营许可证的</w:t>
      </w:r>
      <w:r>
        <w:rPr>
          <w:rFonts w:cs="Times New Roman" w:hint="eastAsia"/>
        </w:rPr>
        <w:t>单位利用处置</w:t>
      </w:r>
      <w:r>
        <w:rPr>
          <w:rFonts w:cs="Times New Roman"/>
        </w:rPr>
        <w:t>。</w:t>
      </w:r>
    </w:p>
    <w:p w:rsidR="00C645C9" w:rsidRDefault="00F955D9">
      <w:pPr>
        <w:adjustRightInd w:val="0"/>
        <w:snapToGrid w:val="0"/>
        <w:spacing w:line="360" w:lineRule="auto"/>
        <w:ind w:firstLineChars="200" w:firstLine="480"/>
        <w:jc w:val="both"/>
        <w:rPr>
          <w:rFonts w:cs="Times New Roman"/>
        </w:rPr>
      </w:pPr>
      <w:r>
        <w:rPr>
          <w:rFonts w:cs="Times New Roman" w:hint="eastAsia"/>
        </w:rPr>
        <w:fldChar w:fldCharType="begin"/>
      </w:r>
      <w:r>
        <w:rPr>
          <w:rFonts w:cs="Times New Roman" w:hint="eastAsia"/>
        </w:rPr>
        <w:instrText xml:space="preserve"> = 5 \* GB3 \* MERGEFORMAT </w:instrText>
      </w:r>
      <w:r>
        <w:rPr>
          <w:rFonts w:cs="Times New Roman" w:hint="eastAsia"/>
        </w:rPr>
        <w:fldChar w:fldCharType="separate"/>
      </w:r>
      <w:r>
        <w:rPr>
          <w:rFonts w:cs="Times New Roman" w:hint="eastAsia"/>
        </w:rPr>
        <w:t>⑤</w:t>
      </w:r>
      <w:r>
        <w:rPr>
          <w:rFonts w:cs="Times New Roman" w:hint="eastAsia"/>
        </w:rPr>
        <w:fldChar w:fldCharType="end"/>
      </w:r>
      <w:bookmarkStart w:id="1651" w:name="OLE_LINK665"/>
      <w:r>
        <w:rPr>
          <w:rFonts w:cs="Times New Roman"/>
        </w:rPr>
        <w:t>生活垃圾</w:t>
      </w:r>
      <w:bookmarkEnd w:id="1651"/>
    </w:p>
    <w:p w:rsidR="00C645C9" w:rsidRDefault="00F955D9">
      <w:pPr>
        <w:adjustRightInd w:val="0"/>
        <w:snapToGrid w:val="0"/>
        <w:spacing w:line="360" w:lineRule="auto"/>
        <w:ind w:firstLineChars="200" w:firstLine="480"/>
        <w:jc w:val="both"/>
        <w:rPr>
          <w:rFonts w:cs="Times New Roman"/>
        </w:rPr>
      </w:pPr>
      <w:r>
        <w:rPr>
          <w:rFonts w:cs="Times New Roman"/>
        </w:rPr>
        <w:t>运营期工作人员由</w:t>
      </w:r>
      <w:r>
        <w:rPr>
          <w:rFonts w:cs="Times New Roman"/>
        </w:rPr>
        <w:t>雅克拉采气厂内部调剂解决</w:t>
      </w:r>
      <w:r>
        <w:rPr>
          <w:rFonts w:cs="Times New Roman"/>
        </w:rPr>
        <w:t>，故不新增生活垃圾</w:t>
      </w:r>
      <w:r>
        <w:rPr>
          <w:rFonts w:cs="Times New Roman" w:hint="eastAsia"/>
        </w:rPr>
        <w:t>。</w:t>
      </w:r>
    </w:p>
    <w:p w:rsidR="00C645C9" w:rsidRDefault="00F955D9">
      <w:pPr>
        <w:pStyle w:val="a5"/>
        <w:snapToGrid w:val="0"/>
        <w:outlineLvl w:val="2"/>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hint="eastAsia"/>
          <w:b/>
          <w:bCs/>
          <w:sz w:val="28"/>
          <w:szCs w:val="28"/>
        </w:rPr>
        <w:t>7</w:t>
      </w:r>
      <w:r>
        <w:rPr>
          <w:rFonts w:ascii="Times New Roman" w:hAnsi="Times New Roman" w:cs="Times New Roman"/>
          <w:b/>
          <w:bCs/>
          <w:sz w:val="28"/>
          <w:szCs w:val="28"/>
        </w:rPr>
        <w:t>.</w:t>
      </w:r>
      <w:r>
        <w:rPr>
          <w:rFonts w:ascii="Times New Roman" w:hAnsi="Times New Roman" w:cs="Times New Roman"/>
          <w:b/>
          <w:bCs/>
          <w:sz w:val="28"/>
          <w:szCs w:val="28"/>
        </w:rPr>
        <w:t>3</w:t>
      </w:r>
      <w:r>
        <w:rPr>
          <w:rFonts w:ascii="Times New Roman" w:hAnsi="Times New Roman" w:cs="Times New Roman"/>
          <w:b/>
          <w:bCs/>
          <w:sz w:val="28"/>
          <w:szCs w:val="28"/>
        </w:rPr>
        <w:t>退役期固体废物影响分析</w:t>
      </w:r>
    </w:p>
    <w:p w:rsidR="00C645C9" w:rsidRDefault="00F955D9">
      <w:pPr>
        <w:adjustRightInd w:val="0"/>
        <w:snapToGrid w:val="0"/>
        <w:spacing w:line="360" w:lineRule="auto"/>
        <w:ind w:firstLineChars="200" w:firstLine="480"/>
        <w:jc w:val="both"/>
        <w:rPr>
          <w:rFonts w:cs="Times New Roman"/>
        </w:rPr>
      </w:pPr>
      <w:r>
        <w:rPr>
          <w:rFonts w:cs="Times New Roman"/>
        </w:rPr>
        <w:t>本工程</w:t>
      </w:r>
      <w:r>
        <w:rPr>
          <w:rFonts w:cs="Times New Roman" w:hint="eastAsia"/>
        </w:rPr>
        <w:t>退役期</w:t>
      </w:r>
      <w:r>
        <w:rPr>
          <w:rFonts w:cs="Times New Roman"/>
        </w:rPr>
        <w:t>，井场拆除的井架、井构筑物等</w:t>
      </w:r>
      <w:r>
        <w:rPr>
          <w:rFonts w:cs="Times New Roman" w:hint="eastAsia"/>
        </w:rPr>
        <w:t>钢质</w:t>
      </w:r>
      <w:r>
        <w:rPr>
          <w:rFonts w:cs="Times New Roman"/>
        </w:rPr>
        <w:t>材料，清洗油污后可回收利用</w:t>
      </w:r>
      <w:r>
        <w:rPr>
          <w:rFonts w:cs="Times New Roman" w:hint="eastAsia"/>
        </w:rPr>
        <w:t>。</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bookmarkStart w:id="1652" w:name="OLE_LINK506"/>
      <w:r>
        <w:rPr>
          <w:rFonts w:ascii="Times New Roman" w:hAnsi="Times New Roman" w:cs="Times New Roman"/>
          <w:color w:val="auto"/>
          <w:lang w:eastAsia="zh-CN"/>
        </w:rPr>
        <w:t>5.</w:t>
      </w:r>
      <w:r>
        <w:rPr>
          <w:rFonts w:ascii="Times New Roman" w:hAnsi="Times New Roman" w:cs="Times New Roman" w:hint="eastAsia"/>
          <w:color w:val="auto"/>
          <w:lang w:eastAsia="zh-CN"/>
        </w:rPr>
        <w:t>7</w:t>
      </w:r>
      <w:r>
        <w:rPr>
          <w:rFonts w:ascii="Times New Roman" w:hAnsi="Times New Roman" w:cs="Times New Roman"/>
          <w:color w:val="auto"/>
          <w:lang w:eastAsia="zh-CN"/>
        </w:rPr>
        <w:t>.</w:t>
      </w:r>
      <w:r>
        <w:rPr>
          <w:rFonts w:ascii="Times New Roman" w:hAnsi="Times New Roman" w:cs="Times New Roman"/>
          <w:color w:val="auto"/>
          <w:lang w:eastAsia="zh-CN"/>
        </w:rPr>
        <w:t>4</w:t>
      </w:r>
      <w:r>
        <w:rPr>
          <w:rFonts w:ascii="Times New Roman" w:hAnsi="Times New Roman" w:cs="Times New Roman"/>
          <w:color w:val="auto"/>
          <w:lang w:eastAsia="zh-CN"/>
        </w:rPr>
        <w:t>固体废物</w:t>
      </w:r>
      <w:r>
        <w:rPr>
          <w:rFonts w:ascii="Times New Roman" w:hAnsi="Times New Roman" w:cs="Times New Roman"/>
          <w:color w:val="auto"/>
          <w:lang w:eastAsia="zh-CN"/>
        </w:rPr>
        <w:t>影响评价小结</w:t>
      </w:r>
    </w:p>
    <w:p w:rsidR="00C645C9" w:rsidRDefault="00F955D9">
      <w:pPr>
        <w:adjustRightInd w:val="0"/>
        <w:snapToGrid w:val="0"/>
        <w:spacing w:line="360" w:lineRule="auto"/>
        <w:ind w:firstLineChars="200" w:firstLine="480"/>
        <w:jc w:val="both"/>
        <w:rPr>
          <w:rFonts w:cs="Times New Roman"/>
        </w:rPr>
      </w:pPr>
      <w:bookmarkStart w:id="1653" w:name="OLE_LINK667"/>
      <w:bookmarkEnd w:id="1652"/>
      <w:r>
        <w:rPr>
          <w:rFonts w:cs="Times New Roman"/>
        </w:rPr>
        <w:t>本工程施工期、运营期和退役期产生的固体废物能够通过有效的途径得到较好</w:t>
      </w:r>
      <w:r>
        <w:rPr>
          <w:rFonts w:cs="Times New Roman" w:hint="eastAsia"/>
        </w:rPr>
        <w:t>地</w:t>
      </w:r>
      <w:r>
        <w:rPr>
          <w:rFonts w:cs="Times New Roman"/>
        </w:rPr>
        <w:t>处置，对评价区环境影响较小</w:t>
      </w:r>
      <w:r>
        <w:rPr>
          <w:rFonts w:cs="Times New Roman" w:hint="eastAsia"/>
        </w:rPr>
        <w:t>。</w:t>
      </w:r>
    </w:p>
    <w:p w:rsidR="00C645C9" w:rsidRDefault="00F955D9">
      <w:pPr>
        <w:pStyle w:val="afff9"/>
        <w:outlineLvl w:val="1"/>
        <w:rPr>
          <w:lang w:eastAsia="zh-CN"/>
        </w:rPr>
      </w:pPr>
      <w:bookmarkStart w:id="1654" w:name="_Toc26233"/>
      <w:bookmarkStart w:id="1655" w:name="_Toc26149"/>
      <w:bookmarkEnd w:id="1653"/>
      <w:r>
        <w:rPr>
          <w:rFonts w:hint="eastAsia"/>
          <w:kern w:val="0"/>
          <w:sz w:val="30"/>
          <w:szCs w:val="21"/>
          <w:lang w:eastAsia="zh-CN"/>
        </w:rPr>
        <w:lastRenderedPageBreak/>
        <w:t>5.8</w:t>
      </w:r>
      <w:r>
        <w:rPr>
          <w:kern w:val="0"/>
          <w:sz w:val="30"/>
          <w:szCs w:val="21"/>
          <w:lang w:eastAsia="zh-CN"/>
        </w:rPr>
        <w:t>环境风险评价</w:t>
      </w:r>
      <w:bookmarkEnd w:id="1654"/>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25455" w:history="1">
        <w:r>
          <w:rPr>
            <w:rFonts w:ascii="Times New Roman" w:hAnsi="Times New Roman" w:cs="Times New Roman" w:hint="eastAsia"/>
            <w:color w:val="auto"/>
            <w:lang w:eastAsia="zh-CN"/>
          </w:rPr>
          <w:t>5.8.1</w:t>
        </w:r>
        <w:r>
          <w:rPr>
            <w:rFonts w:ascii="Times New Roman" w:hAnsi="Times New Roman" w:cs="Times New Roman" w:hint="eastAsia"/>
            <w:color w:val="auto"/>
            <w:lang w:eastAsia="zh-CN"/>
          </w:rPr>
          <w:t>风险</w:t>
        </w:r>
      </w:hyperlink>
      <w:r>
        <w:rPr>
          <w:rFonts w:ascii="Times New Roman" w:hAnsi="Times New Roman" w:cs="Times New Roman" w:hint="eastAsia"/>
          <w:color w:val="auto"/>
          <w:lang w:eastAsia="zh-CN"/>
        </w:rPr>
        <w:t>调查</w:t>
      </w:r>
    </w:p>
    <w:p w:rsidR="00C645C9" w:rsidRDefault="00F955D9">
      <w:pPr>
        <w:spacing w:line="360" w:lineRule="auto"/>
        <w:ind w:firstLineChars="200" w:firstLine="480"/>
        <w:rPr>
          <w:rFonts w:cs="Times New Roman"/>
        </w:rPr>
      </w:pPr>
      <w:r>
        <w:rPr>
          <w:rFonts w:cs="Times New Roman"/>
        </w:rPr>
        <w:t>（</w:t>
      </w:r>
      <w:r>
        <w:rPr>
          <w:rFonts w:cs="Times New Roman"/>
        </w:rPr>
        <w:t>1</w:t>
      </w:r>
      <w:r>
        <w:rPr>
          <w:rFonts w:cs="Times New Roman"/>
        </w:rPr>
        <w:t>）</w:t>
      </w:r>
      <w:r>
        <w:rPr>
          <w:rFonts w:cs="Times New Roman"/>
        </w:rPr>
        <w:t>建设项目风险源调查</w:t>
      </w:r>
    </w:p>
    <w:p w:rsidR="00C645C9" w:rsidRDefault="00F955D9">
      <w:pPr>
        <w:spacing w:line="360" w:lineRule="auto"/>
        <w:ind w:firstLineChars="200" w:firstLine="480"/>
        <w:rPr>
          <w:rFonts w:cs="Times New Roman"/>
        </w:rPr>
      </w:pPr>
      <w:r>
        <w:rPr>
          <w:rFonts w:cs="Times New Roman"/>
        </w:rPr>
        <w:t>本工程</w:t>
      </w:r>
      <w:r>
        <w:rPr>
          <w:rFonts w:cs="Times New Roman"/>
        </w:rPr>
        <w:t>施工期和运营期涉及的主要危险物质为</w:t>
      </w:r>
      <w:bookmarkStart w:id="1656" w:name="OLE_LINK668"/>
      <w:r>
        <w:rPr>
          <w:rFonts w:cs="Times New Roman" w:hint="eastAsia"/>
        </w:rPr>
        <w:t>天然气</w:t>
      </w:r>
      <w:r>
        <w:rPr>
          <w:rFonts w:cs="Times New Roman"/>
        </w:rPr>
        <w:t>、</w:t>
      </w:r>
      <w:bookmarkStart w:id="1657" w:name="OLE_LINK784"/>
      <w:r>
        <w:rPr>
          <w:rFonts w:cs="Times New Roman" w:hint="eastAsia"/>
        </w:rPr>
        <w:t>凝析油</w:t>
      </w:r>
      <w:bookmarkEnd w:id="1656"/>
      <w:bookmarkEnd w:id="1657"/>
      <w:r>
        <w:rPr>
          <w:rFonts w:cs="Times New Roman"/>
        </w:rPr>
        <w:t>，涉及的风险为</w:t>
      </w:r>
      <w:r>
        <w:rPr>
          <w:rFonts w:cs="Times New Roman"/>
        </w:rPr>
        <w:t>运营期</w:t>
      </w:r>
      <w:bookmarkStart w:id="1658" w:name="OLE_LINK669"/>
      <w:r>
        <w:rPr>
          <w:rFonts w:cs="Times New Roman"/>
        </w:rPr>
        <w:t>井场</w:t>
      </w:r>
      <w:r>
        <w:rPr>
          <w:rFonts w:cs="Times New Roman" w:hint="eastAsia"/>
        </w:rPr>
        <w:t>设备、储罐</w:t>
      </w:r>
      <w:bookmarkEnd w:id="1658"/>
      <w:r>
        <w:rPr>
          <w:rFonts w:cs="Times New Roman"/>
        </w:rPr>
        <w:t>破损造成的</w:t>
      </w:r>
      <w:bookmarkStart w:id="1659" w:name="OLE_LINK711"/>
      <w:r>
        <w:rPr>
          <w:rFonts w:cs="Times New Roman" w:hint="eastAsia"/>
        </w:rPr>
        <w:t>天然气</w:t>
      </w:r>
      <w:r>
        <w:rPr>
          <w:rFonts w:cs="Times New Roman"/>
        </w:rPr>
        <w:t>、</w:t>
      </w:r>
      <w:r>
        <w:rPr>
          <w:rFonts w:cs="Times New Roman" w:hint="eastAsia"/>
        </w:rPr>
        <w:t>凝析油</w:t>
      </w:r>
      <w:bookmarkEnd w:id="1659"/>
      <w:r>
        <w:rPr>
          <w:rFonts w:cs="Times New Roman"/>
        </w:rPr>
        <w:t>的泄漏。</w:t>
      </w:r>
    </w:p>
    <w:p w:rsidR="00C645C9" w:rsidRDefault="00F955D9">
      <w:pPr>
        <w:adjustRightInd w:val="0"/>
        <w:snapToGrid w:val="0"/>
        <w:jc w:val="center"/>
        <w:rPr>
          <w:rFonts w:eastAsia="黑体" w:cs="Times New Roman"/>
          <w:bCs/>
          <w:sz w:val="21"/>
          <w:szCs w:val="21"/>
        </w:rPr>
      </w:pPr>
      <w:bookmarkStart w:id="1660" w:name="OLE_LINK673"/>
      <w:r>
        <w:rPr>
          <w:rFonts w:eastAsia="黑体" w:cs="Times New Roman"/>
          <w:bCs/>
          <w:sz w:val="21"/>
          <w:szCs w:val="21"/>
        </w:rPr>
        <w:t>表</w:t>
      </w:r>
      <w:r>
        <w:rPr>
          <w:rFonts w:eastAsia="黑体" w:cs="Times New Roman"/>
          <w:bCs/>
          <w:sz w:val="21"/>
          <w:szCs w:val="21"/>
        </w:rPr>
        <w:t>5.8</w:t>
      </w:r>
      <w:r>
        <w:rPr>
          <w:rFonts w:eastAsia="黑体" w:cs="Times New Roman"/>
          <w:bCs/>
          <w:sz w:val="21"/>
          <w:szCs w:val="21"/>
        </w:rPr>
        <w:t>-1</w:t>
      </w:r>
      <w:r>
        <w:rPr>
          <w:rFonts w:eastAsia="黑体" w:cs="Times New Roman" w:hint="eastAsia"/>
          <w:bCs/>
          <w:sz w:val="21"/>
          <w:szCs w:val="21"/>
        </w:rPr>
        <w:t xml:space="preserve">   </w:t>
      </w:r>
      <w:r>
        <w:rPr>
          <w:rFonts w:eastAsia="黑体" w:cs="Times New Roman"/>
          <w:bCs/>
          <w:sz w:val="21"/>
          <w:szCs w:val="21"/>
        </w:rPr>
        <w:t>本</w:t>
      </w:r>
      <w:r>
        <w:rPr>
          <w:rFonts w:eastAsia="黑体" w:cs="Times New Roman"/>
          <w:bCs/>
          <w:sz w:val="21"/>
          <w:szCs w:val="21"/>
        </w:rPr>
        <w:t>工程</w:t>
      </w:r>
      <w:r>
        <w:rPr>
          <w:rFonts w:eastAsia="黑体" w:cs="Times New Roman"/>
          <w:bCs/>
          <w:sz w:val="21"/>
          <w:szCs w:val="21"/>
        </w:rPr>
        <w:t>危险物质分布情况一览表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426"/>
        <w:gridCol w:w="2240"/>
        <w:gridCol w:w="1687"/>
        <w:gridCol w:w="2420"/>
      </w:tblGrid>
      <w:tr w:rsidR="00C645C9">
        <w:trPr>
          <w:trHeight w:val="600"/>
        </w:trPr>
        <w:tc>
          <w:tcPr>
            <w:tcW w:w="440" w:type="pct"/>
            <w:vAlign w:val="center"/>
          </w:tcPr>
          <w:p w:rsidR="00C645C9" w:rsidRDefault="00F955D9">
            <w:pPr>
              <w:adjustRightInd w:val="0"/>
              <w:snapToGrid w:val="0"/>
              <w:jc w:val="center"/>
              <w:rPr>
                <w:rFonts w:cs="Times New Roman"/>
                <w:sz w:val="21"/>
                <w:szCs w:val="21"/>
              </w:rPr>
            </w:pPr>
            <w:r>
              <w:rPr>
                <w:rFonts w:cs="Times New Roman"/>
                <w:kern w:val="2"/>
                <w:sz w:val="21"/>
                <w:szCs w:val="21"/>
              </w:rPr>
              <w:t>序号</w:t>
            </w:r>
          </w:p>
        </w:tc>
        <w:tc>
          <w:tcPr>
            <w:tcW w:w="836" w:type="pct"/>
            <w:vAlign w:val="center"/>
          </w:tcPr>
          <w:p w:rsidR="00C645C9" w:rsidRDefault="00F955D9">
            <w:pPr>
              <w:adjustRightInd w:val="0"/>
              <w:snapToGrid w:val="0"/>
              <w:jc w:val="center"/>
              <w:rPr>
                <w:rFonts w:cs="Times New Roman"/>
                <w:sz w:val="21"/>
                <w:szCs w:val="21"/>
              </w:rPr>
            </w:pPr>
            <w:r>
              <w:rPr>
                <w:rFonts w:cs="Times New Roman"/>
                <w:kern w:val="2"/>
                <w:sz w:val="21"/>
                <w:szCs w:val="21"/>
              </w:rPr>
              <w:t>风险单元</w:t>
            </w:r>
          </w:p>
        </w:tc>
        <w:tc>
          <w:tcPr>
            <w:tcW w:w="1313" w:type="pct"/>
            <w:vAlign w:val="center"/>
          </w:tcPr>
          <w:p w:rsidR="00C645C9" w:rsidRDefault="00F955D9">
            <w:pPr>
              <w:adjustRightInd w:val="0"/>
              <w:snapToGrid w:val="0"/>
              <w:jc w:val="center"/>
              <w:rPr>
                <w:rFonts w:cs="Times New Roman"/>
                <w:sz w:val="21"/>
                <w:szCs w:val="21"/>
              </w:rPr>
            </w:pPr>
            <w:r>
              <w:rPr>
                <w:rFonts w:cs="Times New Roman"/>
                <w:kern w:val="2"/>
                <w:sz w:val="21"/>
                <w:szCs w:val="21"/>
              </w:rPr>
              <w:t>存储单元</w:t>
            </w:r>
          </w:p>
        </w:tc>
        <w:tc>
          <w:tcPr>
            <w:tcW w:w="989" w:type="pct"/>
            <w:vAlign w:val="center"/>
          </w:tcPr>
          <w:p w:rsidR="00C645C9" w:rsidRDefault="00F955D9">
            <w:pPr>
              <w:adjustRightInd w:val="0"/>
              <w:snapToGrid w:val="0"/>
              <w:jc w:val="center"/>
              <w:rPr>
                <w:rFonts w:cs="Times New Roman"/>
                <w:sz w:val="21"/>
                <w:szCs w:val="21"/>
              </w:rPr>
            </w:pPr>
            <w:r>
              <w:rPr>
                <w:rFonts w:cs="Times New Roman"/>
                <w:kern w:val="2"/>
                <w:sz w:val="21"/>
                <w:szCs w:val="21"/>
              </w:rPr>
              <w:t>危险物质名称</w:t>
            </w:r>
          </w:p>
        </w:tc>
        <w:tc>
          <w:tcPr>
            <w:tcW w:w="1419" w:type="pct"/>
            <w:vAlign w:val="center"/>
          </w:tcPr>
          <w:p w:rsidR="00C645C9" w:rsidRDefault="00F955D9">
            <w:pPr>
              <w:adjustRightInd w:val="0"/>
              <w:snapToGrid w:val="0"/>
              <w:jc w:val="center"/>
              <w:rPr>
                <w:rFonts w:cs="Times New Roman"/>
                <w:sz w:val="21"/>
                <w:szCs w:val="21"/>
              </w:rPr>
            </w:pPr>
            <w:r>
              <w:rPr>
                <w:rFonts w:cs="Times New Roman"/>
                <w:kern w:val="2"/>
                <w:sz w:val="21"/>
                <w:szCs w:val="21"/>
              </w:rPr>
              <w:t>存储装置参数</w:t>
            </w:r>
          </w:p>
        </w:tc>
      </w:tr>
      <w:tr w:rsidR="00C645C9">
        <w:trPr>
          <w:trHeight w:val="378"/>
        </w:trPr>
        <w:tc>
          <w:tcPr>
            <w:tcW w:w="440"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1</w:t>
            </w:r>
          </w:p>
        </w:tc>
        <w:tc>
          <w:tcPr>
            <w:tcW w:w="836" w:type="pct"/>
            <w:vMerge w:val="restar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井场工艺装置区</w:t>
            </w:r>
          </w:p>
        </w:tc>
        <w:tc>
          <w:tcPr>
            <w:tcW w:w="1313" w:type="pct"/>
            <w:vAlign w:val="center"/>
          </w:tcPr>
          <w:p w:rsidR="00C645C9" w:rsidRDefault="00F955D9">
            <w:pPr>
              <w:adjustRightInd w:val="0"/>
              <w:snapToGrid w:val="0"/>
              <w:jc w:val="center"/>
              <w:rPr>
                <w:rFonts w:cs="Times New Roman"/>
                <w:kern w:val="2"/>
                <w:sz w:val="21"/>
                <w:szCs w:val="21"/>
              </w:rPr>
            </w:pPr>
            <w:bookmarkStart w:id="1661" w:name="OLE_LINK705"/>
            <w:bookmarkStart w:id="1662" w:name="OLE_LINK1315"/>
            <w:r>
              <w:rPr>
                <w:rFonts w:cs="Times New Roman"/>
                <w:sz w:val="21"/>
                <w:szCs w:val="21"/>
              </w:rPr>
              <w:t>进站分离</w:t>
            </w:r>
            <w:bookmarkEnd w:id="1661"/>
            <w:r>
              <w:rPr>
                <w:rFonts w:cs="Times New Roman"/>
                <w:sz w:val="21"/>
                <w:szCs w:val="21"/>
              </w:rPr>
              <w:t>器</w:t>
            </w:r>
            <w:bookmarkEnd w:id="1662"/>
          </w:p>
        </w:tc>
        <w:tc>
          <w:tcPr>
            <w:tcW w:w="989" w:type="pct"/>
            <w:vAlign w:val="center"/>
          </w:tcPr>
          <w:p w:rsidR="00C645C9" w:rsidRDefault="00F955D9">
            <w:pPr>
              <w:adjustRightInd w:val="0"/>
              <w:snapToGrid w:val="0"/>
              <w:jc w:val="center"/>
              <w:rPr>
                <w:rFonts w:cs="Times New Roman"/>
                <w:kern w:val="2"/>
                <w:sz w:val="21"/>
                <w:szCs w:val="21"/>
              </w:rPr>
            </w:pPr>
            <w:bookmarkStart w:id="1663" w:name="OLE_LINK703"/>
            <w:r>
              <w:rPr>
                <w:rFonts w:cs="Times New Roman"/>
                <w:kern w:val="2"/>
                <w:sz w:val="21"/>
                <w:szCs w:val="21"/>
              </w:rPr>
              <w:t>凝析油</w:t>
            </w:r>
            <w:bookmarkEnd w:id="1663"/>
            <w:r>
              <w:rPr>
                <w:rFonts w:cs="Times New Roman"/>
                <w:kern w:val="2"/>
                <w:sz w:val="21"/>
                <w:szCs w:val="21"/>
              </w:rPr>
              <w:t>、天然气</w:t>
            </w:r>
          </w:p>
        </w:tc>
        <w:tc>
          <w:tcPr>
            <w:tcW w:w="1419" w:type="pct"/>
            <w:vAlign w:val="center"/>
          </w:tcPr>
          <w:p w:rsidR="00C645C9" w:rsidRDefault="00F955D9">
            <w:pPr>
              <w:adjustRightInd w:val="0"/>
              <w:snapToGrid w:val="0"/>
              <w:jc w:val="center"/>
              <w:rPr>
                <w:rFonts w:cs="Times New Roman"/>
                <w:kern w:val="2"/>
                <w:sz w:val="21"/>
                <w:szCs w:val="21"/>
              </w:rPr>
            </w:pPr>
            <w:r>
              <w:rPr>
                <w:rFonts w:cs="Times New Roman"/>
                <w:spacing w:val="-1"/>
                <w:sz w:val="21"/>
                <w:szCs w:val="21"/>
              </w:rPr>
              <w:t>DN1200mm×4800mm</w:t>
            </w:r>
          </w:p>
        </w:tc>
      </w:tr>
      <w:tr w:rsidR="00C645C9">
        <w:trPr>
          <w:trHeight w:val="472"/>
        </w:trPr>
        <w:tc>
          <w:tcPr>
            <w:tcW w:w="440"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2</w:t>
            </w:r>
          </w:p>
        </w:tc>
        <w:tc>
          <w:tcPr>
            <w:tcW w:w="836" w:type="pct"/>
            <w:vMerge/>
            <w:vAlign w:val="center"/>
          </w:tcPr>
          <w:p w:rsidR="00C645C9" w:rsidRDefault="00C645C9">
            <w:pPr>
              <w:adjustRightInd w:val="0"/>
              <w:snapToGrid w:val="0"/>
              <w:jc w:val="center"/>
              <w:rPr>
                <w:rFonts w:cs="Times New Roman"/>
                <w:kern w:val="2"/>
                <w:sz w:val="21"/>
                <w:szCs w:val="21"/>
              </w:rPr>
            </w:pPr>
          </w:p>
        </w:tc>
        <w:tc>
          <w:tcPr>
            <w:tcW w:w="1313" w:type="pct"/>
            <w:vAlign w:val="center"/>
          </w:tcPr>
          <w:p w:rsidR="00C645C9" w:rsidRDefault="00F955D9">
            <w:pPr>
              <w:adjustRightInd w:val="0"/>
              <w:snapToGrid w:val="0"/>
              <w:jc w:val="center"/>
              <w:rPr>
                <w:rFonts w:cs="Times New Roman"/>
                <w:kern w:val="2"/>
                <w:sz w:val="21"/>
                <w:szCs w:val="21"/>
              </w:rPr>
            </w:pPr>
            <w:r>
              <w:rPr>
                <w:rFonts w:cs="Times New Roman"/>
                <w:spacing w:val="-3"/>
                <w:sz w:val="21"/>
                <w:szCs w:val="21"/>
              </w:rPr>
              <w:t>高压分离器</w:t>
            </w:r>
          </w:p>
        </w:tc>
        <w:tc>
          <w:tcPr>
            <w:tcW w:w="989"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凝析油</w:t>
            </w:r>
          </w:p>
        </w:tc>
        <w:tc>
          <w:tcPr>
            <w:tcW w:w="1419" w:type="pct"/>
            <w:vAlign w:val="center"/>
          </w:tcPr>
          <w:p w:rsidR="00C645C9" w:rsidRDefault="00F955D9">
            <w:pPr>
              <w:adjustRightInd w:val="0"/>
              <w:snapToGrid w:val="0"/>
              <w:jc w:val="center"/>
              <w:rPr>
                <w:rFonts w:cs="Times New Roman"/>
                <w:kern w:val="2"/>
                <w:sz w:val="21"/>
                <w:szCs w:val="21"/>
              </w:rPr>
            </w:pPr>
            <w:bookmarkStart w:id="1664" w:name="OLE_LINK704"/>
            <w:r>
              <w:rPr>
                <w:rFonts w:cs="Times New Roman"/>
                <w:kern w:val="24"/>
                <w:sz w:val="21"/>
                <w:szCs w:val="21"/>
              </w:rPr>
              <w:t>11MPa</w:t>
            </w:r>
            <w:bookmarkEnd w:id="1664"/>
          </w:p>
        </w:tc>
      </w:tr>
      <w:tr w:rsidR="00C645C9">
        <w:trPr>
          <w:trHeight w:val="518"/>
        </w:trPr>
        <w:tc>
          <w:tcPr>
            <w:tcW w:w="440" w:type="pct"/>
            <w:vAlign w:val="center"/>
          </w:tcPr>
          <w:p w:rsidR="00C645C9" w:rsidRDefault="00F955D9">
            <w:pPr>
              <w:adjustRightInd w:val="0"/>
              <w:snapToGrid w:val="0"/>
              <w:jc w:val="center"/>
              <w:rPr>
                <w:rFonts w:cs="Times New Roman"/>
                <w:sz w:val="21"/>
                <w:szCs w:val="21"/>
              </w:rPr>
            </w:pPr>
            <w:r>
              <w:rPr>
                <w:rFonts w:cs="Times New Roman" w:hint="eastAsia"/>
                <w:kern w:val="2"/>
                <w:sz w:val="21"/>
                <w:szCs w:val="21"/>
              </w:rPr>
              <w:t>3</w:t>
            </w:r>
          </w:p>
        </w:tc>
        <w:tc>
          <w:tcPr>
            <w:tcW w:w="836" w:type="pct"/>
            <w:vMerge/>
            <w:vAlign w:val="center"/>
          </w:tcPr>
          <w:p w:rsidR="00C645C9" w:rsidRDefault="00C645C9">
            <w:pPr>
              <w:adjustRightInd w:val="0"/>
              <w:snapToGrid w:val="0"/>
              <w:jc w:val="center"/>
              <w:rPr>
                <w:rFonts w:cs="Times New Roman"/>
                <w:sz w:val="21"/>
                <w:szCs w:val="21"/>
              </w:rPr>
            </w:pPr>
          </w:p>
        </w:tc>
        <w:tc>
          <w:tcPr>
            <w:tcW w:w="1313" w:type="pct"/>
            <w:vAlign w:val="center"/>
          </w:tcPr>
          <w:p w:rsidR="00C645C9" w:rsidRDefault="00F955D9">
            <w:pPr>
              <w:adjustRightInd w:val="0"/>
              <w:snapToGrid w:val="0"/>
              <w:jc w:val="center"/>
              <w:rPr>
                <w:rFonts w:cs="Times New Roman"/>
                <w:sz w:val="21"/>
                <w:szCs w:val="21"/>
              </w:rPr>
            </w:pPr>
            <w:r>
              <w:rPr>
                <w:rFonts w:cs="Times New Roman"/>
                <w:spacing w:val="-3"/>
                <w:sz w:val="21"/>
                <w:szCs w:val="21"/>
              </w:rPr>
              <w:t>闪蒸分离器</w:t>
            </w:r>
          </w:p>
        </w:tc>
        <w:tc>
          <w:tcPr>
            <w:tcW w:w="989" w:type="pct"/>
            <w:vAlign w:val="center"/>
          </w:tcPr>
          <w:p w:rsidR="00C645C9" w:rsidRDefault="00F955D9">
            <w:pPr>
              <w:adjustRightInd w:val="0"/>
              <w:snapToGrid w:val="0"/>
              <w:jc w:val="center"/>
              <w:rPr>
                <w:rFonts w:cs="Times New Roman"/>
                <w:sz w:val="21"/>
                <w:szCs w:val="21"/>
              </w:rPr>
            </w:pPr>
            <w:bookmarkStart w:id="1665" w:name="OLE_LINK1313"/>
            <w:r>
              <w:rPr>
                <w:rFonts w:cs="Times New Roman"/>
                <w:kern w:val="2"/>
                <w:sz w:val="21"/>
                <w:szCs w:val="21"/>
              </w:rPr>
              <w:t>天然气</w:t>
            </w:r>
            <w:bookmarkEnd w:id="1665"/>
          </w:p>
        </w:tc>
        <w:tc>
          <w:tcPr>
            <w:tcW w:w="1419" w:type="pct"/>
            <w:vAlign w:val="center"/>
          </w:tcPr>
          <w:p w:rsidR="00C645C9" w:rsidRDefault="00F955D9">
            <w:pPr>
              <w:adjustRightInd w:val="0"/>
              <w:snapToGrid w:val="0"/>
              <w:jc w:val="center"/>
              <w:rPr>
                <w:rFonts w:cs="Times New Roman"/>
                <w:sz w:val="21"/>
                <w:szCs w:val="21"/>
              </w:rPr>
            </w:pPr>
            <w:r>
              <w:rPr>
                <w:rFonts w:cs="Times New Roman"/>
                <w:kern w:val="24"/>
                <w:sz w:val="21"/>
                <w:szCs w:val="21"/>
              </w:rPr>
              <w:t>80m³</w:t>
            </w:r>
            <w:r>
              <w:rPr>
                <w:rFonts w:cs="Times New Roman" w:hint="eastAsia"/>
                <w:kern w:val="24"/>
                <w:sz w:val="21"/>
                <w:szCs w:val="21"/>
              </w:rPr>
              <w:t xml:space="preserve"> </w:t>
            </w:r>
            <w:r>
              <w:rPr>
                <w:rFonts w:cs="Times New Roman"/>
                <w:spacing w:val="-3"/>
                <w:sz w:val="21"/>
                <w:szCs w:val="21"/>
              </w:rPr>
              <w:t>1.2MPa</w:t>
            </w:r>
          </w:p>
        </w:tc>
      </w:tr>
      <w:tr w:rsidR="00C645C9">
        <w:trPr>
          <w:trHeight w:val="518"/>
        </w:trPr>
        <w:tc>
          <w:tcPr>
            <w:tcW w:w="440" w:type="pct"/>
            <w:vAlign w:val="center"/>
          </w:tcPr>
          <w:p w:rsidR="00C645C9" w:rsidRDefault="00F955D9">
            <w:pPr>
              <w:adjustRightInd w:val="0"/>
              <w:snapToGrid w:val="0"/>
              <w:jc w:val="center"/>
              <w:rPr>
                <w:rFonts w:cs="Times New Roman"/>
                <w:kern w:val="2"/>
                <w:sz w:val="21"/>
                <w:szCs w:val="21"/>
              </w:rPr>
            </w:pPr>
            <w:bookmarkStart w:id="1666" w:name="OLE_LINK1316" w:colFirst="2" w:colLast="4"/>
            <w:r>
              <w:rPr>
                <w:rFonts w:cs="Times New Roman" w:hint="eastAsia"/>
                <w:kern w:val="2"/>
                <w:sz w:val="21"/>
                <w:szCs w:val="21"/>
              </w:rPr>
              <w:t>4</w:t>
            </w:r>
          </w:p>
        </w:tc>
        <w:tc>
          <w:tcPr>
            <w:tcW w:w="836" w:type="pct"/>
            <w:vMerge/>
            <w:vAlign w:val="center"/>
          </w:tcPr>
          <w:p w:rsidR="00C645C9" w:rsidRDefault="00C645C9">
            <w:pPr>
              <w:adjustRightInd w:val="0"/>
              <w:snapToGrid w:val="0"/>
              <w:jc w:val="center"/>
              <w:rPr>
                <w:rFonts w:cs="Times New Roman"/>
                <w:sz w:val="21"/>
                <w:szCs w:val="21"/>
              </w:rPr>
            </w:pPr>
          </w:p>
        </w:tc>
        <w:tc>
          <w:tcPr>
            <w:tcW w:w="1313" w:type="pct"/>
            <w:vAlign w:val="center"/>
          </w:tcPr>
          <w:p w:rsidR="00C645C9" w:rsidRDefault="00F955D9">
            <w:pPr>
              <w:adjustRightInd w:val="0"/>
              <w:snapToGrid w:val="0"/>
              <w:jc w:val="center"/>
              <w:rPr>
                <w:rFonts w:cs="Times New Roman"/>
                <w:spacing w:val="-3"/>
                <w:sz w:val="21"/>
                <w:szCs w:val="21"/>
              </w:rPr>
            </w:pPr>
            <w:bookmarkStart w:id="1667" w:name="OLE_LINK1314"/>
            <w:bookmarkStart w:id="1668" w:name="OLE_LINK1323"/>
            <w:r>
              <w:rPr>
                <w:rFonts w:cs="Times New Roman"/>
                <w:spacing w:val="-3"/>
                <w:sz w:val="21"/>
                <w:szCs w:val="21"/>
              </w:rPr>
              <w:t>过滤分离</w:t>
            </w:r>
            <w:bookmarkEnd w:id="1667"/>
            <w:r>
              <w:rPr>
                <w:rFonts w:cs="Times New Roman"/>
                <w:spacing w:val="-3"/>
                <w:sz w:val="21"/>
                <w:szCs w:val="21"/>
              </w:rPr>
              <w:t>器</w:t>
            </w:r>
            <w:bookmarkEnd w:id="1668"/>
            <w:r>
              <w:rPr>
                <w:rFonts w:cs="Times New Roman"/>
                <w:spacing w:val="-3"/>
                <w:sz w:val="21"/>
                <w:szCs w:val="21"/>
              </w:rPr>
              <w:t>橇</w:t>
            </w:r>
          </w:p>
        </w:tc>
        <w:tc>
          <w:tcPr>
            <w:tcW w:w="989"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天然气</w:t>
            </w:r>
          </w:p>
        </w:tc>
        <w:tc>
          <w:tcPr>
            <w:tcW w:w="1419" w:type="pct"/>
            <w:vAlign w:val="center"/>
          </w:tcPr>
          <w:p w:rsidR="00C645C9" w:rsidRDefault="00F955D9">
            <w:pPr>
              <w:adjustRightInd w:val="0"/>
              <w:snapToGrid w:val="0"/>
              <w:jc w:val="center"/>
              <w:rPr>
                <w:rFonts w:cs="Times New Roman"/>
                <w:kern w:val="24"/>
                <w:sz w:val="21"/>
                <w:szCs w:val="21"/>
              </w:rPr>
            </w:pPr>
            <w:r>
              <w:rPr>
                <w:rFonts w:cs="Times New Roman" w:hint="eastAsia"/>
                <w:kern w:val="24"/>
                <w:sz w:val="21"/>
                <w:szCs w:val="21"/>
              </w:rPr>
              <w:t>-</w:t>
            </w:r>
          </w:p>
        </w:tc>
      </w:tr>
      <w:tr w:rsidR="00C645C9">
        <w:trPr>
          <w:trHeight w:val="518"/>
        </w:trPr>
        <w:tc>
          <w:tcPr>
            <w:tcW w:w="440" w:type="pct"/>
            <w:vAlign w:val="center"/>
          </w:tcPr>
          <w:p w:rsidR="00C645C9" w:rsidRDefault="00F955D9">
            <w:pPr>
              <w:adjustRightInd w:val="0"/>
              <w:snapToGrid w:val="0"/>
              <w:jc w:val="center"/>
              <w:rPr>
                <w:rFonts w:cs="Times New Roman"/>
                <w:kern w:val="2"/>
                <w:sz w:val="21"/>
                <w:szCs w:val="21"/>
              </w:rPr>
            </w:pPr>
            <w:r>
              <w:rPr>
                <w:rFonts w:cs="Times New Roman" w:hint="eastAsia"/>
                <w:kern w:val="2"/>
                <w:sz w:val="21"/>
                <w:szCs w:val="21"/>
              </w:rPr>
              <w:t>5</w:t>
            </w:r>
          </w:p>
        </w:tc>
        <w:tc>
          <w:tcPr>
            <w:tcW w:w="836" w:type="pct"/>
            <w:vMerge/>
            <w:vAlign w:val="center"/>
          </w:tcPr>
          <w:p w:rsidR="00C645C9" w:rsidRDefault="00C645C9">
            <w:pPr>
              <w:adjustRightInd w:val="0"/>
              <w:snapToGrid w:val="0"/>
              <w:jc w:val="center"/>
              <w:rPr>
                <w:rFonts w:cs="Times New Roman"/>
                <w:sz w:val="21"/>
                <w:szCs w:val="21"/>
              </w:rPr>
            </w:pPr>
          </w:p>
        </w:tc>
        <w:tc>
          <w:tcPr>
            <w:tcW w:w="1313" w:type="pct"/>
            <w:vAlign w:val="center"/>
          </w:tcPr>
          <w:p w:rsidR="00C645C9" w:rsidRDefault="00F955D9">
            <w:pPr>
              <w:adjustRightInd w:val="0"/>
              <w:snapToGrid w:val="0"/>
              <w:jc w:val="center"/>
              <w:rPr>
                <w:rFonts w:cs="Times New Roman"/>
                <w:spacing w:val="-3"/>
                <w:sz w:val="21"/>
                <w:szCs w:val="21"/>
              </w:rPr>
            </w:pPr>
            <w:r>
              <w:rPr>
                <w:rFonts w:cs="Times New Roman"/>
                <w:spacing w:val="-3"/>
                <w:sz w:val="21"/>
                <w:szCs w:val="21"/>
              </w:rPr>
              <w:t>低温分离橇</w:t>
            </w:r>
          </w:p>
        </w:tc>
        <w:tc>
          <w:tcPr>
            <w:tcW w:w="989"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天然气</w:t>
            </w:r>
          </w:p>
        </w:tc>
        <w:tc>
          <w:tcPr>
            <w:tcW w:w="1419" w:type="pct"/>
            <w:vAlign w:val="center"/>
          </w:tcPr>
          <w:p w:rsidR="00C645C9" w:rsidRDefault="00F955D9">
            <w:pPr>
              <w:adjustRightInd w:val="0"/>
              <w:snapToGrid w:val="0"/>
              <w:jc w:val="center"/>
              <w:rPr>
                <w:rFonts w:cs="Times New Roman"/>
                <w:kern w:val="24"/>
                <w:sz w:val="21"/>
                <w:szCs w:val="21"/>
              </w:rPr>
            </w:pPr>
            <w:r>
              <w:rPr>
                <w:rFonts w:cs="Times New Roman"/>
                <w:spacing w:val="3"/>
                <w:sz w:val="21"/>
                <w:szCs w:val="21"/>
              </w:rPr>
              <w:t>DN1000</w:t>
            </w:r>
            <w:r>
              <w:rPr>
                <w:rFonts w:cs="Times New Roman"/>
                <w:spacing w:val="-3"/>
                <w:sz w:val="21"/>
                <w:szCs w:val="21"/>
              </w:rPr>
              <w:t>×</w:t>
            </w:r>
            <w:r>
              <w:rPr>
                <w:rFonts w:cs="Times New Roman" w:hint="eastAsia"/>
                <w:spacing w:val="-3"/>
                <w:sz w:val="21"/>
                <w:szCs w:val="21"/>
              </w:rPr>
              <w:t>48</w:t>
            </w:r>
            <w:r>
              <w:rPr>
                <w:rFonts w:cs="Times New Roman"/>
                <w:spacing w:val="-3"/>
                <w:sz w:val="21"/>
                <w:szCs w:val="21"/>
              </w:rPr>
              <w:t>00mm</w:t>
            </w:r>
            <w:r>
              <w:rPr>
                <w:rFonts w:cs="Times New Roman" w:hint="eastAsia"/>
                <w:spacing w:val="-3"/>
                <w:sz w:val="21"/>
                <w:szCs w:val="21"/>
              </w:rPr>
              <w:t xml:space="preserve"> PN100</w:t>
            </w:r>
          </w:p>
        </w:tc>
      </w:tr>
      <w:bookmarkEnd w:id="1666"/>
      <w:tr w:rsidR="00C645C9">
        <w:trPr>
          <w:trHeight w:val="518"/>
        </w:trPr>
        <w:tc>
          <w:tcPr>
            <w:tcW w:w="440" w:type="pct"/>
            <w:vAlign w:val="center"/>
          </w:tcPr>
          <w:p w:rsidR="00C645C9" w:rsidRDefault="00F955D9">
            <w:pPr>
              <w:adjustRightInd w:val="0"/>
              <w:snapToGrid w:val="0"/>
              <w:jc w:val="center"/>
              <w:rPr>
                <w:rFonts w:cs="Times New Roman"/>
                <w:kern w:val="2"/>
                <w:sz w:val="21"/>
                <w:szCs w:val="21"/>
              </w:rPr>
            </w:pPr>
            <w:r>
              <w:rPr>
                <w:rFonts w:cs="Times New Roman" w:hint="eastAsia"/>
                <w:kern w:val="2"/>
                <w:sz w:val="21"/>
                <w:szCs w:val="21"/>
              </w:rPr>
              <w:t>6</w:t>
            </w:r>
          </w:p>
        </w:tc>
        <w:tc>
          <w:tcPr>
            <w:tcW w:w="836"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井场储罐区</w:t>
            </w:r>
          </w:p>
        </w:tc>
        <w:tc>
          <w:tcPr>
            <w:tcW w:w="1313" w:type="pct"/>
            <w:vAlign w:val="center"/>
          </w:tcPr>
          <w:p w:rsidR="00C645C9" w:rsidRDefault="00F955D9">
            <w:pPr>
              <w:adjustRightInd w:val="0"/>
              <w:snapToGrid w:val="0"/>
              <w:jc w:val="center"/>
              <w:rPr>
                <w:rFonts w:cs="Times New Roman"/>
                <w:sz w:val="21"/>
                <w:szCs w:val="21"/>
              </w:rPr>
            </w:pPr>
            <w:r>
              <w:rPr>
                <w:rFonts w:cs="Times New Roman"/>
                <w:spacing w:val="-7"/>
                <w:sz w:val="21"/>
                <w:szCs w:val="21"/>
              </w:rPr>
              <w:t>多功能储集器</w:t>
            </w:r>
            <w:r>
              <w:rPr>
                <w:rFonts w:cs="Times New Roman"/>
                <w:spacing w:val="-43"/>
                <w:sz w:val="21"/>
                <w:szCs w:val="21"/>
              </w:rPr>
              <w:t xml:space="preserve"> </w:t>
            </w:r>
          </w:p>
        </w:tc>
        <w:tc>
          <w:tcPr>
            <w:tcW w:w="989"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凝析油</w:t>
            </w:r>
          </w:p>
        </w:tc>
        <w:tc>
          <w:tcPr>
            <w:tcW w:w="1419" w:type="pct"/>
            <w:vAlign w:val="center"/>
          </w:tcPr>
          <w:p w:rsidR="00C645C9" w:rsidRDefault="00F955D9">
            <w:pPr>
              <w:adjustRightInd w:val="0"/>
              <w:snapToGrid w:val="0"/>
              <w:jc w:val="center"/>
              <w:rPr>
                <w:rFonts w:cs="Times New Roman"/>
                <w:sz w:val="21"/>
                <w:szCs w:val="21"/>
              </w:rPr>
            </w:pPr>
            <w:bookmarkStart w:id="1669" w:name="OLE_LINK710"/>
            <w:r>
              <w:rPr>
                <w:rFonts w:cs="Times New Roman"/>
                <w:spacing w:val="-7"/>
                <w:sz w:val="21"/>
                <w:szCs w:val="21"/>
              </w:rPr>
              <w:t>80m³</w:t>
            </w:r>
            <w:r>
              <w:rPr>
                <w:rFonts w:cs="Times New Roman"/>
                <w:spacing w:val="-40"/>
                <w:sz w:val="21"/>
                <w:szCs w:val="21"/>
              </w:rPr>
              <w:t xml:space="preserve"> </w:t>
            </w:r>
            <w:bookmarkEnd w:id="1669"/>
          </w:p>
        </w:tc>
      </w:tr>
      <w:tr w:rsidR="00C645C9">
        <w:trPr>
          <w:trHeight w:val="518"/>
        </w:trPr>
        <w:tc>
          <w:tcPr>
            <w:tcW w:w="440" w:type="pct"/>
            <w:vAlign w:val="center"/>
          </w:tcPr>
          <w:p w:rsidR="00C645C9" w:rsidRDefault="00F955D9">
            <w:pPr>
              <w:adjustRightInd w:val="0"/>
              <w:snapToGrid w:val="0"/>
              <w:jc w:val="center"/>
              <w:rPr>
                <w:rFonts w:cs="Times New Roman"/>
                <w:kern w:val="2"/>
                <w:sz w:val="21"/>
                <w:szCs w:val="21"/>
              </w:rPr>
            </w:pPr>
            <w:r>
              <w:rPr>
                <w:rFonts w:cs="Times New Roman" w:hint="eastAsia"/>
                <w:kern w:val="2"/>
                <w:sz w:val="21"/>
                <w:szCs w:val="21"/>
              </w:rPr>
              <w:t>7</w:t>
            </w:r>
          </w:p>
        </w:tc>
        <w:tc>
          <w:tcPr>
            <w:tcW w:w="836" w:type="pct"/>
            <w:vMerge/>
            <w:vAlign w:val="center"/>
          </w:tcPr>
          <w:p w:rsidR="00C645C9" w:rsidRDefault="00C645C9">
            <w:pPr>
              <w:adjustRightInd w:val="0"/>
              <w:snapToGrid w:val="0"/>
              <w:jc w:val="center"/>
              <w:rPr>
                <w:rFonts w:cs="Times New Roman"/>
                <w:sz w:val="21"/>
                <w:szCs w:val="21"/>
              </w:rPr>
            </w:pPr>
          </w:p>
        </w:tc>
        <w:tc>
          <w:tcPr>
            <w:tcW w:w="1313" w:type="pct"/>
            <w:vAlign w:val="center"/>
          </w:tcPr>
          <w:p w:rsidR="00C645C9" w:rsidRDefault="00F955D9">
            <w:pPr>
              <w:adjustRightInd w:val="0"/>
              <w:snapToGrid w:val="0"/>
              <w:jc w:val="center"/>
              <w:rPr>
                <w:rFonts w:cs="Times New Roman"/>
                <w:spacing w:val="-7"/>
                <w:sz w:val="21"/>
                <w:szCs w:val="21"/>
              </w:rPr>
            </w:pPr>
            <w:r>
              <w:rPr>
                <w:rFonts w:cs="Times New Roman"/>
                <w:spacing w:val="-7"/>
                <w:sz w:val="21"/>
                <w:szCs w:val="21"/>
              </w:rPr>
              <w:t>混烃储罐</w:t>
            </w:r>
          </w:p>
        </w:tc>
        <w:tc>
          <w:tcPr>
            <w:tcW w:w="989"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凝析油</w:t>
            </w:r>
          </w:p>
        </w:tc>
        <w:tc>
          <w:tcPr>
            <w:tcW w:w="1419" w:type="pct"/>
            <w:vAlign w:val="center"/>
          </w:tcPr>
          <w:p w:rsidR="00C645C9" w:rsidRDefault="00F955D9">
            <w:pPr>
              <w:adjustRightInd w:val="0"/>
              <w:snapToGrid w:val="0"/>
              <w:jc w:val="center"/>
              <w:rPr>
                <w:rFonts w:cs="Times New Roman"/>
                <w:spacing w:val="-7"/>
                <w:sz w:val="21"/>
                <w:szCs w:val="21"/>
              </w:rPr>
            </w:pPr>
            <w:r>
              <w:rPr>
                <w:rFonts w:cs="Times New Roman"/>
                <w:spacing w:val="-7"/>
                <w:sz w:val="21"/>
                <w:szCs w:val="21"/>
              </w:rPr>
              <w:t>80m³</w:t>
            </w:r>
            <w:r>
              <w:rPr>
                <w:rFonts w:cs="Times New Roman"/>
                <w:spacing w:val="-40"/>
                <w:sz w:val="21"/>
                <w:szCs w:val="21"/>
              </w:rPr>
              <w:t xml:space="preserve"> </w:t>
            </w:r>
          </w:p>
        </w:tc>
      </w:tr>
    </w:tbl>
    <w:bookmarkEnd w:id="1660"/>
    <w:p w:rsidR="00C645C9" w:rsidRDefault="00F955D9">
      <w:pPr>
        <w:pStyle w:val="3"/>
        <w:adjustRightInd w:val="0"/>
        <w:snapToGrid w:val="0"/>
        <w:spacing w:before="0" w:after="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fldChar w:fldCharType="begin"/>
      </w:r>
      <w:r>
        <w:rPr>
          <w:rFonts w:ascii="Times New Roman" w:hAnsi="Times New Roman" w:cs="Times New Roman" w:hint="eastAsia"/>
          <w:color w:val="auto"/>
          <w:lang w:eastAsia="zh-CN"/>
        </w:rPr>
        <w:instrText xml:space="preserve"> HYPERLINK \l _Toc24975 </w:instrText>
      </w:r>
      <w:r>
        <w:rPr>
          <w:rFonts w:ascii="Times New Roman" w:hAnsi="Times New Roman" w:cs="Times New Roman" w:hint="eastAsia"/>
          <w:color w:val="auto"/>
          <w:lang w:eastAsia="zh-CN"/>
        </w:rPr>
        <w:fldChar w:fldCharType="separate"/>
      </w:r>
      <w:r>
        <w:rPr>
          <w:rFonts w:ascii="Times New Roman" w:hAnsi="Times New Roman" w:cs="Times New Roman" w:hint="eastAsia"/>
          <w:color w:val="auto"/>
          <w:lang w:eastAsia="zh-CN"/>
        </w:rPr>
        <w:t>5.8.2</w:t>
      </w:r>
      <w:r>
        <w:rPr>
          <w:rFonts w:ascii="Times New Roman" w:hAnsi="Times New Roman" w:cs="Times New Roman" w:hint="eastAsia"/>
          <w:color w:val="auto"/>
          <w:lang w:eastAsia="zh-CN"/>
        </w:rPr>
        <w:t>环境风险潜势初判</w:t>
      </w:r>
      <w:r>
        <w:rPr>
          <w:rFonts w:ascii="Times New Roman" w:hAnsi="Times New Roman" w:cs="Times New Roman" w:hint="eastAsia"/>
          <w:color w:val="auto"/>
          <w:lang w:eastAsia="zh-CN"/>
        </w:rPr>
        <w:fldChar w:fldCharType="end"/>
      </w:r>
    </w:p>
    <w:p w:rsidR="00C645C9" w:rsidRDefault="00F955D9">
      <w:pPr>
        <w:adjustRightInd w:val="0"/>
        <w:snapToGrid w:val="0"/>
        <w:spacing w:line="360" w:lineRule="auto"/>
        <w:ind w:firstLineChars="200" w:firstLine="480"/>
        <w:outlineLvl w:val="3"/>
        <w:rPr>
          <w:rFonts w:cs="Times New Roman"/>
          <w:bCs/>
          <w:snapToGrid w:val="0"/>
        </w:rPr>
      </w:pPr>
      <w:r>
        <w:rPr>
          <w:rFonts w:cs="Times New Roman" w:hint="eastAsia"/>
          <w:bCs/>
          <w:snapToGrid w:val="0"/>
        </w:rPr>
        <w:t>（</w:t>
      </w:r>
      <w:r>
        <w:rPr>
          <w:rFonts w:cs="Times New Roman" w:hint="eastAsia"/>
          <w:bCs/>
          <w:snapToGrid w:val="0"/>
        </w:rPr>
        <w:t>1</w:t>
      </w:r>
      <w:r>
        <w:rPr>
          <w:rFonts w:cs="Times New Roman" w:hint="eastAsia"/>
          <w:bCs/>
          <w:snapToGrid w:val="0"/>
        </w:rPr>
        <w:t>）</w:t>
      </w:r>
      <w:r>
        <w:rPr>
          <w:rFonts w:cs="Times New Roman" w:hint="eastAsia"/>
          <w:bCs/>
          <w:snapToGrid w:val="0"/>
        </w:rPr>
        <w:t>P</w:t>
      </w:r>
      <w:r>
        <w:rPr>
          <w:rFonts w:cs="Times New Roman" w:hint="eastAsia"/>
          <w:bCs/>
          <w:snapToGrid w:val="0"/>
        </w:rPr>
        <w:t>的分级确定</w:t>
      </w:r>
    </w:p>
    <w:p w:rsidR="00C645C9" w:rsidRDefault="00F955D9">
      <w:pPr>
        <w:adjustRightInd w:val="0"/>
        <w:snapToGrid w:val="0"/>
        <w:spacing w:line="360" w:lineRule="auto"/>
        <w:ind w:firstLineChars="200" w:firstLine="480"/>
        <w:rPr>
          <w:rFonts w:cs="Times New Roman"/>
          <w:b/>
          <w:snapToGrid w:val="0"/>
          <w:sz w:val="28"/>
          <w:szCs w:val="21"/>
        </w:rPr>
      </w:pPr>
      <w:r>
        <w:rPr>
          <w:rFonts w:cs="Times New Roman"/>
        </w:rPr>
        <w:t>根据《建设项目环境风险评价技术导则》（</w:t>
      </w:r>
      <w:r>
        <w:rPr>
          <w:rFonts w:cs="Times New Roman"/>
        </w:rPr>
        <w:t>HJ169-2018</w:t>
      </w:r>
      <w:r>
        <w:rPr>
          <w:rFonts w:cs="Times New Roman"/>
        </w:rPr>
        <w:t>），定量分析危险物质数量与临界量的比值（</w:t>
      </w:r>
      <w:r>
        <w:rPr>
          <w:rFonts w:cs="Times New Roman"/>
        </w:rPr>
        <w:t>Q</w:t>
      </w:r>
      <w:r>
        <w:rPr>
          <w:rFonts w:cs="Times New Roman"/>
        </w:rPr>
        <w:t>），见表</w:t>
      </w:r>
      <w:r>
        <w:rPr>
          <w:rFonts w:cs="Times New Roman" w:hint="eastAsia"/>
        </w:rPr>
        <w:t>5.8-2</w:t>
      </w:r>
      <w:r>
        <w:rPr>
          <w:rFonts w:cs="Times New Roman" w:hint="eastAsia"/>
        </w:rPr>
        <w:t>。</w:t>
      </w:r>
    </w:p>
    <w:p w:rsidR="00C645C9" w:rsidRDefault="00F955D9">
      <w:pPr>
        <w:pStyle w:val="af7"/>
        <w:ind w:left="-6" w:firstLine="561"/>
        <w:outlineLvl w:val="9"/>
        <w:rPr>
          <w:bCs/>
          <w:szCs w:val="21"/>
        </w:rPr>
      </w:pPr>
      <w:bookmarkStart w:id="1670" w:name="OLE_LINK672"/>
      <w:r>
        <w:rPr>
          <w:bCs/>
          <w:szCs w:val="21"/>
        </w:rPr>
        <w:t>表</w:t>
      </w:r>
      <w:bookmarkStart w:id="1671" w:name="OLE_LINK671"/>
      <w:r>
        <w:rPr>
          <w:rFonts w:hint="eastAsia"/>
          <w:bCs/>
          <w:szCs w:val="21"/>
        </w:rPr>
        <w:t>5.8-</w:t>
      </w:r>
      <w:bookmarkEnd w:id="1671"/>
      <w:r>
        <w:rPr>
          <w:rFonts w:hint="eastAsia"/>
          <w:bCs/>
          <w:szCs w:val="21"/>
        </w:rPr>
        <w:t>2</w:t>
      </w:r>
      <w:r>
        <w:rPr>
          <w:rFonts w:hint="eastAsia"/>
          <w:bCs/>
          <w:szCs w:val="21"/>
        </w:rPr>
        <w:t xml:space="preserve">   </w:t>
      </w:r>
      <w:r>
        <w:rPr>
          <w:bCs/>
          <w:szCs w:val="21"/>
        </w:rPr>
        <w:t>本</w:t>
      </w:r>
      <w:r>
        <w:rPr>
          <w:rFonts w:hint="eastAsia"/>
          <w:bCs/>
          <w:szCs w:val="21"/>
        </w:rPr>
        <w:t>工程</w:t>
      </w:r>
      <w:r>
        <w:rPr>
          <w:bCs/>
          <w:szCs w:val="21"/>
        </w:rPr>
        <w:t>重大危险源辨识一览表</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5666"/>
        <w:gridCol w:w="1237"/>
        <w:gridCol w:w="1000"/>
      </w:tblGrid>
      <w:tr w:rsidR="00C645C9">
        <w:trPr>
          <w:jc w:val="center"/>
        </w:trPr>
        <w:tc>
          <w:tcPr>
            <w:tcW w:w="3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序号</w:t>
            </w:r>
          </w:p>
        </w:tc>
        <w:tc>
          <w:tcPr>
            <w:tcW w:w="32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物质名称</w:t>
            </w:r>
          </w:p>
        </w:tc>
        <w:tc>
          <w:tcPr>
            <w:tcW w:w="720"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CAS</w:t>
            </w:r>
            <w:r>
              <w:rPr>
                <w:rFonts w:cs="Times New Roman"/>
                <w:sz w:val="21"/>
                <w:szCs w:val="21"/>
              </w:rPr>
              <w:t>号</w:t>
            </w:r>
          </w:p>
        </w:tc>
        <w:tc>
          <w:tcPr>
            <w:tcW w:w="582"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临界量</w:t>
            </w:r>
            <w:r>
              <w:rPr>
                <w:rFonts w:cs="Times New Roman"/>
                <w:sz w:val="21"/>
                <w:szCs w:val="21"/>
              </w:rPr>
              <w:t>/t</w:t>
            </w:r>
          </w:p>
        </w:tc>
      </w:tr>
      <w:tr w:rsidR="00C645C9">
        <w:trPr>
          <w:jc w:val="center"/>
        </w:trPr>
        <w:tc>
          <w:tcPr>
            <w:tcW w:w="3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1</w:t>
            </w:r>
          </w:p>
        </w:tc>
        <w:tc>
          <w:tcPr>
            <w:tcW w:w="32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rPr>
            </w:pPr>
            <w:r>
              <w:rPr>
                <w:rFonts w:cs="Times New Roman"/>
                <w:sz w:val="21"/>
                <w:szCs w:val="21"/>
              </w:rPr>
              <w:t>油类物质</w:t>
            </w:r>
            <w:r>
              <w:rPr>
                <w:rFonts w:cs="Times New Roman" w:hint="eastAsia"/>
                <w:sz w:val="21"/>
                <w:szCs w:val="21"/>
              </w:rPr>
              <w:t>（</w:t>
            </w:r>
            <w:r>
              <w:rPr>
                <w:rFonts w:cs="Times New Roman"/>
                <w:sz w:val="21"/>
                <w:szCs w:val="21"/>
              </w:rPr>
              <w:t>矿物油类，如石油、汽油、柴油等；生物柴油等</w:t>
            </w:r>
            <w:r>
              <w:rPr>
                <w:rFonts w:cs="Times New Roman" w:hint="eastAsia"/>
                <w:sz w:val="21"/>
                <w:szCs w:val="21"/>
              </w:rPr>
              <w:t>）</w:t>
            </w:r>
          </w:p>
        </w:tc>
        <w:tc>
          <w:tcPr>
            <w:tcW w:w="720"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rPr>
            </w:pPr>
            <w:r>
              <w:rPr>
                <w:rFonts w:cs="Times New Roman"/>
                <w:sz w:val="21"/>
                <w:szCs w:val="21"/>
              </w:rPr>
              <w:t>/</w:t>
            </w:r>
          </w:p>
        </w:tc>
        <w:tc>
          <w:tcPr>
            <w:tcW w:w="582"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rPr>
            </w:pPr>
            <w:r>
              <w:rPr>
                <w:rFonts w:cs="Times New Roman"/>
                <w:sz w:val="21"/>
                <w:szCs w:val="21"/>
              </w:rPr>
              <w:t>2500</w:t>
            </w:r>
          </w:p>
        </w:tc>
      </w:tr>
      <w:tr w:rsidR="00C645C9">
        <w:trPr>
          <w:jc w:val="center"/>
        </w:trPr>
        <w:tc>
          <w:tcPr>
            <w:tcW w:w="3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sz w:val="21"/>
                <w:szCs w:val="21"/>
              </w:rPr>
            </w:pPr>
            <w:r>
              <w:rPr>
                <w:rFonts w:cs="Times New Roman"/>
                <w:sz w:val="21"/>
                <w:szCs w:val="21"/>
              </w:rPr>
              <w:t>2</w:t>
            </w:r>
          </w:p>
        </w:tc>
        <w:tc>
          <w:tcPr>
            <w:tcW w:w="3298"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hint="eastAsia"/>
                <w:sz w:val="21"/>
                <w:szCs w:val="21"/>
              </w:rPr>
              <w:t>天然气</w:t>
            </w:r>
            <w:r>
              <w:rPr>
                <w:rFonts w:cs="Times New Roman" w:hint="eastAsia"/>
                <w:sz w:val="21"/>
                <w:szCs w:val="21"/>
              </w:rPr>
              <w:t>（</w:t>
            </w:r>
            <w:r>
              <w:rPr>
                <w:rFonts w:cs="Times New Roman" w:hint="eastAsia"/>
                <w:sz w:val="21"/>
                <w:szCs w:val="21"/>
              </w:rPr>
              <w:t>甲烷</w:t>
            </w:r>
            <w:r>
              <w:rPr>
                <w:rFonts w:cs="Times New Roman" w:hint="eastAsia"/>
                <w:sz w:val="21"/>
                <w:szCs w:val="21"/>
              </w:rPr>
              <w:t>）</w:t>
            </w:r>
          </w:p>
        </w:tc>
        <w:tc>
          <w:tcPr>
            <w:tcW w:w="7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b"/>
            </w:pPr>
            <w:r>
              <w:t>74-82-8</w:t>
            </w:r>
          </w:p>
        </w:tc>
        <w:tc>
          <w:tcPr>
            <w:tcW w:w="582" w:type="pct"/>
            <w:tcBorders>
              <w:top w:val="single" w:sz="4" w:space="0" w:color="auto"/>
              <w:left w:val="single" w:sz="4" w:space="0" w:color="auto"/>
              <w:bottom w:val="single" w:sz="4" w:space="0" w:color="auto"/>
              <w:right w:val="single" w:sz="4" w:space="0" w:color="auto"/>
            </w:tcBorders>
            <w:vAlign w:val="center"/>
          </w:tcPr>
          <w:p w:rsidR="00C645C9" w:rsidRDefault="00F955D9">
            <w:pPr>
              <w:widowControl w:val="0"/>
              <w:adjustRightInd w:val="0"/>
              <w:snapToGrid w:val="0"/>
              <w:jc w:val="center"/>
              <w:rPr>
                <w:rFonts w:cs="Times New Roman"/>
                <w:kern w:val="2"/>
                <w:sz w:val="21"/>
                <w:szCs w:val="21"/>
              </w:rPr>
            </w:pPr>
            <w:r>
              <w:rPr>
                <w:rFonts w:cs="Times New Roman"/>
                <w:sz w:val="21"/>
                <w:szCs w:val="21"/>
              </w:rPr>
              <w:t>10</w:t>
            </w:r>
          </w:p>
        </w:tc>
      </w:tr>
    </w:tbl>
    <w:bookmarkEnd w:id="1670"/>
    <w:p w:rsidR="00C645C9" w:rsidRDefault="00F955D9">
      <w:pPr>
        <w:adjustRightInd w:val="0"/>
        <w:snapToGrid w:val="0"/>
        <w:spacing w:line="360" w:lineRule="auto"/>
        <w:ind w:firstLineChars="200" w:firstLine="480"/>
        <w:rPr>
          <w:rFonts w:cs="Times New Roman"/>
        </w:rPr>
      </w:pPr>
      <w:r>
        <w:rPr>
          <w:rFonts w:cs="Times New Roman"/>
        </w:rPr>
        <w:t>根据《建设项目环境风险评价技术导则》（</w:t>
      </w:r>
      <w:r>
        <w:rPr>
          <w:rFonts w:cs="Times New Roman"/>
        </w:rPr>
        <w:t>HJ169-2018</w:t>
      </w:r>
      <w:r>
        <w:rPr>
          <w:rFonts w:cs="Times New Roman"/>
        </w:rPr>
        <w:t>）中的判定方法，当存在多种危险物质时，按照下式计算物质总量与其临界量比值</w:t>
      </w:r>
      <w:r>
        <w:rPr>
          <w:rFonts w:cs="Times New Roman"/>
        </w:rPr>
        <w:t>（</w:t>
      </w:r>
      <w:r>
        <w:rPr>
          <w:rFonts w:cs="Times New Roman"/>
        </w:rPr>
        <w:t>Q</w:t>
      </w:r>
      <w:r>
        <w:rPr>
          <w:rFonts w:cs="Times New Roman"/>
        </w:rPr>
        <w:t>）：</w:t>
      </w:r>
    </w:p>
    <w:p w:rsidR="00C645C9" w:rsidRDefault="00F955D9">
      <w:pPr>
        <w:adjustRightInd w:val="0"/>
        <w:snapToGrid w:val="0"/>
        <w:spacing w:line="360" w:lineRule="auto"/>
        <w:ind w:firstLineChars="200" w:firstLine="480"/>
        <w:jc w:val="center"/>
        <w:rPr>
          <w:rFonts w:cs="Times New Roman"/>
        </w:rPr>
      </w:pPr>
      <w:r>
        <w:rPr>
          <w:rFonts w:cs="Times New Roman"/>
          <w:noProof/>
        </w:rPr>
        <w:drawing>
          <wp:inline distT="0" distB="0" distL="114300" distR="114300">
            <wp:extent cx="1913255" cy="493395"/>
            <wp:effectExtent l="0" t="0" r="10795"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2"/>
                    <a:srcRect r="42390"/>
                    <a:stretch>
                      <a:fillRect/>
                    </a:stretch>
                  </pic:blipFill>
                  <pic:spPr>
                    <a:xfrm>
                      <a:off x="0" y="0"/>
                      <a:ext cx="1913255" cy="493395"/>
                    </a:xfrm>
                    <a:prstGeom prst="rect">
                      <a:avLst/>
                    </a:prstGeom>
                    <a:noFill/>
                    <a:ln>
                      <a:noFill/>
                    </a:ln>
                  </pic:spPr>
                </pic:pic>
              </a:graphicData>
            </a:graphic>
          </wp:inline>
        </w:drawing>
      </w:r>
    </w:p>
    <w:p w:rsidR="00C645C9" w:rsidRDefault="00F955D9">
      <w:pPr>
        <w:adjustRightInd w:val="0"/>
        <w:snapToGrid w:val="0"/>
        <w:spacing w:line="360" w:lineRule="auto"/>
        <w:ind w:firstLineChars="200" w:firstLine="480"/>
        <w:rPr>
          <w:rFonts w:cs="Times New Roman"/>
        </w:rPr>
      </w:pPr>
      <w:r>
        <w:rPr>
          <w:rFonts w:cs="Times New Roman"/>
        </w:rPr>
        <w:t>式中：</w:t>
      </w:r>
      <w:r>
        <w:rPr>
          <w:rFonts w:cs="Times New Roman"/>
        </w:rPr>
        <w:t>q</w:t>
      </w:r>
      <w:r>
        <w:rPr>
          <w:rFonts w:cs="Times New Roman"/>
          <w:vertAlign w:val="subscript"/>
        </w:rPr>
        <w:t>1</w:t>
      </w:r>
      <w:r>
        <w:rPr>
          <w:rFonts w:cs="Times New Roman"/>
        </w:rPr>
        <w:t>，</w:t>
      </w:r>
      <w:r>
        <w:rPr>
          <w:rFonts w:cs="Times New Roman"/>
        </w:rPr>
        <w:t>q</w:t>
      </w:r>
      <w:r>
        <w:rPr>
          <w:rFonts w:cs="Times New Roman"/>
          <w:vertAlign w:val="subscript"/>
        </w:rPr>
        <w:t>2</w:t>
      </w:r>
      <w:r>
        <w:rPr>
          <w:rFonts w:cs="Times New Roman"/>
        </w:rPr>
        <w:t>，</w:t>
      </w:r>
      <w:r>
        <w:rPr>
          <w:rFonts w:cs="Times New Roman"/>
        </w:rPr>
        <w:t>···</w:t>
      </w:r>
      <w:r>
        <w:rPr>
          <w:rFonts w:cs="Times New Roman"/>
        </w:rPr>
        <w:t>，</w:t>
      </w:r>
      <w:r>
        <w:rPr>
          <w:rFonts w:cs="Times New Roman"/>
        </w:rPr>
        <w:t>q</w:t>
      </w:r>
      <w:r>
        <w:rPr>
          <w:rFonts w:cs="Times New Roman"/>
          <w:vertAlign w:val="subscript"/>
        </w:rPr>
        <w:t>n</w:t>
      </w:r>
      <w:bookmarkStart w:id="1672" w:name="OLE_LINK734"/>
      <w:r>
        <w:rPr>
          <w:rFonts w:cs="Times New Roman"/>
          <w:lang w:val="zh-CN"/>
        </w:rPr>
        <w:t>——</w:t>
      </w:r>
      <w:bookmarkEnd w:id="1672"/>
      <w:r>
        <w:rPr>
          <w:rFonts w:cs="Times New Roman"/>
        </w:rPr>
        <w:t>每种危险物质的最大存在总量，</w:t>
      </w:r>
      <w:r>
        <w:rPr>
          <w:rFonts w:cs="Times New Roman"/>
        </w:rPr>
        <w:t>t</w:t>
      </w:r>
      <w:r>
        <w:rPr>
          <w:rFonts w:cs="Times New Roman"/>
        </w:rPr>
        <w:t>；</w:t>
      </w:r>
    </w:p>
    <w:p w:rsidR="00C645C9" w:rsidRDefault="00F955D9">
      <w:pPr>
        <w:adjustRightInd w:val="0"/>
        <w:snapToGrid w:val="0"/>
        <w:spacing w:line="360" w:lineRule="auto"/>
        <w:ind w:firstLineChars="500" w:firstLine="1200"/>
        <w:rPr>
          <w:rFonts w:cs="Times New Roman"/>
        </w:rPr>
      </w:pPr>
      <w:r>
        <w:rPr>
          <w:rFonts w:cs="Times New Roman"/>
        </w:rPr>
        <w:t>Q</w:t>
      </w:r>
      <w:r>
        <w:rPr>
          <w:rFonts w:cs="Times New Roman"/>
          <w:vertAlign w:val="subscript"/>
        </w:rPr>
        <w:t>1</w:t>
      </w:r>
      <w:r>
        <w:rPr>
          <w:rFonts w:cs="Times New Roman"/>
        </w:rPr>
        <w:t>，</w:t>
      </w:r>
      <w:r>
        <w:rPr>
          <w:rFonts w:cs="Times New Roman"/>
        </w:rPr>
        <w:t>Q</w:t>
      </w:r>
      <w:r>
        <w:rPr>
          <w:rFonts w:cs="Times New Roman"/>
          <w:vertAlign w:val="subscript"/>
        </w:rPr>
        <w:t>2</w:t>
      </w:r>
      <w:r>
        <w:rPr>
          <w:rFonts w:cs="Times New Roman"/>
        </w:rPr>
        <w:t>，</w:t>
      </w:r>
      <w:r>
        <w:rPr>
          <w:rFonts w:cs="Times New Roman"/>
        </w:rPr>
        <w:t>···</w:t>
      </w:r>
      <w:r>
        <w:rPr>
          <w:rFonts w:cs="Times New Roman"/>
        </w:rPr>
        <w:t>，</w:t>
      </w:r>
      <w:r>
        <w:rPr>
          <w:rFonts w:cs="Times New Roman"/>
        </w:rPr>
        <w:t>Q</w:t>
      </w:r>
      <w:r>
        <w:rPr>
          <w:rFonts w:cs="Times New Roman"/>
          <w:vertAlign w:val="subscript"/>
        </w:rPr>
        <w:t>n</w:t>
      </w:r>
      <w:r>
        <w:rPr>
          <w:rFonts w:cs="Times New Roman"/>
          <w:lang w:val="zh-CN"/>
        </w:rPr>
        <w:t>——</w:t>
      </w:r>
      <w:r>
        <w:rPr>
          <w:rFonts w:cs="Times New Roman"/>
        </w:rPr>
        <w:t>每种危险物质的临界量，</w:t>
      </w:r>
      <w:r>
        <w:rPr>
          <w:rFonts w:cs="Times New Roman"/>
        </w:rPr>
        <w:t>t</w:t>
      </w:r>
      <w:r>
        <w:rPr>
          <w:rFonts w:cs="Times New Roman" w:hint="eastAsia"/>
        </w:rPr>
        <w:t>。</w:t>
      </w:r>
    </w:p>
    <w:p w:rsidR="00C645C9" w:rsidRDefault="00F955D9">
      <w:pPr>
        <w:adjustRightInd w:val="0"/>
        <w:snapToGrid w:val="0"/>
        <w:spacing w:line="360" w:lineRule="auto"/>
        <w:ind w:firstLineChars="200" w:firstLine="480"/>
        <w:rPr>
          <w:rFonts w:cs="Times New Roman"/>
        </w:rPr>
      </w:pPr>
      <w:r>
        <w:rPr>
          <w:rFonts w:cs="Times New Roman"/>
        </w:rPr>
        <w:t>当</w:t>
      </w:r>
      <w:r>
        <w:rPr>
          <w:rFonts w:cs="Times New Roman"/>
        </w:rPr>
        <w:t>Q&lt;1</w:t>
      </w:r>
      <w:r>
        <w:rPr>
          <w:rFonts w:cs="Times New Roman"/>
        </w:rPr>
        <w:t>时，该项目环境风险潜势为</w:t>
      </w:r>
      <w:r>
        <w:rPr>
          <w:rFonts w:cs="Times New Roman"/>
        </w:rPr>
        <w:t>I</w:t>
      </w:r>
      <w:r>
        <w:rPr>
          <w:rFonts w:cs="Times New Roman" w:hint="eastAsia"/>
        </w:rPr>
        <w:t>。</w:t>
      </w:r>
    </w:p>
    <w:p w:rsidR="00C645C9" w:rsidRDefault="00F955D9">
      <w:pPr>
        <w:adjustRightInd w:val="0"/>
        <w:snapToGrid w:val="0"/>
        <w:spacing w:line="360" w:lineRule="auto"/>
        <w:ind w:firstLineChars="200" w:firstLine="480"/>
        <w:rPr>
          <w:rFonts w:cs="Times New Roman"/>
        </w:rPr>
      </w:pPr>
      <w:r>
        <w:rPr>
          <w:rFonts w:cs="Times New Roman"/>
        </w:rPr>
        <w:lastRenderedPageBreak/>
        <w:t>当</w:t>
      </w:r>
      <w:r>
        <w:rPr>
          <w:rFonts w:cs="Times New Roman"/>
        </w:rPr>
        <w:t>Q≥1</w:t>
      </w:r>
      <w:r>
        <w:rPr>
          <w:rFonts w:cs="Times New Roman"/>
        </w:rPr>
        <w:t>时，将</w:t>
      </w:r>
      <w:r>
        <w:rPr>
          <w:rFonts w:cs="Times New Roman"/>
        </w:rPr>
        <w:t>Q</w:t>
      </w:r>
      <w:r>
        <w:rPr>
          <w:rFonts w:cs="Times New Roman"/>
        </w:rPr>
        <w:t>值划分为：（</w:t>
      </w:r>
      <w:r>
        <w:rPr>
          <w:rFonts w:cs="Times New Roman"/>
        </w:rPr>
        <w:t>1</w:t>
      </w:r>
      <w:r>
        <w:rPr>
          <w:rFonts w:cs="Times New Roman"/>
        </w:rPr>
        <w:t>）</w:t>
      </w:r>
      <w:r>
        <w:rPr>
          <w:rFonts w:cs="Times New Roman"/>
        </w:rPr>
        <w:t>1≤Q&lt;10</w:t>
      </w:r>
      <w:r>
        <w:rPr>
          <w:rFonts w:cs="Times New Roman"/>
        </w:rPr>
        <w:t>；（</w:t>
      </w:r>
      <w:r>
        <w:rPr>
          <w:rFonts w:cs="Times New Roman"/>
        </w:rPr>
        <w:t>2</w:t>
      </w:r>
      <w:r>
        <w:rPr>
          <w:rFonts w:cs="Times New Roman"/>
        </w:rPr>
        <w:t>）</w:t>
      </w:r>
      <w:r>
        <w:rPr>
          <w:rFonts w:cs="Times New Roman"/>
        </w:rPr>
        <w:t>10≤Q&lt;100</w:t>
      </w:r>
      <w:r>
        <w:rPr>
          <w:rFonts w:cs="Times New Roman"/>
        </w:rPr>
        <w:t>；（</w:t>
      </w:r>
      <w:r>
        <w:rPr>
          <w:rFonts w:cs="Times New Roman"/>
        </w:rPr>
        <w:t>3</w:t>
      </w:r>
      <w:r>
        <w:rPr>
          <w:rFonts w:cs="Times New Roman"/>
        </w:rPr>
        <w:t>）</w:t>
      </w:r>
      <w:r>
        <w:rPr>
          <w:rFonts w:cs="Times New Roman"/>
        </w:rPr>
        <w:t>Q≥100</w:t>
      </w:r>
      <w:r>
        <w:rPr>
          <w:rFonts w:cs="Times New Roman"/>
        </w:rPr>
        <w:t>。</w:t>
      </w:r>
      <w:r>
        <w:rPr>
          <w:rFonts w:cs="Times New Roman"/>
        </w:rPr>
        <w:t>本工程危险物质辨识结果详见表</w:t>
      </w:r>
      <w:r>
        <w:rPr>
          <w:rFonts w:cs="Times New Roman"/>
        </w:rPr>
        <w:t>5.8-</w:t>
      </w:r>
      <w:r>
        <w:rPr>
          <w:rFonts w:cs="Times New Roman" w:hint="eastAsia"/>
        </w:rPr>
        <w:t>3</w:t>
      </w:r>
      <w:r>
        <w:rPr>
          <w:rFonts w:cs="Times New Roman"/>
        </w:rPr>
        <w:t>。</w:t>
      </w:r>
    </w:p>
    <w:p w:rsidR="00C645C9" w:rsidRDefault="00F955D9">
      <w:pPr>
        <w:pStyle w:val="af7"/>
        <w:ind w:left="-6" w:firstLine="561"/>
        <w:outlineLvl w:val="9"/>
        <w:rPr>
          <w:bCs/>
          <w:szCs w:val="21"/>
        </w:rPr>
      </w:pPr>
      <w:r>
        <w:rPr>
          <w:bCs/>
          <w:szCs w:val="21"/>
        </w:rPr>
        <w:t>表</w:t>
      </w:r>
      <w:bookmarkStart w:id="1673" w:name="OLE_LINK712"/>
      <w:r>
        <w:rPr>
          <w:bCs/>
          <w:szCs w:val="21"/>
        </w:rPr>
        <w:t>5.8-</w:t>
      </w:r>
      <w:bookmarkEnd w:id="1673"/>
      <w:r>
        <w:rPr>
          <w:rFonts w:hint="eastAsia"/>
          <w:bCs/>
          <w:szCs w:val="21"/>
        </w:rPr>
        <w:t>3</w:t>
      </w:r>
      <w:r>
        <w:rPr>
          <w:bCs/>
          <w:szCs w:val="21"/>
        </w:rPr>
        <w:t xml:space="preserve">   </w:t>
      </w:r>
      <w:r>
        <w:rPr>
          <w:bCs/>
          <w:szCs w:val="21"/>
        </w:rPr>
        <w:t>本工程风险单元</w:t>
      </w:r>
      <w:r>
        <w:rPr>
          <w:bCs/>
          <w:szCs w:val="21"/>
        </w:rPr>
        <w:t>Q</w:t>
      </w:r>
      <w:r>
        <w:rPr>
          <w:bCs/>
          <w:szCs w:val="21"/>
        </w:rPr>
        <w:t>值一览表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300"/>
        <w:gridCol w:w="1520"/>
        <w:gridCol w:w="1041"/>
        <w:gridCol w:w="1154"/>
        <w:gridCol w:w="1179"/>
        <w:gridCol w:w="840"/>
        <w:gridCol w:w="994"/>
      </w:tblGrid>
      <w:tr w:rsidR="00C645C9">
        <w:trPr>
          <w:trHeight w:val="600"/>
          <w:jc w:val="center"/>
        </w:trPr>
        <w:tc>
          <w:tcPr>
            <w:tcW w:w="289" w:type="pct"/>
            <w:vAlign w:val="center"/>
          </w:tcPr>
          <w:p w:rsidR="00C645C9" w:rsidRDefault="00F955D9">
            <w:pPr>
              <w:jc w:val="center"/>
              <w:rPr>
                <w:rFonts w:cs="Times New Roman"/>
                <w:sz w:val="21"/>
                <w:szCs w:val="21"/>
              </w:rPr>
            </w:pPr>
            <w:r>
              <w:rPr>
                <w:rFonts w:cs="Times New Roman"/>
                <w:kern w:val="2"/>
                <w:sz w:val="21"/>
                <w:szCs w:val="21"/>
              </w:rPr>
              <w:t>序号</w:t>
            </w:r>
          </w:p>
        </w:tc>
        <w:tc>
          <w:tcPr>
            <w:tcW w:w="762" w:type="pct"/>
            <w:vAlign w:val="center"/>
          </w:tcPr>
          <w:p w:rsidR="00C645C9" w:rsidRDefault="00F955D9">
            <w:pPr>
              <w:jc w:val="center"/>
              <w:rPr>
                <w:rFonts w:cs="Times New Roman"/>
                <w:sz w:val="21"/>
                <w:szCs w:val="21"/>
              </w:rPr>
            </w:pPr>
            <w:r>
              <w:rPr>
                <w:rFonts w:cs="Times New Roman"/>
                <w:kern w:val="2"/>
                <w:sz w:val="21"/>
                <w:szCs w:val="21"/>
              </w:rPr>
              <w:t>风险单元</w:t>
            </w:r>
          </w:p>
        </w:tc>
        <w:tc>
          <w:tcPr>
            <w:tcW w:w="892" w:type="pct"/>
            <w:vAlign w:val="center"/>
          </w:tcPr>
          <w:p w:rsidR="00C645C9" w:rsidRDefault="00F955D9">
            <w:pPr>
              <w:jc w:val="center"/>
              <w:rPr>
                <w:rFonts w:cs="Times New Roman"/>
                <w:sz w:val="21"/>
                <w:szCs w:val="21"/>
              </w:rPr>
            </w:pPr>
            <w:r>
              <w:rPr>
                <w:rFonts w:cs="Times New Roman"/>
                <w:kern w:val="2"/>
                <w:sz w:val="21"/>
                <w:szCs w:val="21"/>
              </w:rPr>
              <w:t>存储单元</w:t>
            </w:r>
          </w:p>
        </w:tc>
        <w:tc>
          <w:tcPr>
            <w:tcW w:w="611" w:type="pct"/>
            <w:vAlign w:val="center"/>
          </w:tcPr>
          <w:p w:rsidR="00C645C9" w:rsidRDefault="00F955D9">
            <w:pPr>
              <w:jc w:val="center"/>
              <w:rPr>
                <w:rFonts w:cs="Times New Roman"/>
                <w:sz w:val="21"/>
                <w:szCs w:val="21"/>
              </w:rPr>
            </w:pPr>
            <w:r>
              <w:rPr>
                <w:rFonts w:cs="Times New Roman"/>
                <w:kern w:val="2"/>
                <w:sz w:val="21"/>
                <w:szCs w:val="21"/>
              </w:rPr>
              <w:t>危险物质名称</w:t>
            </w:r>
          </w:p>
        </w:tc>
        <w:tc>
          <w:tcPr>
            <w:tcW w:w="677" w:type="pct"/>
            <w:vAlign w:val="center"/>
          </w:tcPr>
          <w:p w:rsidR="00C645C9" w:rsidRDefault="00F955D9">
            <w:pPr>
              <w:pStyle w:val="afb"/>
              <w:rPr>
                <w:szCs w:val="21"/>
                <w:lang w:val="zh-CN"/>
              </w:rPr>
            </w:pPr>
            <w:r>
              <w:rPr>
                <w:szCs w:val="21"/>
                <w:lang w:val="zh-CN"/>
              </w:rPr>
              <w:t>CAS</w:t>
            </w:r>
            <w:r>
              <w:rPr>
                <w:szCs w:val="21"/>
                <w:lang w:val="zh-CN"/>
              </w:rPr>
              <w:t>号</w:t>
            </w:r>
          </w:p>
        </w:tc>
        <w:tc>
          <w:tcPr>
            <w:tcW w:w="692" w:type="pct"/>
            <w:vAlign w:val="center"/>
          </w:tcPr>
          <w:p w:rsidR="00C645C9" w:rsidRDefault="00F955D9">
            <w:pPr>
              <w:pStyle w:val="afb"/>
              <w:rPr>
                <w:szCs w:val="21"/>
                <w:lang w:val="zh-CN"/>
              </w:rPr>
            </w:pPr>
            <w:r>
              <w:rPr>
                <w:szCs w:val="21"/>
                <w:lang w:val="zh-CN"/>
              </w:rPr>
              <w:t>最大存在总量</w:t>
            </w:r>
            <w:r>
              <w:rPr>
                <w:szCs w:val="21"/>
                <w:lang w:val="zh-CN"/>
              </w:rPr>
              <w:t>q</w:t>
            </w:r>
            <w:r>
              <w:rPr>
                <w:szCs w:val="21"/>
                <w:vertAlign w:val="subscript"/>
                <w:lang w:val="zh-CN"/>
              </w:rPr>
              <w:t>n</w:t>
            </w:r>
            <w:r>
              <w:rPr>
                <w:szCs w:val="21"/>
                <w:lang w:val="zh-CN"/>
              </w:rPr>
              <w:t>/t</w:t>
            </w:r>
          </w:p>
        </w:tc>
        <w:tc>
          <w:tcPr>
            <w:tcW w:w="491" w:type="pct"/>
            <w:vAlign w:val="center"/>
          </w:tcPr>
          <w:p w:rsidR="00C645C9" w:rsidRDefault="00F955D9">
            <w:pPr>
              <w:pStyle w:val="afb"/>
              <w:rPr>
                <w:szCs w:val="21"/>
                <w:lang w:val="zh-CN"/>
              </w:rPr>
            </w:pPr>
            <w:r>
              <w:rPr>
                <w:szCs w:val="21"/>
                <w:lang w:val="zh-CN"/>
              </w:rPr>
              <w:t>临界量</w:t>
            </w:r>
            <w:r>
              <w:rPr>
                <w:szCs w:val="21"/>
                <w:lang w:val="zh-CN"/>
              </w:rPr>
              <w:t>Q</w:t>
            </w:r>
            <w:r>
              <w:rPr>
                <w:szCs w:val="21"/>
                <w:vertAlign w:val="subscript"/>
                <w:lang w:val="zh-CN"/>
              </w:rPr>
              <w:t>n</w:t>
            </w:r>
            <w:r>
              <w:rPr>
                <w:szCs w:val="21"/>
                <w:lang w:val="zh-CN"/>
              </w:rPr>
              <w:t>/t</w:t>
            </w:r>
          </w:p>
        </w:tc>
        <w:tc>
          <w:tcPr>
            <w:tcW w:w="583" w:type="pct"/>
            <w:vAlign w:val="center"/>
          </w:tcPr>
          <w:p w:rsidR="00C645C9" w:rsidRDefault="00F955D9">
            <w:pPr>
              <w:pStyle w:val="afb"/>
              <w:rPr>
                <w:szCs w:val="21"/>
                <w:lang w:val="zh-CN"/>
              </w:rPr>
            </w:pPr>
            <w:r>
              <w:rPr>
                <w:szCs w:val="21"/>
                <w:lang w:val="zh-CN"/>
              </w:rPr>
              <w:t>该种危险物质</w:t>
            </w:r>
            <w:r>
              <w:rPr>
                <w:szCs w:val="21"/>
                <w:lang w:val="zh-CN"/>
              </w:rPr>
              <w:t>Q</w:t>
            </w:r>
            <w:r>
              <w:rPr>
                <w:szCs w:val="21"/>
                <w:lang w:val="zh-CN"/>
              </w:rPr>
              <w:t>值</w:t>
            </w:r>
          </w:p>
        </w:tc>
      </w:tr>
      <w:tr w:rsidR="00C645C9">
        <w:trPr>
          <w:trHeight w:val="378"/>
          <w:jc w:val="center"/>
        </w:trPr>
        <w:tc>
          <w:tcPr>
            <w:tcW w:w="289" w:type="pct"/>
            <w:vMerge w:val="restart"/>
            <w:vAlign w:val="center"/>
          </w:tcPr>
          <w:p w:rsidR="00C645C9" w:rsidRDefault="00F955D9">
            <w:pPr>
              <w:jc w:val="center"/>
              <w:rPr>
                <w:rFonts w:cs="Times New Roman"/>
                <w:kern w:val="2"/>
                <w:sz w:val="21"/>
                <w:szCs w:val="21"/>
              </w:rPr>
            </w:pPr>
            <w:bookmarkStart w:id="1674" w:name="OLE_LINK999" w:colFirst="5" w:colLast="5"/>
            <w:bookmarkStart w:id="1675" w:name="OLE_LINK364" w:colFirst="6" w:colLast="6"/>
            <w:bookmarkStart w:id="1676" w:name="OLE_LINK1000" w:colFirst="7" w:colLast="7"/>
            <w:r>
              <w:rPr>
                <w:rFonts w:cs="Times New Roman"/>
                <w:kern w:val="2"/>
                <w:sz w:val="21"/>
                <w:szCs w:val="21"/>
              </w:rPr>
              <w:t>1</w:t>
            </w:r>
          </w:p>
        </w:tc>
        <w:tc>
          <w:tcPr>
            <w:tcW w:w="762" w:type="pct"/>
            <w:vMerge w:val="restart"/>
            <w:vAlign w:val="center"/>
          </w:tcPr>
          <w:p w:rsidR="00C645C9" w:rsidRDefault="00F955D9">
            <w:pPr>
              <w:jc w:val="center"/>
              <w:rPr>
                <w:rFonts w:cs="Times New Roman"/>
                <w:kern w:val="2"/>
                <w:sz w:val="21"/>
                <w:szCs w:val="21"/>
              </w:rPr>
            </w:pPr>
            <w:r>
              <w:rPr>
                <w:rFonts w:cs="Times New Roman"/>
                <w:kern w:val="2"/>
                <w:sz w:val="21"/>
                <w:szCs w:val="21"/>
              </w:rPr>
              <w:t>井场工艺装置区</w:t>
            </w:r>
          </w:p>
        </w:tc>
        <w:tc>
          <w:tcPr>
            <w:tcW w:w="892" w:type="pct"/>
            <w:vMerge w:val="restart"/>
            <w:vAlign w:val="center"/>
          </w:tcPr>
          <w:p w:rsidR="00C645C9" w:rsidRDefault="00F955D9">
            <w:pPr>
              <w:adjustRightInd w:val="0"/>
              <w:snapToGrid w:val="0"/>
              <w:jc w:val="center"/>
              <w:rPr>
                <w:rFonts w:cs="Times New Roman"/>
                <w:kern w:val="2"/>
                <w:sz w:val="21"/>
                <w:szCs w:val="21"/>
              </w:rPr>
            </w:pPr>
            <w:r>
              <w:rPr>
                <w:rFonts w:cs="Times New Roman"/>
                <w:sz w:val="21"/>
                <w:szCs w:val="21"/>
              </w:rPr>
              <w:t>进站分离器</w:t>
            </w:r>
          </w:p>
        </w:tc>
        <w:tc>
          <w:tcPr>
            <w:tcW w:w="611" w:type="pct"/>
            <w:vAlign w:val="center"/>
          </w:tcPr>
          <w:p w:rsidR="00C645C9" w:rsidRDefault="00F955D9">
            <w:pPr>
              <w:jc w:val="center"/>
              <w:rPr>
                <w:rFonts w:cs="Times New Roman"/>
                <w:kern w:val="2"/>
                <w:sz w:val="21"/>
                <w:szCs w:val="21"/>
              </w:rPr>
            </w:pPr>
            <w:r>
              <w:rPr>
                <w:rFonts w:cs="Times New Roman"/>
                <w:kern w:val="2"/>
                <w:sz w:val="21"/>
                <w:szCs w:val="21"/>
              </w:rPr>
              <w:t>凝析油</w:t>
            </w:r>
          </w:p>
        </w:tc>
        <w:tc>
          <w:tcPr>
            <w:tcW w:w="677" w:type="pct"/>
            <w:vAlign w:val="center"/>
          </w:tcPr>
          <w:p w:rsidR="00C645C9" w:rsidRDefault="00F955D9">
            <w:pPr>
              <w:jc w:val="center"/>
              <w:rPr>
                <w:rFonts w:cs="Times New Roman"/>
                <w:kern w:val="24"/>
                <w:sz w:val="21"/>
                <w:szCs w:val="21"/>
              </w:rPr>
            </w:pPr>
            <w:r>
              <w:rPr>
                <w:rFonts w:cs="Times New Roman"/>
                <w:kern w:val="24"/>
                <w:sz w:val="21"/>
                <w:szCs w:val="21"/>
              </w:rPr>
              <w:t>-</w:t>
            </w:r>
          </w:p>
        </w:tc>
        <w:tc>
          <w:tcPr>
            <w:tcW w:w="692" w:type="pct"/>
            <w:vAlign w:val="center"/>
          </w:tcPr>
          <w:p w:rsidR="00C645C9" w:rsidRDefault="00F955D9">
            <w:pPr>
              <w:jc w:val="center"/>
              <w:rPr>
                <w:rFonts w:cs="Times New Roman"/>
                <w:kern w:val="24"/>
                <w:sz w:val="21"/>
                <w:szCs w:val="21"/>
              </w:rPr>
            </w:pPr>
            <w:r>
              <w:rPr>
                <w:rFonts w:cs="Times New Roman"/>
                <w:kern w:val="24"/>
                <w:sz w:val="21"/>
                <w:szCs w:val="21"/>
              </w:rPr>
              <w:t>6.089</w:t>
            </w:r>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2500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0.00</w:t>
            </w:r>
            <w:r>
              <w:rPr>
                <w:rFonts w:cs="Times New Roman"/>
                <w:sz w:val="21"/>
                <w:szCs w:val="21"/>
                <w:lang w:bidi="ar"/>
              </w:rPr>
              <w:t>2</w:t>
            </w:r>
          </w:p>
        </w:tc>
      </w:tr>
      <w:tr w:rsidR="00C645C9">
        <w:trPr>
          <w:trHeight w:val="378"/>
          <w:jc w:val="center"/>
        </w:trPr>
        <w:tc>
          <w:tcPr>
            <w:tcW w:w="289" w:type="pct"/>
            <w:vMerge/>
            <w:vAlign w:val="center"/>
          </w:tcPr>
          <w:p w:rsidR="00C645C9" w:rsidRDefault="00C645C9">
            <w:pPr>
              <w:jc w:val="center"/>
              <w:rPr>
                <w:rFonts w:cs="Times New Roman"/>
                <w:kern w:val="2"/>
                <w:sz w:val="21"/>
                <w:szCs w:val="21"/>
              </w:rPr>
            </w:pPr>
          </w:p>
        </w:tc>
        <w:tc>
          <w:tcPr>
            <w:tcW w:w="762" w:type="pct"/>
            <w:vMerge/>
            <w:vAlign w:val="center"/>
          </w:tcPr>
          <w:p w:rsidR="00C645C9" w:rsidRDefault="00C645C9">
            <w:pPr>
              <w:jc w:val="center"/>
              <w:rPr>
                <w:rFonts w:cs="Times New Roman"/>
                <w:kern w:val="2"/>
                <w:sz w:val="21"/>
                <w:szCs w:val="21"/>
              </w:rPr>
            </w:pPr>
          </w:p>
        </w:tc>
        <w:tc>
          <w:tcPr>
            <w:tcW w:w="892" w:type="pct"/>
            <w:vMerge/>
            <w:vAlign w:val="center"/>
          </w:tcPr>
          <w:p w:rsidR="00C645C9" w:rsidRDefault="00C645C9">
            <w:pPr>
              <w:jc w:val="center"/>
              <w:rPr>
                <w:rFonts w:cs="Times New Roman"/>
                <w:sz w:val="21"/>
                <w:szCs w:val="21"/>
              </w:rPr>
            </w:pPr>
          </w:p>
        </w:tc>
        <w:tc>
          <w:tcPr>
            <w:tcW w:w="611" w:type="pct"/>
            <w:vAlign w:val="center"/>
          </w:tcPr>
          <w:p w:rsidR="00C645C9" w:rsidRDefault="00F955D9">
            <w:pPr>
              <w:jc w:val="center"/>
              <w:rPr>
                <w:rFonts w:cs="Times New Roman"/>
                <w:kern w:val="2"/>
                <w:sz w:val="21"/>
                <w:szCs w:val="21"/>
              </w:rPr>
            </w:pPr>
            <w:r>
              <w:rPr>
                <w:rFonts w:cs="Times New Roman"/>
                <w:kern w:val="2"/>
                <w:sz w:val="21"/>
                <w:szCs w:val="21"/>
              </w:rPr>
              <w:t>天然气</w:t>
            </w:r>
          </w:p>
        </w:tc>
        <w:tc>
          <w:tcPr>
            <w:tcW w:w="677" w:type="pct"/>
            <w:vAlign w:val="center"/>
          </w:tcPr>
          <w:p w:rsidR="00C645C9" w:rsidRDefault="00F955D9">
            <w:pPr>
              <w:jc w:val="center"/>
              <w:rPr>
                <w:rFonts w:cs="Times New Roman"/>
                <w:kern w:val="24"/>
                <w:sz w:val="21"/>
                <w:szCs w:val="21"/>
              </w:rPr>
            </w:pPr>
            <w:bookmarkStart w:id="1677" w:name="OLE_LINK702"/>
            <w:r>
              <w:rPr>
                <w:rFonts w:cs="Times New Roman"/>
                <w:sz w:val="21"/>
                <w:szCs w:val="21"/>
                <w:lang w:bidi="ar"/>
              </w:rPr>
              <w:t>74-82-8</w:t>
            </w:r>
            <w:bookmarkEnd w:id="1677"/>
          </w:p>
        </w:tc>
        <w:tc>
          <w:tcPr>
            <w:tcW w:w="692" w:type="pct"/>
            <w:vAlign w:val="center"/>
          </w:tcPr>
          <w:p w:rsidR="00C645C9" w:rsidRDefault="00F955D9">
            <w:pPr>
              <w:jc w:val="center"/>
              <w:rPr>
                <w:rFonts w:cs="Times New Roman"/>
                <w:kern w:val="24"/>
                <w:sz w:val="21"/>
                <w:szCs w:val="21"/>
              </w:rPr>
            </w:pPr>
            <w:bookmarkStart w:id="1678" w:name="OLE_LINK1005"/>
            <w:r>
              <w:rPr>
                <w:rFonts w:cs="Times New Roman"/>
                <w:kern w:val="24"/>
                <w:sz w:val="21"/>
                <w:szCs w:val="21"/>
              </w:rPr>
              <w:t>0.12</w:t>
            </w:r>
            <w:bookmarkEnd w:id="1678"/>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10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0.012</w:t>
            </w:r>
          </w:p>
        </w:tc>
      </w:tr>
      <w:tr w:rsidR="00C645C9">
        <w:trPr>
          <w:trHeight w:val="472"/>
          <w:jc w:val="center"/>
        </w:trPr>
        <w:tc>
          <w:tcPr>
            <w:tcW w:w="289" w:type="pct"/>
            <w:vAlign w:val="center"/>
          </w:tcPr>
          <w:p w:rsidR="00C645C9" w:rsidRDefault="00F955D9">
            <w:pPr>
              <w:jc w:val="center"/>
              <w:rPr>
                <w:rFonts w:cs="Times New Roman"/>
                <w:kern w:val="2"/>
                <w:sz w:val="21"/>
                <w:szCs w:val="21"/>
              </w:rPr>
            </w:pPr>
            <w:r>
              <w:rPr>
                <w:rFonts w:cs="Times New Roman" w:hint="eastAsia"/>
                <w:kern w:val="2"/>
                <w:sz w:val="21"/>
                <w:szCs w:val="21"/>
              </w:rPr>
              <w:t>2</w:t>
            </w:r>
          </w:p>
        </w:tc>
        <w:tc>
          <w:tcPr>
            <w:tcW w:w="762" w:type="pct"/>
            <w:vMerge/>
            <w:vAlign w:val="center"/>
          </w:tcPr>
          <w:p w:rsidR="00C645C9" w:rsidRDefault="00C645C9">
            <w:pPr>
              <w:jc w:val="center"/>
              <w:rPr>
                <w:rFonts w:cs="Times New Roman"/>
                <w:kern w:val="2"/>
                <w:sz w:val="21"/>
                <w:szCs w:val="21"/>
              </w:rPr>
            </w:pPr>
          </w:p>
        </w:tc>
        <w:tc>
          <w:tcPr>
            <w:tcW w:w="892" w:type="pct"/>
            <w:vAlign w:val="center"/>
          </w:tcPr>
          <w:p w:rsidR="00C645C9" w:rsidRDefault="00F955D9">
            <w:pPr>
              <w:adjustRightInd w:val="0"/>
              <w:snapToGrid w:val="0"/>
              <w:jc w:val="center"/>
              <w:rPr>
                <w:rFonts w:cs="Times New Roman"/>
                <w:kern w:val="2"/>
                <w:sz w:val="21"/>
                <w:szCs w:val="21"/>
              </w:rPr>
            </w:pPr>
            <w:r>
              <w:rPr>
                <w:rFonts w:cs="Times New Roman"/>
                <w:spacing w:val="-3"/>
                <w:sz w:val="21"/>
                <w:szCs w:val="21"/>
              </w:rPr>
              <w:t>高压分离器</w:t>
            </w:r>
          </w:p>
        </w:tc>
        <w:tc>
          <w:tcPr>
            <w:tcW w:w="611" w:type="pct"/>
            <w:vAlign w:val="center"/>
          </w:tcPr>
          <w:p w:rsidR="00C645C9" w:rsidRDefault="00F955D9">
            <w:pPr>
              <w:jc w:val="center"/>
              <w:rPr>
                <w:rFonts w:cs="Times New Roman"/>
                <w:kern w:val="2"/>
                <w:sz w:val="21"/>
                <w:szCs w:val="21"/>
              </w:rPr>
            </w:pPr>
            <w:r>
              <w:rPr>
                <w:rFonts w:cs="Times New Roman"/>
                <w:kern w:val="2"/>
                <w:sz w:val="21"/>
                <w:szCs w:val="21"/>
              </w:rPr>
              <w:t>凝析油</w:t>
            </w:r>
          </w:p>
        </w:tc>
        <w:tc>
          <w:tcPr>
            <w:tcW w:w="677" w:type="pct"/>
            <w:vAlign w:val="center"/>
          </w:tcPr>
          <w:p w:rsidR="00C645C9" w:rsidRDefault="00F955D9">
            <w:pPr>
              <w:jc w:val="center"/>
              <w:rPr>
                <w:rFonts w:cs="Times New Roman"/>
                <w:kern w:val="24"/>
                <w:sz w:val="21"/>
                <w:szCs w:val="21"/>
              </w:rPr>
            </w:pPr>
            <w:r>
              <w:rPr>
                <w:rFonts w:cs="Times New Roman"/>
                <w:kern w:val="24"/>
                <w:sz w:val="21"/>
                <w:szCs w:val="21"/>
              </w:rPr>
              <w:t>-</w:t>
            </w:r>
          </w:p>
        </w:tc>
        <w:tc>
          <w:tcPr>
            <w:tcW w:w="692" w:type="pct"/>
            <w:vAlign w:val="center"/>
          </w:tcPr>
          <w:p w:rsidR="00C645C9" w:rsidRDefault="00F955D9">
            <w:pPr>
              <w:jc w:val="center"/>
              <w:rPr>
                <w:rFonts w:cs="Times New Roman"/>
                <w:kern w:val="24"/>
                <w:sz w:val="21"/>
                <w:szCs w:val="21"/>
              </w:rPr>
            </w:pPr>
            <w:bookmarkStart w:id="1679" w:name="OLE_LINK1003"/>
            <w:r>
              <w:rPr>
                <w:rFonts w:cs="Times New Roman"/>
                <w:kern w:val="24"/>
                <w:sz w:val="21"/>
                <w:szCs w:val="21"/>
              </w:rPr>
              <w:t>6.089</w:t>
            </w:r>
            <w:bookmarkEnd w:id="1679"/>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2500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0.002</w:t>
            </w:r>
          </w:p>
        </w:tc>
      </w:tr>
      <w:tr w:rsidR="00C645C9">
        <w:trPr>
          <w:trHeight w:val="518"/>
          <w:jc w:val="center"/>
        </w:trPr>
        <w:tc>
          <w:tcPr>
            <w:tcW w:w="289" w:type="pct"/>
            <w:vAlign w:val="center"/>
          </w:tcPr>
          <w:p w:rsidR="00C645C9" w:rsidRDefault="00F955D9">
            <w:pPr>
              <w:jc w:val="center"/>
              <w:rPr>
                <w:rFonts w:cs="Times New Roman"/>
                <w:kern w:val="2"/>
                <w:sz w:val="21"/>
                <w:szCs w:val="21"/>
              </w:rPr>
            </w:pPr>
            <w:bookmarkStart w:id="1680" w:name="OLE_LINK1318" w:colFirst="5" w:colLast="7"/>
            <w:bookmarkStart w:id="1681" w:name="OLE_LINK1006" w:colFirst="5" w:colLast="5"/>
            <w:r>
              <w:rPr>
                <w:rFonts w:cs="Times New Roman" w:hint="eastAsia"/>
                <w:kern w:val="2"/>
                <w:sz w:val="21"/>
                <w:szCs w:val="21"/>
              </w:rPr>
              <w:t>3</w:t>
            </w:r>
          </w:p>
        </w:tc>
        <w:tc>
          <w:tcPr>
            <w:tcW w:w="762" w:type="pct"/>
            <w:vMerge/>
            <w:vAlign w:val="center"/>
          </w:tcPr>
          <w:p w:rsidR="00C645C9" w:rsidRDefault="00C645C9">
            <w:pPr>
              <w:jc w:val="center"/>
              <w:rPr>
                <w:rFonts w:cs="Times New Roman"/>
                <w:sz w:val="21"/>
                <w:szCs w:val="21"/>
              </w:rPr>
            </w:pPr>
          </w:p>
        </w:tc>
        <w:tc>
          <w:tcPr>
            <w:tcW w:w="892" w:type="pct"/>
            <w:vAlign w:val="center"/>
          </w:tcPr>
          <w:p w:rsidR="00C645C9" w:rsidRDefault="00F955D9">
            <w:pPr>
              <w:adjustRightInd w:val="0"/>
              <w:snapToGrid w:val="0"/>
              <w:jc w:val="center"/>
              <w:rPr>
                <w:rFonts w:cs="Times New Roman"/>
                <w:sz w:val="21"/>
                <w:szCs w:val="21"/>
              </w:rPr>
            </w:pPr>
            <w:r>
              <w:rPr>
                <w:rFonts w:cs="Times New Roman"/>
                <w:spacing w:val="-3"/>
                <w:sz w:val="21"/>
                <w:szCs w:val="21"/>
              </w:rPr>
              <w:t>闪蒸分离器</w:t>
            </w:r>
          </w:p>
        </w:tc>
        <w:tc>
          <w:tcPr>
            <w:tcW w:w="611" w:type="pct"/>
            <w:vAlign w:val="center"/>
          </w:tcPr>
          <w:p w:rsidR="00C645C9" w:rsidRDefault="00F955D9">
            <w:pPr>
              <w:adjustRightInd w:val="0"/>
              <w:snapToGrid w:val="0"/>
              <w:jc w:val="center"/>
              <w:rPr>
                <w:rFonts w:cs="Times New Roman"/>
                <w:sz w:val="21"/>
                <w:szCs w:val="21"/>
              </w:rPr>
            </w:pPr>
            <w:r>
              <w:rPr>
                <w:rFonts w:cs="Times New Roman"/>
                <w:kern w:val="2"/>
                <w:sz w:val="21"/>
                <w:szCs w:val="21"/>
              </w:rPr>
              <w:t>天然气</w:t>
            </w:r>
          </w:p>
        </w:tc>
        <w:tc>
          <w:tcPr>
            <w:tcW w:w="677" w:type="pct"/>
            <w:vAlign w:val="center"/>
          </w:tcPr>
          <w:p w:rsidR="00C645C9" w:rsidRDefault="00F955D9">
            <w:pPr>
              <w:jc w:val="center"/>
              <w:rPr>
                <w:rFonts w:cs="Times New Roman"/>
                <w:kern w:val="24"/>
                <w:sz w:val="21"/>
                <w:szCs w:val="21"/>
              </w:rPr>
            </w:pPr>
            <w:bookmarkStart w:id="1682" w:name="OLE_LINK1317"/>
            <w:r>
              <w:rPr>
                <w:rFonts w:cs="Times New Roman"/>
                <w:sz w:val="21"/>
                <w:szCs w:val="21"/>
                <w:lang w:bidi="ar"/>
              </w:rPr>
              <w:t>74-82-8</w:t>
            </w:r>
            <w:bookmarkEnd w:id="1682"/>
          </w:p>
        </w:tc>
        <w:tc>
          <w:tcPr>
            <w:tcW w:w="692" w:type="pct"/>
            <w:vAlign w:val="center"/>
          </w:tcPr>
          <w:p w:rsidR="00C645C9" w:rsidRDefault="00F955D9">
            <w:pPr>
              <w:jc w:val="center"/>
              <w:rPr>
                <w:rFonts w:cs="Times New Roman"/>
                <w:kern w:val="24"/>
                <w:sz w:val="21"/>
                <w:szCs w:val="21"/>
              </w:rPr>
            </w:pPr>
            <w:bookmarkStart w:id="1683" w:name="OLE_LINK1319"/>
            <w:r>
              <w:rPr>
                <w:rFonts w:cs="Times New Roman"/>
                <w:kern w:val="24"/>
                <w:sz w:val="21"/>
                <w:szCs w:val="21"/>
              </w:rPr>
              <w:t>0.0</w:t>
            </w:r>
            <w:r>
              <w:rPr>
                <w:rFonts w:cs="Times New Roman" w:hint="eastAsia"/>
                <w:kern w:val="24"/>
                <w:sz w:val="21"/>
                <w:szCs w:val="21"/>
              </w:rPr>
              <w:t>09</w:t>
            </w:r>
            <w:bookmarkEnd w:id="1683"/>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10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0.00</w:t>
            </w:r>
            <w:r>
              <w:rPr>
                <w:rFonts w:cs="Times New Roman" w:hint="eastAsia"/>
                <w:sz w:val="21"/>
                <w:szCs w:val="21"/>
                <w:lang w:bidi="ar"/>
              </w:rPr>
              <w:t>1</w:t>
            </w:r>
          </w:p>
        </w:tc>
      </w:tr>
      <w:tr w:rsidR="00C645C9">
        <w:trPr>
          <w:trHeight w:val="518"/>
          <w:jc w:val="center"/>
        </w:trPr>
        <w:tc>
          <w:tcPr>
            <w:tcW w:w="289" w:type="pct"/>
            <w:vAlign w:val="center"/>
          </w:tcPr>
          <w:p w:rsidR="00C645C9" w:rsidRDefault="00F955D9">
            <w:pPr>
              <w:jc w:val="center"/>
              <w:rPr>
                <w:rFonts w:cs="Times New Roman"/>
                <w:kern w:val="2"/>
                <w:sz w:val="21"/>
                <w:szCs w:val="21"/>
              </w:rPr>
            </w:pPr>
            <w:bookmarkStart w:id="1684" w:name="OLE_LINK1320" w:colFirst="5" w:colLast="5"/>
            <w:bookmarkStart w:id="1685" w:name="OLE_LINK708" w:colFirst="4" w:colLast="7"/>
            <w:bookmarkStart w:id="1686" w:name="OLE_LINK1004" w:colFirst="5" w:colLast="5"/>
            <w:bookmarkEnd w:id="1680"/>
            <w:r>
              <w:rPr>
                <w:rFonts w:cs="Times New Roman" w:hint="eastAsia"/>
                <w:kern w:val="2"/>
                <w:sz w:val="21"/>
                <w:szCs w:val="21"/>
              </w:rPr>
              <w:t>4</w:t>
            </w:r>
          </w:p>
        </w:tc>
        <w:tc>
          <w:tcPr>
            <w:tcW w:w="762" w:type="pct"/>
            <w:vMerge/>
            <w:vAlign w:val="center"/>
          </w:tcPr>
          <w:p w:rsidR="00C645C9" w:rsidRDefault="00C645C9">
            <w:pPr>
              <w:jc w:val="center"/>
              <w:rPr>
                <w:rFonts w:cs="Times New Roman"/>
                <w:sz w:val="21"/>
                <w:szCs w:val="21"/>
              </w:rPr>
            </w:pPr>
          </w:p>
        </w:tc>
        <w:tc>
          <w:tcPr>
            <w:tcW w:w="892" w:type="pct"/>
            <w:vAlign w:val="center"/>
          </w:tcPr>
          <w:p w:rsidR="00C645C9" w:rsidRDefault="00F955D9">
            <w:pPr>
              <w:adjustRightInd w:val="0"/>
              <w:snapToGrid w:val="0"/>
              <w:jc w:val="center"/>
              <w:rPr>
                <w:rFonts w:cs="Times New Roman"/>
                <w:spacing w:val="-3"/>
                <w:sz w:val="21"/>
                <w:szCs w:val="21"/>
              </w:rPr>
            </w:pPr>
            <w:bookmarkStart w:id="1687" w:name="OLE_LINK1321"/>
            <w:r>
              <w:rPr>
                <w:rFonts w:cs="Times New Roman"/>
                <w:spacing w:val="-3"/>
                <w:sz w:val="21"/>
                <w:szCs w:val="21"/>
              </w:rPr>
              <w:t>过滤分离器橇</w:t>
            </w:r>
            <w:bookmarkEnd w:id="1687"/>
          </w:p>
        </w:tc>
        <w:tc>
          <w:tcPr>
            <w:tcW w:w="611"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天然气</w:t>
            </w:r>
          </w:p>
        </w:tc>
        <w:tc>
          <w:tcPr>
            <w:tcW w:w="677" w:type="pct"/>
            <w:vAlign w:val="center"/>
          </w:tcPr>
          <w:p w:rsidR="00C645C9" w:rsidRDefault="00F955D9">
            <w:pPr>
              <w:adjustRightInd w:val="0"/>
              <w:snapToGrid w:val="0"/>
              <w:jc w:val="center"/>
              <w:rPr>
                <w:rFonts w:cs="Times New Roman"/>
                <w:sz w:val="21"/>
                <w:szCs w:val="21"/>
                <w:lang w:bidi="ar"/>
              </w:rPr>
            </w:pPr>
            <w:r>
              <w:rPr>
                <w:rFonts w:cs="Times New Roman"/>
                <w:sz w:val="21"/>
                <w:szCs w:val="21"/>
                <w:lang w:bidi="ar"/>
              </w:rPr>
              <w:t>74-82-8</w:t>
            </w:r>
          </w:p>
        </w:tc>
        <w:tc>
          <w:tcPr>
            <w:tcW w:w="692" w:type="pct"/>
            <w:vAlign w:val="center"/>
          </w:tcPr>
          <w:p w:rsidR="00C645C9" w:rsidRDefault="00F955D9">
            <w:pPr>
              <w:jc w:val="center"/>
              <w:rPr>
                <w:rFonts w:cs="Times New Roman"/>
                <w:kern w:val="24"/>
                <w:sz w:val="21"/>
                <w:szCs w:val="21"/>
              </w:rPr>
            </w:pPr>
            <w:r>
              <w:rPr>
                <w:rFonts w:cs="Times New Roman"/>
                <w:kern w:val="24"/>
                <w:sz w:val="21"/>
                <w:szCs w:val="21"/>
              </w:rPr>
              <w:t>0.0</w:t>
            </w:r>
            <w:r>
              <w:rPr>
                <w:rFonts w:cs="Times New Roman" w:hint="eastAsia"/>
                <w:kern w:val="24"/>
                <w:sz w:val="21"/>
                <w:szCs w:val="21"/>
              </w:rPr>
              <w:t>05</w:t>
            </w:r>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10</w:t>
            </w:r>
          </w:p>
        </w:tc>
        <w:tc>
          <w:tcPr>
            <w:tcW w:w="583" w:type="pct"/>
            <w:vAlign w:val="center"/>
          </w:tcPr>
          <w:p w:rsidR="00C645C9" w:rsidRDefault="00F955D9">
            <w:pPr>
              <w:jc w:val="center"/>
              <w:textAlignment w:val="center"/>
              <w:rPr>
                <w:rFonts w:cs="Times New Roman"/>
                <w:sz w:val="21"/>
                <w:szCs w:val="21"/>
                <w:lang w:bidi="ar"/>
              </w:rPr>
            </w:pPr>
            <w:r>
              <w:rPr>
                <w:rFonts w:cs="Times New Roman"/>
                <w:sz w:val="21"/>
                <w:szCs w:val="21"/>
                <w:lang w:bidi="ar"/>
              </w:rPr>
              <w:t>0.00</w:t>
            </w:r>
            <w:r>
              <w:rPr>
                <w:rFonts w:cs="Times New Roman" w:hint="eastAsia"/>
                <w:sz w:val="21"/>
                <w:szCs w:val="21"/>
                <w:lang w:bidi="ar"/>
              </w:rPr>
              <w:t>05</w:t>
            </w:r>
          </w:p>
        </w:tc>
      </w:tr>
      <w:tr w:rsidR="00C645C9">
        <w:trPr>
          <w:trHeight w:val="518"/>
          <w:jc w:val="center"/>
        </w:trPr>
        <w:tc>
          <w:tcPr>
            <w:tcW w:w="289" w:type="pct"/>
            <w:vAlign w:val="center"/>
          </w:tcPr>
          <w:p w:rsidR="00C645C9" w:rsidRDefault="00F955D9">
            <w:pPr>
              <w:jc w:val="center"/>
              <w:rPr>
                <w:rFonts w:cs="Times New Roman"/>
                <w:kern w:val="2"/>
                <w:sz w:val="21"/>
                <w:szCs w:val="21"/>
              </w:rPr>
            </w:pPr>
            <w:r>
              <w:rPr>
                <w:rFonts w:cs="Times New Roman" w:hint="eastAsia"/>
                <w:kern w:val="2"/>
                <w:sz w:val="21"/>
                <w:szCs w:val="21"/>
              </w:rPr>
              <w:t>5</w:t>
            </w:r>
          </w:p>
        </w:tc>
        <w:tc>
          <w:tcPr>
            <w:tcW w:w="762" w:type="pct"/>
            <w:vMerge/>
            <w:vAlign w:val="center"/>
          </w:tcPr>
          <w:p w:rsidR="00C645C9" w:rsidRDefault="00C645C9">
            <w:pPr>
              <w:jc w:val="center"/>
              <w:rPr>
                <w:rFonts w:cs="Times New Roman"/>
                <w:sz w:val="21"/>
                <w:szCs w:val="21"/>
              </w:rPr>
            </w:pPr>
          </w:p>
        </w:tc>
        <w:tc>
          <w:tcPr>
            <w:tcW w:w="892" w:type="pct"/>
            <w:vAlign w:val="center"/>
          </w:tcPr>
          <w:p w:rsidR="00C645C9" w:rsidRDefault="00F955D9">
            <w:pPr>
              <w:adjustRightInd w:val="0"/>
              <w:snapToGrid w:val="0"/>
              <w:jc w:val="center"/>
              <w:rPr>
                <w:rFonts w:cs="Times New Roman"/>
                <w:spacing w:val="-3"/>
                <w:sz w:val="21"/>
                <w:szCs w:val="21"/>
              </w:rPr>
            </w:pPr>
            <w:bookmarkStart w:id="1688" w:name="OLE_LINK1322"/>
            <w:r>
              <w:rPr>
                <w:rFonts w:cs="Times New Roman"/>
                <w:spacing w:val="-3"/>
                <w:sz w:val="21"/>
                <w:szCs w:val="21"/>
              </w:rPr>
              <w:t>低温分离橇</w:t>
            </w:r>
            <w:bookmarkEnd w:id="1688"/>
          </w:p>
        </w:tc>
        <w:tc>
          <w:tcPr>
            <w:tcW w:w="611"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天然气</w:t>
            </w:r>
          </w:p>
        </w:tc>
        <w:tc>
          <w:tcPr>
            <w:tcW w:w="677" w:type="pct"/>
            <w:vAlign w:val="center"/>
          </w:tcPr>
          <w:p w:rsidR="00C645C9" w:rsidRDefault="00F955D9">
            <w:pPr>
              <w:adjustRightInd w:val="0"/>
              <w:snapToGrid w:val="0"/>
              <w:jc w:val="center"/>
              <w:rPr>
                <w:rFonts w:cs="Times New Roman"/>
                <w:sz w:val="21"/>
                <w:szCs w:val="21"/>
                <w:lang w:bidi="ar"/>
              </w:rPr>
            </w:pPr>
            <w:r>
              <w:rPr>
                <w:rFonts w:cs="Times New Roman"/>
                <w:sz w:val="21"/>
                <w:szCs w:val="21"/>
                <w:lang w:bidi="ar"/>
              </w:rPr>
              <w:t>74-82-8</w:t>
            </w:r>
          </w:p>
        </w:tc>
        <w:tc>
          <w:tcPr>
            <w:tcW w:w="692" w:type="pct"/>
            <w:vAlign w:val="center"/>
          </w:tcPr>
          <w:p w:rsidR="00C645C9" w:rsidRDefault="00F955D9">
            <w:pPr>
              <w:jc w:val="center"/>
              <w:rPr>
                <w:rFonts w:cs="Times New Roman"/>
                <w:kern w:val="24"/>
                <w:sz w:val="21"/>
                <w:szCs w:val="21"/>
              </w:rPr>
            </w:pPr>
            <w:r>
              <w:rPr>
                <w:rFonts w:cs="Times New Roman"/>
                <w:kern w:val="24"/>
                <w:sz w:val="21"/>
                <w:szCs w:val="21"/>
              </w:rPr>
              <w:t>0.0</w:t>
            </w:r>
            <w:r>
              <w:rPr>
                <w:rFonts w:cs="Times New Roman" w:hint="eastAsia"/>
                <w:kern w:val="24"/>
                <w:sz w:val="21"/>
                <w:szCs w:val="21"/>
              </w:rPr>
              <w:t>05</w:t>
            </w:r>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10</w:t>
            </w:r>
          </w:p>
        </w:tc>
        <w:tc>
          <w:tcPr>
            <w:tcW w:w="583" w:type="pct"/>
            <w:vAlign w:val="center"/>
          </w:tcPr>
          <w:p w:rsidR="00C645C9" w:rsidRDefault="00F955D9">
            <w:pPr>
              <w:jc w:val="center"/>
              <w:textAlignment w:val="center"/>
              <w:rPr>
                <w:rFonts w:cs="Times New Roman"/>
                <w:sz w:val="21"/>
                <w:szCs w:val="21"/>
                <w:lang w:bidi="ar"/>
              </w:rPr>
            </w:pPr>
            <w:r>
              <w:rPr>
                <w:rFonts w:cs="Times New Roman"/>
                <w:sz w:val="21"/>
                <w:szCs w:val="21"/>
                <w:lang w:bidi="ar"/>
              </w:rPr>
              <w:t>0.00</w:t>
            </w:r>
            <w:r>
              <w:rPr>
                <w:rFonts w:cs="Times New Roman" w:hint="eastAsia"/>
                <w:sz w:val="21"/>
                <w:szCs w:val="21"/>
                <w:lang w:bidi="ar"/>
              </w:rPr>
              <w:t>05</w:t>
            </w:r>
          </w:p>
        </w:tc>
      </w:tr>
      <w:bookmarkEnd w:id="1681"/>
      <w:bookmarkEnd w:id="1684"/>
      <w:tr w:rsidR="00C645C9">
        <w:trPr>
          <w:trHeight w:val="518"/>
          <w:jc w:val="center"/>
        </w:trPr>
        <w:tc>
          <w:tcPr>
            <w:tcW w:w="289" w:type="pct"/>
            <w:vAlign w:val="center"/>
          </w:tcPr>
          <w:p w:rsidR="00C645C9" w:rsidRDefault="00F955D9">
            <w:pPr>
              <w:jc w:val="center"/>
              <w:rPr>
                <w:rFonts w:cs="Times New Roman"/>
                <w:kern w:val="2"/>
                <w:sz w:val="21"/>
                <w:szCs w:val="21"/>
              </w:rPr>
            </w:pPr>
            <w:r>
              <w:rPr>
                <w:rFonts w:cs="Times New Roman" w:hint="eastAsia"/>
                <w:kern w:val="2"/>
                <w:sz w:val="21"/>
                <w:szCs w:val="21"/>
              </w:rPr>
              <w:t>6</w:t>
            </w:r>
          </w:p>
        </w:tc>
        <w:tc>
          <w:tcPr>
            <w:tcW w:w="762" w:type="pct"/>
            <w:vMerge w:val="restart"/>
            <w:vAlign w:val="center"/>
          </w:tcPr>
          <w:p w:rsidR="00C645C9" w:rsidRDefault="00F955D9">
            <w:pPr>
              <w:jc w:val="center"/>
              <w:rPr>
                <w:rFonts w:cs="Times New Roman"/>
                <w:sz w:val="21"/>
                <w:szCs w:val="21"/>
              </w:rPr>
            </w:pPr>
            <w:r>
              <w:rPr>
                <w:rFonts w:cs="Times New Roman"/>
                <w:sz w:val="21"/>
                <w:szCs w:val="21"/>
              </w:rPr>
              <w:t>井场储罐区</w:t>
            </w:r>
          </w:p>
        </w:tc>
        <w:tc>
          <w:tcPr>
            <w:tcW w:w="892" w:type="pct"/>
            <w:vAlign w:val="center"/>
          </w:tcPr>
          <w:p w:rsidR="00C645C9" w:rsidRDefault="00F955D9">
            <w:pPr>
              <w:adjustRightInd w:val="0"/>
              <w:snapToGrid w:val="0"/>
              <w:jc w:val="center"/>
              <w:rPr>
                <w:rFonts w:cs="Times New Roman"/>
                <w:sz w:val="21"/>
                <w:szCs w:val="21"/>
              </w:rPr>
            </w:pPr>
            <w:bookmarkStart w:id="1689" w:name="OLE_LINK1324"/>
            <w:r>
              <w:rPr>
                <w:rFonts w:cs="Times New Roman"/>
                <w:sz w:val="21"/>
                <w:szCs w:val="21"/>
              </w:rPr>
              <w:t>4</w:t>
            </w:r>
            <w:bookmarkEnd w:id="1689"/>
            <w:r>
              <w:rPr>
                <w:rFonts w:cs="Times New Roman" w:hint="eastAsia"/>
                <w:sz w:val="21"/>
                <w:szCs w:val="21"/>
              </w:rPr>
              <w:t>座</w:t>
            </w:r>
            <w:r>
              <w:rPr>
                <w:rFonts w:cs="Times New Roman"/>
                <w:sz w:val="21"/>
                <w:szCs w:val="21"/>
              </w:rPr>
              <w:t>8</w:t>
            </w:r>
            <w:r>
              <w:rPr>
                <w:rFonts w:cs="Times New Roman"/>
                <w:sz w:val="21"/>
                <w:szCs w:val="21"/>
              </w:rPr>
              <w:t>0m</w:t>
            </w:r>
            <w:r>
              <w:rPr>
                <w:rFonts w:cs="Times New Roman"/>
                <w:sz w:val="21"/>
                <w:szCs w:val="21"/>
                <w:vertAlign w:val="superscript"/>
              </w:rPr>
              <w:t>3</w:t>
            </w:r>
            <w:r>
              <w:rPr>
                <w:rFonts w:cs="Times New Roman"/>
                <w:spacing w:val="-7"/>
                <w:sz w:val="21"/>
                <w:szCs w:val="21"/>
              </w:rPr>
              <w:t>多功能储集器</w:t>
            </w:r>
            <w:r>
              <w:rPr>
                <w:rFonts w:cs="Times New Roman"/>
                <w:spacing w:val="-43"/>
                <w:sz w:val="21"/>
                <w:szCs w:val="21"/>
              </w:rPr>
              <w:t xml:space="preserve"> </w:t>
            </w:r>
          </w:p>
        </w:tc>
        <w:tc>
          <w:tcPr>
            <w:tcW w:w="611" w:type="pct"/>
            <w:vAlign w:val="center"/>
          </w:tcPr>
          <w:p w:rsidR="00C645C9" w:rsidRDefault="00F955D9">
            <w:pPr>
              <w:adjustRightInd w:val="0"/>
              <w:snapToGrid w:val="0"/>
              <w:jc w:val="center"/>
              <w:rPr>
                <w:rFonts w:cs="Times New Roman"/>
                <w:kern w:val="2"/>
                <w:sz w:val="21"/>
                <w:szCs w:val="21"/>
              </w:rPr>
            </w:pPr>
            <w:bookmarkStart w:id="1690" w:name="OLE_LINK707"/>
            <w:r>
              <w:rPr>
                <w:rFonts w:cs="Times New Roman"/>
                <w:kern w:val="2"/>
                <w:sz w:val="21"/>
                <w:szCs w:val="21"/>
              </w:rPr>
              <w:t>凝析油</w:t>
            </w:r>
            <w:bookmarkEnd w:id="1690"/>
          </w:p>
        </w:tc>
        <w:tc>
          <w:tcPr>
            <w:tcW w:w="677" w:type="pct"/>
            <w:vAlign w:val="center"/>
          </w:tcPr>
          <w:p w:rsidR="00C645C9" w:rsidRDefault="00F955D9">
            <w:pPr>
              <w:jc w:val="center"/>
              <w:rPr>
                <w:rFonts w:cs="Times New Roman"/>
                <w:kern w:val="24"/>
                <w:sz w:val="21"/>
                <w:szCs w:val="21"/>
              </w:rPr>
            </w:pPr>
            <w:r>
              <w:rPr>
                <w:rFonts w:cs="Times New Roman"/>
                <w:kern w:val="24"/>
                <w:sz w:val="21"/>
                <w:szCs w:val="21"/>
              </w:rPr>
              <w:t>-</w:t>
            </w:r>
          </w:p>
        </w:tc>
        <w:tc>
          <w:tcPr>
            <w:tcW w:w="692" w:type="pct"/>
            <w:vAlign w:val="center"/>
          </w:tcPr>
          <w:p w:rsidR="00C645C9" w:rsidRDefault="00F955D9">
            <w:pPr>
              <w:jc w:val="center"/>
              <w:rPr>
                <w:rFonts w:cs="Times New Roman"/>
                <w:kern w:val="24"/>
                <w:sz w:val="21"/>
                <w:szCs w:val="21"/>
              </w:rPr>
            </w:pPr>
            <w:r>
              <w:rPr>
                <w:rFonts w:cs="Times New Roman"/>
                <w:kern w:val="24"/>
                <w:sz w:val="21"/>
                <w:szCs w:val="21"/>
              </w:rPr>
              <w:t>250.336</w:t>
            </w:r>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2500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w:t>
            </w:r>
            <w:r>
              <w:rPr>
                <w:rFonts w:cs="Times New Roman"/>
                <w:sz w:val="21"/>
                <w:szCs w:val="21"/>
                <w:lang w:bidi="ar"/>
              </w:rPr>
              <w:t>1</w:t>
            </w:r>
          </w:p>
        </w:tc>
      </w:tr>
      <w:bookmarkEnd w:id="1685"/>
      <w:tr w:rsidR="00C645C9">
        <w:trPr>
          <w:trHeight w:val="518"/>
          <w:jc w:val="center"/>
        </w:trPr>
        <w:tc>
          <w:tcPr>
            <w:tcW w:w="289" w:type="pct"/>
            <w:vAlign w:val="center"/>
          </w:tcPr>
          <w:p w:rsidR="00C645C9" w:rsidRDefault="00F955D9">
            <w:pPr>
              <w:jc w:val="center"/>
              <w:rPr>
                <w:rFonts w:cs="Times New Roman"/>
                <w:kern w:val="2"/>
                <w:sz w:val="21"/>
                <w:szCs w:val="21"/>
              </w:rPr>
            </w:pPr>
            <w:r>
              <w:rPr>
                <w:rFonts w:cs="Times New Roman" w:hint="eastAsia"/>
                <w:kern w:val="2"/>
                <w:sz w:val="21"/>
                <w:szCs w:val="21"/>
              </w:rPr>
              <w:t>7</w:t>
            </w:r>
          </w:p>
        </w:tc>
        <w:tc>
          <w:tcPr>
            <w:tcW w:w="762" w:type="pct"/>
            <w:vMerge/>
            <w:vAlign w:val="center"/>
          </w:tcPr>
          <w:p w:rsidR="00C645C9" w:rsidRDefault="00C645C9">
            <w:pPr>
              <w:jc w:val="center"/>
              <w:rPr>
                <w:rFonts w:cs="Times New Roman"/>
                <w:sz w:val="21"/>
                <w:szCs w:val="21"/>
              </w:rPr>
            </w:pPr>
          </w:p>
        </w:tc>
        <w:tc>
          <w:tcPr>
            <w:tcW w:w="892" w:type="pct"/>
            <w:vAlign w:val="center"/>
          </w:tcPr>
          <w:p w:rsidR="00C645C9" w:rsidRDefault="00F955D9">
            <w:pPr>
              <w:adjustRightInd w:val="0"/>
              <w:snapToGrid w:val="0"/>
              <w:jc w:val="center"/>
              <w:rPr>
                <w:rFonts w:cs="Times New Roman"/>
                <w:spacing w:val="-7"/>
                <w:sz w:val="21"/>
                <w:szCs w:val="21"/>
              </w:rPr>
            </w:pPr>
            <w:bookmarkStart w:id="1691" w:name="OLE_LINK709"/>
            <w:r>
              <w:rPr>
                <w:rFonts w:cs="Times New Roman" w:hint="eastAsia"/>
                <w:spacing w:val="-7"/>
                <w:sz w:val="21"/>
                <w:szCs w:val="21"/>
              </w:rPr>
              <w:t>2</w:t>
            </w:r>
            <w:r>
              <w:rPr>
                <w:rFonts w:cs="Times New Roman" w:hint="eastAsia"/>
                <w:spacing w:val="-7"/>
                <w:sz w:val="21"/>
                <w:szCs w:val="21"/>
              </w:rPr>
              <w:t>座</w:t>
            </w:r>
            <w:r>
              <w:rPr>
                <w:rFonts w:cs="Times New Roman"/>
                <w:spacing w:val="-7"/>
                <w:sz w:val="21"/>
                <w:szCs w:val="21"/>
              </w:rPr>
              <w:t>混烃储罐</w:t>
            </w:r>
            <w:bookmarkEnd w:id="1691"/>
          </w:p>
        </w:tc>
        <w:tc>
          <w:tcPr>
            <w:tcW w:w="611" w:type="pct"/>
            <w:vAlign w:val="center"/>
          </w:tcPr>
          <w:p w:rsidR="00C645C9" w:rsidRDefault="00F955D9">
            <w:pPr>
              <w:adjustRightInd w:val="0"/>
              <w:snapToGrid w:val="0"/>
              <w:jc w:val="center"/>
              <w:rPr>
                <w:rFonts w:cs="Times New Roman"/>
                <w:kern w:val="2"/>
                <w:sz w:val="21"/>
                <w:szCs w:val="21"/>
              </w:rPr>
            </w:pPr>
            <w:r>
              <w:rPr>
                <w:rFonts w:cs="Times New Roman"/>
                <w:kern w:val="2"/>
                <w:sz w:val="21"/>
                <w:szCs w:val="21"/>
              </w:rPr>
              <w:t>凝析油</w:t>
            </w:r>
          </w:p>
        </w:tc>
        <w:tc>
          <w:tcPr>
            <w:tcW w:w="677" w:type="pct"/>
            <w:vAlign w:val="center"/>
          </w:tcPr>
          <w:p w:rsidR="00C645C9" w:rsidRDefault="00F955D9">
            <w:pPr>
              <w:jc w:val="center"/>
              <w:rPr>
                <w:rFonts w:cs="Times New Roman"/>
                <w:kern w:val="24"/>
                <w:sz w:val="21"/>
                <w:szCs w:val="21"/>
              </w:rPr>
            </w:pPr>
            <w:r>
              <w:rPr>
                <w:rFonts w:cs="Times New Roman"/>
                <w:kern w:val="24"/>
                <w:sz w:val="21"/>
                <w:szCs w:val="21"/>
              </w:rPr>
              <w:t>-</w:t>
            </w:r>
          </w:p>
        </w:tc>
        <w:tc>
          <w:tcPr>
            <w:tcW w:w="692" w:type="pct"/>
            <w:vAlign w:val="center"/>
          </w:tcPr>
          <w:p w:rsidR="00C645C9" w:rsidRDefault="00F955D9">
            <w:pPr>
              <w:jc w:val="center"/>
              <w:rPr>
                <w:rFonts w:cs="Times New Roman"/>
                <w:kern w:val="24"/>
                <w:sz w:val="21"/>
                <w:szCs w:val="21"/>
              </w:rPr>
            </w:pPr>
            <w:r>
              <w:rPr>
                <w:rFonts w:cs="Times New Roman"/>
                <w:kern w:val="24"/>
                <w:sz w:val="21"/>
                <w:szCs w:val="21"/>
              </w:rPr>
              <w:t>15</w:t>
            </w:r>
          </w:p>
        </w:tc>
        <w:tc>
          <w:tcPr>
            <w:tcW w:w="491" w:type="pct"/>
            <w:vAlign w:val="center"/>
          </w:tcPr>
          <w:p w:rsidR="00C645C9" w:rsidRDefault="00F955D9">
            <w:pPr>
              <w:jc w:val="center"/>
              <w:rPr>
                <w:rFonts w:cs="Times New Roman"/>
                <w:kern w:val="24"/>
                <w:sz w:val="21"/>
                <w:szCs w:val="21"/>
              </w:rPr>
            </w:pPr>
            <w:r>
              <w:rPr>
                <w:rFonts w:cs="Times New Roman"/>
                <w:kern w:val="24"/>
                <w:sz w:val="21"/>
                <w:szCs w:val="21"/>
              </w:rPr>
              <w:t>2500</w:t>
            </w:r>
          </w:p>
        </w:tc>
        <w:tc>
          <w:tcPr>
            <w:tcW w:w="583" w:type="pct"/>
            <w:vAlign w:val="center"/>
          </w:tcPr>
          <w:p w:rsidR="00C645C9" w:rsidRDefault="00F955D9">
            <w:pPr>
              <w:jc w:val="center"/>
              <w:textAlignment w:val="center"/>
              <w:rPr>
                <w:rFonts w:cs="Times New Roman"/>
                <w:kern w:val="24"/>
                <w:sz w:val="21"/>
                <w:szCs w:val="21"/>
              </w:rPr>
            </w:pPr>
            <w:r>
              <w:rPr>
                <w:rFonts w:cs="Times New Roman"/>
                <w:sz w:val="21"/>
                <w:szCs w:val="21"/>
                <w:lang w:bidi="ar"/>
              </w:rPr>
              <w:t>0.</w:t>
            </w:r>
            <w:r>
              <w:rPr>
                <w:rFonts w:cs="Times New Roman"/>
                <w:sz w:val="21"/>
                <w:szCs w:val="21"/>
                <w:lang w:bidi="ar"/>
              </w:rPr>
              <w:t>006</w:t>
            </w:r>
          </w:p>
        </w:tc>
      </w:tr>
      <w:bookmarkEnd w:id="1674"/>
      <w:bookmarkEnd w:id="1675"/>
      <w:bookmarkEnd w:id="1676"/>
      <w:bookmarkEnd w:id="1686"/>
      <w:tr w:rsidR="00C645C9">
        <w:trPr>
          <w:trHeight w:val="518"/>
          <w:jc w:val="center"/>
        </w:trPr>
        <w:tc>
          <w:tcPr>
            <w:tcW w:w="4416" w:type="pct"/>
            <w:gridSpan w:val="7"/>
            <w:vAlign w:val="center"/>
          </w:tcPr>
          <w:p w:rsidR="00C645C9" w:rsidRDefault="00F955D9">
            <w:pPr>
              <w:jc w:val="center"/>
              <w:rPr>
                <w:rFonts w:cs="Times New Roman"/>
                <w:kern w:val="24"/>
                <w:sz w:val="21"/>
                <w:szCs w:val="21"/>
              </w:rPr>
            </w:pPr>
            <w:r>
              <w:rPr>
                <w:rFonts w:cs="Times New Roman"/>
                <w:b/>
                <w:bCs/>
                <w:sz w:val="21"/>
                <w:szCs w:val="21"/>
                <w:lang w:eastAsia="en-US"/>
              </w:rPr>
              <w:t>∑Q</w:t>
            </w:r>
          </w:p>
        </w:tc>
        <w:tc>
          <w:tcPr>
            <w:tcW w:w="583" w:type="pct"/>
            <w:vAlign w:val="center"/>
          </w:tcPr>
          <w:p w:rsidR="00C645C9" w:rsidRDefault="00F955D9">
            <w:pPr>
              <w:jc w:val="center"/>
              <w:rPr>
                <w:rFonts w:cs="Times New Roman"/>
                <w:kern w:val="24"/>
                <w:sz w:val="21"/>
                <w:szCs w:val="21"/>
              </w:rPr>
            </w:pPr>
            <w:bookmarkStart w:id="1692" w:name="OLE_LINK1002"/>
            <w:r>
              <w:rPr>
                <w:rFonts w:cs="Times New Roman"/>
                <w:kern w:val="24"/>
                <w:sz w:val="21"/>
                <w:szCs w:val="21"/>
              </w:rPr>
              <w:t>0.124</w:t>
            </w:r>
            <w:bookmarkEnd w:id="1692"/>
          </w:p>
        </w:tc>
      </w:tr>
    </w:tbl>
    <w:p w:rsidR="00C645C9" w:rsidRDefault="00F955D9">
      <w:pPr>
        <w:adjustRightInd w:val="0"/>
        <w:snapToGrid w:val="0"/>
        <w:spacing w:line="360" w:lineRule="auto"/>
        <w:ind w:firstLineChars="200" w:firstLine="480"/>
        <w:rPr>
          <w:rFonts w:cs="Times New Roman"/>
        </w:rPr>
      </w:pPr>
      <w:r>
        <w:rPr>
          <w:rFonts w:cs="Times New Roman"/>
        </w:rPr>
        <w:t>根据上表计算结果，本工程</w:t>
      </w:r>
      <w:r>
        <w:rPr>
          <w:rFonts w:cs="Times New Roman"/>
        </w:rPr>
        <w:t>Q=</w:t>
      </w:r>
      <w:r>
        <w:rPr>
          <w:rFonts w:cs="Times New Roman"/>
        </w:rPr>
        <w:t>0.124</w:t>
      </w:r>
      <w:r>
        <w:rPr>
          <w:rFonts w:cs="Times New Roman"/>
        </w:rPr>
        <w:t>，</w:t>
      </w:r>
      <w:bookmarkStart w:id="1693" w:name="OLE_LINK997"/>
      <w:r>
        <w:rPr>
          <w:rFonts w:cs="Times New Roman"/>
        </w:rPr>
        <w:t>Q</w:t>
      </w:r>
      <w:bookmarkEnd w:id="1693"/>
      <w:r>
        <w:rPr>
          <w:rFonts w:cs="Times New Roman"/>
        </w:rPr>
        <w:t>＜</w:t>
      </w:r>
      <w:r>
        <w:rPr>
          <w:rFonts w:cs="Times New Roman"/>
        </w:rPr>
        <w:t>1</w:t>
      </w:r>
      <w:r>
        <w:rPr>
          <w:rFonts w:cs="Times New Roman"/>
        </w:rPr>
        <w:t>，判断项目风险潜势为</w:t>
      </w:r>
      <w:r>
        <w:rPr>
          <w:rFonts w:cs="Times New Roman"/>
        </w:rPr>
        <w:t>Ⅰ</w:t>
      </w:r>
      <w:r>
        <w:rPr>
          <w:rFonts w:cs="Times New Roman"/>
        </w:rPr>
        <w:t>，根据《建设项目环境风险评价技术导则》（</w:t>
      </w:r>
      <w:r>
        <w:rPr>
          <w:rFonts w:cs="Times New Roman"/>
        </w:rPr>
        <w:t>HJ169-2018</w:t>
      </w:r>
      <w:r>
        <w:rPr>
          <w:rFonts w:cs="Times New Roman"/>
        </w:rPr>
        <w:t>）相关要求，</w:t>
      </w:r>
      <w:r>
        <w:rPr>
          <w:rFonts w:cs="Times New Roman" w:hint="eastAsia"/>
        </w:rPr>
        <w:t>本工程</w:t>
      </w:r>
      <w:bookmarkStart w:id="1694" w:name="OLE_LINK1439"/>
      <w:bookmarkStart w:id="1695" w:name="OLE_LINK1438"/>
      <w:r>
        <w:rPr>
          <w:rFonts w:cs="Times New Roman" w:hint="eastAsia"/>
        </w:rPr>
        <w:t>环境风险评价工作等级为简单分析</w:t>
      </w:r>
      <w:bookmarkEnd w:id="1694"/>
      <w:bookmarkEnd w:id="1695"/>
      <w:r>
        <w:rPr>
          <w:rFonts w:cs="Times New Roman" w:hint="eastAsia"/>
        </w:rPr>
        <w:t>，</w:t>
      </w:r>
      <w:r>
        <w:rPr>
          <w:rFonts w:cs="Times New Roman"/>
        </w:rPr>
        <w:t>本次评价仅对项目可能存在的环境风险进行简单分析。</w:t>
      </w:r>
    </w:p>
    <w:p w:rsidR="00C645C9" w:rsidRDefault="00F955D9">
      <w:pPr>
        <w:adjustRightInd w:val="0"/>
        <w:snapToGrid w:val="0"/>
        <w:spacing w:line="360" w:lineRule="auto"/>
        <w:ind w:firstLineChars="200" w:firstLine="480"/>
        <w:outlineLvl w:val="3"/>
        <w:rPr>
          <w:rFonts w:cs="Times New Roman"/>
          <w:bCs/>
          <w:snapToGrid w:val="0"/>
        </w:rPr>
      </w:pPr>
      <w:bookmarkStart w:id="1696" w:name="OLE_LINK1441"/>
      <w:r>
        <w:rPr>
          <w:rFonts w:cs="Times New Roman" w:hint="eastAsia"/>
          <w:bCs/>
          <w:snapToGrid w:val="0"/>
        </w:rPr>
        <w:t>（</w:t>
      </w:r>
      <w:r>
        <w:rPr>
          <w:rFonts w:cs="Times New Roman" w:hint="eastAsia"/>
          <w:bCs/>
          <w:snapToGrid w:val="0"/>
        </w:rPr>
        <w:t>2</w:t>
      </w:r>
      <w:r>
        <w:rPr>
          <w:rFonts w:cs="Times New Roman" w:hint="eastAsia"/>
          <w:bCs/>
          <w:snapToGrid w:val="0"/>
        </w:rPr>
        <w:t>）环境</w:t>
      </w:r>
      <w:bookmarkStart w:id="1697" w:name="OLE_LINK1464"/>
      <w:r>
        <w:rPr>
          <w:rFonts w:cs="Times New Roman" w:hint="eastAsia"/>
          <w:bCs/>
          <w:snapToGrid w:val="0"/>
        </w:rPr>
        <w:t>敏感</w:t>
      </w:r>
      <w:bookmarkEnd w:id="1697"/>
      <w:r>
        <w:rPr>
          <w:rFonts w:cs="Times New Roman" w:hint="eastAsia"/>
          <w:bCs/>
          <w:snapToGrid w:val="0"/>
        </w:rPr>
        <w:t>目标</w:t>
      </w:r>
    </w:p>
    <w:p w:rsidR="00C645C9" w:rsidRDefault="00F955D9">
      <w:pPr>
        <w:widowControl w:val="0"/>
        <w:adjustRightInd w:val="0"/>
        <w:snapToGrid w:val="0"/>
        <w:spacing w:line="360" w:lineRule="auto"/>
        <w:ind w:firstLineChars="200" w:firstLine="480"/>
        <w:jc w:val="both"/>
        <w:rPr>
          <w:rFonts w:cs="Times New Roman"/>
        </w:rPr>
      </w:pPr>
      <w:r>
        <w:rPr>
          <w:rFonts w:cs="Times New Roman" w:hint="eastAsia"/>
        </w:rPr>
        <w:t>本工程</w:t>
      </w:r>
      <w:bookmarkEnd w:id="1696"/>
      <w:r>
        <w:rPr>
          <w:rFonts w:cs="Times New Roman" w:hint="eastAsia"/>
        </w:rPr>
        <w:t>环境风险评价工作等级为简单分析，</w:t>
      </w:r>
      <w:r>
        <w:rPr>
          <w:rFonts w:cs="Times New Roman"/>
        </w:rPr>
        <w:t>环境风险</w:t>
      </w:r>
      <w:bookmarkStart w:id="1698" w:name="OLE_LINK1440"/>
      <w:r>
        <w:rPr>
          <w:rFonts w:cs="Times New Roman"/>
        </w:rPr>
        <w:t>评价范围</w:t>
      </w:r>
      <w:bookmarkEnd w:id="1698"/>
      <w:r>
        <w:rPr>
          <w:rFonts w:cs="Times New Roman" w:hint="eastAsia"/>
        </w:rPr>
        <w:t>参照大气环境</w:t>
      </w:r>
      <w:r>
        <w:rPr>
          <w:rFonts w:cs="Times New Roman"/>
        </w:rPr>
        <w:t>评价范围</w:t>
      </w:r>
      <w:r>
        <w:rPr>
          <w:rFonts w:cs="Times New Roman" w:hint="eastAsia"/>
        </w:rPr>
        <w:t>，</w:t>
      </w:r>
      <w:r>
        <w:rPr>
          <w:rFonts w:hint="eastAsia"/>
        </w:rPr>
        <w:t>主要环境</w:t>
      </w:r>
      <w:r>
        <w:rPr>
          <w:rFonts w:cs="Times New Roman" w:hint="eastAsia"/>
          <w:bCs/>
          <w:snapToGrid w:val="0"/>
        </w:rPr>
        <w:t>敏感</w:t>
      </w:r>
      <w:r>
        <w:rPr>
          <w:rFonts w:hint="eastAsia"/>
        </w:rPr>
        <w:t>目标为工程周边的</w:t>
      </w:r>
      <w:r>
        <w:rPr>
          <w:rFonts w:hint="eastAsia"/>
        </w:rPr>
        <w:t>村庄，</w:t>
      </w:r>
      <w:r>
        <w:rPr>
          <w:rFonts w:cs="Times New Roman"/>
        </w:rPr>
        <w:t>本工程</w:t>
      </w:r>
      <w:r>
        <w:rPr>
          <w:rFonts w:cs="Times New Roman" w:hint="eastAsia"/>
        </w:rPr>
        <w:t>距离最近的</w:t>
      </w:r>
      <w:r>
        <w:rPr>
          <w:rFonts w:cs="Times New Roman"/>
        </w:rPr>
        <w:t>其兰村</w:t>
      </w:r>
      <w:r>
        <w:rPr>
          <w:rFonts w:cs="Times New Roman" w:hint="eastAsia"/>
        </w:rPr>
        <w:t>0.3km</w:t>
      </w:r>
      <w:r>
        <w:rPr>
          <w:rFonts w:cs="Times New Roman"/>
        </w:rPr>
        <w:t>。</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27368" w:history="1">
        <w:bookmarkStart w:id="1699" w:name="OLE_LINK869"/>
        <w:r>
          <w:rPr>
            <w:rFonts w:ascii="Times New Roman" w:hAnsi="Times New Roman" w:cs="Times New Roman" w:hint="eastAsia"/>
            <w:color w:val="auto"/>
            <w:lang w:eastAsia="zh-CN"/>
          </w:rPr>
          <w:t>5.8.3</w:t>
        </w:r>
        <w:bookmarkEnd w:id="1699"/>
        <w:r>
          <w:rPr>
            <w:rFonts w:ascii="Times New Roman" w:hAnsi="Times New Roman" w:cs="Times New Roman" w:hint="eastAsia"/>
            <w:color w:val="auto"/>
            <w:lang w:eastAsia="zh-CN"/>
          </w:rPr>
          <w:t>环境风险识别</w:t>
        </w:r>
      </w:hyperlink>
    </w:p>
    <w:p w:rsidR="00C645C9" w:rsidRDefault="00F955D9">
      <w:pPr>
        <w:pStyle w:val="af0"/>
        <w:widowControl w:val="0"/>
        <w:adjustRightInd w:val="0"/>
        <w:snapToGrid w:val="0"/>
        <w:spacing w:line="360" w:lineRule="auto"/>
        <w:ind w:firstLineChars="200" w:firstLine="480"/>
        <w:jc w:val="both"/>
        <w:rPr>
          <w:rFonts w:cs="Times New Roman"/>
        </w:rPr>
      </w:pPr>
      <w:r>
        <w:rPr>
          <w:rFonts w:cs="Times New Roman"/>
        </w:rPr>
        <w:t>本</w:t>
      </w:r>
      <w:r>
        <w:rPr>
          <w:rFonts w:cs="Times New Roman" w:hint="eastAsia"/>
        </w:rPr>
        <w:t>工程</w:t>
      </w:r>
      <w:r>
        <w:rPr>
          <w:rFonts w:cs="Times New Roman"/>
        </w:rPr>
        <w:t>涉及的主要风险物质为</w:t>
      </w:r>
      <w:r>
        <w:rPr>
          <w:rFonts w:cs="Times New Roman" w:hint="eastAsia"/>
        </w:rPr>
        <w:t>天然气</w:t>
      </w:r>
      <w:r>
        <w:rPr>
          <w:rFonts w:cs="Times New Roman"/>
        </w:rPr>
        <w:t>、</w:t>
      </w:r>
      <w:r>
        <w:rPr>
          <w:rFonts w:cs="Times New Roman" w:hint="eastAsia"/>
        </w:rPr>
        <w:t>凝析油</w:t>
      </w:r>
      <w:r>
        <w:rPr>
          <w:rFonts w:cs="Times New Roman"/>
        </w:rPr>
        <w:t>，存在于</w:t>
      </w:r>
      <w:bookmarkStart w:id="1700" w:name="OLE_LINK713"/>
      <w:r>
        <w:rPr>
          <w:rFonts w:cs="Times New Roman"/>
        </w:rPr>
        <w:t>井场</w:t>
      </w:r>
      <w:r>
        <w:rPr>
          <w:rFonts w:cs="Times New Roman" w:hint="eastAsia"/>
        </w:rPr>
        <w:t>设备、</w:t>
      </w:r>
      <w:bookmarkStart w:id="1701" w:name="OLE_LINK893"/>
      <w:r>
        <w:rPr>
          <w:rFonts w:cs="Times New Roman" w:hint="eastAsia"/>
        </w:rPr>
        <w:t>储罐</w:t>
      </w:r>
      <w:bookmarkEnd w:id="1700"/>
      <w:bookmarkEnd w:id="1701"/>
      <w:r>
        <w:rPr>
          <w:rFonts w:cs="Times New Roman"/>
        </w:rPr>
        <w:t>内。风险物质危险</w:t>
      </w:r>
      <w:r>
        <w:rPr>
          <w:rFonts w:cs="Times New Roman"/>
        </w:rPr>
        <w:t>特性见表</w:t>
      </w:r>
      <w:r>
        <w:rPr>
          <w:rFonts w:cs="Times New Roman"/>
        </w:rPr>
        <w:t>5.8-</w:t>
      </w:r>
      <w:r>
        <w:rPr>
          <w:rFonts w:cs="Times New Roman" w:hint="eastAsia"/>
        </w:rPr>
        <w:t>4</w:t>
      </w:r>
    </w:p>
    <w:p w:rsidR="00C645C9" w:rsidRDefault="00F955D9">
      <w:pPr>
        <w:pStyle w:val="af7"/>
        <w:ind w:left="-6" w:firstLine="561"/>
        <w:outlineLvl w:val="9"/>
        <w:rPr>
          <w:bCs/>
          <w:szCs w:val="21"/>
        </w:rPr>
      </w:pPr>
      <w:r>
        <w:rPr>
          <w:bCs/>
          <w:szCs w:val="21"/>
        </w:rPr>
        <w:t>表</w:t>
      </w:r>
      <w:r>
        <w:rPr>
          <w:bCs/>
          <w:szCs w:val="21"/>
        </w:rPr>
        <w:t>5.8-</w:t>
      </w:r>
      <w:r>
        <w:rPr>
          <w:rFonts w:hint="eastAsia"/>
          <w:bCs/>
          <w:szCs w:val="21"/>
        </w:rPr>
        <w:t>4</w:t>
      </w:r>
      <w:r>
        <w:rPr>
          <w:bCs/>
          <w:szCs w:val="21"/>
        </w:rPr>
        <w:t xml:space="preserve">   </w:t>
      </w:r>
      <w:r>
        <w:rPr>
          <w:bCs/>
          <w:szCs w:val="21"/>
        </w:rPr>
        <w:t>风险物质危险特性和分布一览表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
        <w:gridCol w:w="1474"/>
        <w:gridCol w:w="3980"/>
        <w:gridCol w:w="2225"/>
      </w:tblGrid>
      <w:tr w:rsidR="00C645C9">
        <w:trPr>
          <w:trHeight w:val="472"/>
          <w:jc w:val="center"/>
        </w:trPr>
        <w:tc>
          <w:tcPr>
            <w:tcW w:w="406" w:type="pct"/>
            <w:vAlign w:val="center"/>
          </w:tcPr>
          <w:p w:rsidR="00C645C9" w:rsidRDefault="00F955D9">
            <w:pPr>
              <w:widowControl w:val="0"/>
              <w:jc w:val="center"/>
              <w:rPr>
                <w:rFonts w:cs="Times New Roman"/>
                <w:sz w:val="21"/>
                <w:szCs w:val="21"/>
              </w:rPr>
            </w:pPr>
            <w:r>
              <w:rPr>
                <w:rFonts w:cs="Times New Roman"/>
                <w:sz w:val="21"/>
                <w:szCs w:val="21"/>
              </w:rPr>
              <w:t>序号</w:t>
            </w:r>
          </w:p>
        </w:tc>
        <w:tc>
          <w:tcPr>
            <w:tcW w:w="882" w:type="pct"/>
            <w:vAlign w:val="center"/>
          </w:tcPr>
          <w:p w:rsidR="00C645C9" w:rsidRDefault="00F955D9">
            <w:pPr>
              <w:widowControl w:val="0"/>
              <w:jc w:val="center"/>
              <w:rPr>
                <w:rFonts w:cs="Times New Roman"/>
                <w:sz w:val="21"/>
                <w:szCs w:val="21"/>
              </w:rPr>
            </w:pPr>
            <w:r>
              <w:rPr>
                <w:rFonts w:cs="Times New Roman"/>
                <w:sz w:val="21"/>
                <w:szCs w:val="21"/>
              </w:rPr>
              <w:t>危险物质名称</w:t>
            </w:r>
          </w:p>
        </w:tc>
        <w:tc>
          <w:tcPr>
            <w:tcW w:w="2380" w:type="pct"/>
            <w:vAlign w:val="center"/>
          </w:tcPr>
          <w:p w:rsidR="00C645C9" w:rsidRDefault="00F955D9">
            <w:pPr>
              <w:widowControl w:val="0"/>
              <w:jc w:val="center"/>
              <w:rPr>
                <w:rFonts w:cs="Times New Roman"/>
                <w:sz w:val="21"/>
                <w:szCs w:val="21"/>
              </w:rPr>
            </w:pPr>
            <w:r>
              <w:rPr>
                <w:rFonts w:cs="Times New Roman"/>
                <w:sz w:val="21"/>
                <w:szCs w:val="21"/>
              </w:rPr>
              <w:t>危险特性</w:t>
            </w:r>
          </w:p>
        </w:tc>
        <w:tc>
          <w:tcPr>
            <w:tcW w:w="1330" w:type="pct"/>
            <w:vAlign w:val="center"/>
          </w:tcPr>
          <w:p w:rsidR="00C645C9" w:rsidRDefault="00F955D9">
            <w:pPr>
              <w:widowControl w:val="0"/>
              <w:jc w:val="center"/>
              <w:rPr>
                <w:rFonts w:cs="Times New Roman"/>
                <w:sz w:val="21"/>
                <w:szCs w:val="21"/>
              </w:rPr>
            </w:pPr>
            <w:r>
              <w:rPr>
                <w:rFonts w:cs="Times New Roman"/>
                <w:sz w:val="21"/>
                <w:szCs w:val="21"/>
              </w:rPr>
              <w:t>分布</w:t>
            </w:r>
          </w:p>
        </w:tc>
      </w:tr>
      <w:tr w:rsidR="00C645C9">
        <w:trPr>
          <w:trHeight w:val="472"/>
          <w:jc w:val="center"/>
        </w:trPr>
        <w:tc>
          <w:tcPr>
            <w:tcW w:w="406" w:type="pct"/>
            <w:vAlign w:val="center"/>
          </w:tcPr>
          <w:p w:rsidR="00C645C9" w:rsidRDefault="00F955D9">
            <w:pPr>
              <w:widowControl w:val="0"/>
              <w:jc w:val="center"/>
              <w:rPr>
                <w:rFonts w:cs="Times New Roman"/>
                <w:sz w:val="21"/>
                <w:szCs w:val="21"/>
              </w:rPr>
            </w:pPr>
            <w:r>
              <w:rPr>
                <w:rFonts w:cs="Times New Roman"/>
                <w:sz w:val="21"/>
                <w:szCs w:val="21"/>
              </w:rPr>
              <w:t>1</w:t>
            </w:r>
          </w:p>
        </w:tc>
        <w:tc>
          <w:tcPr>
            <w:tcW w:w="882" w:type="pct"/>
            <w:vAlign w:val="center"/>
          </w:tcPr>
          <w:p w:rsidR="00C645C9" w:rsidRDefault="00F955D9">
            <w:pPr>
              <w:widowControl w:val="0"/>
              <w:jc w:val="center"/>
              <w:rPr>
                <w:rFonts w:cs="Times New Roman"/>
                <w:sz w:val="21"/>
                <w:szCs w:val="21"/>
              </w:rPr>
            </w:pPr>
            <w:r>
              <w:rPr>
                <w:rFonts w:cs="Times New Roman"/>
                <w:sz w:val="21"/>
                <w:szCs w:val="21"/>
              </w:rPr>
              <w:t>天然气</w:t>
            </w:r>
          </w:p>
        </w:tc>
        <w:tc>
          <w:tcPr>
            <w:tcW w:w="2380" w:type="pct"/>
            <w:vAlign w:val="center"/>
          </w:tcPr>
          <w:p w:rsidR="00C645C9" w:rsidRDefault="00F955D9">
            <w:pPr>
              <w:widowControl w:val="0"/>
              <w:jc w:val="center"/>
              <w:rPr>
                <w:rFonts w:cs="Times New Roman"/>
                <w:sz w:val="21"/>
                <w:szCs w:val="21"/>
              </w:rPr>
            </w:pPr>
            <w:r>
              <w:rPr>
                <w:rFonts w:cs="Times New Roman"/>
                <w:sz w:val="21"/>
                <w:szCs w:val="21"/>
              </w:rPr>
              <w:t>易燃气体</w:t>
            </w:r>
          </w:p>
        </w:tc>
        <w:tc>
          <w:tcPr>
            <w:tcW w:w="1330" w:type="pct"/>
            <w:vAlign w:val="center"/>
          </w:tcPr>
          <w:p w:rsidR="00C645C9" w:rsidRDefault="00F955D9">
            <w:pPr>
              <w:widowControl w:val="0"/>
              <w:jc w:val="center"/>
              <w:rPr>
                <w:rFonts w:cs="Times New Roman"/>
                <w:sz w:val="21"/>
                <w:szCs w:val="21"/>
              </w:rPr>
            </w:pPr>
            <w:r>
              <w:rPr>
                <w:rFonts w:cs="Times New Roman"/>
                <w:sz w:val="21"/>
                <w:szCs w:val="21"/>
              </w:rPr>
              <w:t>井场设备、储罐</w:t>
            </w:r>
          </w:p>
        </w:tc>
      </w:tr>
      <w:tr w:rsidR="00C645C9">
        <w:trPr>
          <w:trHeight w:val="472"/>
          <w:jc w:val="center"/>
        </w:trPr>
        <w:tc>
          <w:tcPr>
            <w:tcW w:w="406" w:type="pct"/>
            <w:vAlign w:val="center"/>
          </w:tcPr>
          <w:p w:rsidR="00C645C9" w:rsidRDefault="00F955D9">
            <w:pPr>
              <w:widowControl w:val="0"/>
              <w:jc w:val="center"/>
              <w:rPr>
                <w:rFonts w:cs="Times New Roman"/>
                <w:sz w:val="21"/>
                <w:szCs w:val="21"/>
              </w:rPr>
            </w:pPr>
            <w:r>
              <w:rPr>
                <w:rFonts w:cs="Times New Roman"/>
                <w:sz w:val="21"/>
                <w:szCs w:val="21"/>
              </w:rPr>
              <w:t>2</w:t>
            </w:r>
          </w:p>
        </w:tc>
        <w:tc>
          <w:tcPr>
            <w:tcW w:w="882" w:type="pct"/>
            <w:vAlign w:val="center"/>
          </w:tcPr>
          <w:p w:rsidR="00C645C9" w:rsidRDefault="00F955D9">
            <w:pPr>
              <w:widowControl w:val="0"/>
              <w:jc w:val="center"/>
              <w:rPr>
                <w:rFonts w:cs="Times New Roman"/>
                <w:sz w:val="21"/>
                <w:szCs w:val="21"/>
              </w:rPr>
            </w:pPr>
            <w:r>
              <w:rPr>
                <w:rFonts w:cs="Times New Roman"/>
                <w:sz w:val="21"/>
                <w:szCs w:val="21"/>
              </w:rPr>
              <w:t>凝析油</w:t>
            </w:r>
          </w:p>
        </w:tc>
        <w:tc>
          <w:tcPr>
            <w:tcW w:w="2380" w:type="pct"/>
            <w:vAlign w:val="center"/>
          </w:tcPr>
          <w:p w:rsidR="00C645C9" w:rsidRDefault="00F955D9">
            <w:pPr>
              <w:widowControl w:val="0"/>
              <w:jc w:val="center"/>
              <w:rPr>
                <w:rFonts w:cs="Times New Roman"/>
                <w:sz w:val="21"/>
                <w:szCs w:val="21"/>
              </w:rPr>
            </w:pPr>
            <w:r>
              <w:rPr>
                <w:rFonts w:cs="Times New Roman"/>
                <w:sz w:val="21"/>
                <w:szCs w:val="21"/>
              </w:rPr>
              <w:t>可燃液体</w:t>
            </w:r>
          </w:p>
        </w:tc>
        <w:tc>
          <w:tcPr>
            <w:tcW w:w="1330" w:type="pct"/>
            <w:vAlign w:val="center"/>
          </w:tcPr>
          <w:p w:rsidR="00C645C9" w:rsidRDefault="00F955D9">
            <w:pPr>
              <w:widowControl w:val="0"/>
              <w:jc w:val="center"/>
              <w:rPr>
                <w:rFonts w:cs="Times New Roman"/>
                <w:sz w:val="21"/>
                <w:szCs w:val="21"/>
              </w:rPr>
            </w:pPr>
            <w:r>
              <w:rPr>
                <w:rFonts w:cs="Times New Roman"/>
                <w:sz w:val="21"/>
                <w:szCs w:val="21"/>
              </w:rPr>
              <w:t>井场设备、储罐</w:t>
            </w:r>
          </w:p>
        </w:tc>
      </w:tr>
    </w:tbl>
    <w:p w:rsidR="00C645C9" w:rsidRDefault="00F955D9">
      <w:pPr>
        <w:spacing w:line="360" w:lineRule="auto"/>
        <w:ind w:firstLineChars="200" w:firstLine="480"/>
        <w:jc w:val="both"/>
        <w:rPr>
          <w:rFonts w:cs="Times New Roman"/>
          <w:snapToGrid w:val="0"/>
        </w:rPr>
      </w:pPr>
      <w:r>
        <w:rPr>
          <w:rFonts w:cs="Times New Roman"/>
        </w:rPr>
        <w:fldChar w:fldCharType="begin"/>
      </w:r>
      <w:r>
        <w:rPr>
          <w:rFonts w:cs="Times New Roman"/>
        </w:rPr>
        <w:instrText>= 1 \* GB3</w:instrText>
      </w:r>
      <w:r>
        <w:rPr>
          <w:rFonts w:cs="Times New Roman"/>
        </w:rPr>
        <w:fldChar w:fldCharType="separate"/>
      </w:r>
      <w:r>
        <w:rPr>
          <w:rFonts w:cs="Times New Roman"/>
        </w:rPr>
        <w:t>①</w:t>
      </w:r>
      <w:r>
        <w:rPr>
          <w:rFonts w:cs="Times New Roman"/>
        </w:rPr>
        <w:fldChar w:fldCharType="end"/>
      </w:r>
      <w:bookmarkStart w:id="1702" w:name="OLE_LINK714"/>
      <w:r>
        <w:rPr>
          <w:rFonts w:cs="Times New Roman" w:hint="eastAsia"/>
          <w:snapToGrid w:val="0"/>
        </w:rPr>
        <w:t>天然气</w:t>
      </w:r>
      <w:bookmarkEnd w:id="1702"/>
    </w:p>
    <w:p w:rsidR="00C645C9" w:rsidRDefault="00F955D9">
      <w:pPr>
        <w:spacing w:line="360" w:lineRule="auto"/>
        <w:ind w:firstLineChars="200" w:firstLine="480"/>
        <w:jc w:val="both"/>
        <w:rPr>
          <w:rFonts w:cs="Times New Roman"/>
          <w:snapToGrid w:val="0"/>
        </w:rPr>
      </w:pPr>
      <w:bookmarkStart w:id="1703" w:name="OLE_LINK857"/>
      <w:r>
        <w:rPr>
          <w:rFonts w:cs="Times New Roman"/>
        </w:rPr>
        <w:lastRenderedPageBreak/>
        <w:t>新北</w:t>
      </w:r>
      <w:r>
        <w:rPr>
          <w:rFonts w:cs="Times New Roman"/>
        </w:rPr>
        <w:t>井区</w:t>
      </w:r>
      <w:bookmarkEnd w:id="1703"/>
      <w:r>
        <w:rPr>
          <w:rFonts w:cs="Times New Roman"/>
        </w:rPr>
        <w:t>油藏中的</w:t>
      </w:r>
      <w:r>
        <w:rPr>
          <w:rFonts w:cs="Times New Roman"/>
        </w:rPr>
        <w:t>天然气平均相对密度为</w:t>
      </w:r>
      <w:r>
        <w:rPr>
          <w:rFonts w:cs="Times New Roman"/>
        </w:rPr>
        <w:t>0.663</w:t>
      </w:r>
      <w:r>
        <w:rPr>
          <w:rFonts w:cs="Times New Roman" w:hint="eastAsia"/>
        </w:rPr>
        <w:t>；</w:t>
      </w:r>
      <w:r>
        <w:rPr>
          <w:rFonts w:cs="Times New Roman"/>
        </w:rPr>
        <w:t>甲烷平均含量为</w:t>
      </w:r>
      <w:r>
        <w:rPr>
          <w:rFonts w:cs="Times New Roman"/>
        </w:rPr>
        <w:t>79.81%</w:t>
      </w:r>
      <w:r>
        <w:rPr>
          <w:rFonts w:cs="Times New Roman"/>
        </w:rPr>
        <w:t>，</w:t>
      </w:r>
      <w:bookmarkStart w:id="1704" w:name="OLE_LINK1526"/>
      <w:r>
        <w:rPr>
          <w:rFonts w:cs="Times New Roman"/>
        </w:rPr>
        <w:t>N</w:t>
      </w:r>
      <w:r>
        <w:rPr>
          <w:rFonts w:cs="Times New Roman"/>
          <w:vertAlign w:val="subscript"/>
        </w:rPr>
        <w:t>2</w:t>
      </w:r>
      <w:r>
        <w:rPr>
          <w:rFonts w:cs="Times New Roman"/>
        </w:rPr>
        <w:t>平均含量为</w:t>
      </w:r>
      <w:r>
        <w:rPr>
          <w:rFonts w:cs="Times New Roman"/>
        </w:rPr>
        <w:t>2.37%</w:t>
      </w:r>
      <w:r>
        <w:rPr>
          <w:rFonts w:cs="Times New Roman"/>
        </w:rPr>
        <w:t>，</w:t>
      </w:r>
      <w:r>
        <w:rPr>
          <w:rFonts w:cs="Times New Roman"/>
        </w:rPr>
        <w:t>CO</w:t>
      </w:r>
      <w:r>
        <w:rPr>
          <w:rFonts w:cs="Times New Roman"/>
          <w:vertAlign w:val="subscript"/>
        </w:rPr>
        <w:t>2</w:t>
      </w:r>
      <w:r>
        <w:rPr>
          <w:rFonts w:cs="Times New Roman"/>
        </w:rPr>
        <w:t>平均含量</w:t>
      </w:r>
      <w:r>
        <w:rPr>
          <w:rFonts w:cs="Times New Roman"/>
        </w:rPr>
        <w:t>为</w:t>
      </w:r>
      <w:r>
        <w:rPr>
          <w:rFonts w:cs="Times New Roman"/>
        </w:rPr>
        <w:t>1.04</w:t>
      </w:r>
      <w:r>
        <w:rPr>
          <w:rFonts w:cs="Times New Roman"/>
        </w:rPr>
        <w:t>％</w:t>
      </w:r>
      <w:bookmarkEnd w:id="1704"/>
      <w:r>
        <w:rPr>
          <w:rFonts w:cs="Times New Roman"/>
        </w:rPr>
        <w:t>。</w:t>
      </w:r>
      <w:bookmarkStart w:id="1705" w:name="OLE_LINK715"/>
      <w:r>
        <w:rPr>
          <w:rFonts w:cs="Times New Roman" w:hint="eastAsia"/>
          <w:snapToGrid w:val="0"/>
        </w:rPr>
        <w:t>天然气</w:t>
      </w:r>
      <w:bookmarkEnd w:id="1705"/>
      <w:r>
        <w:rPr>
          <w:rFonts w:cs="Times New Roman"/>
        </w:rPr>
        <w:t>理化性质及危险危害特性详见表</w:t>
      </w:r>
      <w:r>
        <w:rPr>
          <w:rFonts w:cs="Times New Roman" w:hint="eastAsia"/>
        </w:rPr>
        <w:t>5.8-5</w:t>
      </w:r>
      <w:r>
        <w:rPr>
          <w:rFonts w:cs="Times New Roman" w:hint="eastAsia"/>
        </w:rPr>
        <w:t>。</w:t>
      </w:r>
    </w:p>
    <w:p w:rsidR="00C645C9" w:rsidRDefault="00F955D9">
      <w:pPr>
        <w:ind w:firstLineChars="200" w:firstLine="420"/>
        <w:jc w:val="center"/>
        <w:rPr>
          <w:rFonts w:eastAsia="黑体" w:cs="Times New Roman"/>
          <w:b/>
          <w:sz w:val="21"/>
          <w:szCs w:val="21"/>
        </w:rPr>
      </w:pPr>
      <w:r>
        <w:rPr>
          <w:rFonts w:eastAsia="黑体" w:cs="Times New Roman"/>
          <w:sz w:val="21"/>
        </w:rPr>
        <w:t>表</w:t>
      </w:r>
      <w:bookmarkStart w:id="1706" w:name="OLE_LINK716"/>
      <w:r>
        <w:rPr>
          <w:rFonts w:eastAsia="黑体" w:cs="Times New Roman" w:hint="eastAsia"/>
          <w:sz w:val="21"/>
        </w:rPr>
        <w:t>5.8-</w:t>
      </w:r>
      <w:bookmarkEnd w:id="1706"/>
      <w:r>
        <w:rPr>
          <w:rFonts w:eastAsia="黑体" w:cs="Times New Roman" w:hint="eastAsia"/>
          <w:sz w:val="21"/>
        </w:rPr>
        <w:t>5</w:t>
      </w:r>
      <w:r>
        <w:rPr>
          <w:rFonts w:eastAsia="黑体" w:cs="Times New Roman" w:hint="eastAsia"/>
          <w:sz w:val="21"/>
        </w:rPr>
        <w:t xml:space="preserve">   </w:t>
      </w:r>
      <w:r>
        <w:rPr>
          <w:rFonts w:eastAsia="黑体" w:cs="Times New Roman"/>
          <w:sz w:val="21"/>
        </w:rPr>
        <w:t>天然气理化性质、危险危害特性及防护措施表</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858"/>
        <w:gridCol w:w="1282"/>
        <w:gridCol w:w="572"/>
        <w:gridCol w:w="1321"/>
        <w:gridCol w:w="1109"/>
        <w:gridCol w:w="869"/>
        <w:gridCol w:w="274"/>
        <w:gridCol w:w="2159"/>
      </w:tblGrid>
      <w:tr w:rsidR="00C645C9">
        <w:trPr>
          <w:trHeight w:val="340"/>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化学品</w:t>
            </w:r>
          </w:p>
          <w:p w:rsidR="00C645C9" w:rsidRDefault="00F955D9">
            <w:pPr>
              <w:topLinePunct/>
              <w:jc w:val="center"/>
              <w:rPr>
                <w:rFonts w:cs="Times New Roman"/>
                <w:sz w:val="21"/>
                <w:szCs w:val="21"/>
              </w:rPr>
            </w:pPr>
            <w:r>
              <w:rPr>
                <w:rFonts w:cs="Times New Roman"/>
                <w:sz w:val="21"/>
                <w:szCs w:val="21"/>
              </w:rPr>
              <w:t>名称</w:t>
            </w:r>
          </w:p>
        </w:tc>
        <w:tc>
          <w:tcPr>
            <w:tcW w:w="1854"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化学品中文名称</w:t>
            </w:r>
          </w:p>
        </w:tc>
        <w:tc>
          <w:tcPr>
            <w:tcW w:w="5732"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645C9" w:rsidRDefault="00F955D9">
            <w:pPr>
              <w:topLinePunct/>
              <w:jc w:val="center"/>
              <w:rPr>
                <w:rFonts w:cs="Times New Roman"/>
                <w:sz w:val="21"/>
                <w:szCs w:val="21"/>
              </w:rPr>
            </w:pPr>
            <w:r>
              <w:rPr>
                <w:rFonts w:cs="Times New Roman" w:hint="eastAsia"/>
                <w:sz w:val="21"/>
                <w:szCs w:val="21"/>
              </w:rPr>
              <w:t>天然气</w:t>
            </w:r>
          </w:p>
        </w:tc>
      </w:tr>
      <w:tr w:rsidR="00C645C9">
        <w:trPr>
          <w:trHeight w:val="34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854"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化学品英文名称</w:t>
            </w:r>
          </w:p>
        </w:tc>
        <w:tc>
          <w:tcPr>
            <w:tcW w:w="5732"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645C9" w:rsidRDefault="00F955D9">
            <w:pPr>
              <w:topLinePunct/>
              <w:jc w:val="center"/>
              <w:rPr>
                <w:rFonts w:cs="Times New Roman"/>
                <w:sz w:val="21"/>
                <w:szCs w:val="21"/>
              </w:rPr>
            </w:pPr>
            <w:r>
              <w:rPr>
                <w:rFonts w:cs="Times New Roman"/>
                <w:sz w:val="21"/>
                <w:szCs w:val="21"/>
              </w:rPr>
              <w:t>Naturalgasdehydration</w:t>
            </w:r>
          </w:p>
        </w:tc>
      </w:tr>
      <w:tr w:rsidR="00C645C9">
        <w:trPr>
          <w:trHeight w:val="340"/>
          <w:jc w:val="center"/>
        </w:trPr>
        <w:tc>
          <w:tcPr>
            <w:tcW w:w="858" w:type="dxa"/>
            <w:vMerge w:val="restart"/>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成分</w:t>
            </w:r>
            <w:r>
              <w:rPr>
                <w:rFonts w:cs="Times New Roman"/>
                <w:sz w:val="21"/>
                <w:szCs w:val="21"/>
              </w:rPr>
              <w:t>/</w:t>
            </w:r>
            <w:r>
              <w:rPr>
                <w:rFonts w:cs="Times New Roman"/>
                <w:sz w:val="21"/>
                <w:szCs w:val="21"/>
              </w:rPr>
              <w:t>组成信息</w:t>
            </w:r>
          </w:p>
        </w:tc>
        <w:tc>
          <w:tcPr>
            <w:tcW w:w="3175" w:type="dxa"/>
            <w:gridSpan w:val="3"/>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主要有害成分</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645C9" w:rsidRDefault="00F955D9">
            <w:pPr>
              <w:topLinePunct/>
              <w:jc w:val="center"/>
              <w:rPr>
                <w:rFonts w:cs="Times New Roman"/>
                <w:sz w:val="21"/>
                <w:szCs w:val="21"/>
              </w:rPr>
            </w:pPr>
            <w:r>
              <w:rPr>
                <w:rFonts w:cs="Times New Roman"/>
                <w:sz w:val="21"/>
                <w:szCs w:val="21"/>
              </w:rPr>
              <w:t>甲烷</w:t>
            </w:r>
          </w:p>
        </w:tc>
      </w:tr>
      <w:tr w:rsidR="00C645C9">
        <w:trPr>
          <w:trHeight w:val="34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854"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分子式</w:t>
            </w:r>
          </w:p>
        </w:tc>
        <w:tc>
          <w:tcPr>
            <w:tcW w:w="1321"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CH</w:t>
            </w:r>
            <w:r>
              <w:rPr>
                <w:rFonts w:cs="Times New Roman"/>
                <w:sz w:val="21"/>
                <w:szCs w:val="21"/>
                <w:vertAlign w:val="subscript"/>
              </w:rPr>
              <w:t>4</w:t>
            </w:r>
          </w:p>
        </w:tc>
        <w:tc>
          <w:tcPr>
            <w:tcW w:w="1978"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分子量</w:t>
            </w:r>
          </w:p>
        </w:tc>
        <w:tc>
          <w:tcPr>
            <w:tcW w:w="243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C645C9" w:rsidRDefault="00F955D9">
            <w:pPr>
              <w:topLinePunct/>
              <w:jc w:val="center"/>
              <w:rPr>
                <w:rFonts w:cs="Times New Roman"/>
                <w:sz w:val="21"/>
                <w:szCs w:val="21"/>
              </w:rPr>
            </w:pPr>
            <w:r>
              <w:rPr>
                <w:rFonts w:cs="Times New Roman"/>
                <w:sz w:val="21"/>
                <w:szCs w:val="21"/>
              </w:rPr>
              <w:t>16.05</w:t>
            </w:r>
          </w:p>
        </w:tc>
      </w:tr>
      <w:tr w:rsidR="00C645C9">
        <w:trPr>
          <w:trHeight w:val="1553"/>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危险</w:t>
            </w:r>
          </w:p>
          <w:p w:rsidR="00C645C9" w:rsidRDefault="00F955D9">
            <w:pPr>
              <w:topLinePunct/>
              <w:jc w:val="center"/>
              <w:rPr>
                <w:rFonts w:cs="Times New Roman"/>
                <w:sz w:val="21"/>
                <w:szCs w:val="21"/>
              </w:rPr>
            </w:pPr>
            <w:r>
              <w:rPr>
                <w:rFonts w:cs="Times New Roman"/>
                <w:sz w:val="21"/>
                <w:szCs w:val="21"/>
              </w:rPr>
              <w:t>特性</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shd w:val="clear" w:color="auto" w:fill="FFFFFF"/>
              <w:rPr>
                <w:rFonts w:cs="Times New Roman"/>
                <w:sz w:val="21"/>
                <w:szCs w:val="21"/>
              </w:rPr>
            </w:pPr>
            <w:r>
              <w:rPr>
                <w:rFonts w:cs="Times New Roman"/>
                <w:sz w:val="21"/>
                <w:szCs w:val="21"/>
              </w:rPr>
              <w:t>危险性类别：第</w:t>
            </w:r>
            <w:r>
              <w:rPr>
                <w:rFonts w:cs="Times New Roman"/>
                <w:sz w:val="21"/>
                <w:szCs w:val="21"/>
              </w:rPr>
              <w:t>2.1</w:t>
            </w:r>
            <w:r>
              <w:rPr>
                <w:rFonts w:cs="Times New Roman"/>
                <w:sz w:val="21"/>
                <w:szCs w:val="21"/>
              </w:rPr>
              <w:t>类易燃气体。</w:t>
            </w:r>
          </w:p>
          <w:p w:rsidR="00C645C9" w:rsidRDefault="00F955D9">
            <w:pPr>
              <w:shd w:val="clear" w:color="auto" w:fill="FFFFFF"/>
              <w:rPr>
                <w:rFonts w:cs="Times New Roman"/>
                <w:sz w:val="21"/>
                <w:szCs w:val="21"/>
              </w:rPr>
            </w:pPr>
            <w:r>
              <w:rPr>
                <w:rFonts w:cs="Times New Roman"/>
                <w:sz w:val="21"/>
                <w:szCs w:val="21"/>
              </w:rPr>
              <w:t>侵入途径：吸入。</w:t>
            </w:r>
          </w:p>
          <w:p w:rsidR="00C645C9" w:rsidRDefault="00F955D9">
            <w:pPr>
              <w:shd w:val="clear" w:color="auto" w:fill="FFFFFF"/>
              <w:rPr>
                <w:rFonts w:cs="Times New Roman"/>
                <w:sz w:val="21"/>
                <w:szCs w:val="21"/>
              </w:rPr>
            </w:pPr>
            <w:r>
              <w:rPr>
                <w:rFonts w:cs="Times New Roman"/>
                <w:sz w:val="21"/>
                <w:szCs w:val="21"/>
              </w:rPr>
              <w:t>健康危害：空气中甲烷浓度过高，能使人窒息。当空气中甲烷达</w:t>
            </w:r>
            <w:r>
              <w:rPr>
                <w:rFonts w:cs="Times New Roman"/>
                <w:sz w:val="21"/>
                <w:szCs w:val="21"/>
              </w:rPr>
              <w:t>25%</w:t>
            </w:r>
            <w:r>
              <w:rPr>
                <w:rFonts w:cs="Times New Roman"/>
                <w:sz w:val="21"/>
                <w:szCs w:val="21"/>
              </w:rPr>
              <w:t>～</w:t>
            </w:r>
            <w:r>
              <w:rPr>
                <w:rFonts w:cs="Times New Roman"/>
                <w:sz w:val="21"/>
                <w:szCs w:val="21"/>
              </w:rPr>
              <w:t>30%</w:t>
            </w:r>
            <w:r>
              <w:rPr>
                <w:rFonts w:cs="Times New Roman"/>
                <w:sz w:val="21"/>
                <w:szCs w:val="21"/>
              </w:rPr>
              <w:t>时，可引起头痛、头晕、乏力、注意力不集中、呼吸和心跳加速、共济失调。若不及时脱离，可致窒息死亡。皮肤接触液化气体可致冻伤。</w:t>
            </w:r>
          </w:p>
          <w:p w:rsidR="00C645C9" w:rsidRDefault="00F955D9">
            <w:pPr>
              <w:shd w:val="clear" w:color="auto" w:fill="FFFFFF"/>
              <w:rPr>
                <w:rFonts w:cs="Times New Roman"/>
                <w:sz w:val="21"/>
                <w:szCs w:val="21"/>
              </w:rPr>
            </w:pPr>
            <w:r>
              <w:rPr>
                <w:rFonts w:cs="Times New Roman"/>
                <w:sz w:val="21"/>
                <w:szCs w:val="21"/>
              </w:rPr>
              <w:t>环境危害：对环境有害。</w:t>
            </w:r>
          </w:p>
          <w:p w:rsidR="00C645C9" w:rsidRDefault="00F955D9">
            <w:pPr>
              <w:shd w:val="clear" w:color="auto" w:fill="FFFFFF"/>
              <w:rPr>
                <w:rFonts w:cs="Times New Roman"/>
                <w:sz w:val="21"/>
                <w:szCs w:val="21"/>
              </w:rPr>
            </w:pPr>
            <w:r>
              <w:rPr>
                <w:rFonts w:cs="Times New Roman"/>
                <w:sz w:val="21"/>
                <w:szCs w:val="21"/>
              </w:rPr>
              <w:t>燃爆危险：易燃，与空气混合能形成爆炸性混合物。</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急救</w:t>
            </w:r>
          </w:p>
          <w:p w:rsidR="00C645C9" w:rsidRDefault="00F955D9">
            <w:pPr>
              <w:topLinePunct/>
              <w:jc w:val="center"/>
              <w:rPr>
                <w:rFonts w:cs="Times New Roman"/>
                <w:sz w:val="21"/>
                <w:szCs w:val="21"/>
              </w:rPr>
            </w:pPr>
            <w:r>
              <w:rPr>
                <w:rFonts w:cs="Times New Roman"/>
                <w:sz w:val="21"/>
                <w:szCs w:val="21"/>
              </w:rPr>
              <w:t>措施</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皮肤接触：如果发生冻伤，将患部浸泡于保持在</w:t>
            </w:r>
            <w:r>
              <w:rPr>
                <w:rFonts w:cs="Times New Roman"/>
                <w:sz w:val="21"/>
                <w:szCs w:val="21"/>
              </w:rPr>
              <w:t>38~42℃</w:t>
            </w:r>
            <w:r>
              <w:rPr>
                <w:rFonts w:cs="Times New Roman"/>
                <w:sz w:val="21"/>
                <w:szCs w:val="21"/>
              </w:rPr>
              <w:t>的温水中复温。不要涂擦。不要使用热水或辐射热。使用清洁、干燥的敷料包扎。如有不适感，就医。</w:t>
            </w:r>
          </w:p>
          <w:p w:rsidR="00C645C9" w:rsidRDefault="00F955D9">
            <w:pPr>
              <w:topLinePunct/>
              <w:rPr>
                <w:rFonts w:cs="Times New Roman"/>
                <w:sz w:val="21"/>
                <w:szCs w:val="21"/>
              </w:rPr>
            </w:pPr>
            <w:r>
              <w:rPr>
                <w:rFonts w:cs="Times New Roman"/>
                <w:sz w:val="21"/>
                <w:szCs w:val="21"/>
              </w:rPr>
              <w:t>吸入：迅速脱离现场至空气新鲜处。保持呼吸道通畅。如呼吸困难，给输氧。呼吸、心跳停止，立即进行心肺复苏术。就医。</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消防</w:t>
            </w:r>
          </w:p>
          <w:p w:rsidR="00C645C9" w:rsidRDefault="00F955D9">
            <w:pPr>
              <w:topLinePunct/>
              <w:jc w:val="center"/>
              <w:rPr>
                <w:rFonts w:cs="Times New Roman"/>
                <w:sz w:val="21"/>
                <w:szCs w:val="21"/>
              </w:rPr>
            </w:pPr>
            <w:r>
              <w:rPr>
                <w:rFonts w:cs="Times New Roman"/>
                <w:sz w:val="21"/>
                <w:szCs w:val="21"/>
              </w:rPr>
              <w:t>措施</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危险特性：易燃，与空气混合能形成爆炸性混合物，遇热源和明火有燃烧爆炸的危险。与五氧化溴、氯气、次氯酸、三氟化氮、液氧、二氟化氧及其</w:t>
            </w:r>
            <w:r>
              <w:rPr>
                <w:rFonts w:cs="Times New Roman" w:hint="eastAsia"/>
                <w:sz w:val="21"/>
                <w:szCs w:val="21"/>
              </w:rPr>
              <w:t>他</w:t>
            </w:r>
            <w:r>
              <w:rPr>
                <w:rFonts w:cs="Times New Roman"/>
                <w:sz w:val="21"/>
                <w:szCs w:val="21"/>
              </w:rPr>
              <w:t>强氧化剂接触发生剧烈反应。</w:t>
            </w:r>
          </w:p>
          <w:p w:rsidR="00C645C9" w:rsidRDefault="00F955D9">
            <w:pPr>
              <w:topLinePunct/>
              <w:rPr>
                <w:rFonts w:cs="Times New Roman"/>
                <w:sz w:val="21"/>
                <w:szCs w:val="21"/>
              </w:rPr>
            </w:pPr>
            <w:r>
              <w:rPr>
                <w:rFonts w:cs="Times New Roman"/>
                <w:sz w:val="21"/>
                <w:szCs w:val="21"/>
              </w:rPr>
              <w:t>有害燃烧产物：一氧化碳。</w:t>
            </w:r>
          </w:p>
          <w:p w:rsidR="00C645C9" w:rsidRDefault="00F955D9">
            <w:pPr>
              <w:topLinePunct/>
              <w:rPr>
                <w:rFonts w:cs="Times New Roman"/>
                <w:sz w:val="21"/>
                <w:szCs w:val="21"/>
              </w:rPr>
            </w:pPr>
            <w:r>
              <w:rPr>
                <w:rFonts w:cs="Times New Roman"/>
                <w:sz w:val="21"/>
                <w:szCs w:val="21"/>
              </w:rPr>
              <w:t>灭火方法：用雾状水、泡沫、二氧化碳、干粉灭火。切断气源。若不能切断气源，则不允许熄灭泄漏处的火焰。消防人员必须佩戴空气呼吸器、穿全身防火防毒服，在上风向灭火。尽可能将容器从火场移至空旷处。喷水保持火场容器冷却，直至灭火结束。</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泄漏应急处理</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消除所有点火源。根据气体扩散的影响区域划定警戒区，无关人员从侧风、上风向撤离至安全区。建议应急处理人员戴正压自给式呼吸器，穿防静电服。作业时使用的所有设备应接地。禁止接触或跨越泄漏物。尽可能切断泄漏源。若可能翻转容器，使之逸出气体而非液体。喷雾状水抑制蒸气或改变蒸气云流</w:t>
            </w:r>
            <w:r>
              <w:rPr>
                <w:rFonts w:cs="Times New Roman"/>
                <w:sz w:val="21"/>
                <w:szCs w:val="21"/>
              </w:rPr>
              <w:t>向，避免水流接触泄漏物。禁止用水直接冲击泄漏物或泄漏源。防止气体通过下水道、通风系统和限制性空间扩散。隔离</w:t>
            </w:r>
            <w:r>
              <w:rPr>
                <w:rFonts w:cs="Times New Roman" w:hint="eastAsia"/>
                <w:sz w:val="21"/>
                <w:szCs w:val="21"/>
              </w:rPr>
              <w:t>泄漏</w:t>
            </w:r>
            <w:r>
              <w:rPr>
                <w:rFonts w:cs="Times New Roman"/>
                <w:sz w:val="21"/>
                <w:szCs w:val="21"/>
              </w:rPr>
              <w:t>区直至气体散尽。</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操作处置与储存</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rsidR="00C645C9" w:rsidRDefault="00F955D9">
            <w:pPr>
              <w:topLinePunct/>
              <w:rPr>
                <w:rFonts w:cs="Times New Roman"/>
                <w:sz w:val="21"/>
                <w:szCs w:val="21"/>
              </w:rPr>
            </w:pPr>
            <w:r>
              <w:rPr>
                <w:rFonts w:cs="Times New Roman"/>
                <w:sz w:val="21"/>
                <w:szCs w:val="21"/>
              </w:rPr>
              <w:t>储存注意事项：钢瓶装本品储存于阴凉、通</w:t>
            </w:r>
            <w:r>
              <w:rPr>
                <w:rFonts w:cs="Times New Roman"/>
                <w:sz w:val="21"/>
                <w:szCs w:val="21"/>
              </w:rPr>
              <w:t>风的易燃气体专用库房。远离火种、热</w:t>
            </w:r>
            <w:r>
              <w:rPr>
                <w:rFonts w:cs="Times New Roman"/>
                <w:sz w:val="21"/>
                <w:szCs w:val="21"/>
              </w:rPr>
              <w:lastRenderedPageBreak/>
              <w:t>源。库温不宜超过</w:t>
            </w:r>
            <w:r>
              <w:rPr>
                <w:rFonts w:cs="Times New Roman"/>
                <w:sz w:val="21"/>
                <w:szCs w:val="21"/>
              </w:rPr>
              <w:t>30℃</w:t>
            </w:r>
            <w:r>
              <w:rPr>
                <w:rFonts w:cs="Times New Roman"/>
                <w:sz w:val="21"/>
                <w:szCs w:val="21"/>
              </w:rPr>
              <w:t>。应与氧化剂等分开存放，切忌混储。采用防爆型照明、通风设施。禁止使用易产生火花的机械设备和工具。储区应备有泄漏应急处理设备。</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lastRenderedPageBreak/>
              <w:t>接触控制</w:t>
            </w:r>
            <w:r>
              <w:rPr>
                <w:rFonts w:cs="Times New Roman"/>
                <w:sz w:val="21"/>
                <w:szCs w:val="21"/>
              </w:rPr>
              <w:t>/</w:t>
            </w:r>
            <w:r>
              <w:rPr>
                <w:rFonts w:cs="Times New Roman"/>
                <w:sz w:val="21"/>
                <w:szCs w:val="21"/>
              </w:rPr>
              <w:t>个体防护</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工程控制：生产过程密闭，全面通风。</w:t>
            </w:r>
          </w:p>
          <w:p w:rsidR="00C645C9" w:rsidRDefault="00F955D9">
            <w:pPr>
              <w:topLinePunct/>
              <w:rPr>
                <w:rFonts w:cs="Times New Roman"/>
                <w:sz w:val="21"/>
                <w:szCs w:val="21"/>
              </w:rPr>
            </w:pPr>
            <w:r>
              <w:rPr>
                <w:rFonts w:cs="Times New Roman"/>
                <w:sz w:val="21"/>
                <w:szCs w:val="21"/>
              </w:rPr>
              <w:t>呼吸系统防护：一般不需要特殊防护，但建议特殊情况下，佩戴过滤式防毒面具（半面罩）。</w:t>
            </w:r>
          </w:p>
          <w:p w:rsidR="00C645C9" w:rsidRDefault="00F955D9">
            <w:pPr>
              <w:topLinePunct/>
              <w:rPr>
                <w:rFonts w:cs="Times New Roman"/>
                <w:sz w:val="21"/>
                <w:szCs w:val="21"/>
              </w:rPr>
            </w:pPr>
            <w:r>
              <w:rPr>
                <w:rFonts w:cs="Times New Roman"/>
                <w:sz w:val="21"/>
                <w:szCs w:val="21"/>
              </w:rPr>
              <w:t>眼睛防护：一般不需要特殊防护，高浓度接触时可戴安全防护眼镜。</w:t>
            </w:r>
          </w:p>
          <w:p w:rsidR="00C645C9" w:rsidRDefault="00F955D9">
            <w:pPr>
              <w:topLinePunct/>
              <w:rPr>
                <w:rFonts w:cs="Times New Roman"/>
                <w:sz w:val="21"/>
                <w:szCs w:val="21"/>
              </w:rPr>
            </w:pPr>
            <w:r>
              <w:rPr>
                <w:rFonts w:cs="Times New Roman"/>
                <w:sz w:val="21"/>
                <w:szCs w:val="21"/>
              </w:rPr>
              <w:t>身体防护：穿防静电工作服。</w:t>
            </w:r>
          </w:p>
          <w:p w:rsidR="00C645C9" w:rsidRDefault="00F955D9">
            <w:pPr>
              <w:topLinePunct/>
              <w:rPr>
                <w:rFonts w:cs="Times New Roman"/>
                <w:sz w:val="21"/>
                <w:szCs w:val="21"/>
              </w:rPr>
            </w:pPr>
            <w:r>
              <w:rPr>
                <w:rFonts w:cs="Times New Roman"/>
                <w:sz w:val="21"/>
                <w:szCs w:val="21"/>
              </w:rPr>
              <w:t>手防护：戴一般作业防护手套。</w:t>
            </w:r>
          </w:p>
          <w:p w:rsidR="00C645C9" w:rsidRDefault="00F955D9">
            <w:pPr>
              <w:topLinePunct/>
              <w:rPr>
                <w:rFonts w:cs="Times New Roman"/>
                <w:sz w:val="21"/>
                <w:szCs w:val="21"/>
              </w:rPr>
            </w:pPr>
            <w:r>
              <w:rPr>
                <w:rFonts w:cs="Times New Roman"/>
                <w:sz w:val="21"/>
                <w:szCs w:val="21"/>
              </w:rPr>
              <w:t>其他防护：工作现场严禁吸烟。避免长期反复接触。进入限制性空间或</w:t>
            </w:r>
            <w:r>
              <w:rPr>
                <w:rFonts w:cs="Times New Roman" w:hint="eastAsia"/>
                <w:sz w:val="21"/>
                <w:szCs w:val="21"/>
              </w:rPr>
              <w:t>其他</w:t>
            </w:r>
            <w:r>
              <w:rPr>
                <w:rFonts w:cs="Times New Roman"/>
                <w:sz w:val="21"/>
                <w:szCs w:val="21"/>
              </w:rPr>
              <w:t>高浓度区作业，须有人监护。</w:t>
            </w:r>
          </w:p>
        </w:tc>
      </w:tr>
      <w:tr w:rsidR="00C645C9">
        <w:trPr>
          <w:trHeight w:val="331"/>
          <w:jc w:val="center"/>
        </w:trPr>
        <w:tc>
          <w:tcPr>
            <w:tcW w:w="858"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理化</w:t>
            </w:r>
          </w:p>
          <w:p w:rsidR="00C645C9" w:rsidRDefault="00F955D9">
            <w:pPr>
              <w:topLinePunct/>
              <w:jc w:val="center"/>
              <w:rPr>
                <w:rFonts w:cs="Times New Roman"/>
                <w:sz w:val="21"/>
                <w:szCs w:val="21"/>
              </w:rPr>
            </w:pPr>
            <w:r>
              <w:rPr>
                <w:rFonts w:cs="Times New Roman"/>
                <w:sz w:val="21"/>
                <w:szCs w:val="21"/>
              </w:rPr>
              <w:t>特性</w:t>
            </w:r>
          </w:p>
        </w:tc>
        <w:tc>
          <w:tcPr>
            <w:tcW w:w="128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jc w:val="center"/>
              <w:rPr>
                <w:rFonts w:cs="Times New Roman"/>
                <w:sz w:val="21"/>
                <w:szCs w:val="21"/>
              </w:rPr>
            </w:pPr>
            <w:r>
              <w:rPr>
                <w:rFonts w:cs="Times New Roman"/>
                <w:sz w:val="21"/>
                <w:szCs w:val="21"/>
              </w:rPr>
              <w:t>外观与性状</w:t>
            </w:r>
          </w:p>
        </w:tc>
        <w:tc>
          <w:tcPr>
            <w:tcW w:w="3002"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无色无味气体</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饱和蒸汽</w:t>
            </w:r>
            <w:r>
              <w:rPr>
                <w:rFonts w:cs="Times New Roman"/>
                <w:sz w:val="21"/>
                <w:szCs w:val="21"/>
              </w:rPr>
              <w:t>压</w:t>
            </w:r>
          </w:p>
        </w:tc>
        <w:tc>
          <w:tcPr>
            <w:tcW w:w="2159"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53.32kPa/-168.8℃</w:t>
            </w:r>
          </w:p>
        </w:tc>
      </w:tr>
      <w:tr w:rsidR="00C645C9">
        <w:trPr>
          <w:trHeight w:val="9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28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jc w:val="center"/>
              <w:rPr>
                <w:rFonts w:cs="Times New Roman"/>
                <w:sz w:val="21"/>
                <w:szCs w:val="21"/>
              </w:rPr>
            </w:pPr>
            <w:r>
              <w:rPr>
                <w:rFonts w:cs="Times New Roman"/>
                <w:sz w:val="21"/>
                <w:szCs w:val="21"/>
              </w:rPr>
              <w:t>沸点</w:t>
            </w:r>
          </w:p>
        </w:tc>
        <w:tc>
          <w:tcPr>
            <w:tcW w:w="3002"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-161.4℃</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闪点</w:t>
            </w:r>
          </w:p>
        </w:tc>
        <w:tc>
          <w:tcPr>
            <w:tcW w:w="2159"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-218℃</w:t>
            </w:r>
          </w:p>
        </w:tc>
      </w:tr>
      <w:tr w:rsidR="00C645C9">
        <w:trPr>
          <w:trHeight w:val="34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28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jc w:val="center"/>
              <w:rPr>
                <w:rFonts w:cs="Times New Roman"/>
                <w:sz w:val="21"/>
                <w:szCs w:val="21"/>
              </w:rPr>
            </w:pPr>
            <w:r>
              <w:rPr>
                <w:rFonts w:cs="Times New Roman"/>
                <w:sz w:val="21"/>
                <w:szCs w:val="21"/>
              </w:rPr>
              <w:t>熔点</w:t>
            </w:r>
          </w:p>
        </w:tc>
        <w:tc>
          <w:tcPr>
            <w:tcW w:w="3002"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-182.6℃</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溶解性</w:t>
            </w:r>
          </w:p>
        </w:tc>
        <w:tc>
          <w:tcPr>
            <w:tcW w:w="2159"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微溶于水，溶于乙醇、乙醚、苯、甲苯等。</w:t>
            </w:r>
          </w:p>
        </w:tc>
      </w:tr>
      <w:tr w:rsidR="00C645C9">
        <w:trPr>
          <w:trHeight w:val="34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28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jc w:val="center"/>
              <w:rPr>
                <w:rFonts w:cs="Times New Roman"/>
                <w:sz w:val="21"/>
                <w:szCs w:val="21"/>
              </w:rPr>
            </w:pPr>
            <w:r>
              <w:rPr>
                <w:rFonts w:cs="Times New Roman"/>
                <w:sz w:val="21"/>
                <w:szCs w:val="21"/>
              </w:rPr>
              <w:t>密度</w:t>
            </w:r>
          </w:p>
        </w:tc>
        <w:tc>
          <w:tcPr>
            <w:tcW w:w="3002"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相对密度（水</w:t>
            </w:r>
            <w:r>
              <w:rPr>
                <w:rFonts w:cs="Times New Roman"/>
                <w:sz w:val="21"/>
                <w:szCs w:val="21"/>
              </w:rPr>
              <w:t>=1</w:t>
            </w:r>
            <w:r>
              <w:rPr>
                <w:rFonts w:cs="Times New Roman"/>
                <w:sz w:val="21"/>
                <w:szCs w:val="21"/>
              </w:rPr>
              <w:t>）：</w:t>
            </w:r>
            <w:r>
              <w:rPr>
                <w:rFonts w:cs="Times New Roman"/>
                <w:sz w:val="21"/>
                <w:szCs w:val="21"/>
              </w:rPr>
              <w:t>0.42</w:t>
            </w:r>
            <w:r>
              <w:rPr>
                <w:rFonts w:cs="Times New Roman"/>
                <w:sz w:val="21"/>
                <w:szCs w:val="21"/>
              </w:rPr>
              <w:t>（</w:t>
            </w:r>
            <w:r>
              <w:rPr>
                <w:rFonts w:cs="Times New Roman"/>
                <w:sz w:val="21"/>
                <w:szCs w:val="21"/>
              </w:rPr>
              <w:t>-164℃</w:t>
            </w:r>
            <w:r>
              <w:rPr>
                <w:rFonts w:cs="Times New Roman"/>
                <w:sz w:val="21"/>
                <w:szCs w:val="21"/>
              </w:rPr>
              <w:t>）；相对蒸汽密度（空气</w:t>
            </w:r>
            <w:r>
              <w:rPr>
                <w:rFonts w:cs="Times New Roman"/>
                <w:sz w:val="21"/>
                <w:szCs w:val="21"/>
              </w:rPr>
              <w:t>=1</w:t>
            </w:r>
            <w:r>
              <w:rPr>
                <w:rFonts w:cs="Times New Roman"/>
                <w:sz w:val="21"/>
                <w:szCs w:val="21"/>
              </w:rPr>
              <w:t>）：</w:t>
            </w:r>
            <w:r>
              <w:rPr>
                <w:rFonts w:cs="Times New Roman"/>
                <w:sz w:val="21"/>
                <w:szCs w:val="21"/>
              </w:rPr>
              <w:t>0.6</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稳定性</w:t>
            </w:r>
          </w:p>
        </w:tc>
        <w:tc>
          <w:tcPr>
            <w:tcW w:w="2159"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稳定</w:t>
            </w:r>
          </w:p>
        </w:tc>
      </w:tr>
      <w:tr w:rsidR="00C645C9">
        <w:trPr>
          <w:trHeight w:val="340"/>
          <w:jc w:val="center"/>
        </w:trPr>
        <w:tc>
          <w:tcPr>
            <w:tcW w:w="858" w:type="dxa"/>
            <w:vMerge/>
            <w:tcBorders>
              <w:top w:val="single" w:sz="4" w:space="0" w:color="auto"/>
              <w:left w:val="single" w:sz="4" w:space="0" w:color="auto"/>
              <w:bottom w:val="single" w:sz="4" w:space="0" w:color="auto"/>
              <w:right w:val="single" w:sz="4" w:space="0" w:color="auto"/>
            </w:tcBorders>
            <w:vAlign w:val="center"/>
          </w:tcPr>
          <w:p w:rsidR="00C645C9" w:rsidRDefault="00C645C9">
            <w:pPr>
              <w:rPr>
                <w:rFonts w:cs="Times New Roman"/>
                <w:sz w:val="21"/>
                <w:szCs w:val="21"/>
              </w:rPr>
            </w:pPr>
          </w:p>
        </w:tc>
        <w:tc>
          <w:tcPr>
            <w:tcW w:w="1282" w:type="dxa"/>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jc w:val="center"/>
              <w:rPr>
                <w:rFonts w:cs="Times New Roman"/>
                <w:sz w:val="21"/>
                <w:szCs w:val="21"/>
              </w:rPr>
            </w:pPr>
            <w:r>
              <w:rPr>
                <w:rFonts w:cs="Times New Roman"/>
                <w:sz w:val="21"/>
                <w:szCs w:val="21"/>
              </w:rPr>
              <w:t>爆炸极限</w:t>
            </w:r>
          </w:p>
        </w:tc>
        <w:tc>
          <w:tcPr>
            <w:tcW w:w="3002" w:type="dxa"/>
            <w:gridSpan w:val="3"/>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5</w:t>
            </w:r>
            <w:r>
              <w:rPr>
                <w:rFonts w:cs="Times New Roman" w:hint="eastAsia"/>
                <w:sz w:val="21"/>
                <w:szCs w:val="21"/>
              </w:rPr>
              <w:t>%</w:t>
            </w:r>
            <w:r>
              <w:rPr>
                <w:rFonts w:cs="Times New Roman" w:hint="eastAsia"/>
                <w:sz w:val="21"/>
                <w:szCs w:val="21"/>
              </w:rPr>
              <w:t>～</w:t>
            </w:r>
            <w:r>
              <w:rPr>
                <w:rFonts w:cs="Times New Roman"/>
                <w:sz w:val="21"/>
                <w:szCs w:val="21"/>
              </w:rPr>
              <w:t>15%</w:t>
            </w:r>
            <w:r>
              <w:rPr>
                <w:rFonts w:cs="Times New Roman"/>
                <w:sz w:val="21"/>
                <w:szCs w:val="21"/>
              </w:rPr>
              <w:t>（</w:t>
            </w:r>
            <w:r>
              <w:rPr>
                <w:rFonts w:cs="Times New Roman"/>
                <w:sz w:val="21"/>
                <w:szCs w:val="21"/>
              </w:rPr>
              <w:t>V%</w:t>
            </w:r>
            <w:r>
              <w:rPr>
                <w:rFonts w:cs="Times New Roman"/>
                <w:sz w:val="21"/>
                <w:szCs w:val="21"/>
              </w:rPr>
              <w:t>）</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引燃温度</w:t>
            </w:r>
          </w:p>
        </w:tc>
        <w:tc>
          <w:tcPr>
            <w:tcW w:w="2159" w:type="dxa"/>
            <w:tcBorders>
              <w:top w:val="single" w:sz="4" w:space="0" w:color="auto"/>
              <w:left w:val="single" w:sz="4" w:space="0" w:color="auto"/>
              <w:bottom w:val="single" w:sz="4" w:space="0" w:color="auto"/>
              <w:right w:val="single" w:sz="4" w:space="0" w:color="auto"/>
            </w:tcBorders>
            <w:vAlign w:val="center"/>
          </w:tcPr>
          <w:p w:rsidR="00C645C9" w:rsidRDefault="00F955D9">
            <w:pPr>
              <w:topLinePunct/>
              <w:jc w:val="center"/>
              <w:rPr>
                <w:rFonts w:cs="Times New Roman"/>
                <w:sz w:val="21"/>
                <w:szCs w:val="21"/>
              </w:rPr>
            </w:pPr>
            <w:r>
              <w:rPr>
                <w:rFonts w:cs="Times New Roman"/>
                <w:sz w:val="21"/>
                <w:szCs w:val="21"/>
              </w:rPr>
              <w:t>537℃</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稳定性和反应活性</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稳定性：稳定；禁配物：强氧化剂、强酸、强碱、卤素；避免接触的条件：高热，火源和不相容物质；聚合危害：不发生；分解产物：一氧化碳、二氧化碳。</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毒理学</w:t>
            </w:r>
          </w:p>
          <w:p w:rsidR="00C645C9" w:rsidRDefault="00F955D9">
            <w:pPr>
              <w:topLinePunct/>
              <w:jc w:val="center"/>
              <w:rPr>
                <w:rFonts w:cs="Times New Roman"/>
                <w:sz w:val="21"/>
                <w:szCs w:val="21"/>
              </w:rPr>
            </w:pPr>
            <w:r>
              <w:rPr>
                <w:rFonts w:cs="Times New Roman"/>
                <w:sz w:val="21"/>
                <w:szCs w:val="21"/>
              </w:rPr>
              <w:t>资料</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LD50</w:t>
            </w:r>
            <w:r>
              <w:rPr>
                <w:rFonts w:cs="Times New Roman"/>
                <w:sz w:val="21"/>
                <w:szCs w:val="21"/>
              </w:rPr>
              <w:t>：</w:t>
            </w:r>
            <w:r>
              <w:rPr>
                <w:rFonts w:cs="Times New Roman"/>
                <w:sz w:val="21"/>
                <w:szCs w:val="21"/>
              </w:rPr>
              <w:t>LC</w:t>
            </w:r>
            <w:r>
              <w:rPr>
                <w:rFonts w:cs="Times New Roman"/>
                <w:sz w:val="21"/>
                <w:szCs w:val="21"/>
                <w:vertAlign w:val="subscript"/>
              </w:rPr>
              <w:t>50</w:t>
            </w:r>
            <w:r>
              <w:rPr>
                <w:rFonts w:cs="Times New Roman"/>
                <w:sz w:val="21"/>
                <w:szCs w:val="21"/>
              </w:rPr>
              <w:t>：</w:t>
            </w:r>
            <w:r>
              <w:rPr>
                <w:rFonts w:cs="Times New Roman"/>
                <w:sz w:val="21"/>
                <w:szCs w:val="21"/>
              </w:rPr>
              <w:t>50%</w:t>
            </w:r>
            <w:r>
              <w:rPr>
                <w:rFonts w:cs="Times New Roman"/>
                <w:sz w:val="21"/>
                <w:szCs w:val="21"/>
              </w:rPr>
              <w:t>（小鼠吸入，</w:t>
            </w:r>
            <w:r>
              <w:rPr>
                <w:rFonts w:cs="Times New Roman"/>
                <w:sz w:val="21"/>
                <w:szCs w:val="21"/>
              </w:rPr>
              <w:t>2h</w:t>
            </w:r>
            <w:r>
              <w:rPr>
                <w:rFonts w:cs="Times New Roman"/>
                <w:sz w:val="21"/>
                <w:szCs w:val="21"/>
              </w:rPr>
              <w:t>）。</w:t>
            </w:r>
          </w:p>
          <w:p w:rsidR="00C645C9" w:rsidRDefault="00F955D9">
            <w:pPr>
              <w:topLinePunct/>
              <w:rPr>
                <w:rFonts w:cs="Times New Roman"/>
                <w:sz w:val="21"/>
                <w:szCs w:val="21"/>
              </w:rPr>
            </w:pPr>
            <w:r>
              <w:rPr>
                <w:rFonts w:cs="Times New Roman"/>
                <w:sz w:val="21"/>
                <w:szCs w:val="21"/>
              </w:rPr>
              <w:t>LC50</w:t>
            </w:r>
            <w:r>
              <w:rPr>
                <w:rFonts w:cs="Times New Roman"/>
                <w:sz w:val="21"/>
                <w:szCs w:val="21"/>
              </w:rPr>
              <w:t>：无资料。</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生态学资料</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hint="eastAsia"/>
                <w:sz w:val="21"/>
                <w:szCs w:val="21"/>
              </w:rPr>
              <w:t>其他有害</w:t>
            </w:r>
            <w:r>
              <w:rPr>
                <w:rFonts w:cs="Times New Roman"/>
                <w:sz w:val="21"/>
                <w:szCs w:val="21"/>
              </w:rPr>
              <w:t>作用：温室气体。应特别注意对地表水、土壤、大气和饮用水的污染。</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废弃</w:t>
            </w:r>
          </w:p>
          <w:p w:rsidR="00C645C9" w:rsidRDefault="00F955D9">
            <w:pPr>
              <w:topLinePunct/>
              <w:jc w:val="center"/>
              <w:rPr>
                <w:rFonts w:cs="Times New Roman"/>
                <w:sz w:val="21"/>
                <w:szCs w:val="21"/>
              </w:rPr>
            </w:pPr>
            <w:r>
              <w:rPr>
                <w:rFonts w:cs="Times New Roman"/>
                <w:sz w:val="21"/>
                <w:szCs w:val="21"/>
              </w:rPr>
              <w:t>处置</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废弃物性质：危险废物。</w:t>
            </w:r>
          </w:p>
          <w:p w:rsidR="00C645C9" w:rsidRDefault="00F955D9">
            <w:pPr>
              <w:topLinePunct/>
              <w:rPr>
                <w:rFonts w:cs="Times New Roman"/>
                <w:sz w:val="21"/>
                <w:szCs w:val="21"/>
              </w:rPr>
            </w:pPr>
            <w:r>
              <w:rPr>
                <w:rFonts w:cs="Times New Roman"/>
                <w:sz w:val="21"/>
                <w:szCs w:val="21"/>
              </w:rPr>
              <w:t>废弃处置方法：建议用焚烧法处置。</w:t>
            </w:r>
          </w:p>
          <w:p w:rsidR="00C645C9" w:rsidRDefault="00F955D9">
            <w:pPr>
              <w:topLinePunct/>
              <w:rPr>
                <w:rFonts w:cs="Times New Roman"/>
                <w:sz w:val="21"/>
                <w:szCs w:val="21"/>
              </w:rPr>
            </w:pPr>
            <w:r>
              <w:rPr>
                <w:rFonts w:cs="Times New Roman"/>
                <w:sz w:val="21"/>
                <w:szCs w:val="21"/>
              </w:rPr>
              <w:t>废弃注意事项：处置前应参阅国家和地方有关法规。把倒空的容器归还厂商或在规定场所掩埋。</w:t>
            </w:r>
          </w:p>
        </w:tc>
      </w:tr>
      <w:tr w:rsidR="00C645C9">
        <w:trPr>
          <w:trHeight w:val="340"/>
          <w:jc w:val="center"/>
        </w:trPr>
        <w:tc>
          <w:tcPr>
            <w:tcW w:w="85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C645C9" w:rsidRDefault="00F955D9">
            <w:pPr>
              <w:topLinePunct/>
              <w:jc w:val="center"/>
              <w:rPr>
                <w:rFonts w:cs="Times New Roman"/>
                <w:sz w:val="21"/>
                <w:szCs w:val="21"/>
              </w:rPr>
            </w:pPr>
            <w:r>
              <w:rPr>
                <w:rFonts w:cs="Times New Roman"/>
                <w:sz w:val="21"/>
                <w:szCs w:val="21"/>
              </w:rPr>
              <w:t>运输</w:t>
            </w:r>
          </w:p>
          <w:p w:rsidR="00C645C9" w:rsidRDefault="00F955D9">
            <w:pPr>
              <w:topLinePunct/>
              <w:jc w:val="center"/>
              <w:rPr>
                <w:rFonts w:cs="Times New Roman"/>
                <w:sz w:val="21"/>
                <w:szCs w:val="21"/>
              </w:rPr>
            </w:pPr>
            <w:r>
              <w:rPr>
                <w:rFonts w:cs="Times New Roman"/>
                <w:sz w:val="21"/>
                <w:szCs w:val="21"/>
              </w:rPr>
              <w:t>信息</w:t>
            </w:r>
          </w:p>
        </w:tc>
        <w:tc>
          <w:tcPr>
            <w:tcW w:w="7586" w:type="dxa"/>
            <w:gridSpan w:val="7"/>
            <w:tcBorders>
              <w:top w:val="single" w:sz="4" w:space="0" w:color="auto"/>
              <w:left w:val="single" w:sz="4" w:space="0" w:color="auto"/>
              <w:bottom w:val="single" w:sz="4" w:space="0" w:color="auto"/>
              <w:right w:val="single" w:sz="4" w:space="0" w:color="auto"/>
            </w:tcBorders>
            <w:tcMar>
              <w:top w:w="28" w:type="dxa"/>
              <w:left w:w="11" w:type="dxa"/>
              <w:bottom w:w="28" w:type="dxa"/>
              <w:right w:w="11" w:type="dxa"/>
            </w:tcMar>
            <w:vAlign w:val="center"/>
          </w:tcPr>
          <w:p w:rsidR="00C645C9" w:rsidRDefault="00F955D9">
            <w:pPr>
              <w:topLinePunct/>
              <w:rPr>
                <w:rFonts w:cs="Times New Roman"/>
                <w:sz w:val="21"/>
                <w:szCs w:val="21"/>
              </w:rPr>
            </w:pPr>
            <w:r>
              <w:rPr>
                <w:rFonts w:cs="Times New Roman"/>
                <w:sz w:val="21"/>
                <w:szCs w:val="21"/>
              </w:rPr>
              <w:t>运输注意事项：采用钢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w:t>
            </w:r>
            <w:r>
              <w:rPr>
                <w:rFonts w:cs="Times New Roman" w:hint="eastAsia"/>
                <w:sz w:val="21"/>
                <w:szCs w:val="21"/>
              </w:rPr>
              <w:t>暴晒</w:t>
            </w:r>
            <w:r>
              <w:rPr>
                <w:rFonts w:cs="Times New Roman"/>
                <w:sz w:val="21"/>
                <w:szCs w:val="21"/>
              </w:rPr>
              <w:t>。中途停留时应远离火种、热源。公路运输时要按规定路线行驶，勿在居民区和人口稠密区停留。铁路运输时要禁止溜放。</w:t>
            </w:r>
          </w:p>
        </w:tc>
      </w:tr>
    </w:tbl>
    <w:bookmarkStart w:id="1707" w:name="_Hlk69833141"/>
    <w:p w:rsidR="00C645C9" w:rsidRDefault="00F955D9">
      <w:pPr>
        <w:adjustRightInd w:val="0"/>
        <w:snapToGrid w:val="0"/>
        <w:spacing w:line="360" w:lineRule="auto"/>
        <w:ind w:firstLineChars="200" w:firstLine="480"/>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t>②</w:t>
      </w:r>
      <w:r>
        <w:rPr>
          <w:rFonts w:cs="Times New Roman"/>
        </w:rPr>
        <w:fldChar w:fldCharType="end"/>
      </w:r>
      <w:r>
        <w:rPr>
          <w:rFonts w:cs="Times New Roman" w:hint="eastAsia"/>
        </w:rPr>
        <w:t>凝析油</w:t>
      </w:r>
    </w:p>
    <w:p w:rsidR="00C645C9" w:rsidRDefault="00F955D9">
      <w:pPr>
        <w:adjustRightInd w:val="0"/>
        <w:snapToGrid w:val="0"/>
        <w:spacing w:line="360" w:lineRule="auto"/>
        <w:ind w:firstLineChars="200" w:firstLine="480"/>
        <w:rPr>
          <w:rFonts w:cs="Times New Roman"/>
          <w:b/>
        </w:rPr>
      </w:pPr>
      <w:bookmarkStart w:id="1708" w:name="OLE_LINK1013"/>
      <w:r>
        <w:rPr>
          <w:rFonts w:cs="Times New Roman"/>
        </w:rPr>
        <w:t>新北</w:t>
      </w:r>
      <w:r>
        <w:rPr>
          <w:rFonts w:cs="Times New Roman" w:hint="eastAsia"/>
        </w:rPr>
        <w:t>井区</w:t>
      </w:r>
      <w:bookmarkEnd w:id="1708"/>
      <w:r>
        <w:rPr>
          <w:rFonts w:cs="Times New Roman"/>
          <w:bCs/>
          <w:szCs w:val="18"/>
        </w:rPr>
        <w:t>油藏</w:t>
      </w:r>
      <w:r>
        <w:rPr>
          <w:rFonts w:cs="Times New Roman" w:hint="eastAsia"/>
          <w:bCs/>
          <w:szCs w:val="18"/>
        </w:rPr>
        <w:t>中的</w:t>
      </w:r>
      <w:r>
        <w:rPr>
          <w:rFonts w:cs="Times New Roman"/>
        </w:rPr>
        <w:t>凝析油地面密度平均为</w:t>
      </w:r>
      <w:r>
        <w:rPr>
          <w:rFonts w:cs="Times New Roman"/>
        </w:rPr>
        <w:t>0.7724g/cm</w:t>
      </w:r>
      <w:r>
        <w:rPr>
          <w:rFonts w:cs="Times New Roman"/>
          <w:vertAlign w:val="superscript"/>
        </w:rPr>
        <w:t>3</w:t>
      </w:r>
      <w:r>
        <w:rPr>
          <w:rFonts w:cs="Times New Roman"/>
        </w:rPr>
        <w:t>；运动粘度平均为</w:t>
      </w:r>
      <w:r>
        <w:rPr>
          <w:rFonts w:cs="Times New Roman"/>
        </w:rPr>
        <w:t>1.74mm</w:t>
      </w:r>
      <w:r>
        <w:rPr>
          <w:rFonts w:cs="Times New Roman"/>
          <w:vertAlign w:val="superscript"/>
        </w:rPr>
        <w:t>2</w:t>
      </w:r>
      <w:r>
        <w:rPr>
          <w:rFonts w:cs="Times New Roman"/>
        </w:rPr>
        <w:t>/s</w:t>
      </w:r>
      <w:r>
        <w:rPr>
          <w:rFonts w:cs="Times New Roman"/>
        </w:rPr>
        <w:t>；含硫量为</w:t>
      </w:r>
      <w:r>
        <w:rPr>
          <w:rFonts w:cs="Times New Roman"/>
        </w:rPr>
        <w:t>0.04%</w:t>
      </w:r>
      <w:r>
        <w:rPr>
          <w:rFonts w:cs="Times New Roman"/>
        </w:rPr>
        <w:t>；含蜡量一般为</w:t>
      </w:r>
      <w:r>
        <w:rPr>
          <w:rFonts w:cs="Times New Roman"/>
        </w:rPr>
        <w:t>2.72%</w:t>
      </w:r>
      <w:r>
        <w:rPr>
          <w:rFonts w:cs="Times New Roman"/>
        </w:rPr>
        <w:t>，凝固点为</w:t>
      </w:r>
      <w:r>
        <w:rPr>
          <w:rFonts w:cs="Times New Roman"/>
        </w:rPr>
        <w:t>6.5℃</w:t>
      </w:r>
      <w:r>
        <w:rPr>
          <w:rFonts w:cs="Times New Roman"/>
        </w:rPr>
        <w:t>。根据凝析</w:t>
      </w:r>
      <w:r>
        <w:rPr>
          <w:rFonts w:cs="Times New Roman"/>
        </w:rPr>
        <w:lastRenderedPageBreak/>
        <w:t>油物性分类标准，预测凝析油属于低密度、低粘度、低含硫、高含蜡的凝析油</w:t>
      </w:r>
      <w:r>
        <w:rPr>
          <w:rFonts w:cs="Times New Roman"/>
        </w:rPr>
        <w:t>。</w:t>
      </w:r>
      <w:r>
        <w:rPr>
          <w:rFonts w:cs="Times New Roman" w:hint="eastAsia"/>
        </w:rPr>
        <w:t>凝析油</w:t>
      </w:r>
      <w:r>
        <w:rPr>
          <w:rFonts w:cs="Times New Roman"/>
        </w:rPr>
        <w:t>理化性质及危险危害特性详见表</w:t>
      </w:r>
      <w:r>
        <w:rPr>
          <w:rFonts w:cs="Times New Roman" w:hint="eastAsia"/>
        </w:rPr>
        <w:t>5.8-</w:t>
      </w:r>
      <w:r>
        <w:rPr>
          <w:rFonts w:cs="Times New Roman" w:hint="eastAsia"/>
        </w:rPr>
        <w:t>6</w:t>
      </w:r>
      <w:r>
        <w:rPr>
          <w:rFonts w:cs="Times New Roman" w:hint="eastAsia"/>
        </w:rPr>
        <w:t>。</w:t>
      </w:r>
    </w:p>
    <w:p w:rsidR="00C645C9" w:rsidRDefault="00F955D9">
      <w:pPr>
        <w:pStyle w:val="af7"/>
        <w:ind w:left="-6" w:firstLine="561"/>
        <w:outlineLvl w:val="9"/>
      </w:pPr>
      <w:r>
        <w:t>表</w:t>
      </w:r>
      <w:bookmarkStart w:id="1709" w:name="OLE_LINK718"/>
      <w:r>
        <w:t>5.8-</w:t>
      </w:r>
      <w:bookmarkEnd w:id="1709"/>
      <w:r>
        <w:rPr>
          <w:rFonts w:hint="eastAsia"/>
        </w:rPr>
        <w:t>6</w:t>
      </w:r>
      <w:r>
        <w:rPr>
          <w:rFonts w:hint="eastAsia"/>
        </w:rPr>
        <w:t xml:space="preserve">   </w:t>
      </w:r>
      <w:bookmarkStart w:id="1710" w:name="OLE_LINK717"/>
      <w:r>
        <w:rPr>
          <w:rFonts w:hint="eastAsia"/>
        </w:rPr>
        <w:t>凝析油</w:t>
      </w:r>
      <w:bookmarkEnd w:id="1710"/>
      <w:r>
        <w:t>理化性质、危险危害特性及防护措施表</w:t>
      </w:r>
    </w:p>
    <w:tbl>
      <w:tblPr>
        <w:tblW w:w="519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 w:type="dxa"/>
          <w:right w:w="11" w:type="dxa"/>
        </w:tblCellMar>
        <w:tblLook w:val="04A0" w:firstRow="1" w:lastRow="0" w:firstColumn="1" w:lastColumn="0" w:noHBand="0" w:noVBand="1"/>
      </w:tblPr>
      <w:tblGrid>
        <w:gridCol w:w="886"/>
        <w:gridCol w:w="1262"/>
        <w:gridCol w:w="2420"/>
        <w:gridCol w:w="1362"/>
        <w:gridCol w:w="2767"/>
      </w:tblGrid>
      <w:tr w:rsidR="00C645C9">
        <w:trPr>
          <w:trHeight w:val="340"/>
          <w:jc w:val="center"/>
        </w:trPr>
        <w:tc>
          <w:tcPr>
            <w:tcW w:w="509" w:type="pct"/>
            <w:vMerge w:val="restar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化学品</w:t>
            </w:r>
          </w:p>
          <w:p w:rsidR="00C645C9" w:rsidRDefault="00F955D9">
            <w:pPr>
              <w:widowControl w:val="0"/>
              <w:jc w:val="center"/>
              <w:rPr>
                <w:rFonts w:cs="Times New Roman"/>
                <w:sz w:val="21"/>
                <w:szCs w:val="21"/>
              </w:rPr>
            </w:pPr>
            <w:r>
              <w:rPr>
                <w:rFonts w:cs="Times New Roman"/>
                <w:sz w:val="21"/>
                <w:szCs w:val="21"/>
              </w:rPr>
              <w:t>名称</w:t>
            </w:r>
          </w:p>
        </w:tc>
        <w:tc>
          <w:tcPr>
            <w:tcW w:w="725"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化学品中文名称</w:t>
            </w:r>
          </w:p>
        </w:tc>
        <w:tc>
          <w:tcPr>
            <w:tcW w:w="3764" w:type="pct"/>
            <w:gridSpan w:val="3"/>
            <w:tcBorders>
              <w:tl2br w:val="nil"/>
              <w:tr2bl w:val="nil"/>
            </w:tcBorders>
            <w:tcMar>
              <w:top w:w="0" w:type="dxa"/>
              <w:left w:w="57" w:type="dxa"/>
              <w:bottom w:w="0" w:type="dxa"/>
              <w:right w:w="57" w:type="dxa"/>
            </w:tcMar>
            <w:vAlign w:val="center"/>
          </w:tcPr>
          <w:p w:rsidR="00C645C9" w:rsidRDefault="00F955D9">
            <w:pPr>
              <w:widowControl w:val="0"/>
              <w:jc w:val="center"/>
              <w:rPr>
                <w:rFonts w:cs="Times New Roman"/>
                <w:sz w:val="21"/>
                <w:szCs w:val="21"/>
              </w:rPr>
            </w:pPr>
            <w:r>
              <w:rPr>
                <w:rFonts w:cs="Times New Roman"/>
                <w:sz w:val="21"/>
                <w:szCs w:val="21"/>
              </w:rPr>
              <w:t>凝析油</w:t>
            </w:r>
          </w:p>
        </w:tc>
      </w:tr>
      <w:tr w:rsidR="00C645C9">
        <w:trPr>
          <w:trHeight w:val="340"/>
          <w:jc w:val="center"/>
        </w:trPr>
        <w:tc>
          <w:tcPr>
            <w:tcW w:w="509" w:type="pct"/>
            <w:vMerge/>
            <w:tcBorders>
              <w:tl2br w:val="nil"/>
              <w:tr2bl w:val="nil"/>
            </w:tcBorders>
            <w:vAlign w:val="center"/>
          </w:tcPr>
          <w:p w:rsidR="00C645C9" w:rsidRDefault="00C645C9">
            <w:pPr>
              <w:widowControl w:val="0"/>
              <w:jc w:val="center"/>
              <w:rPr>
                <w:rFonts w:cs="Times New Roman"/>
                <w:sz w:val="21"/>
                <w:szCs w:val="21"/>
              </w:rPr>
            </w:pPr>
          </w:p>
        </w:tc>
        <w:tc>
          <w:tcPr>
            <w:tcW w:w="725"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化学品英文名称</w:t>
            </w:r>
          </w:p>
        </w:tc>
        <w:tc>
          <w:tcPr>
            <w:tcW w:w="3764" w:type="pct"/>
            <w:gridSpan w:val="3"/>
            <w:tcBorders>
              <w:tl2br w:val="nil"/>
              <w:tr2bl w:val="nil"/>
            </w:tcBorders>
            <w:tcMar>
              <w:top w:w="0" w:type="dxa"/>
              <w:left w:w="57" w:type="dxa"/>
              <w:bottom w:w="0" w:type="dxa"/>
              <w:right w:w="57" w:type="dxa"/>
            </w:tcMar>
            <w:vAlign w:val="center"/>
          </w:tcPr>
          <w:p w:rsidR="00C645C9" w:rsidRDefault="00F955D9">
            <w:pPr>
              <w:widowControl w:val="0"/>
              <w:jc w:val="center"/>
              <w:rPr>
                <w:rFonts w:cs="Times New Roman"/>
                <w:sz w:val="21"/>
                <w:szCs w:val="21"/>
              </w:rPr>
            </w:pPr>
            <w:r>
              <w:rPr>
                <w:rFonts w:cs="Times New Roman"/>
                <w:sz w:val="21"/>
                <w:szCs w:val="21"/>
              </w:rPr>
              <w:t>Grudl oil</w:t>
            </w:r>
          </w:p>
        </w:tc>
      </w:tr>
      <w:tr w:rsidR="00C645C9">
        <w:trPr>
          <w:trHeight w:val="340"/>
          <w:jc w:val="center"/>
        </w:trPr>
        <w:tc>
          <w:tcPr>
            <w:tcW w:w="50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组成</w:t>
            </w:r>
            <w:r>
              <w:rPr>
                <w:rFonts w:cs="Times New Roman"/>
                <w:sz w:val="21"/>
                <w:szCs w:val="21"/>
              </w:rPr>
              <w:t>/</w:t>
            </w:r>
            <w:r>
              <w:rPr>
                <w:rFonts w:cs="Times New Roman"/>
                <w:sz w:val="21"/>
                <w:szCs w:val="21"/>
              </w:rPr>
              <w:t>组分信息</w:t>
            </w:r>
          </w:p>
        </w:tc>
        <w:tc>
          <w:tcPr>
            <w:tcW w:w="4490" w:type="pct"/>
            <w:gridSpan w:val="4"/>
            <w:tcBorders>
              <w:tl2br w:val="nil"/>
              <w:tr2bl w:val="nil"/>
            </w:tcBorders>
            <w:tcMar>
              <w:top w:w="28" w:type="dxa"/>
              <w:left w:w="57" w:type="dxa"/>
              <w:bottom w:w="28" w:type="dxa"/>
              <w:right w:w="57" w:type="dxa"/>
            </w:tcMar>
            <w:vAlign w:val="center"/>
          </w:tcPr>
          <w:p w:rsidR="00C645C9" w:rsidRDefault="00F955D9">
            <w:pPr>
              <w:widowControl w:val="0"/>
              <w:rPr>
                <w:rFonts w:cs="Times New Roman"/>
                <w:sz w:val="21"/>
                <w:szCs w:val="21"/>
              </w:rPr>
            </w:pPr>
            <w:r>
              <w:rPr>
                <w:rFonts w:cs="Times New Roman"/>
                <w:sz w:val="21"/>
                <w:szCs w:val="21"/>
              </w:rPr>
              <w:t>烷烃、环烷烃、芳香烃和烯烃等多种液态烃的混合物。主要成分是碳和氢两种元素，分别占</w:t>
            </w:r>
            <w:r>
              <w:rPr>
                <w:rFonts w:cs="Times New Roman"/>
                <w:sz w:val="21"/>
                <w:szCs w:val="21"/>
              </w:rPr>
              <w:t>83</w:t>
            </w:r>
            <w:r>
              <w:rPr>
                <w:rFonts w:cs="Times New Roman" w:hint="eastAsia"/>
                <w:sz w:val="21"/>
                <w:szCs w:val="21"/>
              </w:rPr>
              <w:t>%</w:t>
            </w:r>
            <w:r>
              <w:rPr>
                <w:rFonts w:cs="Times New Roman" w:hint="eastAsia"/>
                <w:sz w:val="21"/>
                <w:szCs w:val="21"/>
              </w:rPr>
              <w:t>～</w:t>
            </w:r>
            <w:r>
              <w:rPr>
                <w:rFonts w:cs="Times New Roman"/>
                <w:sz w:val="21"/>
                <w:szCs w:val="21"/>
              </w:rPr>
              <w:t>87%</w:t>
            </w:r>
            <w:r>
              <w:rPr>
                <w:rFonts w:cs="Times New Roman"/>
                <w:sz w:val="21"/>
                <w:szCs w:val="21"/>
              </w:rPr>
              <w:t>和</w:t>
            </w:r>
            <w:r>
              <w:rPr>
                <w:rFonts w:cs="Times New Roman"/>
                <w:sz w:val="21"/>
                <w:szCs w:val="21"/>
              </w:rPr>
              <w:t>11</w:t>
            </w:r>
            <w:r>
              <w:rPr>
                <w:rFonts w:cs="Times New Roman" w:hint="eastAsia"/>
                <w:sz w:val="21"/>
                <w:szCs w:val="21"/>
              </w:rPr>
              <w:t>%</w:t>
            </w:r>
            <w:r>
              <w:rPr>
                <w:rFonts w:cs="Times New Roman" w:hint="eastAsia"/>
                <w:sz w:val="21"/>
                <w:szCs w:val="21"/>
              </w:rPr>
              <w:t>～</w:t>
            </w:r>
            <w:r>
              <w:rPr>
                <w:rFonts w:cs="Times New Roman"/>
                <w:sz w:val="21"/>
                <w:szCs w:val="21"/>
              </w:rPr>
              <w:t>14%</w:t>
            </w:r>
            <w:r>
              <w:rPr>
                <w:rFonts w:cs="Times New Roman"/>
                <w:sz w:val="21"/>
                <w:szCs w:val="21"/>
              </w:rPr>
              <w:t>；还有少量的硫、氧、氮和微量的磷、砷、钾、钠、钙、镁、镍、铁、钒等元素。</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危险</w:t>
            </w:r>
          </w:p>
          <w:p w:rsidR="00C645C9" w:rsidRDefault="00F955D9">
            <w:pPr>
              <w:widowControl w:val="0"/>
              <w:jc w:val="center"/>
              <w:rPr>
                <w:rFonts w:cs="Times New Roman"/>
                <w:sz w:val="21"/>
                <w:szCs w:val="21"/>
              </w:rPr>
            </w:pPr>
            <w:r>
              <w:rPr>
                <w:rFonts w:cs="Times New Roman"/>
                <w:sz w:val="21"/>
                <w:szCs w:val="21"/>
              </w:rPr>
              <w:t>特性</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危险性类别：第</w:t>
            </w:r>
            <w:r>
              <w:rPr>
                <w:rFonts w:cs="Times New Roman"/>
                <w:sz w:val="21"/>
                <w:szCs w:val="21"/>
              </w:rPr>
              <w:t>3.2</w:t>
            </w:r>
            <w:r>
              <w:rPr>
                <w:rFonts w:cs="Times New Roman"/>
                <w:sz w:val="21"/>
                <w:szCs w:val="21"/>
              </w:rPr>
              <w:t>类中闪点液体。侵入途径：吸入、食入、经皮吸收。健康危害：液体有强烈刺激性。食入可引起恶心、疼痛和呕吐，引起黏膜水肿和溃疡症状，包括口腔和咽喉灼烧感；较大的剂量可引起恶心、呕吐、麻醉、无力、头晕、呼吸表浅、腹痛、抽搐和意识丧失；可引起心律失常、室颤和心电图改变；可发生中枢神经系统抑制。眼睛接触本品可引起刺激，长期接触引起炎症。皮肤长期或持续接触液体可引起脱脂，伴随干燥、破裂、刺激和皮炎。</w:t>
            </w:r>
            <w:r>
              <w:rPr>
                <w:rFonts w:cs="Times New Roman" w:hint="eastAsia"/>
                <w:sz w:val="21"/>
                <w:szCs w:val="21"/>
              </w:rPr>
              <w:t>蒸汽</w:t>
            </w:r>
            <w:r>
              <w:rPr>
                <w:rFonts w:cs="Times New Roman"/>
                <w:sz w:val="21"/>
                <w:szCs w:val="21"/>
              </w:rPr>
              <w:t>对上呼吸道有刺激性。高温时吸入伤害加重。吸入高浓度蒸气的急性影响是肺部刺激症状，包括咳嗽伴有恶心；中</w:t>
            </w:r>
            <w:r>
              <w:rPr>
                <w:rFonts w:cs="Times New Roman"/>
                <w:sz w:val="21"/>
                <w:szCs w:val="21"/>
              </w:rPr>
              <w:t>枢神经抑制表现为头痛、头晕、兴奋、视力模糊、反应迟钝、疲乏和共济失调。长时间暴露于高浓度蒸气中可导致麻醉、神志不清，甚至昏迷和死亡。吸入高浓度的油雾可引起油性肺炎。慢性影响：长时间接触可引起支气管炎和肺水肿。长期皮肤接触可造成皮肤干燥、皲裂和发红。影响神经系统、骨髓机能等。环境危害：造成大气，河流，湖泊，海洋，土壤等污染。燃爆危险：易燃。遇到高热，火星或火苗极易引起燃烧爆炸。</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急救</w:t>
            </w:r>
          </w:p>
          <w:p w:rsidR="00C645C9" w:rsidRDefault="00F955D9">
            <w:pPr>
              <w:widowControl w:val="0"/>
              <w:jc w:val="center"/>
              <w:rPr>
                <w:rFonts w:cs="Times New Roman"/>
                <w:sz w:val="21"/>
                <w:szCs w:val="21"/>
              </w:rPr>
            </w:pPr>
            <w:r>
              <w:rPr>
                <w:rFonts w:cs="Times New Roman"/>
                <w:sz w:val="21"/>
                <w:szCs w:val="21"/>
              </w:rPr>
              <w:t>措施</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皮肤接触：立即脱去污染的衣着，用肥皂水和清水彻底冲洗皮肤。如有不适感，就医。</w:t>
            </w:r>
          </w:p>
          <w:p w:rsidR="00C645C9" w:rsidRDefault="00F955D9">
            <w:pPr>
              <w:widowControl w:val="0"/>
              <w:rPr>
                <w:rFonts w:cs="Times New Roman"/>
                <w:sz w:val="21"/>
                <w:szCs w:val="21"/>
              </w:rPr>
            </w:pPr>
            <w:r>
              <w:rPr>
                <w:rFonts w:cs="Times New Roman"/>
                <w:sz w:val="21"/>
                <w:szCs w:val="21"/>
              </w:rPr>
              <w:t>眼睛接触：立即提起眼睑，用大量流动清水或生理盐水冲洗。如有不适感，就医。眼睛受伤后，应由专业人员取出隐形眼镜。</w:t>
            </w:r>
          </w:p>
          <w:p w:rsidR="00C645C9" w:rsidRDefault="00F955D9">
            <w:pPr>
              <w:widowControl w:val="0"/>
              <w:rPr>
                <w:rFonts w:cs="Times New Roman"/>
                <w:sz w:val="21"/>
                <w:szCs w:val="21"/>
              </w:rPr>
            </w:pPr>
            <w:r>
              <w:rPr>
                <w:rFonts w:cs="Times New Roman"/>
                <w:sz w:val="21"/>
                <w:szCs w:val="21"/>
              </w:rPr>
              <w:t>吸入：迅速脱离现场至空气新鲜处。静卧、保暖。开始急救前，取出假牙等，防止阻塞气道。保持呼吸道通畅。如呼吸困难，给输氧。呼吸、心跳停止，立即进行心肺复苏术。就医。</w:t>
            </w:r>
          </w:p>
          <w:p w:rsidR="00C645C9" w:rsidRDefault="00F955D9">
            <w:pPr>
              <w:widowControl w:val="0"/>
              <w:rPr>
                <w:rFonts w:cs="Times New Roman"/>
                <w:sz w:val="21"/>
                <w:szCs w:val="21"/>
              </w:rPr>
            </w:pPr>
            <w:r>
              <w:rPr>
                <w:rFonts w:cs="Times New Roman"/>
                <w:sz w:val="21"/>
                <w:szCs w:val="21"/>
              </w:rPr>
              <w:t>食入：饮水，禁止催吐。保持呼吸道通畅，防止吸入呕吐物。禁止给嗜睡症状或知觉降低即正在失去知觉的病人服用液体。如有不适感，就医。</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消防</w:t>
            </w:r>
          </w:p>
          <w:p w:rsidR="00C645C9" w:rsidRDefault="00F955D9">
            <w:pPr>
              <w:widowControl w:val="0"/>
              <w:jc w:val="center"/>
              <w:rPr>
                <w:rFonts w:cs="Times New Roman"/>
                <w:sz w:val="21"/>
                <w:szCs w:val="21"/>
              </w:rPr>
            </w:pPr>
            <w:r>
              <w:rPr>
                <w:rFonts w:cs="Times New Roman"/>
                <w:sz w:val="21"/>
                <w:szCs w:val="21"/>
              </w:rPr>
              <w:t>措施</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危险特性：易燃，其蒸气与空气可形成爆炸性混合物，遇明火、高热极易燃烧爆炸。与氧化剂能发生强烈反应。流速过快，容易产生和积聚静电。其蒸气比空气重，沿地面扩散并易积存于低洼处，遇火源会着火回燃。</w:t>
            </w:r>
          </w:p>
          <w:p w:rsidR="00C645C9" w:rsidRDefault="00F955D9">
            <w:pPr>
              <w:widowControl w:val="0"/>
              <w:rPr>
                <w:rFonts w:cs="Times New Roman"/>
                <w:sz w:val="21"/>
                <w:szCs w:val="21"/>
              </w:rPr>
            </w:pPr>
            <w:r>
              <w:rPr>
                <w:rFonts w:cs="Times New Roman"/>
                <w:sz w:val="21"/>
                <w:szCs w:val="21"/>
              </w:rPr>
              <w:t>有害燃烧产物：一氧化碳、二氧化碳。</w:t>
            </w:r>
          </w:p>
          <w:p w:rsidR="00C645C9" w:rsidRDefault="00F955D9">
            <w:pPr>
              <w:widowControl w:val="0"/>
              <w:rPr>
                <w:rFonts w:cs="Times New Roman"/>
                <w:sz w:val="21"/>
                <w:szCs w:val="21"/>
              </w:rPr>
            </w:pPr>
            <w:r>
              <w:rPr>
                <w:rFonts w:cs="Times New Roman"/>
                <w:sz w:val="21"/>
                <w:szCs w:val="21"/>
              </w:rPr>
              <w:t>灭火方法：用泡沫、干粉、二氧化碳、砂土灭火。</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泄漏应急处理</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泄漏：用砂土或其他不燃材料吸收。使用洁净的无火花工具收集吸收材料。大量泄漏：构筑围堤或挖坑收容。用泡沫覆盖，</w:t>
            </w:r>
            <w:r>
              <w:rPr>
                <w:rFonts w:cs="Times New Roman"/>
                <w:sz w:val="21"/>
                <w:szCs w:val="21"/>
              </w:rPr>
              <w:lastRenderedPageBreak/>
              <w:t>减少蒸发。喷水雾能减少蒸发，但不能降低泄漏物在限制性空间内的易燃性。用防爆泵转移至槽车或专用收集器内。</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lastRenderedPageBreak/>
              <w:t>操作处置与储存</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操作注意事项：密闭</w:t>
            </w:r>
            <w:r>
              <w:rPr>
                <w:rFonts w:cs="Times New Roman"/>
                <w:sz w:val="21"/>
                <w:szCs w:val="21"/>
              </w:rPr>
              <w:t>操作，注意通风。操作人员必须经过专门培训，严格遵守操作规程。建议操作人员佩戴过滤式防毒面具，穿防静电工作服。远离火种、热源。工作场所严禁吸烟。使用防爆型的通风系统和设备。防止蒸气泄漏到工作场所空气中。避免与氧化剂接触。灌装时应控制流速，且有接地装置，防止静电积聚。在清除液体和蒸气前不能进行焊接、切割等作业。搬运时要轻装轻卸，防止包装及容器损坏。配备相应品种和数量的消防器材和泄漏应急处理设备。倒空的容器可能残留有害物。</w:t>
            </w:r>
          </w:p>
          <w:p w:rsidR="00C645C9" w:rsidRDefault="00F955D9">
            <w:pPr>
              <w:widowControl w:val="0"/>
              <w:rPr>
                <w:rFonts w:cs="Times New Roman"/>
                <w:sz w:val="21"/>
                <w:szCs w:val="21"/>
              </w:rPr>
            </w:pPr>
            <w:r>
              <w:rPr>
                <w:rFonts w:cs="Times New Roman"/>
                <w:sz w:val="21"/>
                <w:szCs w:val="21"/>
              </w:rPr>
              <w:t>储存注意事项：储存于阴凉、通风的库房。远离火种、热源。库温不宜超过</w:t>
            </w:r>
            <w:r>
              <w:rPr>
                <w:rFonts w:cs="Times New Roman"/>
                <w:sz w:val="21"/>
                <w:szCs w:val="21"/>
              </w:rPr>
              <w:t>30℃</w:t>
            </w:r>
            <w:r>
              <w:rPr>
                <w:rFonts w:cs="Times New Roman"/>
                <w:sz w:val="21"/>
                <w:szCs w:val="21"/>
              </w:rPr>
              <w:t>，保持容器密封。应</w:t>
            </w:r>
            <w:r>
              <w:rPr>
                <w:rFonts w:cs="Times New Roman"/>
                <w:sz w:val="21"/>
                <w:szCs w:val="21"/>
              </w:rPr>
              <w:t>与氧化剂分开存放，切忌混储。采用防爆型照明、通风设备。禁止使用易产生火花的机械设备和工具。储区应备有泄漏应急处理设备和合适的收容材料。</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接触控制</w:t>
            </w:r>
            <w:r>
              <w:rPr>
                <w:rFonts w:cs="Times New Roman"/>
                <w:sz w:val="21"/>
                <w:szCs w:val="21"/>
              </w:rPr>
              <w:t>/</w:t>
            </w:r>
            <w:r>
              <w:rPr>
                <w:rFonts w:cs="Times New Roman"/>
                <w:sz w:val="21"/>
                <w:szCs w:val="21"/>
              </w:rPr>
              <w:t>个体防护</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工程控制：工作现场严禁吸烟，避免长期反复接触，进入罐、限制性空间或其他</w:t>
            </w:r>
            <w:r>
              <w:rPr>
                <w:rFonts w:cs="Times New Roman" w:hint="eastAsia"/>
                <w:sz w:val="21"/>
                <w:szCs w:val="21"/>
              </w:rPr>
              <w:t>区域</w:t>
            </w:r>
            <w:r>
              <w:rPr>
                <w:rFonts w:cs="Times New Roman"/>
                <w:sz w:val="21"/>
                <w:szCs w:val="21"/>
              </w:rPr>
              <w:t>作业，须有人监护；生产过程密闭，加强通风；提供安全淋浴和洗眼设备。</w:t>
            </w:r>
          </w:p>
          <w:p w:rsidR="00C645C9" w:rsidRDefault="00F955D9">
            <w:pPr>
              <w:widowControl w:val="0"/>
              <w:rPr>
                <w:rFonts w:cs="Times New Roman"/>
                <w:sz w:val="21"/>
                <w:szCs w:val="21"/>
              </w:rPr>
            </w:pPr>
            <w:r>
              <w:rPr>
                <w:rFonts w:cs="Times New Roman"/>
                <w:sz w:val="21"/>
                <w:szCs w:val="21"/>
              </w:rPr>
              <w:t>呼吸系统防护：一般不需要特殊防护，高浓度接触时可佩戴过滤式防毒面具（半面罩）。</w:t>
            </w:r>
          </w:p>
          <w:p w:rsidR="00C645C9" w:rsidRDefault="00F955D9">
            <w:pPr>
              <w:widowControl w:val="0"/>
              <w:rPr>
                <w:rFonts w:cs="Times New Roman"/>
                <w:sz w:val="21"/>
                <w:szCs w:val="21"/>
              </w:rPr>
            </w:pPr>
            <w:r>
              <w:rPr>
                <w:rFonts w:cs="Times New Roman"/>
                <w:sz w:val="21"/>
                <w:szCs w:val="21"/>
              </w:rPr>
              <w:t>眼睛防护：一般不需要特殊防护，但建议在特殊情况下，戴化学安全防护眼镜。</w:t>
            </w:r>
          </w:p>
          <w:p w:rsidR="00C645C9" w:rsidRDefault="00F955D9">
            <w:pPr>
              <w:widowControl w:val="0"/>
              <w:rPr>
                <w:rFonts w:cs="Times New Roman"/>
                <w:sz w:val="21"/>
                <w:szCs w:val="21"/>
              </w:rPr>
            </w:pPr>
            <w:r>
              <w:rPr>
                <w:rFonts w:cs="Times New Roman"/>
                <w:sz w:val="21"/>
                <w:szCs w:val="21"/>
              </w:rPr>
              <w:t>身体防护：穿防静电工作服。</w:t>
            </w:r>
          </w:p>
          <w:p w:rsidR="00C645C9" w:rsidRDefault="00F955D9">
            <w:pPr>
              <w:widowControl w:val="0"/>
              <w:rPr>
                <w:rFonts w:cs="Times New Roman"/>
                <w:sz w:val="21"/>
                <w:szCs w:val="21"/>
              </w:rPr>
            </w:pPr>
            <w:r>
              <w:rPr>
                <w:rFonts w:cs="Times New Roman"/>
                <w:sz w:val="21"/>
                <w:szCs w:val="21"/>
              </w:rPr>
              <w:t>手防护：戴一般作业防护手套。</w:t>
            </w:r>
          </w:p>
          <w:p w:rsidR="00C645C9" w:rsidRDefault="00F955D9">
            <w:pPr>
              <w:widowControl w:val="0"/>
              <w:rPr>
                <w:rFonts w:cs="Times New Roman"/>
                <w:sz w:val="21"/>
                <w:szCs w:val="21"/>
              </w:rPr>
            </w:pPr>
            <w:r>
              <w:rPr>
                <w:rFonts w:cs="Times New Roman"/>
                <w:sz w:val="21"/>
                <w:szCs w:val="21"/>
              </w:rPr>
              <w:t>其</w:t>
            </w:r>
            <w:r>
              <w:rPr>
                <w:rFonts w:cs="Times New Roman"/>
                <w:sz w:val="21"/>
                <w:szCs w:val="21"/>
              </w:rPr>
              <w:t>他防护：工作现场禁止吸烟、进食和饮水。工作完毕，淋浴更衣。</w:t>
            </w:r>
          </w:p>
        </w:tc>
      </w:tr>
      <w:tr w:rsidR="00C645C9">
        <w:trPr>
          <w:trHeight w:val="340"/>
          <w:jc w:val="center"/>
        </w:trPr>
        <w:tc>
          <w:tcPr>
            <w:tcW w:w="509" w:type="pct"/>
            <w:vMerge w:val="restar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理化</w:t>
            </w:r>
          </w:p>
          <w:p w:rsidR="00C645C9" w:rsidRDefault="00F955D9">
            <w:pPr>
              <w:widowControl w:val="0"/>
              <w:jc w:val="center"/>
              <w:rPr>
                <w:rFonts w:cs="Times New Roman"/>
                <w:sz w:val="21"/>
                <w:szCs w:val="21"/>
              </w:rPr>
            </w:pPr>
            <w:r>
              <w:rPr>
                <w:rFonts w:cs="Times New Roman"/>
                <w:sz w:val="21"/>
                <w:szCs w:val="21"/>
              </w:rPr>
              <w:t>特性</w:t>
            </w:r>
          </w:p>
        </w:tc>
        <w:tc>
          <w:tcPr>
            <w:tcW w:w="725" w:type="pct"/>
            <w:tcBorders>
              <w:tl2br w:val="nil"/>
              <w:tr2bl w:val="nil"/>
            </w:tcBorders>
            <w:tcMar>
              <w:top w:w="28" w:type="dxa"/>
              <w:left w:w="11" w:type="dxa"/>
              <w:bottom w:w="28" w:type="dxa"/>
              <w:right w:w="11" w:type="dxa"/>
            </w:tcMar>
            <w:vAlign w:val="center"/>
          </w:tcPr>
          <w:p w:rsidR="00C645C9" w:rsidRDefault="00F955D9">
            <w:pPr>
              <w:widowControl w:val="0"/>
              <w:jc w:val="center"/>
              <w:rPr>
                <w:rFonts w:cs="Times New Roman"/>
                <w:sz w:val="21"/>
                <w:szCs w:val="21"/>
              </w:rPr>
            </w:pPr>
            <w:r>
              <w:rPr>
                <w:rFonts w:cs="Times New Roman"/>
                <w:sz w:val="21"/>
                <w:szCs w:val="21"/>
              </w:rPr>
              <w:t>外观与性状</w:t>
            </w:r>
          </w:p>
        </w:tc>
        <w:tc>
          <w:tcPr>
            <w:tcW w:w="1391"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黑色的可燃性黏稠液体</w:t>
            </w:r>
          </w:p>
        </w:tc>
        <w:tc>
          <w:tcPr>
            <w:tcW w:w="783"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蒸气压</w:t>
            </w:r>
          </w:p>
        </w:tc>
        <w:tc>
          <w:tcPr>
            <w:tcW w:w="158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无资料</w:t>
            </w:r>
          </w:p>
        </w:tc>
      </w:tr>
      <w:tr w:rsidR="00C645C9">
        <w:trPr>
          <w:trHeight w:val="340"/>
          <w:jc w:val="center"/>
        </w:trPr>
        <w:tc>
          <w:tcPr>
            <w:tcW w:w="509" w:type="pct"/>
            <w:vMerge/>
            <w:tcBorders>
              <w:tl2br w:val="nil"/>
              <w:tr2bl w:val="nil"/>
            </w:tcBorders>
            <w:vAlign w:val="center"/>
          </w:tcPr>
          <w:p w:rsidR="00C645C9" w:rsidRDefault="00C645C9">
            <w:pPr>
              <w:widowControl w:val="0"/>
              <w:jc w:val="center"/>
              <w:rPr>
                <w:rFonts w:cs="Times New Roman"/>
                <w:sz w:val="21"/>
                <w:szCs w:val="21"/>
              </w:rPr>
            </w:pPr>
          </w:p>
        </w:tc>
        <w:tc>
          <w:tcPr>
            <w:tcW w:w="725" w:type="pct"/>
            <w:tcBorders>
              <w:tl2br w:val="nil"/>
              <w:tr2bl w:val="nil"/>
            </w:tcBorders>
            <w:tcMar>
              <w:top w:w="28" w:type="dxa"/>
              <w:left w:w="11" w:type="dxa"/>
              <w:bottom w:w="28" w:type="dxa"/>
              <w:right w:w="11" w:type="dxa"/>
            </w:tcMar>
            <w:vAlign w:val="center"/>
          </w:tcPr>
          <w:p w:rsidR="00C645C9" w:rsidRDefault="00F955D9">
            <w:pPr>
              <w:widowControl w:val="0"/>
              <w:jc w:val="center"/>
              <w:rPr>
                <w:rFonts w:cs="Times New Roman"/>
                <w:sz w:val="21"/>
                <w:szCs w:val="21"/>
              </w:rPr>
            </w:pPr>
            <w:r>
              <w:rPr>
                <w:rFonts w:cs="Times New Roman"/>
                <w:sz w:val="21"/>
                <w:szCs w:val="21"/>
              </w:rPr>
              <w:t>沸点</w:t>
            </w:r>
          </w:p>
        </w:tc>
        <w:tc>
          <w:tcPr>
            <w:tcW w:w="1391"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自常温至</w:t>
            </w:r>
            <w:r>
              <w:rPr>
                <w:rFonts w:cs="Times New Roman"/>
                <w:sz w:val="21"/>
                <w:szCs w:val="21"/>
              </w:rPr>
              <w:t>500℃</w:t>
            </w:r>
            <w:r>
              <w:rPr>
                <w:rFonts w:cs="Times New Roman"/>
                <w:sz w:val="21"/>
                <w:szCs w:val="21"/>
              </w:rPr>
              <w:t>以上</w:t>
            </w:r>
          </w:p>
        </w:tc>
        <w:tc>
          <w:tcPr>
            <w:tcW w:w="783"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闪点</w:t>
            </w:r>
          </w:p>
        </w:tc>
        <w:tc>
          <w:tcPr>
            <w:tcW w:w="158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-6~155℃</w:t>
            </w:r>
          </w:p>
        </w:tc>
      </w:tr>
      <w:tr w:rsidR="00C645C9">
        <w:trPr>
          <w:trHeight w:val="340"/>
          <w:jc w:val="center"/>
        </w:trPr>
        <w:tc>
          <w:tcPr>
            <w:tcW w:w="509" w:type="pct"/>
            <w:vMerge/>
            <w:tcBorders>
              <w:tl2br w:val="nil"/>
              <w:tr2bl w:val="nil"/>
            </w:tcBorders>
            <w:vAlign w:val="center"/>
          </w:tcPr>
          <w:p w:rsidR="00C645C9" w:rsidRDefault="00C645C9">
            <w:pPr>
              <w:widowControl w:val="0"/>
              <w:jc w:val="center"/>
              <w:rPr>
                <w:rFonts w:cs="Times New Roman"/>
                <w:sz w:val="21"/>
                <w:szCs w:val="21"/>
              </w:rPr>
            </w:pPr>
          </w:p>
        </w:tc>
        <w:tc>
          <w:tcPr>
            <w:tcW w:w="725" w:type="pct"/>
            <w:tcBorders>
              <w:tl2br w:val="nil"/>
              <w:tr2bl w:val="nil"/>
            </w:tcBorders>
            <w:tcMar>
              <w:top w:w="28" w:type="dxa"/>
              <w:left w:w="11" w:type="dxa"/>
              <w:bottom w:w="28" w:type="dxa"/>
              <w:right w:w="11" w:type="dxa"/>
            </w:tcMar>
            <w:vAlign w:val="center"/>
          </w:tcPr>
          <w:p w:rsidR="00C645C9" w:rsidRDefault="00F955D9">
            <w:pPr>
              <w:widowControl w:val="0"/>
              <w:jc w:val="center"/>
              <w:rPr>
                <w:rFonts w:cs="Times New Roman"/>
                <w:sz w:val="21"/>
                <w:szCs w:val="21"/>
              </w:rPr>
            </w:pPr>
            <w:r>
              <w:rPr>
                <w:rFonts w:cs="Times New Roman"/>
                <w:sz w:val="21"/>
                <w:szCs w:val="21"/>
              </w:rPr>
              <w:t>熔点</w:t>
            </w:r>
          </w:p>
        </w:tc>
        <w:tc>
          <w:tcPr>
            <w:tcW w:w="1391"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-60℃</w:t>
            </w:r>
          </w:p>
        </w:tc>
        <w:tc>
          <w:tcPr>
            <w:tcW w:w="783"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溶解性</w:t>
            </w:r>
          </w:p>
        </w:tc>
        <w:tc>
          <w:tcPr>
            <w:tcW w:w="158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不溶于水，溶于苯、乙醚、三氯甲烷、四氯化碳等有机溶剂</w:t>
            </w:r>
          </w:p>
        </w:tc>
      </w:tr>
      <w:tr w:rsidR="00C645C9">
        <w:trPr>
          <w:trHeight w:val="340"/>
          <w:jc w:val="center"/>
        </w:trPr>
        <w:tc>
          <w:tcPr>
            <w:tcW w:w="509" w:type="pct"/>
            <w:vMerge/>
            <w:tcBorders>
              <w:tl2br w:val="nil"/>
              <w:tr2bl w:val="nil"/>
            </w:tcBorders>
            <w:vAlign w:val="center"/>
          </w:tcPr>
          <w:p w:rsidR="00C645C9" w:rsidRDefault="00C645C9">
            <w:pPr>
              <w:widowControl w:val="0"/>
              <w:jc w:val="center"/>
              <w:rPr>
                <w:rFonts w:cs="Times New Roman"/>
                <w:sz w:val="21"/>
                <w:szCs w:val="21"/>
              </w:rPr>
            </w:pPr>
          </w:p>
        </w:tc>
        <w:tc>
          <w:tcPr>
            <w:tcW w:w="725" w:type="pct"/>
            <w:tcBorders>
              <w:tl2br w:val="nil"/>
              <w:tr2bl w:val="nil"/>
            </w:tcBorders>
            <w:tcMar>
              <w:top w:w="28" w:type="dxa"/>
              <w:left w:w="11" w:type="dxa"/>
              <w:bottom w:w="28" w:type="dxa"/>
              <w:right w:w="11" w:type="dxa"/>
            </w:tcMar>
            <w:vAlign w:val="center"/>
          </w:tcPr>
          <w:p w:rsidR="00C645C9" w:rsidRDefault="00F955D9">
            <w:pPr>
              <w:widowControl w:val="0"/>
              <w:jc w:val="center"/>
              <w:rPr>
                <w:rFonts w:cs="Times New Roman"/>
                <w:sz w:val="21"/>
                <w:szCs w:val="21"/>
              </w:rPr>
            </w:pPr>
            <w:r>
              <w:rPr>
                <w:rFonts w:cs="Times New Roman"/>
                <w:sz w:val="21"/>
                <w:szCs w:val="21"/>
              </w:rPr>
              <w:t>密度</w:t>
            </w:r>
          </w:p>
        </w:tc>
        <w:tc>
          <w:tcPr>
            <w:tcW w:w="1391"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相对密度（水</w:t>
            </w:r>
            <w:r>
              <w:rPr>
                <w:rFonts w:cs="Times New Roman"/>
                <w:sz w:val="21"/>
                <w:szCs w:val="21"/>
              </w:rPr>
              <w:t>=1</w:t>
            </w:r>
            <w:r>
              <w:rPr>
                <w:rFonts w:cs="Times New Roman"/>
                <w:sz w:val="21"/>
                <w:szCs w:val="21"/>
              </w:rPr>
              <w:t>）</w:t>
            </w:r>
            <w:r>
              <w:rPr>
                <w:rFonts w:cs="Times New Roman"/>
                <w:sz w:val="21"/>
                <w:szCs w:val="21"/>
              </w:rPr>
              <w:t>0.7365-1.0724g/cm</w:t>
            </w:r>
            <w:r>
              <w:rPr>
                <w:rFonts w:cs="Times New Roman"/>
                <w:sz w:val="21"/>
                <w:szCs w:val="21"/>
                <w:vertAlign w:val="superscript"/>
              </w:rPr>
              <w:t>3</w:t>
            </w:r>
          </w:p>
        </w:tc>
        <w:tc>
          <w:tcPr>
            <w:tcW w:w="783"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稳定性</w:t>
            </w:r>
          </w:p>
        </w:tc>
        <w:tc>
          <w:tcPr>
            <w:tcW w:w="158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稳定</w:t>
            </w:r>
          </w:p>
        </w:tc>
      </w:tr>
      <w:tr w:rsidR="00C645C9">
        <w:trPr>
          <w:trHeight w:val="340"/>
          <w:jc w:val="center"/>
        </w:trPr>
        <w:tc>
          <w:tcPr>
            <w:tcW w:w="509" w:type="pct"/>
            <w:vMerge/>
            <w:tcBorders>
              <w:tl2br w:val="nil"/>
              <w:tr2bl w:val="nil"/>
            </w:tcBorders>
            <w:vAlign w:val="center"/>
          </w:tcPr>
          <w:p w:rsidR="00C645C9" w:rsidRDefault="00C645C9">
            <w:pPr>
              <w:widowControl w:val="0"/>
              <w:jc w:val="center"/>
              <w:rPr>
                <w:rFonts w:cs="Times New Roman"/>
                <w:sz w:val="21"/>
                <w:szCs w:val="21"/>
              </w:rPr>
            </w:pPr>
          </w:p>
        </w:tc>
        <w:tc>
          <w:tcPr>
            <w:tcW w:w="725" w:type="pct"/>
            <w:tcBorders>
              <w:tl2br w:val="nil"/>
              <w:tr2bl w:val="nil"/>
            </w:tcBorders>
            <w:tcMar>
              <w:top w:w="28" w:type="dxa"/>
              <w:left w:w="11" w:type="dxa"/>
              <w:bottom w:w="28" w:type="dxa"/>
              <w:right w:w="11" w:type="dxa"/>
            </w:tcMar>
            <w:vAlign w:val="center"/>
          </w:tcPr>
          <w:p w:rsidR="00C645C9" w:rsidRDefault="00F955D9">
            <w:pPr>
              <w:widowControl w:val="0"/>
              <w:jc w:val="center"/>
              <w:rPr>
                <w:rFonts w:cs="Times New Roman"/>
                <w:sz w:val="21"/>
                <w:szCs w:val="21"/>
              </w:rPr>
            </w:pPr>
            <w:r>
              <w:rPr>
                <w:rFonts w:cs="Times New Roman"/>
                <w:sz w:val="21"/>
                <w:szCs w:val="21"/>
              </w:rPr>
              <w:t>爆炸极限</w:t>
            </w:r>
          </w:p>
        </w:tc>
        <w:tc>
          <w:tcPr>
            <w:tcW w:w="1391"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1.1%~8.7%</w:t>
            </w:r>
            <w:r>
              <w:rPr>
                <w:rFonts w:cs="Times New Roman"/>
                <w:sz w:val="21"/>
                <w:szCs w:val="21"/>
              </w:rPr>
              <w:t>（</w:t>
            </w:r>
            <w:r>
              <w:rPr>
                <w:rFonts w:cs="Times New Roman"/>
                <w:sz w:val="21"/>
                <w:szCs w:val="21"/>
              </w:rPr>
              <w:t>V%</w:t>
            </w:r>
            <w:r>
              <w:rPr>
                <w:rFonts w:cs="Times New Roman"/>
                <w:sz w:val="21"/>
                <w:szCs w:val="21"/>
              </w:rPr>
              <w:t>）</w:t>
            </w:r>
          </w:p>
        </w:tc>
        <w:tc>
          <w:tcPr>
            <w:tcW w:w="783"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自燃温度</w:t>
            </w:r>
          </w:p>
        </w:tc>
        <w:tc>
          <w:tcPr>
            <w:tcW w:w="1589" w:type="pct"/>
            <w:tcBorders>
              <w:tl2br w:val="nil"/>
              <w:tr2bl w:val="nil"/>
            </w:tcBorders>
            <w:vAlign w:val="center"/>
          </w:tcPr>
          <w:p w:rsidR="00C645C9" w:rsidRDefault="00F955D9">
            <w:pPr>
              <w:widowControl w:val="0"/>
              <w:jc w:val="center"/>
              <w:rPr>
                <w:rFonts w:cs="Times New Roman"/>
                <w:sz w:val="21"/>
                <w:szCs w:val="21"/>
              </w:rPr>
            </w:pPr>
            <w:r>
              <w:rPr>
                <w:rFonts w:cs="Times New Roman"/>
                <w:sz w:val="21"/>
                <w:szCs w:val="21"/>
              </w:rPr>
              <w:t>280℃~380℃</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稳定性和反应活性</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稳定性：稳定。</w:t>
            </w:r>
          </w:p>
          <w:p w:rsidR="00C645C9" w:rsidRDefault="00F955D9">
            <w:pPr>
              <w:widowControl w:val="0"/>
              <w:rPr>
                <w:rFonts w:cs="Times New Roman"/>
                <w:sz w:val="21"/>
                <w:szCs w:val="21"/>
              </w:rPr>
            </w:pPr>
            <w:r>
              <w:rPr>
                <w:rFonts w:cs="Times New Roman"/>
                <w:sz w:val="21"/>
                <w:szCs w:val="21"/>
              </w:rPr>
              <w:t>禁配物：氧化剂。</w:t>
            </w:r>
          </w:p>
          <w:p w:rsidR="00C645C9" w:rsidRDefault="00F955D9">
            <w:pPr>
              <w:widowControl w:val="0"/>
              <w:rPr>
                <w:rFonts w:cs="Times New Roman"/>
                <w:sz w:val="21"/>
                <w:szCs w:val="21"/>
              </w:rPr>
            </w:pPr>
            <w:r>
              <w:rPr>
                <w:rFonts w:cs="Times New Roman"/>
                <w:sz w:val="21"/>
                <w:szCs w:val="21"/>
              </w:rPr>
              <w:t>避免接触的条件：高热，火源和不相容物质。</w:t>
            </w:r>
          </w:p>
          <w:p w:rsidR="00C645C9" w:rsidRDefault="00F955D9">
            <w:pPr>
              <w:widowControl w:val="0"/>
              <w:rPr>
                <w:rFonts w:cs="Times New Roman"/>
                <w:sz w:val="21"/>
                <w:szCs w:val="21"/>
              </w:rPr>
            </w:pPr>
            <w:r>
              <w:rPr>
                <w:rFonts w:cs="Times New Roman"/>
                <w:sz w:val="21"/>
                <w:szCs w:val="21"/>
              </w:rPr>
              <w:t>聚合危害：不聚合。</w:t>
            </w:r>
          </w:p>
          <w:p w:rsidR="00C645C9" w:rsidRDefault="00F955D9">
            <w:pPr>
              <w:widowControl w:val="0"/>
              <w:rPr>
                <w:rFonts w:cs="Times New Roman"/>
                <w:sz w:val="21"/>
                <w:szCs w:val="21"/>
              </w:rPr>
            </w:pPr>
            <w:r>
              <w:rPr>
                <w:rFonts w:cs="Times New Roman"/>
                <w:sz w:val="21"/>
                <w:szCs w:val="21"/>
              </w:rPr>
              <w:t>分解产物：一氧化碳、二氧化碳、氮氧化物、硫氧化物等有毒烟雾。</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毒理学</w:t>
            </w:r>
          </w:p>
          <w:p w:rsidR="00C645C9" w:rsidRDefault="00F955D9">
            <w:pPr>
              <w:widowControl w:val="0"/>
              <w:jc w:val="center"/>
              <w:rPr>
                <w:rFonts w:cs="Times New Roman"/>
                <w:sz w:val="21"/>
                <w:szCs w:val="21"/>
              </w:rPr>
            </w:pPr>
            <w:r>
              <w:rPr>
                <w:rFonts w:cs="Times New Roman"/>
                <w:sz w:val="21"/>
                <w:szCs w:val="21"/>
              </w:rPr>
              <w:t>资料</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有毒。凝析油中芳香烃以及杂原子化合物具有一定的毒性。</w:t>
            </w:r>
          </w:p>
          <w:p w:rsidR="00C645C9" w:rsidRDefault="00F955D9">
            <w:pPr>
              <w:widowControl w:val="0"/>
              <w:rPr>
                <w:rFonts w:cs="Times New Roman"/>
                <w:sz w:val="21"/>
                <w:szCs w:val="21"/>
              </w:rPr>
            </w:pPr>
            <w:r>
              <w:rPr>
                <w:rFonts w:cs="Times New Roman"/>
                <w:sz w:val="21"/>
                <w:szCs w:val="21"/>
              </w:rPr>
              <w:t>LD50</w:t>
            </w:r>
            <w:r>
              <w:rPr>
                <w:rFonts w:cs="Times New Roman"/>
                <w:sz w:val="21"/>
                <w:szCs w:val="21"/>
              </w:rPr>
              <w:t>：</w:t>
            </w:r>
            <w:r>
              <w:rPr>
                <w:rFonts w:cs="Times New Roman"/>
                <w:sz w:val="21"/>
                <w:szCs w:val="21"/>
              </w:rPr>
              <w:t>&gt;4300mg/kg</w:t>
            </w:r>
            <w:r>
              <w:rPr>
                <w:rFonts w:cs="Times New Roman"/>
                <w:sz w:val="21"/>
                <w:szCs w:val="21"/>
              </w:rPr>
              <w:t>（大鼠经口）</w:t>
            </w:r>
          </w:p>
          <w:p w:rsidR="00C645C9" w:rsidRDefault="00F955D9">
            <w:pPr>
              <w:widowControl w:val="0"/>
              <w:rPr>
                <w:rFonts w:cs="Times New Roman"/>
                <w:sz w:val="21"/>
                <w:szCs w:val="21"/>
              </w:rPr>
            </w:pPr>
            <w:r>
              <w:rPr>
                <w:rFonts w:cs="Times New Roman"/>
                <w:sz w:val="21"/>
                <w:szCs w:val="21"/>
              </w:rPr>
              <w:t>LC50</w:t>
            </w:r>
            <w:r>
              <w:rPr>
                <w:rFonts w:cs="Times New Roman"/>
                <w:sz w:val="21"/>
                <w:szCs w:val="21"/>
              </w:rPr>
              <w:t>：无资料</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生态学资料</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生态毒理毒性：凝析油中的芳香族化合物以及杂原子具有一定的毒性。</w:t>
            </w:r>
          </w:p>
          <w:p w:rsidR="00C645C9" w:rsidRDefault="00F955D9">
            <w:pPr>
              <w:widowControl w:val="0"/>
              <w:rPr>
                <w:rFonts w:cs="Times New Roman"/>
                <w:sz w:val="21"/>
                <w:szCs w:val="21"/>
              </w:rPr>
            </w:pPr>
            <w:r>
              <w:rPr>
                <w:rFonts w:cs="Times New Roman"/>
                <w:sz w:val="21"/>
                <w:szCs w:val="21"/>
              </w:rPr>
              <w:t>生物降解性：自然界中的部分厌氧菌，硫化菌以及部分绿色植物能将凝析油的大部分物质降解。</w:t>
            </w:r>
          </w:p>
          <w:p w:rsidR="00C645C9" w:rsidRDefault="00F955D9">
            <w:pPr>
              <w:widowControl w:val="0"/>
              <w:rPr>
                <w:rFonts w:cs="Times New Roman"/>
                <w:sz w:val="21"/>
                <w:szCs w:val="21"/>
              </w:rPr>
            </w:pPr>
            <w:r>
              <w:rPr>
                <w:rFonts w:cs="Times New Roman"/>
                <w:sz w:val="21"/>
                <w:szCs w:val="21"/>
              </w:rPr>
              <w:t>非生物降解性：凝析油中的沥青质等高分子物质具有很难</w:t>
            </w:r>
            <w:r>
              <w:rPr>
                <w:rFonts w:cs="Times New Roman" w:hint="eastAsia"/>
                <w:sz w:val="21"/>
                <w:szCs w:val="21"/>
              </w:rPr>
              <w:t>的</w:t>
            </w:r>
            <w:r>
              <w:rPr>
                <w:rFonts w:cs="Times New Roman"/>
                <w:sz w:val="21"/>
                <w:szCs w:val="21"/>
              </w:rPr>
              <w:t>生物降解性。</w:t>
            </w:r>
          </w:p>
          <w:p w:rsidR="00C645C9" w:rsidRDefault="00F955D9">
            <w:pPr>
              <w:widowControl w:val="0"/>
              <w:rPr>
                <w:rFonts w:cs="Times New Roman"/>
                <w:sz w:val="21"/>
                <w:szCs w:val="21"/>
              </w:rPr>
            </w:pPr>
            <w:r>
              <w:rPr>
                <w:rFonts w:cs="Times New Roman"/>
                <w:sz w:val="21"/>
                <w:szCs w:val="21"/>
              </w:rPr>
              <w:t>生物富集或生物积累性：</w:t>
            </w:r>
            <w:r>
              <w:rPr>
                <w:rFonts w:cs="Times New Roman"/>
                <w:sz w:val="21"/>
                <w:szCs w:val="21"/>
              </w:rPr>
              <w:t>/</w:t>
            </w:r>
          </w:p>
          <w:p w:rsidR="00C645C9" w:rsidRDefault="00F955D9">
            <w:pPr>
              <w:widowControl w:val="0"/>
              <w:rPr>
                <w:rFonts w:cs="Times New Roman"/>
                <w:sz w:val="21"/>
                <w:szCs w:val="21"/>
              </w:rPr>
            </w:pPr>
            <w:r>
              <w:rPr>
                <w:rFonts w:cs="Times New Roman" w:hint="eastAsia"/>
                <w:sz w:val="21"/>
                <w:szCs w:val="21"/>
              </w:rPr>
              <w:t>其他有害</w:t>
            </w:r>
            <w:r>
              <w:rPr>
                <w:rFonts w:cs="Times New Roman"/>
                <w:sz w:val="21"/>
                <w:szCs w:val="21"/>
              </w:rPr>
              <w:t>作用：温室气体。应特别注意对地表水、土壤、大气和饮用水的污染。</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lastRenderedPageBreak/>
              <w:t>废弃</w:t>
            </w:r>
          </w:p>
          <w:p w:rsidR="00C645C9" w:rsidRDefault="00F955D9">
            <w:pPr>
              <w:widowControl w:val="0"/>
              <w:jc w:val="center"/>
              <w:rPr>
                <w:rFonts w:cs="Times New Roman"/>
                <w:sz w:val="21"/>
                <w:szCs w:val="21"/>
              </w:rPr>
            </w:pPr>
            <w:r>
              <w:rPr>
                <w:rFonts w:cs="Times New Roman"/>
                <w:sz w:val="21"/>
                <w:szCs w:val="21"/>
              </w:rPr>
              <w:t>处置</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废弃物性质：危险废物。</w:t>
            </w:r>
          </w:p>
          <w:p w:rsidR="00C645C9" w:rsidRDefault="00F955D9">
            <w:pPr>
              <w:widowControl w:val="0"/>
              <w:rPr>
                <w:rFonts w:cs="Times New Roman"/>
                <w:sz w:val="21"/>
                <w:szCs w:val="21"/>
              </w:rPr>
            </w:pPr>
            <w:r>
              <w:rPr>
                <w:rFonts w:cs="Times New Roman" w:hint="eastAsia"/>
                <w:sz w:val="21"/>
                <w:szCs w:val="21"/>
              </w:rPr>
              <w:t>废物处置</w:t>
            </w:r>
            <w:r>
              <w:rPr>
                <w:rFonts w:cs="Times New Roman"/>
                <w:sz w:val="21"/>
                <w:szCs w:val="21"/>
              </w:rPr>
              <w:t>方法：若本产品成为废品，必须由取得许可证的专业工厂进行处理。</w:t>
            </w:r>
          </w:p>
          <w:p w:rsidR="00C645C9" w:rsidRDefault="00F955D9">
            <w:pPr>
              <w:widowControl w:val="0"/>
              <w:rPr>
                <w:rFonts w:cs="Times New Roman"/>
                <w:sz w:val="21"/>
                <w:szCs w:val="21"/>
              </w:rPr>
            </w:pPr>
            <w:r>
              <w:rPr>
                <w:rFonts w:cs="Times New Roman"/>
                <w:sz w:val="21"/>
                <w:szCs w:val="21"/>
              </w:rPr>
              <w:t>废弃注意事项：处置前应参阅国家和地方有关法规。本产品不可排放</w:t>
            </w:r>
            <w:r>
              <w:rPr>
                <w:rFonts w:cs="Times New Roman" w:hint="eastAsia"/>
                <w:sz w:val="21"/>
                <w:szCs w:val="21"/>
              </w:rPr>
              <w:t>于</w:t>
            </w:r>
            <w:r>
              <w:rPr>
                <w:rFonts w:cs="Times New Roman"/>
                <w:sz w:val="21"/>
                <w:szCs w:val="21"/>
              </w:rPr>
              <w:t>下水道，河流，湖泊，大海等。</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运输</w:t>
            </w:r>
          </w:p>
          <w:p w:rsidR="00C645C9" w:rsidRDefault="00F955D9">
            <w:pPr>
              <w:widowControl w:val="0"/>
              <w:jc w:val="center"/>
              <w:rPr>
                <w:rFonts w:cs="Times New Roman"/>
                <w:sz w:val="21"/>
                <w:szCs w:val="21"/>
              </w:rPr>
            </w:pPr>
            <w:r>
              <w:rPr>
                <w:rFonts w:cs="Times New Roman"/>
                <w:sz w:val="21"/>
                <w:szCs w:val="21"/>
              </w:rPr>
              <w:t>信息</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运输注意事项：环境密封放置，放置热源和日光暴晒，与强氧化剂隔离。</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法规</w:t>
            </w:r>
          </w:p>
          <w:p w:rsidR="00C645C9" w:rsidRDefault="00F955D9">
            <w:pPr>
              <w:widowControl w:val="0"/>
              <w:jc w:val="center"/>
              <w:rPr>
                <w:rFonts w:cs="Times New Roman"/>
                <w:sz w:val="21"/>
                <w:szCs w:val="21"/>
              </w:rPr>
            </w:pPr>
            <w:r>
              <w:rPr>
                <w:rFonts w:cs="Times New Roman"/>
                <w:sz w:val="21"/>
                <w:szCs w:val="21"/>
              </w:rPr>
              <w:t>信息</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《危险化学品安全管理条例》中华人民共和国国务院令第</w:t>
            </w:r>
            <w:r>
              <w:rPr>
                <w:rFonts w:cs="Times New Roman"/>
                <w:sz w:val="21"/>
                <w:szCs w:val="21"/>
              </w:rPr>
              <w:t>591</w:t>
            </w:r>
            <w:r>
              <w:rPr>
                <w:rFonts w:cs="Times New Roman"/>
                <w:sz w:val="21"/>
                <w:szCs w:val="21"/>
              </w:rPr>
              <w:t>号（自</w:t>
            </w:r>
            <w:r>
              <w:rPr>
                <w:rFonts w:cs="Times New Roman"/>
                <w:sz w:val="21"/>
                <w:szCs w:val="21"/>
              </w:rPr>
              <w:t>2011</w:t>
            </w:r>
            <w:r>
              <w:rPr>
                <w:rFonts w:cs="Times New Roman"/>
                <w:sz w:val="21"/>
                <w:szCs w:val="21"/>
              </w:rPr>
              <w:t>年</w:t>
            </w:r>
            <w:r>
              <w:rPr>
                <w:rFonts w:cs="Times New Roman"/>
                <w:sz w:val="21"/>
                <w:szCs w:val="21"/>
              </w:rPr>
              <w:t>12</w:t>
            </w:r>
            <w:r>
              <w:rPr>
                <w:rFonts w:cs="Times New Roman"/>
                <w:sz w:val="21"/>
                <w:szCs w:val="21"/>
              </w:rPr>
              <w:t>月</w:t>
            </w:r>
            <w:r>
              <w:rPr>
                <w:rFonts w:cs="Times New Roman"/>
                <w:sz w:val="21"/>
                <w:szCs w:val="21"/>
              </w:rPr>
              <w:t>1</w:t>
            </w:r>
            <w:r>
              <w:rPr>
                <w:rFonts w:cs="Times New Roman"/>
                <w:sz w:val="21"/>
                <w:szCs w:val="21"/>
              </w:rPr>
              <w:t>日起施行），中华人民共和国国务院令第</w:t>
            </w:r>
            <w:r>
              <w:rPr>
                <w:rFonts w:cs="Times New Roman"/>
                <w:sz w:val="21"/>
                <w:szCs w:val="21"/>
              </w:rPr>
              <w:t>645</w:t>
            </w:r>
            <w:r>
              <w:rPr>
                <w:rFonts w:cs="Times New Roman"/>
                <w:sz w:val="21"/>
                <w:szCs w:val="21"/>
              </w:rPr>
              <w:t>号修订（自</w:t>
            </w:r>
            <w:r>
              <w:rPr>
                <w:rFonts w:cs="Times New Roman"/>
                <w:sz w:val="21"/>
                <w:szCs w:val="21"/>
              </w:rPr>
              <w:t>2013</w:t>
            </w:r>
            <w:r>
              <w:rPr>
                <w:rFonts w:cs="Times New Roman"/>
                <w:sz w:val="21"/>
                <w:szCs w:val="21"/>
              </w:rPr>
              <w:t>年</w:t>
            </w:r>
            <w:r>
              <w:rPr>
                <w:rFonts w:cs="Times New Roman"/>
                <w:sz w:val="21"/>
                <w:szCs w:val="21"/>
              </w:rPr>
              <w:t>12</w:t>
            </w:r>
            <w:r>
              <w:rPr>
                <w:rFonts w:cs="Times New Roman"/>
                <w:sz w:val="21"/>
                <w:szCs w:val="21"/>
              </w:rPr>
              <w:t>月</w:t>
            </w:r>
            <w:r>
              <w:rPr>
                <w:rFonts w:cs="Times New Roman"/>
                <w:sz w:val="21"/>
                <w:szCs w:val="21"/>
              </w:rPr>
              <w:t>7</w:t>
            </w:r>
            <w:r>
              <w:rPr>
                <w:rFonts w:cs="Times New Roman"/>
                <w:sz w:val="21"/>
                <w:szCs w:val="21"/>
              </w:rPr>
              <w:t>日起施行）、《危险化学品目录（</w:t>
            </w:r>
            <w:r>
              <w:rPr>
                <w:rFonts w:cs="Times New Roman"/>
                <w:sz w:val="21"/>
                <w:szCs w:val="21"/>
              </w:rPr>
              <w:t>2015</w:t>
            </w:r>
            <w:r>
              <w:rPr>
                <w:rFonts w:cs="Times New Roman"/>
                <w:sz w:val="21"/>
                <w:szCs w:val="21"/>
              </w:rPr>
              <w:t>版）》（自</w:t>
            </w:r>
            <w:r>
              <w:rPr>
                <w:rFonts w:cs="Times New Roman"/>
                <w:sz w:val="21"/>
                <w:szCs w:val="21"/>
              </w:rPr>
              <w:t>2015</w:t>
            </w:r>
            <w:r>
              <w:rPr>
                <w:rFonts w:cs="Times New Roman"/>
                <w:sz w:val="21"/>
                <w:szCs w:val="21"/>
              </w:rPr>
              <w:t>年</w:t>
            </w:r>
            <w:r>
              <w:rPr>
                <w:rFonts w:cs="Times New Roman"/>
                <w:sz w:val="21"/>
                <w:szCs w:val="21"/>
              </w:rPr>
              <w:t>5</w:t>
            </w:r>
            <w:r>
              <w:rPr>
                <w:rFonts w:cs="Times New Roman"/>
                <w:sz w:val="21"/>
                <w:szCs w:val="21"/>
              </w:rPr>
              <w:t>月</w:t>
            </w:r>
            <w:r>
              <w:rPr>
                <w:rFonts w:cs="Times New Roman"/>
                <w:sz w:val="21"/>
                <w:szCs w:val="21"/>
              </w:rPr>
              <w:t>1</w:t>
            </w:r>
            <w:r>
              <w:rPr>
                <w:rFonts w:cs="Times New Roman"/>
                <w:sz w:val="21"/>
                <w:szCs w:val="21"/>
              </w:rPr>
              <w:t>日起施行）。</w:t>
            </w:r>
          </w:p>
        </w:tc>
      </w:tr>
      <w:tr w:rsidR="00C645C9">
        <w:trPr>
          <w:trHeight w:val="340"/>
          <w:jc w:val="center"/>
        </w:trPr>
        <w:tc>
          <w:tcPr>
            <w:tcW w:w="509" w:type="pct"/>
            <w:tcBorders>
              <w:tl2br w:val="nil"/>
              <w:tr2bl w:val="nil"/>
            </w:tcBorders>
            <w:tcMar>
              <w:top w:w="28" w:type="dxa"/>
              <w:left w:w="57" w:type="dxa"/>
              <w:bottom w:w="28" w:type="dxa"/>
              <w:right w:w="57" w:type="dxa"/>
            </w:tcMar>
            <w:vAlign w:val="center"/>
          </w:tcPr>
          <w:p w:rsidR="00C645C9" w:rsidRDefault="00F955D9">
            <w:pPr>
              <w:widowControl w:val="0"/>
              <w:jc w:val="center"/>
              <w:rPr>
                <w:rFonts w:cs="Times New Roman"/>
                <w:sz w:val="21"/>
                <w:szCs w:val="21"/>
              </w:rPr>
            </w:pPr>
            <w:r>
              <w:rPr>
                <w:rFonts w:cs="Times New Roman"/>
                <w:sz w:val="21"/>
                <w:szCs w:val="21"/>
              </w:rPr>
              <w:t>其他</w:t>
            </w:r>
          </w:p>
          <w:p w:rsidR="00C645C9" w:rsidRDefault="00F955D9">
            <w:pPr>
              <w:widowControl w:val="0"/>
              <w:jc w:val="center"/>
              <w:rPr>
                <w:rFonts w:cs="Times New Roman"/>
                <w:sz w:val="21"/>
                <w:szCs w:val="21"/>
              </w:rPr>
            </w:pPr>
            <w:r>
              <w:rPr>
                <w:rFonts w:cs="Times New Roman"/>
                <w:sz w:val="21"/>
                <w:szCs w:val="21"/>
              </w:rPr>
              <w:t>信息</w:t>
            </w:r>
          </w:p>
        </w:tc>
        <w:tc>
          <w:tcPr>
            <w:tcW w:w="4490" w:type="pct"/>
            <w:gridSpan w:val="4"/>
            <w:tcBorders>
              <w:tl2br w:val="nil"/>
              <w:tr2bl w:val="nil"/>
            </w:tcBorders>
            <w:tcMar>
              <w:top w:w="28" w:type="dxa"/>
              <w:left w:w="11" w:type="dxa"/>
              <w:bottom w:w="28" w:type="dxa"/>
              <w:right w:w="11" w:type="dxa"/>
            </w:tcMar>
            <w:vAlign w:val="center"/>
          </w:tcPr>
          <w:p w:rsidR="00C645C9" w:rsidRDefault="00F955D9">
            <w:pPr>
              <w:widowControl w:val="0"/>
              <w:rPr>
                <w:rFonts w:cs="Times New Roman"/>
                <w:sz w:val="21"/>
                <w:szCs w:val="21"/>
              </w:rPr>
            </w:pPr>
            <w:r>
              <w:rPr>
                <w:rFonts w:cs="Times New Roman"/>
                <w:sz w:val="21"/>
                <w:szCs w:val="21"/>
              </w:rPr>
              <w:t>表格内数据来源于本</w:t>
            </w:r>
            <w:r>
              <w:rPr>
                <w:rFonts w:cs="Times New Roman" w:hint="eastAsia"/>
                <w:sz w:val="21"/>
                <w:szCs w:val="21"/>
              </w:rPr>
              <w:t>工程</w:t>
            </w:r>
            <w:r>
              <w:rPr>
                <w:rFonts w:cs="Times New Roman"/>
                <w:sz w:val="21"/>
                <w:szCs w:val="21"/>
              </w:rPr>
              <w:t>方案提供的物料特性数据、《危险化学品目录（</w:t>
            </w:r>
            <w:r>
              <w:rPr>
                <w:rFonts w:cs="Times New Roman"/>
                <w:sz w:val="21"/>
                <w:szCs w:val="21"/>
              </w:rPr>
              <w:t>2015</w:t>
            </w:r>
            <w:r>
              <w:rPr>
                <w:rFonts w:cs="Times New Roman"/>
                <w:sz w:val="21"/>
                <w:szCs w:val="21"/>
              </w:rPr>
              <w:t>版）》和《危险化学品安全技术全书》。</w:t>
            </w:r>
          </w:p>
        </w:tc>
      </w:tr>
    </w:tbl>
    <w:bookmarkEnd w:id="1707"/>
    <w:p w:rsidR="00C645C9" w:rsidRDefault="00F955D9">
      <w:pPr>
        <w:pStyle w:val="4"/>
        <w:adjustRightInd w:val="0"/>
        <w:snapToGrid w:val="0"/>
        <w:rPr>
          <w:rFonts w:ascii="Times New Roman" w:hAnsi="Times New Roman" w:cs="Times New Roman"/>
          <w:color w:val="auto"/>
          <w:szCs w:val="24"/>
          <w:lang w:eastAsia="zh-CN"/>
        </w:rPr>
      </w:pPr>
      <w:r>
        <w:rPr>
          <w:rFonts w:ascii="Times New Roman" w:hAnsi="Times New Roman" w:cs="Times New Roman" w:hint="eastAsia"/>
          <w:color w:val="auto"/>
          <w:szCs w:val="24"/>
          <w:lang w:eastAsia="zh-CN"/>
        </w:rPr>
        <w:t>5.8.3.1</w:t>
      </w:r>
      <w:r>
        <w:rPr>
          <w:rFonts w:ascii="Times New Roman" w:hAnsi="Times New Roman" w:cs="Times New Roman"/>
          <w:color w:val="auto"/>
          <w:szCs w:val="24"/>
          <w:lang w:eastAsia="zh-CN"/>
        </w:rPr>
        <w:t>生产系统危险性识别</w:t>
      </w:r>
    </w:p>
    <w:p w:rsidR="00C645C9" w:rsidRDefault="00F955D9">
      <w:pPr>
        <w:adjustRightInd w:val="0"/>
        <w:snapToGrid w:val="0"/>
        <w:spacing w:line="360" w:lineRule="auto"/>
        <w:ind w:firstLineChars="200" w:firstLine="480"/>
        <w:rPr>
          <w:rFonts w:cs="Times New Roman"/>
        </w:rPr>
      </w:pPr>
      <w:r>
        <w:rPr>
          <w:rFonts w:cs="Times New Roman"/>
        </w:rPr>
        <w:t>根据本工程工艺流程及平面布置功能分区，并结合物质危险性识别，确定生产系统危险性识别结果见表</w:t>
      </w:r>
      <w:bookmarkStart w:id="1711" w:name="OLE_LINK861"/>
      <w:r>
        <w:rPr>
          <w:rFonts w:cs="Times New Roman" w:hint="eastAsia"/>
        </w:rPr>
        <w:t>5.8-</w:t>
      </w:r>
      <w:bookmarkEnd w:id="1711"/>
      <w:r>
        <w:rPr>
          <w:rFonts w:cs="Times New Roman" w:hint="eastAsia"/>
        </w:rPr>
        <w:t>7</w:t>
      </w:r>
      <w:r>
        <w:rPr>
          <w:rFonts w:cs="Times New Roman" w:hint="eastAsia"/>
        </w:rPr>
        <w:t>~</w:t>
      </w:r>
      <w:r>
        <w:rPr>
          <w:rFonts w:cs="Times New Roman" w:hint="eastAsia"/>
        </w:rPr>
        <w:t>8</w:t>
      </w:r>
      <w:r>
        <w:rPr>
          <w:rFonts w:cs="Times New Roman" w:hint="eastAsia"/>
        </w:rPr>
        <w:t>。</w:t>
      </w:r>
    </w:p>
    <w:p w:rsidR="00C645C9" w:rsidRDefault="00F955D9">
      <w:pPr>
        <w:pStyle w:val="aff"/>
        <w:ind w:firstLineChars="200" w:firstLine="480"/>
        <w:rPr>
          <w:rFonts w:cs="Times New Roman"/>
          <w:color w:val="auto"/>
        </w:rPr>
      </w:pPr>
      <w:r>
        <w:rPr>
          <w:rFonts w:cs="Times New Roman"/>
          <w:color w:val="auto"/>
        </w:rPr>
        <w:t>（</w:t>
      </w:r>
      <w:r>
        <w:rPr>
          <w:rFonts w:cs="Times New Roman"/>
          <w:color w:val="auto"/>
        </w:rPr>
        <w:t>1</w:t>
      </w:r>
      <w:r>
        <w:rPr>
          <w:rFonts w:cs="Times New Roman"/>
          <w:color w:val="auto"/>
        </w:rPr>
        <w:t>）</w:t>
      </w:r>
      <w:r>
        <w:rPr>
          <w:rFonts w:cs="Times New Roman" w:hint="eastAsia"/>
          <w:color w:val="auto"/>
        </w:rPr>
        <w:t>施工期</w:t>
      </w:r>
      <w:r>
        <w:rPr>
          <w:rFonts w:cs="Times New Roman"/>
          <w:color w:val="auto"/>
        </w:rPr>
        <w:t>危险因素识别</w:t>
      </w:r>
    </w:p>
    <w:p w:rsidR="00C645C9" w:rsidRDefault="00F955D9">
      <w:pPr>
        <w:pStyle w:val="aff"/>
        <w:rPr>
          <w:rFonts w:cs="Times New Roman"/>
          <w:color w:val="auto"/>
        </w:rPr>
      </w:pPr>
      <w:r>
        <w:rPr>
          <w:rFonts w:cs="Times New Roman" w:hint="eastAsia"/>
          <w:color w:val="auto"/>
        </w:rPr>
        <w:t>施工期</w:t>
      </w:r>
      <w:r>
        <w:rPr>
          <w:rFonts w:cs="Times New Roman"/>
          <w:color w:val="auto"/>
        </w:rPr>
        <w:t>危险因素及可能产生的事故见表</w:t>
      </w:r>
      <w:r>
        <w:rPr>
          <w:rFonts w:cs="Times New Roman" w:hint="eastAsia"/>
          <w:color w:val="auto"/>
        </w:rPr>
        <w:t>5.8-7</w:t>
      </w:r>
      <w:r>
        <w:rPr>
          <w:rFonts w:cs="Times New Roman"/>
          <w:color w:val="auto"/>
        </w:rPr>
        <w:t>。</w:t>
      </w:r>
    </w:p>
    <w:p w:rsidR="00C645C9" w:rsidRDefault="00F955D9">
      <w:pPr>
        <w:pStyle w:val="af7"/>
        <w:ind w:left="-6" w:firstLine="561"/>
        <w:outlineLvl w:val="9"/>
      </w:pPr>
      <w:r>
        <w:t>表</w:t>
      </w:r>
      <w:bookmarkStart w:id="1712" w:name="OLE_LINK860"/>
      <w:r>
        <w:rPr>
          <w:rFonts w:hint="eastAsia"/>
        </w:rPr>
        <w:t>5.8-</w:t>
      </w:r>
      <w:bookmarkEnd w:id="1712"/>
      <w:r>
        <w:rPr>
          <w:rFonts w:hint="eastAsia"/>
        </w:rPr>
        <w:t>7</w:t>
      </w:r>
      <w:r>
        <w:rPr>
          <w:rFonts w:hint="eastAsia"/>
        </w:rPr>
        <w:t xml:space="preserve">   </w:t>
      </w:r>
      <w:r>
        <w:t>施工期</w:t>
      </w:r>
      <w:bookmarkStart w:id="1713" w:name="OLE_LINK863"/>
      <w:r>
        <w:t>主要危险及有害因素分析</w:t>
      </w:r>
      <w:bookmarkEnd w:id="1713"/>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4743"/>
        <w:gridCol w:w="3187"/>
      </w:tblGrid>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pacing w:val="-11"/>
                <w:sz w:val="21"/>
                <w:szCs w:val="21"/>
              </w:rPr>
              <w:t>序号</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主要危险、有害因素</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可能导致的事故</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1</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地层压力不准</w:t>
            </w:r>
            <w:r>
              <w:rPr>
                <w:rFonts w:cs="Times New Roman" w:hint="eastAsia"/>
                <w:sz w:val="21"/>
                <w:szCs w:val="21"/>
              </w:rPr>
              <w:t>；导</w:t>
            </w:r>
            <w:r>
              <w:rPr>
                <w:rFonts w:cs="Times New Roman"/>
                <w:sz w:val="21"/>
                <w:szCs w:val="21"/>
              </w:rPr>
              <w:t>致设计不准确，钻井液密度低于地层</w:t>
            </w:r>
            <w:r>
              <w:rPr>
                <w:rFonts w:cs="Times New Roman" w:hint="eastAsia"/>
                <w:sz w:val="21"/>
                <w:szCs w:val="21"/>
              </w:rPr>
              <w:t>孔隙</w:t>
            </w:r>
            <w:r>
              <w:rPr>
                <w:rFonts w:cs="Times New Roman"/>
                <w:sz w:val="21"/>
                <w:szCs w:val="21"/>
              </w:rPr>
              <w:t>压力梯度，埋下井喷事故</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井喷失控、</w:t>
            </w:r>
            <w:bookmarkStart w:id="1714" w:name="OLE_LINK858"/>
            <w:r>
              <w:rPr>
                <w:rFonts w:cs="Times New Roman" w:hint="eastAsia"/>
                <w:sz w:val="21"/>
                <w:szCs w:val="21"/>
              </w:rPr>
              <w:t>天然气</w:t>
            </w:r>
            <w:bookmarkEnd w:id="1714"/>
            <w:r>
              <w:rPr>
                <w:rFonts w:cs="Times New Roman"/>
                <w:sz w:val="21"/>
                <w:szCs w:val="21"/>
              </w:rPr>
              <w:t>燃烧爆炸、大气环境及人群健康影响</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2</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井控设备及管材在安装、使用前未按有关规定进行检验合格后使用</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设备失效导致井喷</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3</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防喷器件有刺漏，压力等级不符合要求；非金属材料不符合要求，密封失效</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设备失效导致井喷</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4</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司钻控制下放速度不当或操作不平稳</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发生井漏事故</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5</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节流管汇与井喷器连接不平直，容易使节流管汇作用发挥不完全；节流管汇试压未到额定工作压力或稳定时间不够，导致井控管失效</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井喷失控</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6</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阀板与阀座之间密封不好或是井控装置部件表面生锈腐蚀使节流压井管失效，方钻杆上下旋转开关不灵活，有可能因不能正常开关而发生井喷事故</w:t>
            </w:r>
          </w:p>
        </w:tc>
        <w:tc>
          <w:tcPr>
            <w:tcW w:w="3187" w:type="dxa"/>
            <w:vAlign w:val="center"/>
          </w:tcPr>
          <w:p w:rsidR="00C645C9" w:rsidRDefault="00F955D9">
            <w:pPr>
              <w:adjustRightInd w:val="0"/>
              <w:snapToGrid w:val="0"/>
              <w:jc w:val="center"/>
              <w:rPr>
                <w:rFonts w:cs="Times New Roman"/>
                <w:sz w:val="21"/>
                <w:szCs w:val="21"/>
              </w:rPr>
            </w:pPr>
            <w:bookmarkStart w:id="1715" w:name="OLE_LINK859"/>
            <w:r>
              <w:rPr>
                <w:rFonts w:cs="Times New Roman" w:hint="eastAsia"/>
                <w:sz w:val="21"/>
                <w:szCs w:val="21"/>
              </w:rPr>
              <w:t>天然气</w:t>
            </w:r>
            <w:bookmarkEnd w:id="1715"/>
            <w:r>
              <w:rPr>
                <w:rFonts w:cs="Times New Roman"/>
                <w:sz w:val="21"/>
                <w:szCs w:val="21"/>
              </w:rPr>
              <w:t>燃烧爆炸、大气环境及人群健康影响</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7</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未及时发现溢流显示或发现后处理不当等</w:t>
            </w:r>
          </w:p>
        </w:tc>
        <w:tc>
          <w:tcPr>
            <w:tcW w:w="3187" w:type="dxa"/>
            <w:vAlign w:val="center"/>
          </w:tcPr>
          <w:p w:rsidR="00C645C9" w:rsidRDefault="00F955D9">
            <w:pPr>
              <w:adjustRightInd w:val="0"/>
              <w:snapToGrid w:val="0"/>
              <w:jc w:val="center"/>
              <w:rPr>
                <w:rFonts w:cs="Times New Roman"/>
                <w:sz w:val="21"/>
                <w:szCs w:val="21"/>
              </w:rPr>
            </w:pPr>
            <w:r>
              <w:rPr>
                <w:rFonts w:cs="Times New Roman"/>
                <w:sz w:val="21"/>
                <w:szCs w:val="21"/>
              </w:rPr>
              <w:t>导致</w:t>
            </w:r>
            <w:r>
              <w:rPr>
                <w:rFonts w:cs="Times New Roman" w:hint="eastAsia"/>
                <w:sz w:val="21"/>
                <w:szCs w:val="21"/>
              </w:rPr>
              <w:t>天然气</w:t>
            </w:r>
            <w:r>
              <w:rPr>
                <w:rFonts w:cs="Times New Roman"/>
                <w:sz w:val="21"/>
                <w:szCs w:val="21"/>
              </w:rPr>
              <w:t>溢出，发生</w:t>
            </w:r>
            <w:r>
              <w:rPr>
                <w:rFonts w:cs="Times New Roman" w:hint="eastAsia"/>
                <w:sz w:val="21"/>
                <w:szCs w:val="21"/>
              </w:rPr>
              <w:t>天然气</w:t>
            </w:r>
            <w:r>
              <w:rPr>
                <w:rFonts w:cs="Times New Roman"/>
                <w:sz w:val="21"/>
                <w:szCs w:val="21"/>
              </w:rPr>
              <w:t>燃烧爆炸</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8</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换装井口、起下管柱作业和循环施工作业中，对作业时间估计不足，压井时间短，井内压力失衡导致井喷或井喷失控</w:t>
            </w:r>
          </w:p>
        </w:tc>
        <w:tc>
          <w:tcPr>
            <w:tcW w:w="3187"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天然气</w:t>
            </w:r>
            <w:r>
              <w:rPr>
                <w:rFonts w:cs="Times New Roman"/>
                <w:sz w:val="21"/>
                <w:szCs w:val="21"/>
              </w:rPr>
              <w:t>燃烧爆炸、大气环境及人群健康影响</w:t>
            </w:r>
          </w:p>
        </w:tc>
      </w:tr>
      <w:tr w:rsidR="00C645C9">
        <w:trPr>
          <w:trHeight w:val="476"/>
        </w:trPr>
        <w:tc>
          <w:tcPr>
            <w:tcW w:w="600" w:type="dxa"/>
            <w:vAlign w:val="center"/>
          </w:tcPr>
          <w:p w:rsidR="00C645C9" w:rsidRDefault="00F955D9">
            <w:pPr>
              <w:adjustRightInd w:val="0"/>
              <w:snapToGrid w:val="0"/>
              <w:jc w:val="center"/>
              <w:rPr>
                <w:rFonts w:cs="Times New Roman"/>
                <w:sz w:val="21"/>
                <w:szCs w:val="21"/>
              </w:rPr>
            </w:pPr>
            <w:r>
              <w:rPr>
                <w:rFonts w:cs="Times New Roman"/>
                <w:sz w:val="21"/>
                <w:szCs w:val="21"/>
              </w:rPr>
              <w:t>9</w:t>
            </w:r>
          </w:p>
        </w:tc>
        <w:tc>
          <w:tcPr>
            <w:tcW w:w="4743" w:type="dxa"/>
            <w:vAlign w:val="center"/>
          </w:tcPr>
          <w:p w:rsidR="00C645C9" w:rsidRDefault="00F955D9">
            <w:pPr>
              <w:adjustRightInd w:val="0"/>
              <w:snapToGrid w:val="0"/>
              <w:jc w:val="center"/>
              <w:rPr>
                <w:rFonts w:cs="Times New Roman"/>
                <w:sz w:val="21"/>
                <w:szCs w:val="21"/>
              </w:rPr>
            </w:pPr>
            <w:r>
              <w:rPr>
                <w:rFonts w:cs="Times New Roman"/>
                <w:sz w:val="21"/>
                <w:szCs w:val="21"/>
              </w:rPr>
              <w:t>安装井下安全阀，因作业所需时间较长，若压井时间不足，井内压力失衡导致井喷或井喷失控</w:t>
            </w:r>
          </w:p>
        </w:tc>
        <w:tc>
          <w:tcPr>
            <w:tcW w:w="3187"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天然气</w:t>
            </w:r>
            <w:r>
              <w:rPr>
                <w:rFonts w:cs="Times New Roman"/>
                <w:sz w:val="21"/>
                <w:szCs w:val="21"/>
              </w:rPr>
              <w:t>燃烧爆炸、大气环境及人群健康影响</w:t>
            </w:r>
          </w:p>
        </w:tc>
      </w:tr>
    </w:tbl>
    <w:p w:rsidR="00C645C9" w:rsidRDefault="00F955D9">
      <w:pPr>
        <w:pStyle w:val="aff"/>
        <w:ind w:firstLineChars="200" w:firstLine="480"/>
        <w:rPr>
          <w:rFonts w:cs="Times New Roman"/>
          <w:color w:val="auto"/>
        </w:rPr>
      </w:pPr>
      <w:r>
        <w:rPr>
          <w:rFonts w:cs="Times New Roman"/>
          <w:color w:val="auto"/>
        </w:rPr>
        <w:t>（</w:t>
      </w:r>
      <w:r>
        <w:rPr>
          <w:rFonts w:cs="Times New Roman"/>
          <w:color w:val="auto"/>
        </w:rPr>
        <w:t>2</w:t>
      </w:r>
      <w:r>
        <w:rPr>
          <w:rFonts w:cs="Times New Roman"/>
          <w:color w:val="auto"/>
        </w:rPr>
        <w:t>）运营期危险因素识别</w:t>
      </w:r>
    </w:p>
    <w:p w:rsidR="00C645C9" w:rsidRDefault="00F955D9">
      <w:pPr>
        <w:pStyle w:val="aff"/>
        <w:ind w:firstLineChars="200" w:firstLine="480"/>
        <w:rPr>
          <w:rFonts w:cs="Times New Roman"/>
          <w:color w:val="auto"/>
        </w:rPr>
      </w:pPr>
      <w:r>
        <w:rPr>
          <w:rFonts w:cs="Times New Roman"/>
          <w:color w:val="auto"/>
        </w:rPr>
        <w:lastRenderedPageBreak/>
        <w:t>根据工程分析，</w:t>
      </w:r>
      <w:r>
        <w:rPr>
          <w:rFonts w:cs="Times New Roman"/>
          <w:color w:val="auto"/>
        </w:rPr>
        <w:t>本工程</w:t>
      </w:r>
      <w:r>
        <w:rPr>
          <w:rFonts w:cs="Times New Roman"/>
          <w:color w:val="auto"/>
        </w:rPr>
        <w:t>开发建设过程中</w:t>
      </w:r>
      <w:r>
        <w:rPr>
          <w:rFonts w:cs="Times New Roman"/>
          <w:color w:val="auto"/>
        </w:rPr>
        <w:t>采油</w:t>
      </w:r>
      <w:r>
        <w:rPr>
          <w:rFonts w:cs="Times New Roman"/>
          <w:color w:val="auto"/>
        </w:rPr>
        <w:t>、油气</w:t>
      </w:r>
      <w:r>
        <w:rPr>
          <w:rFonts w:cs="Times New Roman" w:hint="eastAsia"/>
          <w:color w:val="auto"/>
        </w:rPr>
        <w:t>处理</w:t>
      </w:r>
      <w:r>
        <w:rPr>
          <w:rFonts w:cs="Times New Roman"/>
          <w:color w:val="auto"/>
        </w:rPr>
        <w:t>等环节均接触到易燃、易爆的危险性物质，而且生产工艺条件较苛刻，多为高压操作，因此事故风险较大，可能造成环境危害的风险事故主要包括火灾、爆炸、油品泄漏等，具体危害和环境影响可见表</w:t>
      </w:r>
      <w:bookmarkStart w:id="1716" w:name="OLE_LINK862"/>
      <w:r>
        <w:rPr>
          <w:rFonts w:cs="Times New Roman"/>
          <w:color w:val="auto"/>
        </w:rPr>
        <w:t>5.8-</w:t>
      </w:r>
      <w:bookmarkEnd w:id="1716"/>
      <w:r>
        <w:rPr>
          <w:rFonts w:cs="Times New Roman" w:hint="eastAsia"/>
          <w:color w:val="auto"/>
        </w:rPr>
        <w:t>8</w:t>
      </w:r>
      <w:r>
        <w:rPr>
          <w:rFonts w:cs="Times New Roman"/>
          <w:color w:val="auto"/>
        </w:rPr>
        <w:t>。</w:t>
      </w:r>
    </w:p>
    <w:p w:rsidR="00C645C9" w:rsidRDefault="00F955D9">
      <w:pPr>
        <w:pStyle w:val="af7"/>
        <w:ind w:left="-6" w:firstLine="561"/>
        <w:outlineLvl w:val="9"/>
      </w:pPr>
      <w:r>
        <w:t>表</w:t>
      </w:r>
      <w:bookmarkStart w:id="1717" w:name="OLE_LINK867"/>
      <w:r>
        <w:t>5.8-</w:t>
      </w:r>
      <w:bookmarkEnd w:id="1717"/>
      <w:r>
        <w:rPr>
          <w:rFonts w:hint="eastAsia"/>
        </w:rPr>
        <w:t>8</w:t>
      </w:r>
      <w:r>
        <w:t xml:space="preserve">    </w:t>
      </w:r>
      <w:r>
        <w:rPr>
          <w:rFonts w:hint="eastAsia"/>
        </w:rPr>
        <w:t>运营期</w:t>
      </w:r>
      <w:r>
        <w:t>主要危险及有害因素分析</w:t>
      </w:r>
    </w:p>
    <w:tbl>
      <w:tblPr>
        <w:tblW w:w="5000" w:type="pct"/>
        <w:jc w:val="center"/>
        <w:tblBorders>
          <w:top w:val="single" w:sz="12" w:space="0" w:color="auto"/>
          <w:left w:val="single" w:sz="8" w:space="0" w:color="auto"/>
          <w:bottom w:val="single" w:sz="8" w:space="0" w:color="auto"/>
          <w:right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988"/>
        <w:gridCol w:w="1117"/>
        <w:gridCol w:w="2320"/>
        <w:gridCol w:w="2387"/>
        <w:gridCol w:w="1550"/>
      </w:tblGrid>
      <w:tr w:rsidR="00C645C9">
        <w:trPr>
          <w:trHeight w:val="397"/>
          <w:jc w:val="center"/>
        </w:trPr>
        <w:tc>
          <w:tcPr>
            <w:tcW w:w="591"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bookmarkStart w:id="1718" w:name="OLE_LINK864"/>
            <w:r>
              <w:rPr>
                <w:rFonts w:cs="Times New Roman" w:hint="eastAsia"/>
                <w:sz w:val="21"/>
                <w:szCs w:val="21"/>
              </w:rPr>
              <w:t>危险单元</w:t>
            </w:r>
            <w:bookmarkEnd w:id="1718"/>
          </w:p>
        </w:tc>
        <w:tc>
          <w:tcPr>
            <w:tcW w:w="668"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事故类型</w:t>
            </w:r>
          </w:p>
        </w:tc>
        <w:tc>
          <w:tcPr>
            <w:tcW w:w="1386"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事故原因</w:t>
            </w:r>
          </w:p>
        </w:tc>
        <w:tc>
          <w:tcPr>
            <w:tcW w:w="1426"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事故后果</w:t>
            </w:r>
          </w:p>
        </w:tc>
        <w:tc>
          <w:tcPr>
            <w:tcW w:w="926"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lang w:val="zh-CN"/>
              </w:rPr>
            </w:pPr>
            <w:r>
              <w:rPr>
                <w:rFonts w:cs="Times New Roman"/>
                <w:sz w:val="21"/>
                <w:szCs w:val="21"/>
                <w:lang w:val="zh-CN"/>
              </w:rPr>
              <w:t>环境影响途径</w:t>
            </w:r>
          </w:p>
        </w:tc>
      </w:tr>
      <w:tr w:rsidR="00C645C9">
        <w:trPr>
          <w:trHeight w:val="899"/>
          <w:jc w:val="center"/>
        </w:trPr>
        <w:tc>
          <w:tcPr>
            <w:tcW w:w="591"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bookmarkStart w:id="1719" w:name="OLE_LINK865"/>
            <w:r>
              <w:rPr>
                <w:rFonts w:cs="Times New Roman" w:hint="eastAsia"/>
                <w:sz w:val="21"/>
                <w:szCs w:val="21"/>
              </w:rPr>
              <w:t>储罐</w:t>
            </w:r>
            <w:bookmarkEnd w:id="1719"/>
          </w:p>
        </w:tc>
        <w:tc>
          <w:tcPr>
            <w:tcW w:w="668"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bookmarkStart w:id="1720" w:name="OLE_LINK866"/>
            <w:r>
              <w:rPr>
                <w:rFonts w:cs="Times New Roman" w:hint="eastAsia"/>
                <w:sz w:val="21"/>
                <w:szCs w:val="21"/>
              </w:rPr>
              <w:t>火灾爆炸</w:t>
            </w:r>
            <w:bookmarkEnd w:id="1720"/>
            <w:r>
              <w:rPr>
                <w:rFonts w:cs="Times New Roman" w:hint="eastAsia"/>
                <w:sz w:val="21"/>
                <w:szCs w:val="21"/>
              </w:rPr>
              <w:t>、物理爆炸</w:t>
            </w:r>
          </w:p>
        </w:tc>
        <w:tc>
          <w:tcPr>
            <w:tcW w:w="1386" w:type="pct"/>
            <w:tcBorders>
              <w:top w:val="single" w:sz="8" w:space="0" w:color="auto"/>
              <w:bottom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操作不当或自然灾害等外力作用导致</w:t>
            </w:r>
            <w:r>
              <w:rPr>
                <w:rFonts w:cs="Times New Roman" w:hint="eastAsia"/>
                <w:sz w:val="21"/>
                <w:szCs w:val="21"/>
              </w:rPr>
              <w:t>储罐</w:t>
            </w:r>
            <w:r>
              <w:rPr>
                <w:rFonts w:cs="Times New Roman"/>
                <w:sz w:val="21"/>
                <w:szCs w:val="21"/>
              </w:rPr>
              <w:t>破裂，导致火灾、爆炸事故</w:t>
            </w:r>
          </w:p>
        </w:tc>
        <w:tc>
          <w:tcPr>
            <w:tcW w:w="1426" w:type="pct"/>
            <w:vMerge w:val="restart"/>
            <w:tcBorders>
              <w:top w:val="single" w:sz="8"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天然气及</w:t>
            </w:r>
            <w:r>
              <w:rPr>
                <w:rFonts w:cs="Times New Roman"/>
                <w:sz w:val="21"/>
                <w:szCs w:val="21"/>
              </w:rPr>
              <w:t>油品泄漏后，遇火源会发生火灾、爆炸事故，燃烧产生的次生</w:t>
            </w:r>
            <w:r>
              <w:rPr>
                <w:rFonts w:cs="Times New Roman"/>
                <w:sz w:val="21"/>
                <w:szCs w:val="21"/>
              </w:rPr>
              <w:t>CO</w:t>
            </w:r>
            <w:r>
              <w:rPr>
                <w:rFonts w:cs="Times New Roman"/>
                <w:sz w:val="21"/>
                <w:szCs w:val="21"/>
              </w:rPr>
              <w:t>引发周围人员</w:t>
            </w:r>
            <w:r>
              <w:rPr>
                <w:rFonts w:cs="Times New Roman"/>
                <w:sz w:val="21"/>
                <w:szCs w:val="21"/>
              </w:rPr>
              <w:t>CO</w:t>
            </w:r>
            <w:r>
              <w:rPr>
                <w:rFonts w:cs="Times New Roman"/>
                <w:sz w:val="21"/>
                <w:szCs w:val="21"/>
              </w:rPr>
              <w:t>中毒事件，油类物质渗流至地下水；</w:t>
            </w:r>
            <w:r>
              <w:rPr>
                <w:rFonts w:cs="Times New Roman" w:hint="eastAsia"/>
                <w:sz w:val="21"/>
                <w:szCs w:val="21"/>
              </w:rPr>
              <w:t>天然气</w:t>
            </w:r>
            <w:r>
              <w:rPr>
                <w:rFonts w:cs="Times New Roman"/>
                <w:sz w:val="21"/>
                <w:szCs w:val="21"/>
              </w:rPr>
              <w:t>泄漏后，进入大气引发中毒事故。</w:t>
            </w:r>
          </w:p>
        </w:tc>
        <w:tc>
          <w:tcPr>
            <w:tcW w:w="926" w:type="pct"/>
            <w:vMerge w:val="restart"/>
            <w:tcBorders>
              <w:top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大气、土壤、地下水</w:t>
            </w:r>
          </w:p>
        </w:tc>
      </w:tr>
      <w:tr w:rsidR="00C645C9">
        <w:trPr>
          <w:trHeight w:val="397"/>
          <w:jc w:val="center"/>
        </w:trPr>
        <w:tc>
          <w:tcPr>
            <w:tcW w:w="591" w:type="pct"/>
            <w:tcBorders>
              <w:top w:val="single" w:sz="8"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工艺装置</w:t>
            </w:r>
          </w:p>
        </w:tc>
        <w:tc>
          <w:tcPr>
            <w:tcW w:w="668" w:type="pct"/>
            <w:tcBorders>
              <w:top w:val="single" w:sz="8" w:space="0" w:color="auto"/>
            </w:tcBorders>
            <w:vAlign w:val="center"/>
          </w:tcPr>
          <w:p w:rsidR="00C645C9" w:rsidRDefault="00F955D9">
            <w:pPr>
              <w:adjustRightInd w:val="0"/>
              <w:snapToGrid w:val="0"/>
              <w:jc w:val="center"/>
              <w:rPr>
                <w:rFonts w:cs="Times New Roman"/>
                <w:sz w:val="21"/>
                <w:szCs w:val="21"/>
              </w:rPr>
            </w:pPr>
            <w:r>
              <w:rPr>
                <w:rFonts w:cs="Times New Roman" w:hint="eastAsia"/>
                <w:sz w:val="21"/>
                <w:szCs w:val="21"/>
              </w:rPr>
              <w:t>火灾爆炸</w:t>
            </w:r>
          </w:p>
        </w:tc>
        <w:tc>
          <w:tcPr>
            <w:tcW w:w="1386" w:type="pct"/>
            <w:tcBorders>
              <w:top w:val="single" w:sz="8" w:space="0" w:color="auto"/>
            </w:tcBorders>
            <w:vAlign w:val="center"/>
          </w:tcPr>
          <w:p w:rsidR="00C645C9" w:rsidRDefault="00F955D9">
            <w:pPr>
              <w:adjustRightInd w:val="0"/>
              <w:snapToGrid w:val="0"/>
              <w:jc w:val="center"/>
              <w:rPr>
                <w:rFonts w:cs="Times New Roman"/>
                <w:sz w:val="21"/>
                <w:szCs w:val="21"/>
              </w:rPr>
            </w:pPr>
            <w:r>
              <w:rPr>
                <w:rFonts w:cs="Times New Roman"/>
                <w:sz w:val="21"/>
                <w:szCs w:val="21"/>
              </w:rPr>
              <w:t>设备穿孔、破裂，导致天然气泄漏</w:t>
            </w:r>
            <w:r>
              <w:rPr>
                <w:rFonts w:cs="Times New Roman" w:hint="eastAsia"/>
                <w:sz w:val="21"/>
                <w:szCs w:val="21"/>
              </w:rPr>
              <w:t>，引发的火灾、爆炸事故</w:t>
            </w:r>
          </w:p>
        </w:tc>
        <w:tc>
          <w:tcPr>
            <w:tcW w:w="1426" w:type="pct"/>
            <w:vMerge/>
            <w:vAlign w:val="center"/>
          </w:tcPr>
          <w:p w:rsidR="00C645C9" w:rsidRDefault="00C645C9">
            <w:pPr>
              <w:adjustRightInd w:val="0"/>
              <w:snapToGrid w:val="0"/>
              <w:jc w:val="center"/>
              <w:rPr>
                <w:rFonts w:cs="Times New Roman"/>
                <w:sz w:val="21"/>
                <w:szCs w:val="21"/>
              </w:rPr>
            </w:pPr>
          </w:p>
        </w:tc>
        <w:tc>
          <w:tcPr>
            <w:tcW w:w="926" w:type="pct"/>
            <w:vMerge/>
            <w:vAlign w:val="center"/>
          </w:tcPr>
          <w:p w:rsidR="00C645C9" w:rsidRDefault="00C645C9">
            <w:pPr>
              <w:adjustRightInd w:val="0"/>
              <w:snapToGrid w:val="0"/>
              <w:jc w:val="center"/>
              <w:rPr>
                <w:rFonts w:cs="Times New Roman"/>
                <w:sz w:val="21"/>
                <w:szCs w:val="21"/>
              </w:rPr>
            </w:pPr>
          </w:p>
        </w:tc>
      </w:tr>
    </w:tbl>
    <w:p w:rsidR="00C645C9" w:rsidRDefault="00F955D9">
      <w:pPr>
        <w:pStyle w:val="4"/>
        <w:adjustRightInd w:val="0"/>
        <w:snapToGrid w:val="0"/>
        <w:rPr>
          <w:rFonts w:ascii="Times New Roman" w:hAnsi="Times New Roman" w:cs="Times New Roman"/>
          <w:color w:val="auto"/>
          <w:szCs w:val="24"/>
          <w:lang w:eastAsia="zh-CN"/>
        </w:rPr>
      </w:pPr>
      <w:r>
        <w:rPr>
          <w:rFonts w:ascii="Times New Roman" w:hAnsi="Times New Roman" w:cs="Times New Roman" w:hint="eastAsia"/>
          <w:color w:val="auto"/>
          <w:szCs w:val="24"/>
          <w:lang w:eastAsia="zh-CN"/>
        </w:rPr>
        <w:t>5.8.3.2</w:t>
      </w:r>
      <w:r>
        <w:rPr>
          <w:rFonts w:ascii="Times New Roman" w:hAnsi="Times New Roman" w:cs="Times New Roman" w:hint="eastAsia"/>
          <w:color w:val="auto"/>
          <w:szCs w:val="24"/>
          <w:lang w:eastAsia="zh-CN"/>
        </w:rPr>
        <w:t>危险物质向环境转移的途径识别</w:t>
      </w:r>
    </w:p>
    <w:p w:rsidR="00C645C9" w:rsidRDefault="00F955D9">
      <w:pPr>
        <w:adjustRightInd w:val="0"/>
        <w:snapToGrid w:val="0"/>
        <w:spacing w:line="360" w:lineRule="auto"/>
        <w:ind w:firstLineChars="200" w:firstLine="480"/>
        <w:rPr>
          <w:rFonts w:cs="Times New Roman"/>
        </w:rPr>
      </w:pPr>
      <w:r>
        <w:t>本工程可能发生的环境风险主要包括井喷、井漏、</w:t>
      </w:r>
      <w:r>
        <w:rPr>
          <w:rFonts w:hint="eastAsia"/>
        </w:rPr>
        <w:t>储罐发生</w:t>
      </w:r>
      <w:r>
        <w:rPr>
          <w:rFonts w:hint="eastAsia"/>
        </w:rPr>
        <w:t>泄漏</w:t>
      </w:r>
      <w:r>
        <w:t>以及油气</w:t>
      </w:r>
      <w:r>
        <w:rPr>
          <w:rFonts w:hint="eastAsia"/>
        </w:rPr>
        <w:t>泄漏</w:t>
      </w:r>
      <w:r>
        <w:t>后遇明火引发的火灾、爆炸</w:t>
      </w:r>
      <w:r>
        <w:rPr>
          <w:rFonts w:hint="eastAsia"/>
        </w:rPr>
        <w:t>次生污染物</w:t>
      </w:r>
      <w:r>
        <w:t>等</w:t>
      </w:r>
      <w:r>
        <w:rPr>
          <w:rFonts w:hint="eastAsia"/>
        </w:rPr>
        <w:t>，</w:t>
      </w:r>
      <w:r>
        <w:rPr>
          <w:rFonts w:hint="eastAsia"/>
          <w:szCs w:val="20"/>
        </w:rPr>
        <w:t>井喷、井场工艺装置区、井场储罐区</w:t>
      </w:r>
      <w:r>
        <w:rPr>
          <w:rFonts w:hint="eastAsia"/>
        </w:rPr>
        <w:t>发生</w:t>
      </w:r>
      <w:r>
        <w:rPr>
          <w:rFonts w:hint="eastAsia"/>
          <w:szCs w:val="20"/>
        </w:rPr>
        <w:t>泄漏会对大气、土壤、地下水产生的直接影响以及遇明火后发生火灾、爆炸等引发的伴生</w:t>
      </w:r>
      <w:r>
        <w:rPr>
          <w:rFonts w:hint="eastAsia"/>
          <w:szCs w:val="20"/>
        </w:rPr>
        <w:t>/</w:t>
      </w:r>
      <w:r>
        <w:rPr>
          <w:rFonts w:hint="eastAsia"/>
          <w:szCs w:val="20"/>
        </w:rPr>
        <w:t>次生污染物排放。</w:t>
      </w:r>
      <w:r>
        <w:rPr>
          <w:rFonts w:hint="eastAsia"/>
        </w:rPr>
        <w:t>井漏会对地下水造成影响。</w:t>
      </w:r>
      <w:r>
        <w:t>具体危害和环境影响可见表</w:t>
      </w:r>
      <w:bookmarkStart w:id="1721" w:name="OLE_LINK868"/>
      <w:r>
        <w:rPr>
          <w:rFonts w:cs="Times New Roman"/>
        </w:rPr>
        <w:t>5.8-</w:t>
      </w:r>
      <w:bookmarkEnd w:id="1721"/>
      <w:r>
        <w:rPr>
          <w:rFonts w:cs="Times New Roman" w:hint="eastAsia"/>
        </w:rPr>
        <w:t>9</w:t>
      </w:r>
      <w:r>
        <w:rPr>
          <w:rFonts w:cs="Times New Roman"/>
        </w:rPr>
        <w:t>。</w:t>
      </w:r>
    </w:p>
    <w:p w:rsidR="00C645C9" w:rsidRDefault="00F955D9">
      <w:pPr>
        <w:pStyle w:val="af7"/>
        <w:ind w:left="-6" w:firstLine="561"/>
        <w:outlineLvl w:val="9"/>
        <w:rPr>
          <w:szCs w:val="21"/>
        </w:rPr>
      </w:pPr>
      <w:r>
        <w:rPr>
          <w:szCs w:val="21"/>
        </w:rPr>
        <w:t>表</w:t>
      </w:r>
      <w:bookmarkStart w:id="1722" w:name="OLE_LINK899"/>
      <w:r>
        <w:rPr>
          <w:szCs w:val="21"/>
        </w:rPr>
        <w:t>5.8-</w:t>
      </w:r>
      <w:bookmarkEnd w:id="1722"/>
      <w:r>
        <w:rPr>
          <w:rFonts w:hint="eastAsia"/>
          <w:szCs w:val="21"/>
        </w:rPr>
        <w:t>9</w:t>
      </w:r>
      <w:r>
        <w:rPr>
          <w:rFonts w:hint="eastAsia"/>
          <w:szCs w:val="21"/>
        </w:rPr>
        <w:t xml:space="preserve">   </w:t>
      </w:r>
      <w:r>
        <w:rPr>
          <w:szCs w:val="21"/>
        </w:rPr>
        <w:t>危险物质向环境转移的途径识别</w:t>
      </w:r>
    </w:p>
    <w:tbl>
      <w:tblPr>
        <w:tblStyle w:val="af3"/>
        <w:tblW w:w="5000" w:type="pct"/>
        <w:tblLayout w:type="fixed"/>
        <w:tblLook w:val="04A0" w:firstRow="1" w:lastRow="0" w:firstColumn="1" w:lastColumn="0" w:noHBand="0" w:noVBand="1"/>
      </w:tblPr>
      <w:tblGrid>
        <w:gridCol w:w="811"/>
        <w:gridCol w:w="708"/>
        <w:gridCol w:w="1358"/>
        <w:gridCol w:w="1110"/>
        <w:gridCol w:w="3465"/>
        <w:gridCol w:w="1070"/>
      </w:tblGrid>
      <w:tr w:rsidR="00C645C9">
        <w:tc>
          <w:tcPr>
            <w:tcW w:w="475" w:type="pct"/>
            <w:vAlign w:val="center"/>
          </w:tcPr>
          <w:p w:rsidR="00C645C9" w:rsidRDefault="00F955D9">
            <w:pPr>
              <w:pStyle w:val="afb"/>
              <w:rPr>
                <w:szCs w:val="21"/>
              </w:rPr>
            </w:pPr>
            <w:bookmarkStart w:id="1723" w:name="OLE_LINK890"/>
            <w:r>
              <w:rPr>
                <w:rFonts w:hint="eastAsia"/>
                <w:szCs w:val="21"/>
              </w:rPr>
              <w:t>风险单元</w:t>
            </w:r>
          </w:p>
        </w:tc>
        <w:tc>
          <w:tcPr>
            <w:tcW w:w="415" w:type="pct"/>
            <w:vAlign w:val="center"/>
          </w:tcPr>
          <w:p w:rsidR="00C645C9" w:rsidRDefault="00F955D9">
            <w:pPr>
              <w:pStyle w:val="afb"/>
              <w:rPr>
                <w:szCs w:val="21"/>
              </w:rPr>
            </w:pPr>
            <w:r>
              <w:rPr>
                <w:szCs w:val="21"/>
              </w:rPr>
              <w:t>事故类型</w:t>
            </w:r>
          </w:p>
        </w:tc>
        <w:tc>
          <w:tcPr>
            <w:tcW w:w="796" w:type="pct"/>
            <w:vAlign w:val="center"/>
          </w:tcPr>
          <w:p w:rsidR="00C645C9" w:rsidRDefault="00F955D9">
            <w:pPr>
              <w:pStyle w:val="afb"/>
              <w:rPr>
                <w:szCs w:val="21"/>
              </w:rPr>
            </w:pPr>
            <w:r>
              <w:rPr>
                <w:szCs w:val="21"/>
              </w:rPr>
              <w:t>来源</w:t>
            </w:r>
          </w:p>
        </w:tc>
        <w:tc>
          <w:tcPr>
            <w:tcW w:w="651" w:type="pct"/>
            <w:vAlign w:val="center"/>
          </w:tcPr>
          <w:p w:rsidR="00C645C9" w:rsidRDefault="00F955D9">
            <w:pPr>
              <w:pStyle w:val="afb"/>
              <w:rPr>
                <w:szCs w:val="21"/>
              </w:rPr>
            </w:pPr>
            <w:r>
              <w:rPr>
                <w:szCs w:val="21"/>
              </w:rPr>
              <w:t>危险物质</w:t>
            </w:r>
          </w:p>
        </w:tc>
        <w:tc>
          <w:tcPr>
            <w:tcW w:w="2032" w:type="pct"/>
            <w:vAlign w:val="center"/>
          </w:tcPr>
          <w:p w:rsidR="00C645C9" w:rsidRDefault="00F955D9">
            <w:pPr>
              <w:pStyle w:val="afb"/>
              <w:rPr>
                <w:szCs w:val="21"/>
              </w:rPr>
            </w:pPr>
            <w:r>
              <w:rPr>
                <w:szCs w:val="21"/>
              </w:rPr>
              <w:t>影响环境的途径</w:t>
            </w:r>
          </w:p>
        </w:tc>
        <w:tc>
          <w:tcPr>
            <w:tcW w:w="628" w:type="pct"/>
            <w:vAlign w:val="center"/>
          </w:tcPr>
          <w:p w:rsidR="00C645C9" w:rsidRDefault="00F955D9">
            <w:pPr>
              <w:pStyle w:val="afb"/>
              <w:rPr>
                <w:szCs w:val="21"/>
              </w:rPr>
            </w:pPr>
            <w:r>
              <w:rPr>
                <w:szCs w:val="21"/>
              </w:rPr>
              <w:t>影响环境的途径</w:t>
            </w:r>
          </w:p>
        </w:tc>
      </w:tr>
      <w:tr w:rsidR="00C645C9">
        <w:trPr>
          <w:trHeight w:val="1792"/>
        </w:trPr>
        <w:tc>
          <w:tcPr>
            <w:tcW w:w="475" w:type="pct"/>
            <w:vMerge w:val="restart"/>
            <w:vAlign w:val="center"/>
          </w:tcPr>
          <w:p w:rsidR="00C645C9" w:rsidRDefault="00F955D9">
            <w:pPr>
              <w:pStyle w:val="afb"/>
              <w:rPr>
                <w:szCs w:val="21"/>
              </w:rPr>
            </w:pPr>
            <w:r>
              <w:rPr>
                <w:rFonts w:hint="eastAsia"/>
                <w:szCs w:val="21"/>
              </w:rPr>
              <w:t>井场</w:t>
            </w:r>
          </w:p>
        </w:tc>
        <w:tc>
          <w:tcPr>
            <w:tcW w:w="415" w:type="pct"/>
            <w:vAlign w:val="center"/>
          </w:tcPr>
          <w:p w:rsidR="00C645C9" w:rsidRDefault="00F955D9">
            <w:pPr>
              <w:pStyle w:val="afb"/>
              <w:rPr>
                <w:szCs w:val="21"/>
              </w:rPr>
            </w:pPr>
            <w:r>
              <w:rPr>
                <w:szCs w:val="21"/>
              </w:rPr>
              <w:t>井喷</w:t>
            </w:r>
          </w:p>
        </w:tc>
        <w:tc>
          <w:tcPr>
            <w:tcW w:w="796" w:type="pct"/>
            <w:vAlign w:val="center"/>
          </w:tcPr>
          <w:p w:rsidR="00C645C9" w:rsidRDefault="00F955D9">
            <w:pPr>
              <w:pStyle w:val="afb"/>
              <w:rPr>
                <w:szCs w:val="21"/>
              </w:rPr>
            </w:pPr>
            <w:bookmarkStart w:id="1724" w:name="OLE_LINK870"/>
            <w:r>
              <w:rPr>
                <w:rFonts w:hint="eastAsia"/>
                <w:szCs w:val="21"/>
              </w:rPr>
              <w:t>采气</w:t>
            </w:r>
            <w:r>
              <w:rPr>
                <w:rFonts w:hint="eastAsia"/>
                <w:szCs w:val="21"/>
              </w:rPr>
              <w:t>、</w:t>
            </w:r>
            <w:r>
              <w:rPr>
                <w:rFonts w:hint="eastAsia"/>
                <w:szCs w:val="21"/>
              </w:rPr>
              <w:t>采油</w:t>
            </w:r>
            <w:r>
              <w:rPr>
                <w:rFonts w:hint="eastAsia"/>
                <w:szCs w:val="21"/>
              </w:rPr>
              <w:t>过程</w:t>
            </w:r>
            <w:bookmarkEnd w:id="1724"/>
          </w:p>
        </w:tc>
        <w:tc>
          <w:tcPr>
            <w:tcW w:w="651" w:type="pct"/>
            <w:vAlign w:val="center"/>
          </w:tcPr>
          <w:p w:rsidR="00C645C9" w:rsidRDefault="00F955D9">
            <w:pPr>
              <w:pStyle w:val="afb"/>
              <w:rPr>
                <w:szCs w:val="21"/>
              </w:rPr>
            </w:pPr>
            <w:r>
              <w:rPr>
                <w:szCs w:val="21"/>
              </w:rPr>
              <w:t>天然气</w:t>
            </w:r>
            <w:r>
              <w:rPr>
                <w:rFonts w:hint="eastAsia"/>
                <w:szCs w:val="21"/>
              </w:rPr>
              <w:t>、</w:t>
            </w:r>
            <w:bookmarkStart w:id="1725" w:name="OLE_LINK871"/>
            <w:r>
              <w:rPr>
                <w:rFonts w:hint="eastAsia"/>
                <w:szCs w:val="21"/>
              </w:rPr>
              <w:t>凝析油</w:t>
            </w:r>
            <w:bookmarkEnd w:id="1725"/>
          </w:p>
        </w:tc>
        <w:tc>
          <w:tcPr>
            <w:tcW w:w="2032" w:type="pct"/>
            <w:vAlign w:val="center"/>
          </w:tcPr>
          <w:p w:rsidR="00C645C9" w:rsidRDefault="00F955D9">
            <w:pPr>
              <w:pStyle w:val="afb"/>
              <w:rPr>
                <w:szCs w:val="21"/>
              </w:rPr>
            </w:pPr>
            <w:r>
              <w:rPr>
                <w:rFonts w:ascii="宋体" w:hAnsi="宋体" w:cs="宋体" w:hint="eastAsia"/>
                <w:szCs w:val="21"/>
              </w:rPr>
              <w:t>①</w:t>
            </w:r>
            <w:r>
              <w:rPr>
                <w:szCs w:val="21"/>
              </w:rPr>
              <w:t>井喷时，油气泄漏后直接进入大气环境或挥发进入大气环境，遇明火易引发爆炸；</w:t>
            </w:r>
          </w:p>
          <w:p w:rsidR="00C645C9" w:rsidRDefault="00F955D9">
            <w:pPr>
              <w:pStyle w:val="afb"/>
              <w:rPr>
                <w:szCs w:val="21"/>
              </w:rPr>
            </w:pPr>
            <w:r>
              <w:rPr>
                <w:rFonts w:ascii="宋体" w:hAnsi="宋体" w:cs="宋体" w:hint="eastAsia"/>
                <w:szCs w:val="21"/>
              </w:rPr>
              <w:t>②</w:t>
            </w:r>
            <w:r>
              <w:rPr>
                <w:rFonts w:hint="eastAsia"/>
                <w:szCs w:val="21"/>
              </w:rPr>
              <w:t>凝析油</w:t>
            </w:r>
            <w:r>
              <w:rPr>
                <w:szCs w:val="21"/>
              </w:rPr>
              <w:t>泄漏进入地表，阻塞土壤孔隙，使土壤板结，降低通透性，不利于植物生长，还有可能污染地下水；</w:t>
            </w:r>
            <w:r>
              <w:rPr>
                <w:szCs w:val="21"/>
              </w:rPr>
              <w:t xml:space="preserve"> </w:t>
            </w:r>
          </w:p>
          <w:p w:rsidR="00C645C9" w:rsidRDefault="00F955D9">
            <w:pPr>
              <w:pStyle w:val="afb"/>
              <w:rPr>
                <w:szCs w:val="21"/>
              </w:rPr>
            </w:pPr>
            <w:r>
              <w:rPr>
                <w:rFonts w:ascii="宋体" w:hAnsi="宋体" w:cs="宋体" w:hint="eastAsia"/>
                <w:szCs w:val="21"/>
              </w:rPr>
              <w:t>③</w:t>
            </w:r>
            <w:r>
              <w:rPr>
                <w:szCs w:val="21"/>
              </w:rPr>
              <w:t>油气中的天然气扩散至环境空气中，可能引发天然气中毒事件。</w:t>
            </w:r>
          </w:p>
        </w:tc>
        <w:tc>
          <w:tcPr>
            <w:tcW w:w="628" w:type="pct"/>
            <w:vAlign w:val="center"/>
          </w:tcPr>
          <w:p w:rsidR="00C645C9" w:rsidRDefault="00F955D9">
            <w:pPr>
              <w:pStyle w:val="afb"/>
              <w:rPr>
                <w:szCs w:val="21"/>
              </w:rPr>
            </w:pPr>
            <w:r>
              <w:rPr>
                <w:szCs w:val="21"/>
                <w:lang w:bidi="ar"/>
              </w:rPr>
              <w:t>大气、土壤、地下水</w:t>
            </w:r>
          </w:p>
        </w:tc>
      </w:tr>
      <w:tr w:rsidR="00C645C9">
        <w:tc>
          <w:tcPr>
            <w:tcW w:w="475" w:type="pct"/>
            <w:vMerge/>
            <w:vAlign w:val="center"/>
          </w:tcPr>
          <w:p w:rsidR="00C645C9" w:rsidRDefault="00C645C9">
            <w:pPr>
              <w:pStyle w:val="afb"/>
              <w:rPr>
                <w:szCs w:val="21"/>
              </w:rPr>
            </w:pPr>
          </w:p>
        </w:tc>
        <w:tc>
          <w:tcPr>
            <w:tcW w:w="415" w:type="pct"/>
            <w:vAlign w:val="center"/>
          </w:tcPr>
          <w:p w:rsidR="00C645C9" w:rsidRDefault="00F955D9">
            <w:pPr>
              <w:pStyle w:val="afb"/>
              <w:rPr>
                <w:szCs w:val="21"/>
              </w:rPr>
            </w:pPr>
            <w:r>
              <w:rPr>
                <w:szCs w:val="21"/>
              </w:rPr>
              <w:t>井漏</w:t>
            </w:r>
          </w:p>
        </w:tc>
        <w:tc>
          <w:tcPr>
            <w:tcW w:w="796" w:type="pct"/>
            <w:vAlign w:val="center"/>
          </w:tcPr>
          <w:p w:rsidR="00C645C9" w:rsidRDefault="00F955D9">
            <w:pPr>
              <w:pStyle w:val="afb"/>
              <w:rPr>
                <w:szCs w:val="21"/>
              </w:rPr>
            </w:pPr>
            <w:bookmarkStart w:id="1726" w:name="OLE_LINK874"/>
            <w:r>
              <w:rPr>
                <w:rFonts w:hint="eastAsia"/>
                <w:szCs w:val="21"/>
              </w:rPr>
              <w:t>采气</w:t>
            </w:r>
            <w:r>
              <w:rPr>
                <w:rFonts w:hint="eastAsia"/>
                <w:szCs w:val="21"/>
              </w:rPr>
              <w:t>、</w:t>
            </w:r>
            <w:r>
              <w:rPr>
                <w:rFonts w:hint="eastAsia"/>
                <w:szCs w:val="21"/>
              </w:rPr>
              <w:t>采油</w:t>
            </w:r>
            <w:r>
              <w:rPr>
                <w:rFonts w:hint="eastAsia"/>
                <w:szCs w:val="21"/>
              </w:rPr>
              <w:t>过程</w:t>
            </w:r>
            <w:bookmarkEnd w:id="1726"/>
          </w:p>
        </w:tc>
        <w:tc>
          <w:tcPr>
            <w:tcW w:w="651" w:type="pct"/>
            <w:vAlign w:val="center"/>
          </w:tcPr>
          <w:p w:rsidR="00C645C9" w:rsidRDefault="00F955D9">
            <w:pPr>
              <w:pStyle w:val="afb"/>
              <w:rPr>
                <w:szCs w:val="21"/>
              </w:rPr>
            </w:pPr>
            <w:r>
              <w:rPr>
                <w:rFonts w:hint="eastAsia"/>
                <w:szCs w:val="21"/>
              </w:rPr>
              <w:t>采出液</w:t>
            </w:r>
          </w:p>
        </w:tc>
        <w:tc>
          <w:tcPr>
            <w:tcW w:w="2032" w:type="pct"/>
            <w:vAlign w:val="center"/>
          </w:tcPr>
          <w:p w:rsidR="00C645C9" w:rsidRDefault="00F955D9">
            <w:pPr>
              <w:pStyle w:val="afb"/>
              <w:rPr>
                <w:szCs w:val="21"/>
              </w:rPr>
            </w:pPr>
            <w:r>
              <w:rPr>
                <w:rFonts w:hint="eastAsia"/>
                <w:szCs w:val="21"/>
              </w:rPr>
              <w:t>固井套管下入深度不够或固井质量不好。引起油气上窜造成地下水水质污染</w:t>
            </w:r>
            <w:r>
              <w:rPr>
                <w:rFonts w:hint="eastAsia"/>
                <w:szCs w:val="21"/>
              </w:rPr>
              <w:t>。</w:t>
            </w:r>
          </w:p>
        </w:tc>
        <w:tc>
          <w:tcPr>
            <w:tcW w:w="628" w:type="pct"/>
            <w:vAlign w:val="center"/>
          </w:tcPr>
          <w:p w:rsidR="00C645C9" w:rsidRDefault="00F955D9">
            <w:pPr>
              <w:pStyle w:val="afb"/>
              <w:rPr>
                <w:szCs w:val="21"/>
              </w:rPr>
            </w:pPr>
            <w:r>
              <w:rPr>
                <w:szCs w:val="21"/>
              </w:rPr>
              <w:t>地下水</w:t>
            </w:r>
          </w:p>
        </w:tc>
      </w:tr>
      <w:tr w:rsidR="00C645C9">
        <w:tc>
          <w:tcPr>
            <w:tcW w:w="475" w:type="pct"/>
            <w:vMerge/>
            <w:vAlign w:val="center"/>
          </w:tcPr>
          <w:p w:rsidR="00C645C9" w:rsidRDefault="00C645C9">
            <w:pPr>
              <w:pStyle w:val="afb"/>
              <w:rPr>
                <w:szCs w:val="21"/>
              </w:rPr>
            </w:pPr>
          </w:p>
        </w:tc>
        <w:tc>
          <w:tcPr>
            <w:tcW w:w="415" w:type="pct"/>
            <w:vMerge w:val="restart"/>
            <w:vAlign w:val="center"/>
          </w:tcPr>
          <w:p w:rsidR="00C645C9" w:rsidRDefault="00F955D9">
            <w:pPr>
              <w:pStyle w:val="afb"/>
              <w:rPr>
                <w:szCs w:val="21"/>
              </w:rPr>
            </w:pPr>
            <w:r>
              <w:rPr>
                <w:rFonts w:hint="eastAsia"/>
                <w:szCs w:val="21"/>
              </w:rPr>
              <w:t>泄漏</w:t>
            </w:r>
          </w:p>
        </w:tc>
        <w:tc>
          <w:tcPr>
            <w:tcW w:w="796" w:type="pct"/>
            <w:vAlign w:val="center"/>
          </w:tcPr>
          <w:p w:rsidR="00C645C9" w:rsidRDefault="00F955D9">
            <w:pPr>
              <w:pStyle w:val="afb"/>
              <w:rPr>
                <w:szCs w:val="21"/>
              </w:rPr>
            </w:pPr>
            <w:r>
              <w:rPr>
                <w:rFonts w:hint="eastAsia"/>
                <w:szCs w:val="21"/>
              </w:rPr>
              <w:t>储罐区</w:t>
            </w:r>
          </w:p>
        </w:tc>
        <w:tc>
          <w:tcPr>
            <w:tcW w:w="651" w:type="pct"/>
            <w:vMerge w:val="restart"/>
            <w:vAlign w:val="center"/>
          </w:tcPr>
          <w:p w:rsidR="00C645C9" w:rsidRDefault="00F955D9">
            <w:pPr>
              <w:pStyle w:val="afb"/>
              <w:rPr>
                <w:szCs w:val="21"/>
              </w:rPr>
            </w:pPr>
            <w:bookmarkStart w:id="1727" w:name="OLE_LINK873"/>
            <w:r>
              <w:rPr>
                <w:rFonts w:hint="eastAsia"/>
                <w:szCs w:val="21"/>
              </w:rPr>
              <w:t>凝析油</w:t>
            </w:r>
            <w:bookmarkEnd w:id="1727"/>
          </w:p>
        </w:tc>
        <w:tc>
          <w:tcPr>
            <w:tcW w:w="2032" w:type="pct"/>
            <w:vMerge w:val="restart"/>
            <w:vAlign w:val="center"/>
          </w:tcPr>
          <w:p w:rsidR="00C645C9" w:rsidRDefault="00F955D9">
            <w:pPr>
              <w:pStyle w:val="afb"/>
              <w:rPr>
                <w:szCs w:val="21"/>
              </w:rPr>
            </w:pPr>
            <w:r>
              <w:rPr>
                <w:rFonts w:ascii="宋体" w:hAnsi="宋体" w:cs="宋体" w:hint="eastAsia"/>
                <w:szCs w:val="21"/>
              </w:rPr>
              <w:t>①罐体破损后，</w:t>
            </w:r>
            <w:r>
              <w:rPr>
                <w:szCs w:val="21"/>
              </w:rPr>
              <w:t>油气泄漏后直接进入大气环境或挥发进入大气环境，遇明火易引发爆炸；</w:t>
            </w:r>
          </w:p>
          <w:p w:rsidR="00C645C9" w:rsidRDefault="00F955D9">
            <w:pPr>
              <w:pStyle w:val="afb"/>
              <w:rPr>
                <w:szCs w:val="21"/>
              </w:rPr>
            </w:pPr>
            <w:r>
              <w:rPr>
                <w:rFonts w:ascii="宋体" w:hAnsi="宋体" w:cs="宋体" w:hint="eastAsia"/>
                <w:szCs w:val="21"/>
              </w:rPr>
              <w:t>②</w:t>
            </w:r>
            <w:r>
              <w:rPr>
                <w:rFonts w:hint="eastAsia"/>
                <w:szCs w:val="21"/>
              </w:rPr>
              <w:t>凝析油</w:t>
            </w:r>
            <w:r>
              <w:rPr>
                <w:szCs w:val="21"/>
              </w:rPr>
              <w:t>泄漏进入地表，阻塞土壤孔隙，使土壤板结，降低通透性，不利于植物生长，还有可能污染地下水</w:t>
            </w:r>
            <w:r>
              <w:rPr>
                <w:rFonts w:hint="eastAsia"/>
                <w:szCs w:val="21"/>
              </w:rPr>
              <w:t>。</w:t>
            </w:r>
          </w:p>
        </w:tc>
        <w:tc>
          <w:tcPr>
            <w:tcW w:w="628" w:type="pct"/>
            <w:vMerge w:val="restart"/>
            <w:vAlign w:val="center"/>
          </w:tcPr>
          <w:p w:rsidR="00C645C9" w:rsidRDefault="00F955D9">
            <w:pPr>
              <w:pStyle w:val="afb"/>
              <w:rPr>
                <w:szCs w:val="21"/>
              </w:rPr>
            </w:pPr>
            <w:r>
              <w:rPr>
                <w:rFonts w:hint="eastAsia"/>
                <w:szCs w:val="21"/>
              </w:rPr>
              <w:t>大气、土壤、地下水</w:t>
            </w:r>
          </w:p>
        </w:tc>
      </w:tr>
      <w:tr w:rsidR="00C645C9">
        <w:tc>
          <w:tcPr>
            <w:tcW w:w="475" w:type="pct"/>
            <w:vMerge/>
            <w:vAlign w:val="center"/>
          </w:tcPr>
          <w:p w:rsidR="00C645C9" w:rsidRDefault="00C645C9">
            <w:pPr>
              <w:pStyle w:val="afb"/>
              <w:rPr>
                <w:szCs w:val="21"/>
              </w:rPr>
            </w:pPr>
          </w:p>
        </w:tc>
        <w:tc>
          <w:tcPr>
            <w:tcW w:w="415" w:type="pct"/>
            <w:vMerge/>
            <w:vAlign w:val="center"/>
          </w:tcPr>
          <w:p w:rsidR="00C645C9" w:rsidRDefault="00C645C9">
            <w:pPr>
              <w:pStyle w:val="afb"/>
              <w:rPr>
                <w:szCs w:val="21"/>
              </w:rPr>
            </w:pPr>
          </w:p>
        </w:tc>
        <w:tc>
          <w:tcPr>
            <w:tcW w:w="796" w:type="pct"/>
            <w:vAlign w:val="center"/>
          </w:tcPr>
          <w:p w:rsidR="00C645C9" w:rsidRDefault="00F955D9">
            <w:pPr>
              <w:pStyle w:val="afb"/>
              <w:rPr>
                <w:szCs w:val="21"/>
              </w:rPr>
            </w:pPr>
            <w:r>
              <w:rPr>
                <w:rFonts w:hint="eastAsia"/>
                <w:szCs w:val="21"/>
              </w:rPr>
              <w:t>进站分离器</w:t>
            </w:r>
          </w:p>
        </w:tc>
        <w:tc>
          <w:tcPr>
            <w:tcW w:w="651" w:type="pct"/>
            <w:vMerge/>
            <w:vAlign w:val="center"/>
          </w:tcPr>
          <w:p w:rsidR="00C645C9" w:rsidRDefault="00C645C9">
            <w:pPr>
              <w:pStyle w:val="afb"/>
              <w:rPr>
                <w:szCs w:val="21"/>
              </w:rPr>
            </w:pPr>
          </w:p>
        </w:tc>
        <w:tc>
          <w:tcPr>
            <w:tcW w:w="2032" w:type="pct"/>
            <w:vMerge/>
            <w:vAlign w:val="center"/>
          </w:tcPr>
          <w:p w:rsidR="00C645C9" w:rsidRDefault="00C645C9">
            <w:pPr>
              <w:pStyle w:val="afb"/>
              <w:rPr>
                <w:szCs w:val="21"/>
              </w:rPr>
            </w:pPr>
          </w:p>
        </w:tc>
        <w:tc>
          <w:tcPr>
            <w:tcW w:w="628" w:type="pct"/>
            <w:vMerge/>
            <w:vAlign w:val="center"/>
          </w:tcPr>
          <w:p w:rsidR="00C645C9" w:rsidRDefault="00C645C9">
            <w:pPr>
              <w:pStyle w:val="afb"/>
              <w:rPr>
                <w:szCs w:val="21"/>
              </w:rPr>
            </w:pPr>
          </w:p>
        </w:tc>
      </w:tr>
      <w:tr w:rsidR="00C645C9">
        <w:tc>
          <w:tcPr>
            <w:tcW w:w="475" w:type="pct"/>
            <w:vMerge/>
            <w:vAlign w:val="center"/>
          </w:tcPr>
          <w:p w:rsidR="00C645C9" w:rsidRDefault="00C645C9">
            <w:pPr>
              <w:pStyle w:val="afb"/>
              <w:rPr>
                <w:szCs w:val="21"/>
              </w:rPr>
            </w:pPr>
          </w:p>
        </w:tc>
        <w:tc>
          <w:tcPr>
            <w:tcW w:w="415" w:type="pct"/>
            <w:vMerge/>
            <w:vAlign w:val="center"/>
          </w:tcPr>
          <w:p w:rsidR="00C645C9" w:rsidRDefault="00C645C9">
            <w:pPr>
              <w:pStyle w:val="afb"/>
              <w:rPr>
                <w:szCs w:val="21"/>
              </w:rPr>
            </w:pPr>
          </w:p>
        </w:tc>
        <w:tc>
          <w:tcPr>
            <w:tcW w:w="796" w:type="pct"/>
            <w:vAlign w:val="center"/>
          </w:tcPr>
          <w:p w:rsidR="00C645C9" w:rsidRDefault="00F955D9">
            <w:pPr>
              <w:pStyle w:val="afb"/>
              <w:rPr>
                <w:szCs w:val="21"/>
              </w:rPr>
            </w:pPr>
            <w:r>
              <w:rPr>
                <w:rFonts w:hint="eastAsia"/>
                <w:szCs w:val="21"/>
              </w:rPr>
              <w:t>高压分离器</w:t>
            </w:r>
          </w:p>
        </w:tc>
        <w:tc>
          <w:tcPr>
            <w:tcW w:w="651" w:type="pct"/>
            <w:vMerge/>
            <w:vAlign w:val="center"/>
          </w:tcPr>
          <w:p w:rsidR="00C645C9" w:rsidRDefault="00C645C9">
            <w:pPr>
              <w:pStyle w:val="afb"/>
              <w:rPr>
                <w:szCs w:val="21"/>
              </w:rPr>
            </w:pPr>
          </w:p>
        </w:tc>
        <w:tc>
          <w:tcPr>
            <w:tcW w:w="2032" w:type="pct"/>
            <w:vMerge/>
            <w:vAlign w:val="center"/>
          </w:tcPr>
          <w:p w:rsidR="00C645C9" w:rsidRDefault="00C645C9">
            <w:pPr>
              <w:pStyle w:val="afb"/>
              <w:rPr>
                <w:szCs w:val="21"/>
              </w:rPr>
            </w:pPr>
          </w:p>
        </w:tc>
        <w:tc>
          <w:tcPr>
            <w:tcW w:w="628" w:type="pct"/>
            <w:vMerge/>
            <w:vAlign w:val="center"/>
          </w:tcPr>
          <w:p w:rsidR="00C645C9" w:rsidRDefault="00C645C9">
            <w:pPr>
              <w:pStyle w:val="afb"/>
              <w:rPr>
                <w:szCs w:val="21"/>
              </w:rPr>
            </w:pPr>
          </w:p>
        </w:tc>
      </w:tr>
      <w:tr w:rsidR="00C645C9">
        <w:trPr>
          <w:trHeight w:val="270"/>
        </w:trPr>
        <w:tc>
          <w:tcPr>
            <w:tcW w:w="475" w:type="pct"/>
            <w:vMerge/>
            <w:vAlign w:val="center"/>
          </w:tcPr>
          <w:p w:rsidR="00C645C9" w:rsidRDefault="00C645C9">
            <w:pPr>
              <w:pStyle w:val="afb"/>
              <w:rPr>
                <w:szCs w:val="21"/>
              </w:rPr>
            </w:pPr>
          </w:p>
        </w:tc>
        <w:tc>
          <w:tcPr>
            <w:tcW w:w="415" w:type="pct"/>
            <w:vMerge/>
            <w:vAlign w:val="center"/>
          </w:tcPr>
          <w:p w:rsidR="00C645C9" w:rsidRDefault="00C645C9">
            <w:pPr>
              <w:pStyle w:val="afb"/>
              <w:rPr>
                <w:szCs w:val="21"/>
              </w:rPr>
            </w:pPr>
          </w:p>
        </w:tc>
        <w:tc>
          <w:tcPr>
            <w:tcW w:w="796" w:type="pct"/>
            <w:vAlign w:val="center"/>
          </w:tcPr>
          <w:p w:rsidR="00C645C9" w:rsidRDefault="00F955D9">
            <w:pPr>
              <w:pStyle w:val="afb"/>
              <w:rPr>
                <w:szCs w:val="21"/>
              </w:rPr>
            </w:pPr>
            <w:r>
              <w:rPr>
                <w:rFonts w:hint="eastAsia"/>
                <w:snapToGrid w:val="0"/>
                <w:szCs w:val="21"/>
              </w:rPr>
              <w:t>闪蒸分离</w:t>
            </w:r>
            <w:r>
              <w:rPr>
                <w:rFonts w:hint="eastAsia"/>
                <w:snapToGrid w:val="0"/>
                <w:szCs w:val="21"/>
              </w:rPr>
              <w:lastRenderedPageBreak/>
              <w:t>器</w:t>
            </w:r>
            <w:r>
              <w:rPr>
                <w:rFonts w:hint="eastAsia"/>
                <w:snapToGrid w:val="0"/>
                <w:szCs w:val="21"/>
              </w:rPr>
              <w:t>、过滤分离器橇、低温分离橇</w:t>
            </w:r>
          </w:p>
        </w:tc>
        <w:tc>
          <w:tcPr>
            <w:tcW w:w="651" w:type="pct"/>
            <w:vAlign w:val="center"/>
          </w:tcPr>
          <w:p w:rsidR="00C645C9" w:rsidRDefault="00F955D9">
            <w:pPr>
              <w:pStyle w:val="afb"/>
              <w:rPr>
                <w:szCs w:val="21"/>
              </w:rPr>
            </w:pPr>
            <w:bookmarkStart w:id="1728" w:name="OLE_LINK875"/>
            <w:r>
              <w:rPr>
                <w:rFonts w:hint="eastAsia"/>
                <w:szCs w:val="21"/>
              </w:rPr>
              <w:lastRenderedPageBreak/>
              <w:t>天然气</w:t>
            </w:r>
            <w:bookmarkEnd w:id="1728"/>
          </w:p>
        </w:tc>
        <w:tc>
          <w:tcPr>
            <w:tcW w:w="2032" w:type="pct"/>
            <w:vAlign w:val="center"/>
          </w:tcPr>
          <w:p w:rsidR="00C645C9" w:rsidRDefault="00F955D9">
            <w:pPr>
              <w:pStyle w:val="afb"/>
              <w:rPr>
                <w:szCs w:val="21"/>
              </w:rPr>
            </w:pPr>
            <w:r>
              <w:rPr>
                <w:szCs w:val="21"/>
              </w:rPr>
              <w:t>天然气扩散至环境空气中，可能引</w:t>
            </w:r>
            <w:r>
              <w:rPr>
                <w:szCs w:val="21"/>
              </w:rPr>
              <w:lastRenderedPageBreak/>
              <w:t>发天然气中毒事件。</w:t>
            </w:r>
          </w:p>
        </w:tc>
        <w:tc>
          <w:tcPr>
            <w:tcW w:w="628" w:type="pct"/>
            <w:vAlign w:val="center"/>
          </w:tcPr>
          <w:p w:rsidR="00C645C9" w:rsidRDefault="00F955D9">
            <w:pPr>
              <w:pStyle w:val="afb"/>
              <w:rPr>
                <w:szCs w:val="21"/>
              </w:rPr>
            </w:pPr>
            <w:r>
              <w:rPr>
                <w:rFonts w:hint="eastAsia"/>
                <w:szCs w:val="21"/>
              </w:rPr>
              <w:lastRenderedPageBreak/>
              <w:t>大气</w:t>
            </w:r>
          </w:p>
        </w:tc>
      </w:tr>
      <w:tr w:rsidR="00C645C9">
        <w:tc>
          <w:tcPr>
            <w:tcW w:w="475" w:type="pct"/>
            <w:vMerge/>
            <w:vAlign w:val="center"/>
          </w:tcPr>
          <w:p w:rsidR="00C645C9" w:rsidRDefault="00C645C9">
            <w:pPr>
              <w:pStyle w:val="afb"/>
              <w:rPr>
                <w:szCs w:val="21"/>
              </w:rPr>
            </w:pPr>
          </w:p>
        </w:tc>
        <w:tc>
          <w:tcPr>
            <w:tcW w:w="415" w:type="pct"/>
            <w:vAlign w:val="center"/>
          </w:tcPr>
          <w:p w:rsidR="00C645C9" w:rsidRDefault="00F955D9">
            <w:pPr>
              <w:pStyle w:val="afb"/>
              <w:rPr>
                <w:szCs w:val="21"/>
              </w:rPr>
            </w:pPr>
            <w:r>
              <w:rPr>
                <w:szCs w:val="21"/>
              </w:rPr>
              <w:t>火灾爆炸</w:t>
            </w:r>
          </w:p>
        </w:tc>
        <w:tc>
          <w:tcPr>
            <w:tcW w:w="796" w:type="pct"/>
            <w:vAlign w:val="center"/>
          </w:tcPr>
          <w:p w:rsidR="00C645C9" w:rsidRDefault="00F955D9">
            <w:pPr>
              <w:pStyle w:val="afb"/>
              <w:rPr>
                <w:szCs w:val="21"/>
              </w:rPr>
            </w:pPr>
            <w:r>
              <w:rPr>
                <w:rFonts w:hint="eastAsia"/>
                <w:szCs w:val="21"/>
              </w:rPr>
              <w:t>采气</w:t>
            </w:r>
            <w:r>
              <w:rPr>
                <w:rFonts w:hint="eastAsia"/>
                <w:szCs w:val="21"/>
              </w:rPr>
              <w:t>、</w:t>
            </w:r>
            <w:r>
              <w:rPr>
                <w:rFonts w:hint="eastAsia"/>
                <w:szCs w:val="21"/>
              </w:rPr>
              <w:t>采油</w:t>
            </w:r>
            <w:r>
              <w:rPr>
                <w:rFonts w:hint="eastAsia"/>
                <w:szCs w:val="21"/>
              </w:rPr>
              <w:t>过程</w:t>
            </w:r>
          </w:p>
        </w:tc>
        <w:tc>
          <w:tcPr>
            <w:tcW w:w="651" w:type="pct"/>
            <w:vAlign w:val="center"/>
          </w:tcPr>
          <w:p w:rsidR="00C645C9" w:rsidRDefault="00F955D9">
            <w:pPr>
              <w:pStyle w:val="afb"/>
              <w:rPr>
                <w:szCs w:val="21"/>
              </w:rPr>
            </w:pPr>
            <w:bookmarkStart w:id="1729" w:name="OLE_LINK878"/>
            <w:r>
              <w:rPr>
                <w:rFonts w:hint="eastAsia"/>
                <w:szCs w:val="21"/>
              </w:rPr>
              <w:t>伴生</w:t>
            </w:r>
            <w:r>
              <w:rPr>
                <w:szCs w:val="21"/>
              </w:rPr>
              <w:t>及次生污染物</w:t>
            </w:r>
            <w:bookmarkEnd w:id="1729"/>
          </w:p>
        </w:tc>
        <w:tc>
          <w:tcPr>
            <w:tcW w:w="2032" w:type="pct"/>
            <w:vAlign w:val="center"/>
          </w:tcPr>
          <w:p w:rsidR="00C645C9" w:rsidRDefault="00F955D9">
            <w:pPr>
              <w:pStyle w:val="afb"/>
              <w:rPr>
                <w:szCs w:val="21"/>
              </w:rPr>
            </w:pPr>
            <w:r>
              <w:rPr>
                <w:rFonts w:hint="eastAsia"/>
                <w:szCs w:val="21"/>
              </w:rPr>
              <w:t>油气</w:t>
            </w:r>
            <w:r>
              <w:rPr>
                <w:rFonts w:hint="eastAsia"/>
                <w:szCs w:val="21"/>
              </w:rPr>
              <w:t>泄漏</w:t>
            </w:r>
            <w:r>
              <w:rPr>
                <w:szCs w:val="21"/>
              </w:rPr>
              <w:t>遇明火发生火灾或爆炸，污染大气，同时破坏周围地表植被</w:t>
            </w:r>
            <w:r>
              <w:rPr>
                <w:rFonts w:hint="eastAsia"/>
                <w:szCs w:val="21"/>
              </w:rPr>
              <w:t>。</w:t>
            </w:r>
          </w:p>
        </w:tc>
        <w:tc>
          <w:tcPr>
            <w:tcW w:w="628" w:type="pct"/>
            <w:vAlign w:val="center"/>
          </w:tcPr>
          <w:p w:rsidR="00C645C9" w:rsidRDefault="00F955D9">
            <w:pPr>
              <w:pStyle w:val="afb"/>
              <w:rPr>
                <w:szCs w:val="21"/>
              </w:rPr>
            </w:pPr>
            <w:r>
              <w:rPr>
                <w:szCs w:val="21"/>
              </w:rPr>
              <w:t>大气</w:t>
            </w:r>
          </w:p>
        </w:tc>
      </w:tr>
      <w:tr w:rsidR="00C645C9">
        <w:tc>
          <w:tcPr>
            <w:tcW w:w="475" w:type="pct"/>
            <w:vMerge/>
            <w:vAlign w:val="center"/>
          </w:tcPr>
          <w:p w:rsidR="00C645C9" w:rsidRDefault="00C645C9">
            <w:pPr>
              <w:pStyle w:val="afb"/>
              <w:rPr>
                <w:szCs w:val="21"/>
              </w:rPr>
            </w:pPr>
          </w:p>
        </w:tc>
        <w:tc>
          <w:tcPr>
            <w:tcW w:w="415" w:type="pct"/>
            <w:vAlign w:val="center"/>
          </w:tcPr>
          <w:p w:rsidR="00C645C9" w:rsidRDefault="00F955D9">
            <w:pPr>
              <w:pStyle w:val="afb"/>
              <w:rPr>
                <w:szCs w:val="21"/>
              </w:rPr>
            </w:pPr>
            <w:r>
              <w:rPr>
                <w:rFonts w:hint="eastAsia"/>
                <w:szCs w:val="21"/>
              </w:rPr>
              <w:t>泄漏</w:t>
            </w:r>
          </w:p>
        </w:tc>
        <w:tc>
          <w:tcPr>
            <w:tcW w:w="796" w:type="pct"/>
            <w:vMerge w:val="restart"/>
            <w:vAlign w:val="center"/>
          </w:tcPr>
          <w:p w:rsidR="00C645C9" w:rsidRDefault="00F955D9">
            <w:pPr>
              <w:pStyle w:val="afb"/>
              <w:rPr>
                <w:szCs w:val="21"/>
              </w:rPr>
            </w:pPr>
            <w:r>
              <w:rPr>
                <w:rFonts w:hint="eastAsia"/>
                <w:szCs w:val="21"/>
              </w:rPr>
              <w:t>回收过程</w:t>
            </w:r>
          </w:p>
        </w:tc>
        <w:tc>
          <w:tcPr>
            <w:tcW w:w="651" w:type="pct"/>
            <w:vAlign w:val="center"/>
          </w:tcPr>
          <w:p w:rsidR="00C645C9" w:rsidRDefault="00F955D9">
            <w:pPr>
              <w:pStyle w:val="afb"/>
              <w:rPr>
                <w:szCs w:val="21"/>
              </w:rPr>
            </w:pPr>
            <w:r>
              <w:rPr>
                <w:szCs w:val="21"/>
              </w:rPr>
              <w:t>天然气</w:t>
            </w:r>
          </w:p>
        </w:tc>
        <w:tc>
          <w:tcPr>
            <w:tcW w:w="2032" w:type="pct"/>
            <w:vAlign w:val="center"/>
          </w:tcPr>
          <w:p w:rsidR="00C645C9" w:rsidRDefault="00F955D9">
            <w:pPr>
              <w:pStyle w:val="afb"/>
              <w:rPr>
                <w:szCs w:val="21"/>
              </w:rPr>
            </w:pPr>
            <w:r>
              <w:rPr>
                <w:rFonts w:hint="eastAsia"/>
                <w:szCs w:val="21"/>
              </w:rPr>
              <w:t>天然气</w:t>
            </w:r>
            <w:r>
              <w:rPr>
                <w:szCs w:val="21"/>
              </w:rPr>
              <w:t>发生</w:t>
            </w:r>
            <w:r>
              <w:rPr>
                <w:rFonts w:hint="eastAsia"/>
                <w:szCs w:val="21"/>
              </w:rPr>
              <w:t>泄漏</w:t>
            </w:r>
            <w:r>
              <w:rPr>
                <w:szCs w:val="21"/>
              </w:rPr>
              <w:t>，气体扩散至环境空气中，可能引发员工天然气</w:t>
            </w:r>
            <w:r>
              <w:rPr>
                <w:rFonts w:hint="eastAsia"/>
                <w:szCs w:val="21"/>
              </w:rPr>
              <w:t>。</w:t>
            </w:r>
          </w:p>
        </w:tc>
        <w:tc>
          <w:tcPr>
            <w:tcW w:w="628" w:type="pct"/>
            <w:vAlign w:val="center"/>
          </w:tcPr>
          <w:p w:rsidR="00C645C9" w:rsidRDefault="00F955D9">
            <w:pPr>
              <w:pStyle w:val="afb"/>
              <w:rPr>
                <w:szCs w:val="21"/>
              </w:rPr>
            </w:pPr>
            <w:r>
              <w:rPr>
                <w:szCs w:val="21"/>
              </w:rPr>
              <w:t>大气</w:t>
            </w:r>
          </w:p>
        </w:tc>
      </w:tr>
      <w:tr w:rsidR="00C645C9">
        <w:tc>
          <w:tcPr>
            <w:tcW w:w="475" w:type="pct"/>
            <w:vMerge/>
            <w:vAlign w:val="center"/>
          </w:tcPr>
          <w:p w:rsidR="00C645C9" w:rsidRDefault="00C645C9">
            <w:pPr>
              <w:pStyle w:val="afb"/>
              <w:rPr>
                <w:szCs w:val="21"/>
              </w:rPr>
            </w:pPr>
          </w:p>
        </w:tc>
        <w:tc>
          <w:tcPr>
            <w:tcW w:w="415" w:type="pct"/>
            <w:vAlign w:val="center"/>
          </w:tcPr>
          <w:p w:rsidR="00C645C9" w:rsidRDefault="00F955D9">
            <w:pPr>
              <w:pStyle w:val="afb"/>
              <w:rPr>
                <w:szCs w:val="21"/>
              </w:rPr>
            </w:pPr>
            <w:r>
              <w:rPr>
                <w:szCs w:val="21"/>
              </w:rPr>
              <w:t>火灾爆炸</w:t>
            </w:r>
          </w:p>
        </w:tc>
        <w:tc>
          <w:tcPr>
            <w:tcW w:w="796" w:type="pct"/>
            <w:vMerge/>
            <w:vAlign w:val="center"/>
          </w:tcPr>
          <w:p w:rsidR="00C645C9" w:rsidRDefault="00C645C9">
            <w:pPr>
              <w:pStyle w:val="afb"/>
              <w:rPr>
                <w:szCs w:val="21"/>
              </w:rPr>
            </w:pPr>
          </w:p>
        </w:tc>
        <w:tc>
          <w:tcPr>
            <w:tcW w:w="651" w:type="pct"/>
            <w:vAlign w:val="center"/>
          </w:tcPr>
          <w:p w:rsidR="00C645C9" w:rsidRDefault="00F955D9">
            <w:pPr>
              <w:pStyle w:val="afb"/>
              <w:rPr>
                <w:szCs w:val="21"/>
              </w:rPr>
            </w:pPr>
            <w:r>
              <w:rPr>
                <w:rFonts w:hint="eastAsia"/>
                <w:szCs w:val="21"/>
              </w:rPr>
              <w:t>伴生</w:t>
            </w:r>
            <w:r>
              <w:rPr>
                <w:szCs w:val="21"/>
              </w:rPr>
              <w:t>及次生污染物</w:t>
            </w:r>
          </w:p>
        </w:tc>
        <w:tc>
          <w:tcPr>
            <w:tcW w:w="2032" w:type="pct"/>
            <w:vAlign w:val="center"/>
          </w:tcPr>
          <w:p w:rsidR="00C645C9" w:rsidRDefault="00F955D9">
            <w:pPr>
              <w:pStyle w:val="afb"/>
              <w:rPr>
                <w:szCs w:val="21"/>
              </w:rPr>
            </w:pPr>
            <w:r>
              <w:rPr>
                <w:szCs w:val="21"/>
              </w:rPr>
              <w:t>天然气泄漏后，遇火源会发生火灾、爆炸事故，燃烧产生的次生</w:t>
            </w:r>
            <w:r>
              <w:rPr>
                <w:szCs w:val="21"/>
              </w:rPr>
              <w:t>CO</w:t>
            </w:r>
            <w:r>
              <w:rPr>
                <w:szCs w:val="21"/>
              </w:rPr>
              <w:t>引发周围人员</w:t>
            </w:r>
            <w:r>
              <w:rPr>
                <w:szCs w:val="21"/>
              </w:rPr>
              <w:t>CO</w:t>
            </w:r>
            <w:r>
              <w:rPr>
                <w:szCs w:val="21"/>
              </w:rPr>
              <w:t>中毒事件</w:t>
            </w:r>
            <w:r>
              <w:rPr>
                <w:rFonts w:hint="eastAsia"/>
                <w:szCs w:val="21"/>
              </w:rPr>
              <w:t>。</w:t>
            </w:r>
          </w:p>
        </w:tc>
        <w:tc>
          <w:tcPr>
            <w:tcW w:w="628" w:type="pct"/>
            <w:vAlign w:val="center"/>
          </w:tcPr>
          <w:p w:rsidR="00C645C9" w:rsidRDefault="00F955D9">
            <w:pPr>
              <w:pStyle w:val="afb"/>
              <w:rPr>
                <w:szCs w:val="21"/>
              </w:rPr>
            </w:pPr>
            <w:r>
              <w:rPr>
                <w:szCs w:val="21"/>
              </w:rPr>
              <w:t>大气</w:t>
            </w:r>
          </w:p>
        </w:tc>
      </w:tr>
      <w:tr w:rsidR="00C645C9">
        <w:tc>
          <w:tcPr>
            <w:tcW w:w="475" w:type="pct"/>
            <w:vMerge/>
            <w:vAlign w:val="center"/>
          </w:tcPr>
          <w:p w:rsidR="00C645C9" w:rsidRDefault="00C645C9">
            <w:pPr>
              <w:pStyle w:val="afb"/>
              <w:rPr>
                <w:szCs w:val="21"/>
              </w:rPr>
            </w:pPr>
            <w:bookmarkStart w:id="1730" w:name="OLE_LINK872" w:colFirst="1" w:colLast="1"/>
          </w:p>
        </w:tc>
        <w:tc>
          <w:tcPr>
            <w:tcW w:w="415" w:type="pct"/>
            <w:vAlign w:val="center"/>
          </w:tcPr>
          <w:p w:rsidR="00C645C9" w:rsidRDefault="00F955D9">
            <w:pPr>
              <w:pStyle w:val="afb"/>
              <w:rPr>
                <w:szCs w:val="21"/>
              </w:rPr>
            </w:pPr>
            <w:r>
              <w:rPr>
                <w:rFonts w:hint="eastAsia"/>
                <w:szCs w:val="21"/>
              </w:rPr>
              <w:t>泄漏</w:t>
            </w:r>
          </w:p>
        </w:tc>
        <w:tc>
          <w:tcPr>
            <w:tcW w:w="796" w:type="pct"/>
            <w:vMerge w:val="restart"/>
            <w:vAlign w:val="center"/>
          </w:tcPr>
          <w:p w:rsidR="00C645C9" w:rsidRDefault="00F955D9">
            <w:pPr>
              <w:pStyle w:val="afb"/>
              <w:rPr>
                <w:szCs w:val="21"/>
              </w:rPr>
            </w:pPr>
            <w:r>
              <w:rPr>
                <w:rFonts w:hint="eastAsia"/>
                <w:szCs w:val="21"/>
              </w:rPr>
              <w:t>混烃罐</w:t>
            </w:r>
          </w:p>
        </w:tc>
        <w:tc>
          <w:tcPr>
            <w:tcW w:w="651" w:type="pct"/>
            <w:vAlign w:val="center"/>
          </w:tcPr>
          <w:p w:rsidR="00C645C9" w:rsidRDefault="00F955D9">
            <w:pPr>
              <w:pStyle w:val="afb"/>
              <w:rPr>
                <w:szCs w:val="21"/>
              </w:rPr>
            </w:pPr>
            <w:r>
              <w:rPr>
                <w:rFonts w:hint="eastAsia"/>
                <w:szCs w:val="21"/>
              </w:rPr>
              <w:t>凝析油</w:t>
            </w:r>
          </w:p>
        </w:tc>
        <w:tc>
          <w:tcPr>
            <w:tcW w:w="2032" w:type="pct"/>
            <w:vAlign w:val="center"/>
          </w:tcPr>
          <w:p w:rsidR="00C645C9" w:rsidRDefault="00F955D9">
            <w:pPr>
              <w:pStyle w:val="afb"/>
              <w:rPr>
                <w:szCs w:val="21"/>
              </w:rPr>
            </w:pPr>
            <w:r>
              <w:rPr>
                <w:rFonts w:hint="eastAsia"/>
                <w:szCs w:val="21"/>
              </w:rPr>
              <w:t>混烃</w:t>
            </w:r>
            <w:r>
              <w:rPr>
                <w:rFonts w:hint="eastAsia"/>
                <w:szCs w:val="21"/>
              </w:rPr>
              <w:t>泄漏</w:t>
            </w:r>
            <w:r>
              <w:rPr>
                <w:szCs w:val="21"/>
              </w:rPr>
              <w:t>，</w:t>
            </w:r>
            <w:r>
              <w:rPr>
                <w:rFonts w:hint="eastAsia"/>
                <w:szCs w:val="21"/>
              </w:rPr>
              <w:t>易挥发，烃类气体会污染大气，液体会</w:t>
            </w:r>
            <w:r>
              <w:rPr>
                <w:szCs w:val="21"/>
              </w:rPr>
              <w:t>通过垂直入渗或地面漫流的方式进入环境，对土壤环境、地下水环境造成污染。</w:t>
            </w:r>
          </w:p>
        </w:tc>
        <w:tc>
          <w:tcPr>
            <w:tcW w:w="628" w:type="pct"/>
            <w:vAlign w:val="center"/>
          </w:tcPr>
          <w:p w:rsidR="00C645C9" w:rsidRDefault="00F955D9">
            <w:pPr>
              <w:pStyle w:val="afb"/>
              <w:rPr>
                <w:szCs w:val="21"/>
              </w:rPr>
            </w:pPr>
            <w:r>
              <w:rPr>
                <w:rFonts w:hint="eastAsia"/>
                <w:szCs w:val="21"/>
              </w:rPr>
              <w:t>大气、</w:t>
            </w:r>
            <w:r>
              <w:rPr>
                <w:szCs w:val="21"/>
              </w:rPr>
              <w:t>土壤、地下水</w:t>
            </w:r>
          </w:p>
        </w:tc>
      </w:tr>
      <w:tr w:rsidR="00C645C9">
        <w:tc>
          <w:tcPr>
            <w:tcW w:w="475" w:type="pct"/>
            <w:vMerge/>
            <w:vAlign w:val="center"/>
          </w:tcPr>
          <w:p w:rsidR="00C645C9" w:rsidRDefault="00C645C9">
            <w:pPr>
              <w:pStyle w:val="afb"/>
              <w:rPr>
                <w:szCs w:val="21"/>
              </w:rPr>
            </w:pPr>
          </w:p>
        </w:tc>
        <w:tc>
          <w:tcPr>
            <w:tcW w:w="415" w:type="pct"/>
            <w:vAlign w:val="center"/>
          </w:tcPr>
          <w:p w:rsidR="00C645C9" w:rsidRDefault="00F955D9">
            <w:pPr>
              <w:pStyle w:val="afb"/>
              <w:rPr>
                <w:szCs w:val="21"/>
              </w:rPr>
            </w:pPr>
            <w:r>
              <w:rPr>
                <w:szCs w:val="21"/>
              </w:rPr>
              <w:t>火灾爆炸</w:t>
            </w:r>
          </w:p>
        </w:tc>
        <w:tc>
          <w:tcPr>
            <w:tcW w:w="796" w:type="pct"/>
            <w:vMerge/>
            <w:vAlign w:val="center"/>
          </w:tcPr>
          <w:p w:rsidR="00C645C9" w:rsidRDefault="00C645C9">
            <w:pPr>
              <w:pStyle w:val="afb"/>
              <w:rPr>
                <w:szCs w:val="21"/>
              </w:rPr>
            </w:pPr>
          </w:p>
        </w:tc>
        <w:tc>
          <w:tcPr>
            <w:tcW w:w="651" w:type="pct"/>
            <w:vAlign w:val="center"/>
          </w:tcPr>
          <w:p w:rsidR="00C645C9" w:rsidRDefault="00F955D9">
            <w:pPr>
              <w:pStyle w:val="afb"/>
              <w:rPr>
                <w:szCs w:val="21"/>
              </w:rPr>
            </w:pPr>
            <w:r>
              <w:rPr>
                <w:rFonts w:hint="eastAsia"/>
                <w:szCs w:val="21"/>
              </w:rPr>
              <w:t>伴生</w:t>
            </w:r>
            <w:r>
              <w:rPr>
                <w:szCs w:val="21"/>
              </w:rPr>
              <w:t>及次生污染物</w:t>
            </w:r>
          </w:p>
        </w:tc>
        <w:tc>
          <w:tcPr>
            <w:tcW w:w="2032" w:type="pct"/>
            <w:vAlign w:val="center"/>
          </w:tcPr>
          <w:p w:rsidR="00C645C9" w:rsidRDefault="00F955D9">
            <w:pPr>
              <w:pStyle w:val="afb"/>
              <w:rPr>
                <w:szCs w:val="21"/>
              </w:rPr>
            </w:pPr>
            <w:r>
              <w:rPr>
                <w:rFonts w:hint="eastAsia"/>
                <w:szCs w:val="21"/>
              </w:rPr>
              <w:t>混烃</w:t>
            </w:r>
            <w:r>
              <w:rPr>
                <w:szCs w:val="21"/>
              </w:rPr>
              <w:t>发生</w:t>
            </w:r>
            <w:r>
              <w:rPr>
                <w:rFonts w:hint="eastAsia"/>
                <w:szCs w:val="21"/>
              </w:rPr>
              <w:t>泄漏</w:t>
            </w:r>
            <w:r>
              <w:rPr>
                <w:szCs w:val="21"/>
              </w:rPr>
              <w:t>，遇火源会发生火灾、爆炸事故，燃烧产生的次生</w:t>
            </w:r>
            <w:r>
              <w:rPr>
                <w:szCs w:val="21"/>
              </w:rPr>
              <w:t>CO</w:t>
            </w:r>
            <w:r>
              <w:rPr>
                <w:szCs w:val="21"/>
              </w:rPr>
              <w:t>引发周围人员</w:t>
            </w:r>
            <w:r>
              <w:rPr>
                <w:szCs w:val="21"/>
              </w:rPr>
              <w:t>CO</w:t>
            </w:r>
            <w:r>
              <w:rPr>
                <w:szCs w:val="21"/>
              </w:rPr>
              <w:t>中毒事件</w:t>
            </w:r>
            <w:r>
              <w:rPr>
                <w:rFonts w:hint="eastAsia"/>
                <w:szCs w:val="21"/>
              </w:rPr>
              <w:t>。</w:t>
            </w:r>
          </w:p>
        </w:tc>
        <w:tc>
          <w:tcPr>
            <w:tcW w:w="628" w:type="pct"/>
            <w:vAlign w:val="center"/>
          </w:tcPr>
          <w:p w:rsidR="00C645C9" w:rsidRDefault="00F955D9">
            <w:pPr>
              <w:pStyle w:val="afb"/>
              <w:rPr>
                <w:szCs w:val="21"/>
              </w:rPr>
            </w:pPr>
            <w:r>
              <w:rPr>
                <w:szCs w:val="21"/>
              </w:rPr>
              <w:t>大气</w:t>
            </w:r>
          </w:p>
        </w:tc>
      </w:tr>
      <w:bookmarkEnd w:id="1723"/>
      <w:bookmarkEnd w:id="1730"/>
    </w:tbl>
    <w:p w:rsidR="00C645C9" w:rsidRDefault="00C645C9">
      <w:pPr>
        <w:pStyle w:val="af7"/>
        <w:ind w:left="-6" w:firstLine="561"/>
        <w:outlineLvl w:val="9"/>
      </w:pPr>
    </w:p>
    <w:p w:rsidR="00C645C9" w:rsidRDefault="00F955D9">
      <w:pPr>
        <w:pStyle w:val="aff"/>
        <w:adjustRightInd w:val="0"/>
        <w:snapToGrid w:val="0"/>
        <w:ind w:firstLineChars="0" w:firstLine="0"/>
        <w:outlineLvl w:val="3"/>
        <w:rPr>
          <w:rFonts w:cs="Times New Roman"/>
          <w:b/>
          <w:color w:val="auto"/>
        </w:rPr>
      </w:pPr>
      <w:r>
        <w:rPr>
          <w:rFonts w:cs="Times New Roman" w:hint="eastAsia"/>
          <w:b/>
          <w:color w:val="auto"/>
        </w:rPr>
        <w:t>5.8.3.3</w:t>
      </w:r>
      <w:r>
        <w:rPr>
          <w:rFonts w:cs="Times New Roman" w:hint="eastAsia"/>
          <w:b/>
          <w:color w:val="auto"/>
        </w:rPr>
        <w:t>风险识别结果</w:t>
      </w:r>
    </w:p>
    <w:p w:rsidR="00C645C9" w:rsidRDefault="00F955D9">
      <w:pPr>
        <w:pStyle w:val="aff"/>
        <w:adjustRightInd w:val="0"/>
        <w:snapToGrid w:val="0"/>
        <w:ind w:firstLineChars="200" w:firstLine="480"/>
        <w:rPr>
          <w:rFonts w:cs="Times New Roman"/>
          <w:snapToGrid/>
          <w:color w:val="auto"/>
        </w:rPr>
      </w:pPr>
      <w:r>
        <w:rPr>
          <w:rFonts w:cs="Times New Roman" w:hint="eastAsia"/>
          <w:snapToGrid/>
          <w:color w:val="auto"/>
        </w:rPr>
        <w:t>根据本工程所涉及的危险物质及生产系统危险性识别结果，本工程可能发生的环境风险主要包括</w:t>
      </w:r>
      <w:r>
        <w:rPr>
          <w:rFonts w:cs="Times New Roman" w:hint="eastAsia"/>
          <w:snapToGrid/>
          <w:color w:val="auto"/>
        </w:rPr>
        <w:t>井喷、</w:t>
      </w:r>
      <w:r>
        <w:rPr>
          <w:rFonts w:cs="Times New Roman" w:hint="eastAsia"/>
          <w:snapToGrid/>
          <w:color w:val="auto"/>
        </w:rPr>
        <w:t>井漏、油气泄漏、火灾、爆炸等引发的</w:t>
      </w:r>
      <w:bookmarkStart w:id="1731" w:name="OLE_LINK877"/>
      <w:r>
        <w:rPr>
          <w:rFonts w:cs="Times New Roman" w:hint="eastAsia"/>
          <w:snapToGrid/>
          <w:color w:val="auto"/>
        </w:rPr>
        <w:t>伴生</w:t>
      </w:r>
      <w:bookmarkEnd w:id="1731"/>
      <w:r>
        <w:rPr>
          <w:rFonts w:cs="Times New Roman" w:hint="eastAsia"/>
          <w:snapToGrid/>
          <w:color w:val="auto"/>
        </w:rPr>
        <w:t>/</w:t>
      </w:r>
      <w:r>
        <w:rPr>
          <w:rFonts w:cs="Times New Roman" w:hint="eastAsia"/>
          <w:snapToGrid/>
          <w:color w:val="auto"/>
        </w:rPr>
        <w:t>次生污染物排放。</w:t>
      </w:r>
    </w:p>
    <w:p w:rsidR="00C645C9" w:rsidRDefault="00F955D9">
      <w:pPr>
        <w:pStyle w:val="aff"/>
        <w:adjustRightInd w:val="0"/>
        <w:snapToGrid w:val="0"/>
        <w:ind w:firstLineChars="200" w:firstLine="480"/>
        <w:rPr>
          <w:rFonts w:cs="Times New Roman"/>
          <w:snapToGrid/>
          <w:color w:val="auto"/>
        </w:rPr>
      </w:pPr>
      <w:r>
        <w:rPr>
          <w:rFonts w:cs="Times New Roman"/>
          <w:snapToGrid/>
          <w:color w:val="auto"/>
        </w:rPr>
        <w:t>运营期储罐</w:t>
      </w:r>
      <w:r>
        <w:rPr>
          <w:rFonts w:cs="Times New Roman" w:hint="eastAsia"/>
          <w:snapToGrid/>
          <w:color w:val="auto"/>
        </w:rPr>
        <w:t>及设备</w:t>
      </w:r>
      <w:r>
        <w:rPr>
          <w:rFonts w:cs="Times New Roman"/>
          <w:snapToGrid/>
          <w:color w:val="auto"/>
        </w:rPr>
        <w:t>发生破损造成</w:t>
      </w:r>
      <w:r>
        <w:rPr>
          <w:rFonts w:cs="Times New Roman" w:hint="eastAsia"/>
          <w:snapToGrid/>
          <w:color w:val="auto"/>
        </w:rPr>
        <w:t>天然气及</w:t>
      </w:r>
      <w:r>
        <w:rPr>
          <w:rFonts w:cs="Times New Roman" w:hint="eastAsia"/>
          <w:color w:val="auto"/>
        </w:rPr>
        <w:t>凝析油</w:t>
      </w:r>
      <w:r>
        <w:rPr>
          <w:rFonts w:cs="Times New Roman"/>
          <w:snapToGrid/>
          <w:color w:val="auto"/>
        </w:rPr>
        <w:t>泄漏，会污染土壤和大气，泄漏</w:t>
      </w:r>
      <w:r>
        <w:rPr>
          <w:rFonts w:cs="Times New Roman" w:hint="eastAsia"/>
          <w:color w:val="auto"/>
        </w:rPr>
        <w:t>凝析油</w:t>
      </w:r>
      <w:r>
        <w:rPr>
          <w:rFonts w:cs="Times New Roman"/>
          <w:snapToGrid/>
          <w:color w:val="auto"/>
        </w:rPr>
        <w:t>有可能通过包气带渗漏进入地下含水层，污染地下水；泄漏的油气若遇明火，发生火灾、爆炸，污染大气环境。</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23901" w:history="1">
        <w:bookmarkStart w:id="1732" w:name="OLE_LINK876"/>
        <w:r>
          <w:rPr>
            <w:rFonts w:ascii="Times New Roman" w:hAnsi="Times New Roman" w:cs="Times New Roman" w:hint="eastAsia"/>
            <w:color w:val="auto"/>
            <w:lang w:eastAsia="zh-CN"/>
          </w:rPr>
          <w:t>5.8.4</w:t>
        </w:r>
        <w:bookmarkEnd w:id="1732"/>
        <w:r>
          <w:rPr>
            <w:rFonts w:ascii="Times New Roman" w:hAnsi="Times New Roman" w:cs="Times New Roman" w:hint="eastAsia"/>
            <w:color w:val="auto"/>
            <w:lang w:eastAsia="zh-CN"/>
          </w:rPr>
          <w:t>环境风险事故情形分析</w:t>
        </w:r>
      </w:hyperlink>
    </w:p>
    <w:p w:rsidR="00C645C9" w:rsidRDefault="00F955D9">
      <w:pPr>
        <w:pStyle w:val="33"/>
        <w:adjustRightInd w:val="0"/>
        <w:snapToGrid w:val="0"/>
        <w:spacing w:before="0" w:after="0" w:line="360" w:lineRule="auto"/>
        <w:outlineLvl w:val="3"/>
        <w:rPr>
          <w:color w:val="auto"/>
          <w:sz w:val="24"/>
          <w:szCs w:val="24"/>
          <w:lang w:eastAsia="zh-CN"/>
        </w:rPr>
      </w:pPr>
      <w:bookmarkStart w:id="1733" w:name="OLE_LINK879"/>
      <w:bookmarkStart w:id="1734" w:name="_Toc173941954"/>
      <w:bookmarkStart w:id="1735" w:name="_Toc23925"/>
      <w:bookmarkStart w:id="1736" w:name="_Toc12952"/>
      <w:r>
        <w:rPr>
          <w:rFonts w:hint="eastAsia"/>
          <w:color w:val="auto"/>
          <w:sz w:val="24"/>
          <w:szCs w:val="24"/>
          <w:lang w:eastAsia="zh-CN"/>
        </w:rPr>
        <w:t>5.8.4</w:t>
      </w:r>
      <w:r>
        <w:rPr>
          <w:rFonts w:hint="eastAsia"/>
          <w:color w:val="auto"/>
          <w:sz w:val="24"/>
          <w:szCs w:val="24"/>
          <w:lang w:eastAsia="zh-CN"/>
        </w:rPr>
        <w:t>.1</w:t>
      </w:r>
      <w:bookmarkEnd w:id="1733"/>
      <w:r>
        <w:rPr>
          <w:color w:val="auto"/>
          <w:sz w:val="24"/>
          <w:szCs w:val="24"/>
          <w:lang w:eastAsia="zh-CN"/>
        </w:rPr>
        <w:t>井喷事故影响分析</w:t>
      </w:r>
      <w:bookmarkEnd w:id="1734"/>
      <w:bookmarkEnd w:id="1735"/>
      <w:bookmarkEnd w:id="1736"/>
    </w:p>
    <w:p w:rsidR="00C645C9" w:rsidRDefault="00F955D9" w:rsidP="005718BB">
      <w:pPr>
        <w:pStyle w:val="afff3"/>
        <w:adjustRightInd w:val="0"/>
        <w:snapToGrid w:val="0"/>
        <w:spacing w:beforeLines="0" w:before="0" w:afterLines="0" w:after="0" w:line="360" w:lineRule="auto"/>
        <w:ind w:firstLine="480"/>
        <w:rPr>
          <w:sz w:val="24"/>
        </w:rPr>
      </w:pPr>
      <w:r>
        <w:rPr>
          <w:sz w:val="24"/>
        </w:rPr>
        <w:t>井喷时最容易受到污染的是大气</w:t>
      </w:r>
      <w:bookmarkStart w:id="1737" w:name="OLE_LINK882"/>
      <w:r>
        <w:rPr>
          <w:sz w:val="24"/>
        </w:rPr>
        <w:t>环境</w:t>
      </w:r>
      <w:bookmarkEnd w:id="1737"/>
      <w:r>
        <w:rPr>
          <w:sz w:val="24"/>
        </w:rPr>
        <w:t>、土壤环境以及生态环境。</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1</w:t>
      </w:r>
      <w:r>
        <w:rPr>
          <w:rFonts w:hint="eastAsia"/>
          <w:sz w:val="24"/>
        </w:rPr>
        <w:t>）对大气环境及人群监控的影响</w:t>
      </w:r>
    </w:p>
    <w:p w:rsidR="00C645C9" w:rsidRDefault="00F955D9" w:rsidP="005718BB">
      <w:pPr>
        <w:pStyle w:val="afff3"/>
        <w:adjustRightInd w:val="0"/>
        <w:snapToGrid w:val="0"/>
        <w:spacing w:beforeLines="0" w:before="0" w:afterLines="0" w:after="0" w:line="360" w:lineRule="auto"/>
        <w:ind w:firstLine="480"/>
        <w:rPr>
          <w:sz w:val="24"/>
        </w:rPr>
      </w:pPr>
      <w:r>
        <w:rPr>
          <w:sz w:val="24"/>
        </w:rPr>
        <w:t>井喷时喷出大量气体，可使短时间内使局部大气环境中的轻烃含量激增，根据类比调查，井喷的影响范围可达到下风向</w:t>
      </w:r>
      <w:r>
        <w:rPr>
          <w:sz w:val="24"/>
        </w:rPr>
        <w:t>4-5km</w:t>
      </w:r>
      <w:r>
        <w:rPr>
          <w:sz w:val="24"/>
        </w:rPr>
        <w:t>，地面总烃的最大浓度可达到</w:t>
      </w:r>
      <w:r>
        <w:rPr>
          <w:sz w:val="24"/>
        </w:rPr>
        <w:t>1300mg/Nm</w:t>
      </w:r>
      <w:r>
        <w:rPr>
          <w:sz w:val="24"/>
          <w:vertAlign w:val="superscript"/>
        </w:rPr>
        <w:t>3</w:t>
      </w:r>
      <w:r>
        <w:rPr>
          <w:sz w:val="24"/>
        </w:rPr>
        <w:t>，造成短期局部大气环境中污染物超标，但不会对整个评价区的大气环境质量造成长久的明显的恶化。本工程区人烟稀少</w:t>
      </w:r>
      <w:r>
        <w:rPr>
          <w:rFonts w:hint="eastAsia"/>
          <w:sz w:val="24"/>
        </w:rPr>
        <w:t>，区域地势平坦，扩散条件较好，</w:t>
      </w:r>
      <w:r>
        <w:rPr>
          <w:sz w:val="24"/>
        </w:rPr>
        <w:t>所以井喷对人员的伤害有限。</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2</w:t>
      </w:r>
      <w:r>
        <w:rPr>
          <w:rFonts w:hint="eastAsia"/>
          <w:sz w:val="24"/>
        </w:rPr>
        <w:t>）对土壤、地下水的影响</w:t>
      </w:r>
    </w:p>
    <w:p w:rsidR="00C645C9" w:rsidRDefault="00F955D9" w:rsidP="005718BB">
      <w:pPr>
        <w:pStyle w:val="afff3"/>
        <w:adjustRightInd w:val="0"/>
        <w:snapToGrid w:val="0"/>
        <w:spacing w:beforeLines="0" w:before="0" w:afterLines="0" w:after="0" w:line="360" w:lineRule="auto"/>
        <w:ind w:firstLine="480"/>
        <w:rPr>
          <w:sz w:val="24"/>
        </w:rPr>
      </w:pPr>
      <w:r>
        <w:rPr>
          <w:sz w:val="24"/>
        </w:rPr>
        <w:t>井喷事故一旦发生，大量的油气喷出井口，散落于井场周围</w:t>
      </w:r>
      <w:r>
        <w:rPr>
          <w:rFonts w:hint="eastAsia"/>
          <w:sz w:val="24"/>
        </w:rPr>
        <w:t>，造成大面积的土壤污染，</w:t>
      </w:r>
      <w:r>
        <w:rPr>
          <w:sz w:val="24"/>
        </w:rPr>
        <w:t>井喷时大量泄漏的</w:t>
      </w:r>
      <w:r>
        <w:rPr>
          <w:rFonts w:hint="eastAsia"/>
          <w:sz w:val="24"/>
        </w:rPr>
        <w:t>凝析油</w:t>
      </w:r>
      <w:r>
        <w:rPr>
          <w:sz w:val="24"/>
        </w:rPr>
        <w:t>覆盖在地表层可使土壤透气性下降，抑制土</w:t>
      </w:r>
      <w:r>
        <w:rPr>
          <w:sz w:val="24"/>
        </w:rPr>
        <w:lastRenderedPageBreak/>
        <w:t>壤中酶的活性，土壤理</w:t>
      </w:r>
      <w:r>
        <w:rPr>
          <w:rFonts w:hint="eastAsia"/>
          <w:sz w:val="24"/>
        </w:rPr>
        <w:t>化性</w:t>
      </w:r>
      <w:r>
        <w:rPr>
          <w:sz w:val="24"/>
        </w:rPr>
        <w:t>质发生变化。</w:t>
      </w:r>
      <w:r>
        <w:rPr>
          <w:rFonts w:hint="eastAsia"/>
          <w:sz w:val="24"/>
        </w:rPr>
        <w:t>凝析油</w:t>
      </w:r>
      <w:r>
        <w:rPr>
          <w:sz w:val="24"/>
        </w:rPr>
        <w:t>泄漏区形成局部土壤污染，根据前面土壤专题的分析，</w:t>
      </w:r>
      <w:r>
        <w:rPr>
          <w:rFonts w:hint="eastAsia"/>
          <w:sz w:val="24"/>
        </w:rPr>
        <w:t>凝析油</w:t>
      </w:r>
      <w:r>
        <w:rPr>
          <w:sz w:val="24"/>
        </w:rPr>
        <w:t>影响深度一般为</w:t>
      </w:r>
      <w:r>
        <w:rPr>
          <w:sz w:val="24"/>
        </w:rPr>
        <w:t>0</w:t>
      </w:r>
      <w:r>
        <w:rPr>
          <w:sz w:val="24"/>
        </w:rPr>
        <w:t>～</w:t>
      </w:r>
      <w:r>
        <w:rPr>
          <w:sz w:val="24"/>
        </w:rPr>
        <w:t>20cm</w:t>
      </w:r>
      <w:r>
        <w:rPr>
          <w:sz w:val="24"/>
        </w:rPr>
        <w:t>，同时油田区域气候干旱少雨，不存在大量降水的淋滤作用。因此，井</w:t>
      </w:r>
      <w:r>
        <w:rPr>
          <w:sz w:val="24"/>
        </w:rPr>
        <w:t>喷事故中的泄漏</w:t>
      </w:r>
      <w:r>
        <w:rPr>
          <w:rFonts w:hint="eastAsia"/>
          <w:sz w:val="24"/>
        </w:rPr>
        <w:t>凝析油</w:t>
      </w:r>
      <w:r>
        <w:rPr>
          <w:sz w:val="24"/>
        </w:rPr>
        <w:t>不会进入地下含水层污染地下水。</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3</w:t>
      </w:r>
      <w:r>
        <w:rPr>
          <w:rFonts w:hint="eastAsia"/>
          <w:sz w:val="24"/>
        </w:rPr>
        <w:t>）对植被的影响</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井喷事故一旦发生，大量的油气喷出井口，散落于井场周围，大量油、水喷溅到植物上或散落到土壤中，就会影响植物的光合作用</w:t>
      </w:r>
      <w:r>
        <w:rPr>
          <w:rFonts w:hint="eastAsia"/>
          <w:sz w:val="24"/>
        </w:rPr>
        <w:t>。</w:t>
      </w:r>
      <w:r>
        <w:rPr>
          <w:rFonts w:hint="eastAsia"/>
          <w:sz w:val="24"/>
        </w:rPr>
        <w:t>石油类将在植物体内富集，影响其品质，使其生产力下降，严重时会导致植物死亡。另外井喷时极易发生火灾，一旦发生火灾，一旦发生火灾应及时采取相应的措施，应立即阻断引火源，并组织灭火，减少对生态系统的影响。</w:t>
      </w:r>
    </w:p>
    <w:p w:rsidR="00C645C9" w:rsidRDefault="00F955D9">
      <w:pPr>
        <w:pStyle w:val="33"/>
        <w:adjustRightInd w:val="0"/>
        <w:snapToGrid w:val="0"/>
        <w:spacing w:before="0" w:after="0" w:line="360" w:lineRule="auto"/>
        <w:outlineLvl w:val="3"/>
        <w:rPr>
          <w:color w:val="auto"/>
          <w:sz w:val="24"/>
          <w:szCs w:val="24"/>
          <w:lang w:eastAsia="zh-CN"/>
        </w:rPr>
      </w:pPr>
      <w:bookmarkStart w:id="1738" w:name="OLE_LINK880"/>
      <w:bookmarkStart w:id="1739" w:name="_Toc13622"/>
      <w:bookmarkStart w:id="1740" w:name="_Toc173941955"/>
      <w:bookmarkStart w:id="1741" w:name="_Toc23851"/>
      <w:bookmarkStart w:id="1742" w:name="OLE_LINK1465"/>
      <w:bookmarkStart w:id="1743" w:name="OLE_LINK1466"/>
      <w:r>
        <w:rPr>
          <w:rFonts w:hint="eastAsia"/>
          <w:color w:val="auto"/>
          <w:sz w:val="24"/>
          <w:szCs w:val="24"/>
          <w:lang w:eastAsia="zh-CN"/>
        </w:rPr>
        <w:t>5.8.4</w:t>
      </w:r>
      <w:r>
        <w:rPr>
          <w:rFonts w:hint="eastAsia"/>
          <w:color w:val="auto"/>
          <w:sz w:val="24"/>
          <w:szCs w:val="24"/>
          <w:lang w:eastAsia="zh-CN"/>
        </w:rPr>
        <w:t>.</w:t>
      </w:r>
      <w:bookmarkEnd w:id="1738"/>
      <w:r>
        <w:rPr>
          <w:rFonts w:hint="eastAsia"/>
          <w:color w:val="auto"/>
          <w:sz w:val="24"/>
          <w:szCs w:val="24"/>
          <w:lang w:eastAsia="zh-CN"/>
        </w:rPr>
        <w:t>2</w:t>
      </w:r>
      <w:r>
        <w:rPr>
          <w:color w:val="auto"/>
          <w:sz w:val="24"/>
          <w:szCs w:val="24"/>
          <w:lang w:eastAsia="zh-CN"/>
        </w:rPr>
        <w:t>井漏事故影响分析</w:t>
      </w:r>
      <w:bookmarkEnd w:id="1739"/>
      <w:bookmarkEnd w:id="1740"/>
      <w:bookmarkEnd w:id="1741"/>
    </w:p>
    <w:bookmarkEnd w:id="1742"/>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本工</w:t>
      </w:r>
      <w:bookmarkEnd w:id="1743"/>
      <w:r>
        <w:rPr>
          <w:rFonts w:hint="eastAsia"/>
          <w:sz w:val="24"/>
        </w:rPr>
        <w:t>程</w:t>
      </w:r>
      <w:r>
        <w:rPr>
          <w:sz w:val="24"/>
        </w:rPr>
        <w:t>井漏事故</w:t>
      </w:r>
      <w:r>
        <w:rPr>
          <w:rFonts w:hint="eastAsia"/>
          <w:sz w:val="24"/>
        </w:rPr>
        <w:t>主要是</w:t>
      </w:r>
      <w:r>
        <w:rPr>
          <w:sz w:val="24"/>
        </w:rPr>
        <w:t>对地下水的污染是采出液漏失于地下水含水层中，采出液中含石油类，会造成地下含水层水质污染。</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sz w:val="24"/>
        </w:rPr>
        <w:t>本工程</w:t>
      </w:r>
      <w:r>
        <w:rPr>
          <w:rFonts w:hint="eastAsia"/>
          <w:sz w:val="24"/>
        </w:rPr>
        <w:t>井场在钻井期</w:t>
      </w:r>
      <w:r>
        <w:rPr>
          <w:sz w:val="24"/>
        </w:rPr>
        <w:t>采用多层套管，表层套管完全封闭各含水层，固井水泥均上返</w:t>
      </w:r>
      <w:r>
        <w:rPr>
          <w:rFonts w:cs="Times New Roman"/>
          <w:sz w:val="24"/>
        </w:rPr>
        <w:t>地面，这样，在各含水层与井筒间形成多层套管、水泥环的保护措施，将事故风险降低到最低。</w:t>
      </w:r>
    </w:p>
    <w:p w:rsidR="00C645C9" w:rsidRDefault="00F955D9">
      <w:pPr>
        <w:pStyle w:val="33"/>
        <w:adjustRightInd w:val="0"/>
        <w:snapToGrid w:val="0"/>
        <w:spacing w:before="0" w:after="0" w:line="360" w:lineRule="auto"/>
        <w:outlineLvl w:val="3"/>
        <w:rPr>
          <w:color w:val="auto"/>
          <w:sz w:val="24"/>
          <w:szCs w:val="24"/>
          <w:lang w:eastAsia="zh-CN"/>
        </w:rPr>
      </w:pPr>
      <w:bookmarkStart w:id="1744" w:name="OLE_LINK1468"/>
      <w:r>
        <w:rPr>
          <w:color w:val="auto"/>
          <w:sz w:val="24"/>
          <w:szCs w:val="24"/>
          <w:lang w:eastAsia="zh-CN"/>
        </w:rPr>
        <w:t>5.8.4</w:t>
      </w:r>
      <w:r>
        <w:rPr>
          <w:color w:val="auto"/>
          <w:sz w:val="24"/>
          <w:szCs w:val="24"/>
          <w:lang w:eastAsia="zh-CN"/>
        </w:rPr>
        <w:t>.3</w:t>
      </w:r>
      <w:r>
        <w:rPr>
          <w:color w:val="auto"/>
          <w:sz w:val="24"/>
          <w:szCs w:val="24"/>
          <w:lang w:eastAsia="zh-CN"/>
        </w:rPr>
        <w:t>液体储罐</w:t>
      </w:r>
      <w:bookmarkStart w:id="1745" w:name="OLE_LINK1469"/>
      <w:r>
        <w:rPr>
          <w:color w:val="auto"/>
          <w:sz w:val="24"/>
          <w:szCs w:val="24"/>
          <w:lang w:eastAsia="zh-CN"/>
        </w:rPr>
        <w:t>泄漏</w:t>
      </w:r>
      <w:bookmarkEnd w:id="1745"/>
      <w:r>
        <w:rPr>
          <w:color w:val="auto"/>
          <w:sz w:val="24"/>
          <w:szCs w:val="24"/>
          <w:lang w:eastAsia="zh-CN"/>
        </w:rPr>
        <w:t>事故影响分析</w:t>
      </w:r>
    </w:p>
    <w:p w:rsidR="00C645C9" w:rsidRDefault="00F955D9">
      <w:pPr>
        <w:pStyle w:val="13"/>
        <w:adjustRightInd w:val="0"/>
        <w:snapToGrid w:val="0"/>
        <w:spacing w:line="360" w:lineRule="auto"/>
        <w:ind w:firstLine="480"/>
        <w:rPr>
          <w:rFonts w:cs="Times New Roman"/>
        </w:rPr>
      </w:pPr>
      <w:r>
        <w:rPr>
          <w:rFonts w:cs="Times New Roman"/>
        </w:rPr>
        <w:t>天</w:t>
      </w:r>
      <w:bookmarkEnd w:id="1744"/>
      <w:r>
        <w:rPr>
          <w:rFonts w:cs="Times New Roman"/>
        </w:rPr>
        <w:t>然气毒性较低，对人体健康的急性影响主要是吸入性头晕、呕吐，浓度较高时会引起窒息。但天然气属于甲</w:t>
      </w:r>
      <w:r>
        <w:rPr>
          <w:rFonts w:cs="Times New Roman"/>
        </w:rPr>
        <w:t>A</w:t>
      </w:r>
      <w:r>
        <w:rPr>
          <w:rFonts w:cs="Times New Roman"/>
        </w:rPr>
        <w:t>类火灾易燃易爆危险物质，在空气中爆炸极限为</w:t>
      </w:r>
      <w:r>
        <w:rPr>
          <w:rFonts w:cs="Times New Roman"/>
        </w:rPr>
        <w:t>5~15%</w:t>
      </w:r>
      <w:r>
        <w:rPr>
          <w:rFonts w:cs="Times New Roman"/>
        </w:rPr>
        <w:t>（体积百分含量），当事故性释放的天然气浓度达到爆炸极限时，遇到明火便会引起火灾或爆炸。天然气泄漏引发火灾事故时，不完全燃烧产物</w:t>
      </w:r>
      <w:r>
        <w:rPr>
          <w:rFonts w:cs="Times New Roman"/>
        </w:rPr>
        <w:t>CO</w:t>
      </w:r>
      <w:r>
        <w:rPr>
          <w:rFonts w:cs="Times New Roman"/>
        </w:rPr>
        <w:t>、烟尘将会周边环境造成一定不利影响，使一定范围内污染物浓度超标。</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储罐</w:t>
      </w:r>
      <w:bookmarkStart w:id="1746" w:name="OLE_LINK1467"/>
      <w:r>
        <w:rPr>
          <w:rFonts w:cs="Times New Roman" w:hint="eastAsia"/>
          <w:sz w:val="24"/>
        </w:rPr>
        <w:t>泄漏</w:t>
      </w:r>
      <w:bookmarkEnd w:id="1746"/>
      <w:r>
        <w:rPr>
          <w:rFonts w:cs="Times New Roman"/>
          <w:sz w:val="24"/>
        </w:rPr>
        <w:t>的石油类污染物进入土壤后，易与土壤成分结合，渗入到土壤空隙，使土壤透气性和呼吸作用减弱，从而使土壤质地和结构发生改变，影响到土地功能，进而影响植被的生长，影响局</w:t>
      </w:r>
      <w:r>
        <w:rPr>
          <w:rFonts w:cs="Times New Roman"/>
          <w:sz w:val="24"/>
        </w:rPr>
        <w:t>部的生态环境</w:t>
      </w:r>
      <w:r>
        <w:rPr>
          <w:rFonts w:cs="Times New Roman" w:hint="eastAsia"/>
          <w:sz w:val="24"/>
        </w:rPr>
        <w:t>，</w:t>
      </w:r>
      <w:r>
        <w:rPr>
          <w:rFonts w:cs="Times New Roman"/>
          <w:sz w:val="24"/>
        </w:rPr>
        <w:t>及时采取必要的处理措施，使造成的污染控制在局部环境而不会造成大面积的区域性污染</w:t>
      </w:r>
      <w:r>
        <w:rPr>
          <w:rFonts w:cs="Times New Roman"/>
          <w:sz w:val="24"/>
        </w:rPr>
        <w:t>。</w:t>
      </w:r>
    </w:p>
    <w:p w:rsidR="00C645C9" w:rsidRDefault="00F955D9">
      <w:pPr>
        <w:pStyle w:val="33"/>
        <w:adjustRightInd w:val="0"/>
        <w:snapToGrid w:val="0"/>
        <w:spacing w:before="0" w:after="0" w:line="360" w:lineRule="auto"/>
        <w:outlineLvl w:val="3"/>
        <w:rPr>
          <w:color w:val="auto"/>
          <w:sz w:val="24"/>
          <w:szCs w:val="24"/>
          <w:lang w:eastAsia="zh-CN"/>
        </w:rPr>
      </w:pPr>
      <w:bookmarkStart w:id="1747" w:name="OLE_LINK1471"/>
      <w:r>
        <w:rPr>
          <w:color w:val="auto"/>
          <w:sz w:val="24"/>
          <w:szCs w:val="24"/>
          <w:lang w:eastAsia="zh-CN"/>
        </w:rPr>
        <w:t>5.8.4</w:t>
      </w:r>
      <w:r>
        <w:rPr>
          <w:color w:val="auto"/>
          <w:sz w:val="24"/>
          <w:szCs w:val="24"/>
          <w:lang w:eastAsia="zh-CN"/>
        </w:rPr>
        <w:t>.</w:t>
      </w:r>
      <w:r>
        <w:rPr>
          <w:rFonts w:hint="eastAsia"/>
          <w:color w:val="auto"/>
          <w:sz w:val="24"/>
          <w:szCs w:val="24"/>
          <w:lang w:eastAsia="zh-CN"/>
        </w:rPr>
        <w:t>4</w:t>
      </w:r>
      <w:r>
        <w:rPr>
          <w:color w:val="auto"/>
          <w:sz w:val="24"/>
          <w:szCs w:val="24"/>
          <w:lang w:eastAsia="zh-CN"/>
        </w:rPr>
        <w:t>油气罐车运输风险事故分析</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因</w:t>
      </w:r>
      <w:bookmarkEnd w:id="1747"/>
      <w:r>
        <w:rPr>
          <w:rFonts w:cs="Times New Roman"/>
          <w:sz w:val="24"/>
        </w:rPr>
        <w:t>车辆本身的设计、制造、操作、管理等各环节有存在缺陷的可能性，油气拉运过程有</w:t>
      </w:r>
      <w:bookmarkStart w:id="1748" w:name="OLE_LINK1470"/>
      <w:r>
        <w:rPr>
          <w:rFonts w:cs="Times New Roman"/>
          <w:sz w:val="24"/>
        </w:rPr>
        <w:t>泄漏</w:t>
      </w:r>
      <w:bookmarkEnd w:id="1748"/>
      <w:r>
        <w:rPr>
          <w:rFonts w:cs="Times New Roman"/>
          <w:sz w:val="24"/>
        </w:rPr>
        <w:t>事故发生的风险。事故发生时罐车内</w:t>
      </w:r>
      <w:r>
        <w:rPr>
          <w:rFonts w:cs="Times New Roman" w:hint="eastAsia"/>
          <w:sz w:val="24"/>
        </w:rPr>
        <w:t>凝析</w:t>
      </w:r>
      <w:r>
        <w:rPr>
          <w:rFonts w:cs="Times New Roman"/>
          <w:sz w:val="24"/>
        </w:rPr>
        <w:t>油溢出，对周围环境造成直接污染，泄漏的油气如遇到明火还可能生火灾、爆炸事故</w:t>
      </w:r>
      <w:r>
        <w:rPr>
          <w:rFonts w:cs="Times New Roman" w:hint="eastAsia"/>
          <w:sz w:val="24"/>
        </w:rPr>
        <w:t>。</w:t>
      </w:r>
    </w:p>
    <w:p w:rsidR="00C645C9" w:rsidRDefault="00F955D9">
      <w:pPr>
        <w:pStyle w:val="33"/>
        <w:adjustRightInd w:val="0"/>
        <w:snapToGrid w:val="0"/>
        <w:spacing w:before="0" w:after="0" w:line="360" w:lineRule="auto"/>
        <w:outlineLvl w:val="3"/>
        <w:rPr>
          <w:color w:val="auto"/>
          <w:sz w:val="24"/>
          <w:szCs w:val="24"/>
          <w:lang w:eastAsia="zh-CN"/>
        </w:rPr>
      </w:pPr>
      <w:r>
        <w:rPr>
          <w:color w:val="auto"/>
          <w:sz w:val="24"/>
          <w:szCs w:val="24"/>
          <w:lang w:eastAsia="zh-CN"/>
        </w:rPr>
        <w:lastRenderedPageBreak/>
        <w:t>5.8.4</w:t>
      </w:r>
      <w:r>
        <w:rPr>
          <w:color w:val="auto"/>
          <w:sz w:val="24"/>
          <w:szCs w:val="24"/>
          <w:lang w:eastAsia="zh-CN"/>
        </w:rPr>
        <w:t>.</w:t>
      </w:r>
      <w:r>
        <w:rPr>
          <w:rFonts w:hint="eastAsia"/>
          <w:color w:val="auto"/>
          <w:sz w:val="24"/>
          <w:szCs w:val="24"/>
          <w:lang w:eastAsia="zh-CN"/>
        </w:rPr>
        <w:t>5</w:t>
      </w:r>
      <w:r>
        <w:rPr>
          <w:color w:val="auto"/>
          <w:sz w:val="24"/>
          <w:szCs w:val="24"/>
          <w:lang w:eastAsia="zh-CN"/>
        </w:rPr>
        <w:t>危险废物运输风险事故分析</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本工程</w:t>
      </w:r>
      <w:r>
        <w:rPr>
          <w:rFonts w:cs="Times New Roman"/>
          <w:sz w:val="24"/>
        </w:rPr>
        <w:t>钻井期的危险废物有油基岩屑</w:t>
      </w:r>
      <w:r>
        <w:rPr>
          <w:rFonts w:cs="Times New Roman" w:hint="eastAsia"/>
          <w:sz w:val="24"/>
        </w:rPr>
        <w:t>、废润滑油、</w:t>
      </w:r>
      <w:r>
        <w:rPr>
          <w:rFonts w:cs="Times New Roman"/>
          <w:sz w:val="24"/>
        </w:rPr>
        <w:t>落地油。运营期的危险废物有落地油、清罐底泥</w:t>
      </w:r>
      <w:r>
        <w:rPr>
          <w:rFonts w:cs="Times New Roman" w:hint="eastAsia"/>
          <w:sz w:val="24"/>
        </w:rPr>
        <w:t>、废润滑油</w:t>
      </w:r>
      <w:r>
        <w:rPr>
          <w:rFonts w:cs="Times New Roman"/>
          <w:sz w:val="24"/>
        </w:rPr>
        <w:t>。危险废物运输的事故隐患主要是从</w:t>
      </w:r>
      <w:bookmarkStart w:id="1749" w:name="OLE_LINK1472"/>
      <w:r>
        <w:rPr>
          <w:rFonts w:cs="Times New Roman"/>
          <w:sz w:val="24"/>
        </w:rPr>
        <w:t>泄漏</w:t>
      </w:r>
      <w:bookmarkEnd w:id="1749"/>
      <w:r>
        <w:rPr>
          <w:rFonts w:cs="Times New Roman"/>
          <w:sz w:val="24"/>
        </w:rPr>
        <w:t>开始的，泄漏的危险废物，会对周围环境空气、水体、土壤和植被造成一定的不利影响</w:t>
      </w:r>
      <w:r>
        <w:rPr>
          <w:rFonts w:cs="Times New Roman" w:hint="eastAsia"/>
          <w:sz w:val="24"/>
        </w:rPr>
        <w:t>。</w:t>
      </w:r>
    </w:p>
    <w:p w:rsidR="00C645C9" w:rsidRDefault="00F955D9">
      <w:pPr>
        <w:pStyle w:val="33"/>
        <w:adjustRightInd w:val="0"/>
        <w:snapToGrid w:val="0"/>
        <w:spacing w:before="0" w:after="0" w:line="360" w:lineRule="auto"/>
        <w:outlineLvl w:val="3"/>
        <w:rPr>
          <w:color w:val="auto"/>
          <w:sz w:val="24"/>
          <w:szCs w:val="24"/>
          <w:lang w:eastAsia="zh-CN"/>
        </w:rPr>
      </w:pPr>
      <w:bookmarkStart w:id="1750" w:name="OLE_LINK881"/>
      <w:bookmarkStart w:id="1751" w:name="_Toc27437"/>
      <w:bookmarkStart w:id="1752" w:name="_Toc173941956"/>
      <w:bookmarkStart w:id="1753" w:name="_Toc17497"/>
      <w:r>
        <w:rPr>
          <w:rFonts w:hint="eastAsia"/>
          <w:color w:val="auto"/>
          <w:sz w:val="24"/>
          <w:szCs w:val="24"/>
          <w:lang w:eastAsia="zh-CN"/>
        </w:rPr>
        <w:t>5.8.4</w:t>
      </w:r>
      <w:r>
        <w:rPr>
          <w:rFonts w:hint="eastAsia"/>
          <w:color w:val="auto"/>
          <w:sz w:val="24"/>
          <w:szCs w:val="24"/>
          <w:lang w:eastAsia="zh-CN"/>
        </w:rPr>
        <w:t>.</w:t>
      </w:r>
      <w:bookmarkEnd w:id="1750"/>
      <w:r>
        <w:rPr>
          <w:rFonts w:hint="eastAsia"/>
          <w:color w:val="auto"/>
          <w:sz w:val="24"/>
          <w:szCs w:val="24"/>
          <w:lang w:eastAsia="zh-CN"/>
        </w:rPr>
        <w:t>6</w:t>
      </w:r>
      <w:r>
        <w:rPr>
          <w:color w:val="auto"/>
          <w:sz w:val="24"/>
          <w:szCs w:val="24"/>
          <w:lang w:eastAsia="zh-CN"/>
        </w:rPr>
        <w:t>对大气环境的影响分析</w:t>
      </w:r>
      <w:bookmarkEnd w:id="1751"/>
      <w:bookmarkEnd w:id="1752"/>
      <w:bookmarkEnd w:id="1753"/>
    </w:p>
    <w:p w:rsidR="00C645C9" w:rsidRDefault="00F955D9" w:rsidP="005718BB">
      <w:pPr>
        <w:pStyle w:val="afff3"/>
        <w:adjustRightInd w:val="0"/>
        <w:snapToGrid w:val="0"/>
        <w:spacing w:beforeLines="0" w:before="0" w:afterLines="0" w:after="0" w:line="360" w:lineRule="auto"/>
        <w:ind w:firstLine="480"/>
        <w:rPr>
          <w:snapToGrid w:val="0"/>
          <w:sz w:val="24"/>
        </w:rPr>
      </w:pPr>
      <w:r>
        <w:rPr>
          <w:rFonts w:hint="eastAsia"/>
          <w:snapToGrid w:val="0"/>
          <w:sz w:val="24"/>
        </w:rPr>
        <w:t>（</w:t>
      </w:r>
      <w:r>
        <w:rPr>
          <w:rFonts w:hint="eastAsia"/>
          <w:snapToGrid w:val="0"/>
          <w:sz w:val="24"/>
        </w:rPr>
        <w:t>1</w:t>
      </w:r>
      <w:r>
        <w:rPr>
          <w:rFonts w:hint="eastAsia"/>
          <w:snapToGrid w:val="0"/>
          <w:sz w:val="24"/>
        </w:rPr>
        <w:t>）井场储罐、混烃罐</w:t>
      </w:r>
      <w:r>
        <w:rPr>
          <w:rFonts w:hint="eastAsia"/>
          <w:snapToGrid w:val="0"/>
          <w:sz w:val="24"/>
        </w:rPr>
        <w:t>泄漏</w:t>
      </w:r>
      <w:r>
        <w:rPr>
          <w:rFonts w:hint="eastAsia"/>
          <w:snapToGrid w:val="0"/>
          <w:sz w:val="24"/>
        </w:rPr>
        <w:t>对大气环境的影响</w:t>
      </w:r>
    </w:p>
    <w:p w:rsidR="00C645C9" w:rsidRDefault="00F955D9">
      <w:pPr>
        <w:pStyle w:val="a0"/>
        <w:adjustRightInd w:val="0"/>
        <w:snapToGrid w:val="0"/>
        <w:ind w:firstLine="480"/>
      </w:pPr>
      <w:r>
        <w:rPr>
          <w:rFonts w:hint="eastAsia"/>
          <w:snapToGrid w:val="0"/>
        </w:rPr>
        <w:t>本工程</w:t>
      </w:r>
      <w:r>
        <w:rPr>
          <w:rFonts w:hint="eastAsia"/>
        </w:rPr>
        <w:t>单座</w:t>
      </w:r>
      <w:r>
        <w:rPr>
          <w:rFonts w:hint="eastAsia"/>
        </w:rPr>
        <w:t>井场设置</w:t>
      </w:r>
      <w:r>
        <w:rPr>
          <w:rFonts w:hint="eastAsia"/>
        </w:rPr>
        <w:t>2</w:t>
      </w:r>
      <w:r>
        <w:rPr>
          <w:rFonts w:hint="eastAsia"/>
        </w:rPr>
        <w:t>座</w:t>
      </w:r>
      <w:bookmarkStart w:id="1754" w:name="OLE_LINK883"/>
      <w:r>
        <w:rPr>
          <w:rFonts w:hint="eastAsia"/>
        </w:rPr>
        <w:t>8</w:t>
      </w:r>
      <w:r>
        <w:t>0</w:t>
      </w:r>
      <w:r>
        <w:rPr>
          <w:rFonts w:hint="eastAsia"/>
        </w:rPr>
        <w:t>m</w:t>
      </w:r>
      <w:r>
        <w:rPr>
          <w:vertAlign w:val="superscript"/>
        </w:rPr>
        <w:t>3</w:t>
      </w:r>
      <w:bookmarkStart w:id="1755" w:name="OLE_LINK884"/>
      <w:bookmarkEnd w:id="1754"/>
      <w:r>
        <w:rPr>
          <w:rFonts w:hint="eastAsia"/>
        </w:rPr>
        <w:t>多功能储集器</w:t>
      </w:r>
      <w:bookmarkEnd w:id="1755"/>
      <w:r>
        <w:rPr>
          <w:rFonts w:hint="eastAsia"/>
        </w:rPr>
        <w:t>，设置</w:t>
      </w:r>
      <w:r>
        <w:rPr>
          <w:rFonts w:hint="eastAsia"/>
        </w:rPr>
        <w:t>8</w:t>
      </w:r>
      <w:r>
        <w:t>0</w:t>
      </w:r>
      <w:r>
        <w:rPr>
          <w:rFonts w:hint="eastAsia"/>
        </w:rPr>
        <w:t>m</w:t>
      </w:r>
      <w:r>
        <w:rPr>
          <w:vertAlign w:val="superscript"/>
        </w:rPr>
        <w:t>3</w:t>
      </w:r>
      <w:r>
        <w:rPr>
          <w:rFonts w:hint="eastAsia"/>
        </w:rPr>
        <w:t>混烃储罐</w:t>
      </w:r>
      <w:r>
        <w:rPr>
          <w:rFonts w:hint="eastAsia"/>
        </w:rPr>
        <w:t>1</w:t>
      </w:r>
      <w:r>
        <w:rPr>
          <w:rFonts w:hint="eastAsia"/>
        </w:rPr>
        <w:t>座，多功能储集器</w:t>
      </w:r>
      <w:r>
        <w:rPr>
          <w:rFonts w:hint="eastAsia"/>
        </w:rPr>
        <w:t>和</w:t>
      </w:r>
      <w:r>
        <w:rPr>
          <w:rFonts w:hint="eastAsia"/>
        </w:rPr>
        <w:t>混烃储罐</w:t>
      </w:r>
      <w:r>
        <w:rPr>
          <w:rFonts w:hint="eastAsia"/>
          <w:snapToGrid w:val="0"/>
        </w:rPr>
        <w:t>发生泄漏后，若得不到及时处理，所泄漏的</w:t>
      </w:r>
      <w:r>
        <w:rPr>
          <w:rFonts w:hint="eastAsia"/>
          <w:snapToGrid w:val="0"/>
        </w:rPr>
        <w:t>凝析油</w:t>
      </w:r>
      <w:r>
        <w:rPr>
          <w:rFonts w:hint="eastAsia"/>
          <w:snapToGrid w:val="0"/>
        </w:rPr>
        <w:t>/</w:t>
      </w:r>
      <w:r>
        <w:rPr>
          <w:rFonts w:hint="eastAsia"/>
          <w:snapToGrid w:val="0"/>
        </w:rPr>
        <w:t>混烃会挥发轻烃组分，</w:t>
      </w:r>
      <w:r>
        <w:t>使局部大气环境中的轻烃含量增加</w:t>
      </w:r>
      <w:r>
        <w:rPr>
          <w:rFonts w:hint="eastAsia"/>
        </w:rPr>
        <w:t>。</w:t>
      </w:r>
      <w:r>
        <w:rPr>
          <w:rFonts w:hint="eastAsia"/>
          <w:snapToGrid w:val="0"/>
        </w:rPr>
        <w:t>若遇明火，引发的火灾事故可在短时间内产生大量不完全燃烧烟气。本工程</w:t>
      </w:r>
      <w:r>
        <w:rPr>
          <w:rFonts w:hint="eastAsia"/>
        </w:rPr>
        <w:t>油类物质在井场内的</w:t>
      </w:r>
      <w:r>
        <w:rPr>
          <w:rFonts w:hint="eastAsia"/>
          <w:snapToGrid w:val="0"/>
        </w:rPr>
        <w:t>储量较小，火灾或爆炸产生的</w:t>
      </w:r>
      <w:r>
        <w:rPr>
          <w:snapToGrid w:val="0"/>
        </w:rPr>
        <w:t xml:space="preserve">CO </w:t>
      </w:r>
      <w:r>
        <w:rPr>
          <w:rFonts w:hint="eastAsia"/>
          <w:snapToGrid w:val="0"/>
        </w:rPr>
        <w:t>浓度较低，工程</w:t>
      </w:r>
      <w:r>
        <w:t>区周围</w:t>
      </w:r>
      <w:r>
        <w:rPr>
          <w:rFonts w:hint="eastAsia"/>
        </w:rPr>
        <w:t>有部分村庄分布</w:t>
      </w:r>
      <w:r>
        <w:t>，发生事故后，及时采取相应的措施，不会对周围环境空气产生明显影响。</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napToGrid w:val="0"/>
          <w:sz w:val="24"/>
        </w:rPr>
        <w:t>（</w:t>
      </w:r>
      <w:r>
        <w:rPr>
          <w:rFonts w:hint="eastAsia"/>
          <w:snapToGrid w:val="0"/>
          <w:sz w:val="24"/>
        </w:rPr>
        <w:t>2</w:t>
      </w:r>
      <w:r>
        <w:rPr>
          <w:rFonts w:hint="eastAsia"/>
          <w:snapToGrid w:val="0"/>
          <w:sz w:val="24"/>
        </w:rPr>
        <w:t>）</w:t>
      </w:r>
      <w:r>
        <w:rPr>
          <w:rFonts w:hint="eastAsia"/>
          <w:sz w:val="24"/>
        </w:rPr>
        <w:t>天然气</w:t>
      </w:r>
      <w:r>
        <w:rPr>
          <w:rFonts w:hint="eastAsia"/>
          <w:sz w:val="24"/>
        </w:rPr>
        <w:t>泄漏</w:t>
      </w:r>
      <w:r>
        <w:rPr>
          <w:rFonts w:hint="eastAsia"/>
          <w:sz w:val="24"/>
        </w:rPr>
        <w:t>及火灾事故影响分析</w:t>
      </w:r>
    </w:p>
    <w:p w:rsidR="00C645C9" w:rsidRDefault="00F955D9" w:rsidP="005718BB">
      <w:pPr>
        <w:pStyle w:val="afff3"/>
        <w:adjustRightInd w:val="0"/>
        <w:snapToGrid w:val="0"/>
        <w:spacing w:beforeLines="0" w:before="0" w:afterLines="0" w:after="0" w:line="360" w:lineRule="auto"/>
        <w:ind w:firstLine="480"/>
        <w:rPr>
          <w:sz w:val="24"/>
        </w:rPr>
      </w:pPr>
      <w:r>
        <w:rPr>
          <w:sz w:val="24"/>
        </w:rPr>
        <w:t>生产设施发生泄漏事故时，会造成泄漏源附近甲烷浓度的显著增加，并在一定范围内形成甲烷聚集区，在不利气象条件下会造成爆炸危险区域，如果遇到明火发生燃爆会造成区域内人员死亡。由于甲烷对人基本无毒，且甲烷密度比空气轻，泄漏后会快速扩散，因此在设施发生大量泄漏时，主要的产生的安全隐患是在空气中短时间内大量聚集，当达到爆炸极限时遇明火会发生爆炸的危险。</w:t>
      </w:r>
      <w:r>
        <w:rPr>
          <w:rFonts w:hint="eastAsia"/>
          <w:sz w:val="24"/>
        </w:rPr>
        <w:t>本工程所在区域</w:t>
      </w:r>
      <w:r>
        <w:rPr>
          <w:sz w:val="24"/>
        </w:rPr>
        <w:t>气藏的天然气中甲烷含量很高，在发生天然气泄漏的安全事</w:t>
      </w:r>
      <w:r>
        <w:rPr>
          <w:sz w:val="24"/>
        </w:rPr>
        <w:t>故时，散逸到环境空气中的天然气（主要为甲烷成分）在特定气象条件下，会在泄漏点附近的环境空气中形成很高浓度，但其造成的结果是形成可能发生火灾爆炸的区域，这种结果更多的属于安全风险事故</w:t>
      </w:r>
      <w:r>
        <w:rPr>
          <w:rFonts w:hint="eastAsia"/>
          <w:sz w:val="24"/>
        </w:rPr>
        <w:t>。</w:t>
      </w:r>
      <w:r>
        <w:rPr>
          <w:sz w:val="24"/>
        </w:rPr>
        <w:t>由于甲烷对人体基本无毒，因此在</w:t>
      </w:r>
      <w:r>
        <w:rPr>
          <w:rFonts w:hint="eastAsia"/>
          <w:sz w:val="24"/>
        </w:rPr>
        <w:t>泄漏</w:t>
      </w:r>
      <w:r>
        <w:rPr>
          <w:sz w:val="24"/>
        </w:rPr>
        <w:t>事故发生后不会造成严重的环境污染灾害事故。</w:t>
      </w:r>
    </w:p>
    <w:p w:rsidR="00C645C9" w:rsidRDefault="00F955D9" w:rsidP="005718BB">
      <w:pPr>
        <w:pStyle w:val="afff3"/>
        <w:adjustRightInd w:val="0"/>
        <w:snapToGrid w:val="0"/>
        <w:spacing w:beforeLines="0" w:before="0" w:afterLines="0" w:after="0" w:line="360" w:lineRule="auto"/>
        <w:ind w:firstLine="480"/>
        <w:rPr>
          <w:sz w:val="24"/>
        </w:rPr>
      </w:pPr>
      <w:r>
        <w:rPr>
          <w:sz w:val="24"/>
        </w:rPr>
        <w:t>发生火灾事故的主要原因是明火造成的，当天然气或混烃发生泄漏遇明火或空气中积聚到一定浓度后发生着火会放出一定的热量，根据《危险评价方法及其应用》点源模型分析可知，火焰辐射出的能量为燃烧热的一部分，热辐射强度与燃烧速率成正比，与接收距离的平方成反比，当火灾</w:t>
      </w:r>
      <w:r>
        <w:rPr>
          <w:sz w:val="24"/>
        </w:rPr>
        <w:t>产生的热辐射强度足够大时，可使周围的物体燃烧或变形，更强烈的热辐射可能烧毁设备甚至造成人员伤亡等。</w:t>
      </w:r>
      <w:r>
        <w:rPr>
          <w:sz w:val="24"/>
        </w:rPr>
        <w:lastRenderedPageBreak/>
        <w:t>火灾除以直接产生的热量破坏形式外还会产生次生危害，产生有害气体</w:t>
      </w:r>
      <w:r>
        <w:rPr>
          <w:sz w:val="24"/>
        </w:rPr>
        <w:t>CO</w:t>
      </w:r>
      <w:r>
        <w:rPr>
          <w:sz w:val="24"/>
        </w:rPr>
        <w:t>、烟尘、</w:t>
      </w:r>
      <w:r>
        <w:rPr>
          <w:sz w:val="24"/>
        </w:rPr>
        <w:t>NOx</w:t>
      </w:r>
      <w:r>
        <w:rPr>
          <w:sz w:val="24"/>
        </w:rPr>
        <w:t>等，产生大量的消防废水</w:t>
      </w:r>
      <w:r>
        <w:rPr>
          <w:rFonts w:hint="eastAsia"/>
          <w:sz w:val="24"/>
        </w:rPr>
        <w:t>。</w:t>
      </w:r>
    </w:p>
    <w:p w:rsidR="00C645C9" w:rsidRDefault="00F955D9">
      <w:pPr>
        <w:pStyle w:val="33"/>
        <w:adjustRightInd w:val="0"/>
        <w:snapToGrid w:val="0"/>
        <w:spacing w:before="0" w:after="0" w:line="360" w:lineRule="auto"/>
        <w:outlineLvl w:val="3"/>
        <w:rPr>
          <w:color w:val="auto"/>
          <w:sz w:val="24"/>
          <w:szCs w:val="24"/>
          <w:lang w:eastAsia="zh-CN"/>
        </w:rPr>
      </w:pPr>
      <w:bookmarkStart w:id="1756" w:name="_Toc30760"/>
      <w:bookmarkStart w:id="1757" w:name="_Toc173941957"/>
      <w:bookmarkStart w:id="1758" w:name="_Toc18220"/>
      <w:r>
        <w:rPr>
          <w:rFonts w:hint="eastAsia"/>
          <w:color w:val="auto"/>
          <w:sz w:val="24"/>
          <w:szCs w:val="24"/>
          <w:lang w:eastAsia="zh-CN"/>
        </w:rPr>
        <w:t>5.8.4</w:t>
      </w:r>
      <w:r>
        <w:rPr>
          <w:rFonts w:hint="eastAsia"/>
          <w:color w:val="auto"/>
          <w:sz w:val="24"/>
          <w:szCs w:val="24"/>
          <w:lang w:eastAsia="zh-CN"/>
        </w:rPr>
        <w:t>.7</w:t>
      </w:r>
      <w:r>
        <w:rPr>
          <w:color w:val="auto"/>
          <w:sz w:val="24"/>
          <w:szCs w:val="24"/>
          <w:lang w:eastAsia="zh-CN"/>
        </w:rPr>
        <w:t>对地下水的环境影响分析</w:t>
      </w:r>
      <w:bookmarkEnd w:id="1756"/>
      <w:bookmarkEnd w:id="1757"/>
      <w:bookmarkEnd w:id="1758"/>
    </w:p>
    <w:p w:rsidR="00C645C9" w:rsidRDefault="00F955D9" w:rsidP="005718BB">
      <w:pPr>
        <w:pStyle w:val="afff3"/>
        <w:adjustRightInd w:val="0"/>
        <w:snapToGrid w:val="0"/>
        <w:spacing w:beforeLines="0" w:before="0" w:afterLines="0" w:after="0" w:line="360" w:lineRule="auto"/>
        <w:ind w:firstLine="480"/>
        <w:rPr>
          <w:snapToGrid w:val="0"/>
          <w:sz w:val="24"/>
        </w:rPr>
      </w:pPr>
      <w:r>
        <w:rPr>
          <w:rFonts w:hint="eastAsia"/>
          <w:snapToGrid w:val="0"/>
          <w:sz w:val="24"/>
        </w:rPr>
        <w:t>井场</w:t>
      </w:r>
      <w:bookmarkStart w:id="1759" w:name="OLE_LINK885"/>
      <w:r>
        <w:rPr>
          <w:rFonts w:hint="eastAsia"/>
          <w:sz w:val="24"/>
        </w:rPr>
        <w:t>多功能储集器</w:t>
      </w:r>
      <w:r>
        <w:rPr>
          <w:rFonts w:hint="eastAsia"/>
          <w:snapToGrid w:val="0"/>
          <w:sz w:val="24"/>
        </w:rPr>
        <w:t>及混烃</w:t>
      </w:r>
      <w:r>
        <w:rPr>
          <w:rFonts w:hint="eastAsia"/>
          <w:snapToGrid w:val="0"/>
          <w:sz w:val="24"/>
        </w:rPr>
        <w:t>储罐</w:t>
      </w:r>
      <w:bookmarkEnd w:id="1759"/>
      <w:r>
        <w:rPr>
          <w:rFonts w:hint="eastAsia"/>
          <w:snapToGrid w:val="0"/>
          <w:sz w:val="24"/>
        </w:rPr>
        <w:t>发生泄漏，</w:t>
      </w:r>
      <w:r>
        <w:rPr>
          <w:rFonts w:hint="eastAsia"/>
          <w:snapToGrid w:val="0"/>
          <w:sz w:val="24"/>
        </w:rPr>
        <w:t>泄漏</w:t>
      </w:r>
      <w:r>
        <w:rPr>
          <w:rFonts w:hint="eastAsia"/>
          <w:snapToGrid w:val="0"/>
          <w:sz w:val="24"/>
        </w:rPr>
        <w:t>的油品通过土壤渗透影响浅层地下水，在地下水位埋深较浅的区域可能通过土壤渗透到地下水环境。在油田开发过程中，应做好井场内的防渗措施，防止泄漏事故发生。</w:t>
      </w:r>
    </w:p>
    <w:p w:rsidR="00C645C9" w:rsidRDefault="00F955D9">
      <w:pPr>
        <w:pStyle w:val="33"/>
        <w:adjustRightInd w:val="0"/>
        <w:snapToGrid w:val="0"/>
        <w:spacing w:before="0" w:after="0" w:line="360" w:lineRule="auto"/>
        <w:outlineLvl w:val="3"/>
        <w:rPr>
          <w:color w:val="auto"/>
          <w:sz w:val="24"/>
          <w:szCs w:val="24"/>
          <w:lang w:eastAsia="zh-CN"/>
        </w:rPr>
      </w:pPr>
      <w:bookmarkStart w:id="1760" w:name="_Toc19365"/>
      <w:bookmarkStart w:id="1761" w:name="_Toc5035"/>
      <w:bookmarkStart w:id="1762" w:name="_Toc173941958"/>
      <w:r>
        <w:rPr>
          <w:rFonts w:hint="eastAsia"/>
          <w:color w:val="auto"/>
          <w:sz w:val="24"/>
          <w:szCs w:val="24"/>
          <w:lang w:eastAsia="zh-CN"/>
        </w:rPr>
        <w:t>5.8.4</w:t>
      </w:r>
      <w:r>
        <w:rPr>
          <w:rFonts w:hint="eastAsia"/>
          <w:color w:val="auto"/>
          <w:sz w:val="24"/>
          <w:szCs w:val="24"/>
          <w:lang w:eastAsia="zh-CN"/>
        </w:rPr>
        <w:t>.8</w:t>
      </w:r>
      <w:r>
        <w:rPr>
          <w:color w:val="auto"/>
          <w:sz w:val="24"/>
          <w:szCs w:val="24"/>
          <w:lang w:eastAsia="zh-CN"/>
        </w:rPr>
        <w:t>对土壤环境的影响分析</w:t>
      </w:r>
      <w:bookmarkEnd w:id="1760"/>
      <w:bookmarkEnd w:id="1761"/>
      <w:bookmarkEnd w:id="1762"/>
    </w:p>
    <w:p w:rsidR="00C645C9" w:rsidRDefault="00F955D9" w:rsidP="005718BB">
      <w:pPr>
        <w:pStyle w:val="afff3"/>
        <w:adjustRightInd w:val="0"/>
        <w:snapToGrid w:val="0"/>
        <w:spacing w:beforeLines="0" w:before="0" w:afterLines="0" w:after="0" w:line="360" w:lineRule="auto"/>
        <w:ind w:firstLine="480"/>
        <w:rPr>
          <w:snapToGrid w:val="0"/>
          <w:sz w:val="24"/>
        </w:rPr>
      </w:pPr>
      <w:r>
        <w:rPr>
          <w:rFonts w:hint="eastAsia"/>
          <w:snapToGrid w:val="0"/>
          <w:sz w:val="24"/>
        </w:rPr>
        <w:t>本工程井场</w:t>
      </w:r>
      <w:r>
        <w:rPr>
          <w:rFonts w:hint="eastAsia"/>
          <w:sz w:val="24"/>
        </w:rPr>
        <w:t>多功能</w:t>
      </w:r>
      <w:bookmarkStart w:id="1763" w:name="OLE_LINK895"/>
      <w:r>
        <w:rPr>
          <w:rFonts w:hint="eastAsia"/>
          <w:sz w:val="24"/>
        </w:rPr>
        <w:t>储集器</w:t>
      </w:r>
      <w:bookmarkEnd w:id="1763"/>
      <w:r>
        <w:rPr>
          <w:rFonts w:hint="eastAsia"/>
          <w:snapToGrid w:val="0"/>
          <w:sz w:val="24"/>
        </w:rPr>
        <w:t>及混烃</w:t>
      </w:r>
      <w:r>
        <w:rPr>
          <w:rFonts w:hint="eastAsia"/>
          <w:snapToGrid w:val="0"/>
          <w:sz w:val="24"/>
        </w:rPr>
        <w:t>储罐</w:t>
      </w:r>
      <w:r>
        <w:rPr>
          <w:rFonts w:hint="eastAsia"/>
          <w:snapToGrid w:val="0"/>
          <w:sz w:val="24"/>
        </w:rPr>
        <w:t>发生泄漏，</w:t>
      </w:r>
      <w:r>
        <w:rPr>
          <w:rFonts w:hint="eastAsia"/>
          <w:snapToGrid w:val="0"/>
          <w:sz w:val="24"/>
        </w:rPr>
        <w:t>泄漏</w:t>
      </w:r>
      <w:r>
        <w:rPr>
          <w:rFonts w:hint="eastAsia"/>
          <w:snapToGrid w:val="0"/>
          <w:sz w:val="24"/>
        </w:rPr>
        <w:t>的油品进入土壤可使土壤肥力下降从而抑制植物的生长，并有可能危害人体健康。在油田开发过程中，应做好井场内的防渗措施，防止泄漏事故发生。</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综上所述，本工程发生油类物质</w:t>
      </w:r>
      <w:r>
        <w:rPr>
          <w:rFonts w:hint="eastAsia"/>
          <w:sz w:val="24"/>
        </w:rPr>
        <w:t>泄漏</w:t>
      </w:r>
      <w:r>
        <w:rPr>
          <w:rFonts w:hint="eastAsia"/>
          <w:sz w:val="24"/>
        </w:rPr>
        <w:t>事故后，及时采取相应的措施，不会对周围土壤环境产生明显影响</w:t>
      </w:r>
      <w:r>
        <w:rPr>
          <w:sz w:val="24"/>
        </w:rPr>
        <w:t>。</w:t>
      </w:r>
    </w:p>
    <w:p w:rsidR="00C645C9" w:rsidRDefault="00F955D9">
      <w:pPr>
        <w:pStyle w:val="33"/>
        <w:adjustRightInd w:val="0"/>
        <w:snapToGrid w:val="0"/>
        <w:spacing w:before="0" w:after="0" w:line="360" w:lineRule="auto"/>
        <w:outlineLvl w:val="3"/>
        <w:rPr>
          <w:color w:val="auto"/>
          <w:sz w:val="24"/>
          <w:szCs w:val="24"/>
          <w:lang w:eastAsia="zh-CN"/>
        </w:rPr>
      </w:pPr>
      <w:bookmarkStart w:id="1764" w:name="_Toc15928"/>
      <w:bookmarkStart w:id="1765" w:name="_Toc17303"/>
      <w:r>
        <w:rPr>
          <w:rFonts w:hint="eastAsia"/>
          <w:color w:val="auto"/>
          <w:sz w:val="24"/>
          <w:szCs w:val="24"/>
          <w:lang w:eastAsia="zh-CN"/>
        </w:rPr>
        <w:t>5.8.4</w:t>
      </w:r>
      <w:r>
        <w:rPr>
          <w:rFonts w:hint="eastAsia"/>
          <w:color w:val="auto"/>
          <w:sz w:val="24"/>
          <w:szCs w:val="24"/>
          <w:lang w:eastAsia="zh-CN"/>
        </w:rPr>
        <w:t>.9</w:t>
      </w:r>
      <w:r>
        <w:rPr>
          <w:rFonts w:hint="eastAsia"/>
          <w:color w:val="auto"/>
          <w:sz w:val="24"/>
          <w:szCs w:val="24"/>
          <w:lang w:eastAsia="zh-CN"/>
        </w:rPr>
        <w:t>对植被的影响</w:t>
      </w:r>
      <w:bookmarkEnd w:id="1764"/>
      <w:bookmarkEnd w:id="1765"/>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油品泄漏对植被的影响主要分为三种途径，一是泄漏石油直接</w:t>
      </w:r>
      <w:r>
        <w:rPr>
          <w:rFonts w:hint="eastAsia"/>
          <w:sz w:val="24"/>
        </w:rPr>
        <w:t>黏附</w:t>
      </w:r>
      <w:r>
        <w:rPr>
          <w:rFonts w:hint="eastAsia"/>
          <w:sz w:val="24"/>
        </w:rPr>
        <w:t>于植物体阻断植物的光合作用，使植物枯萎、死亡；二是凝析油污染土壤造成的土壤理性化性状变化间接影响植物生长，严重时会导致植物死亡；三是泄漏的凝析油中的轻组分挥发，在对空气环境产生影响的同时，也对周围植物产生影响。发生事故后，及时采取相应的措施，不会对周围植被产生明显影响。</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19824" w:history="1">
        <w:r>
          <w:rPr>
            <w:rFonts w:ascii="Times New Roman" w:hAnsi="Times New Roman" w:cs="Times New Roman" w:hint="eastAsia"/>
            <w:color w:val="auto"/>
            <w:lang w:eastAsia="zh-CN"/>
          </w:rPr>
          <w:t>5.8.5</w:t>
        </w:r>
        <w:r>
          <w:rPr>
            <w:rFonts w:ascii="Times New Roman" w:hAnsi="Times New Roman" w:cs="Times New Roman" w:hint="eastAsia"/>
            <w:color w:val="auto"/>
            <w:lang w:eastAsia="zh-CN"/>
          </w:rPr>
          <w:t>环境风险分析</w:t>
        </w:r>
      </w:hyperlink>
    </w:p>
    <w:p w:rsidR="00C645C9" w:rsidRDefault="00F955D9">
      <w:pPr>
        <w:pStyle w:val="33"/>
        <w:adjustRightInd w:val="0"/>
        <w:snapToGrid w:val="0"/>
        <w:spacing w:before="0" w:after="0" w:line="360" w:lineRule="auto"/>
        <w:outlineLvl w:val="3"/>
        <w:rPr>
          <w:color w:val="auto"/>
          <w:sz w:val="24"/>
          <w:szCs w:val="24"/>
        </w:rPr>
      </w:pPr>
      <w:bookmarkStart w:id="1766" w:name="OLE_LINK886"/>
      <w:bookmarkStart w:id="1767" w:name="_Toc21672"/>
      <w:bookmarkStart w:id="1768" w:name="_Toc173941961"/>
      <w:bookmarkStart w:id="1769" w:name="_Toc12283"/>
      <w:r>
        <w:rPr>
          <w:rFonts w:hint="eastAsia"/>
          <w:color w:val="auto"/>
          <w:sz w:val="24"/>
          <w:szCs w:val="24"/>
          <w:lang w:eastAsia="zh-CN"/>
        </w:rPr>
        <w:t>5.8.5.1</w:t>
      </w:r>
      <w:bookmarkEnd w:id="1766"/>
      <w:r>
        <w:rPr>
          <w:rFonts w:hint="eastAsia"/>
          <w:color w:val="auto"/>
          <w:sz w:val="24"/>
          <w:szCs w:val="24"/>
        </w:rPr>
        <w:t>井喷事故风险预防措施</w:t>
      </w:r>
      <w:bookmarkEnd w:id="1767"/>
      <w:bookmarkEnd w:id="1768"/>
      <w:bookmarkEnd w:id="1769"/>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1</w:t>
      </w:r>
      <w:r>
        <w:rPr>
          <w:rFonts w:hint="eastAsia"/>
          <w:sz w:val="24"/>
        </w:rPr>
        <w:t>）严格按照设计规范</w:t>
      </w:r>
      <w:r>
        <w:rPr>
          <w:sz w:val="24"/>
        </w:rPr>
        <w:t>安装防喷器和井控装置，以最大限度地降低井喷事故的发生。</w:t>
      </w:r>
    </w:p>
    <w:p w:rsidR="00C645C9" w:rsidRDefault="00F955D9">
      <w:pPr>
        <w:adjustRightInd w:val="0"/>
        <w:snapToGrid w:val="0"/>
        <w:spacing w:line="360" w:lineRule="auto"/>
        <w:ind w:firstLine="480"/>
      </w:pPr>
      <w:r>
        <w:rPr>
          <w:rFonts w:hint="eastAsia"/>
        </w:rPr>
        <w:t>（</w:t>
      </w:r>
      <w:r>
        <w:rPr>
          <w:rFonts w:hint="eastAsia"/>
        </w:rPr>
        <w:t>2</w:t>
      </w:r>
      <w:r>
        <w:rPr>
          <w:rFonts w:hint="eastAsia"/>
        </w:rPr>
        <w:t>）</w:t>
      </w:r>
      <w:r>
        <w:t>加强自动控制系统的管理和控制，严格控制</w:t>
      </w:r>
      <w:r>
        <w:rPr>
          <w:rFonts w:hint="eastAsia"/>
        </w:rPr>
        <w:t>井筒和地层的</w:t>
      </w:r>
      <w:r>
        <w:t>压力平衡。</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3</w:t>
      </w:r>
      <w:r>
        <w:rPr>
          <w:rFonts w:hint="eastAsia"/>
          <w:sz w:val="24"/>
        </w:rPr>
        <w:t>）</w:t>
      </w:r>
      <w:r>
        <w:rPr>
          <w:sz w:val="24"/>
        </w:rPr>
        <w:t>按规定进行</w:t>
      </w:r>
      <w:r>
        <w:rPr>
          <w:rFonts w:hint="eastAsia"/>
          <w:sz w:val="24"/>
        </w:rPr>
        <w:t>井场</w:t>
      </w:r>
      <w:r>
        <w:rPr>
          <w:sz w:val="24"/>
        </w:rPr>
        <w:t>设备维修、保养，及时更换易损及老化部件，防止油气泄漏事故的发生。</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4</w:t>
      </w:r>
      <w:r>
        <w:rPr>
          <w:rFonts w:hint="eastAsia"/>
          <w:sz w:val="24"/>
        </w:rPr>
        <w:t>）</w:t>
      </w:r>
      <w:r>
        <w:rPr>
          <w:sz w:val="24"/>
        </w:rPr>
        <w:t>井下作业之前，在井场周围划分高压区和低压区，高压泵、高压汇管、井口装置等高压设备均布置于高压区内，施工过程中，高压区无关人员全部撤离，并设置安全警戒岗。每一次井下作业施工前，必须对高压汇管进行试压，试压压力大于施工压力，施工后必须探伤，更换不符合要求的汇管。</w:t>
      </w:r>
    </w:p>
    <w:p w:rsidR="00C645C9" w:rsidRDefault="00F955D9">
      <w:pPr>
        <w:pStyle w:val="33"/>
        <w:adjustRightInd w:val="0"/>
        <w:snapToGrid w:val="0"/>
        <w:spacing w:before="0" w:after="0" w:line="360" w:lineRule="auto"/>
        <w:outlineLvl w:val="3"/>
        <w:rPr>
          <w:color w:val="auto"/>
          <w:sz w:val="24"/>
          <w:szCs w:val="24"/>
        </w:rPr>
      </w:pPr>
      <w:bookmarkStart w:id="1770" w:name="_Toc20603"/>
      <w:bookmarkStart w:id="1771" w:name="_Toc1156"/>
      <w:r>
        <w:rPr>
          <w:rFonts w:hint="eastAsia"/>
          <w:color w:val="auto"/>
          <w:sz w:val="24"/>
          <w:szCs w:val="24"/>
          <w:lang w:eastAsia="zh-CN"/>
        </w:rPr>
        <w:lastRenderedPageBreak/>
        <w:t>5.8.5.2</w:t>
      </w:r>
      <w:r>
        <w:rPr>
          <w:rFonts w:hint="eastAsia"/>
          <w:color w:val="auto"/>
          <w:sz w:val="24"/>
          <w:szCs w:val="24"/>
        </w:rPr>
        <w:t>井漏事故风险防范措施</w:t>
      </w:r>
      <w:bookmarkEnd w:id="1770"/>
      <w:bookmarkEnd w:id="1771"/>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1</w:t>
      </w:r>
      <w:r>
        <w:rPr>
          <w:sz w:val="24"/>
        </w:rPr>
        <w:t>）采用双层套管，表层套管完全封闭各含水层，固井水泥均上返地面，这样，在各含水层与井筒间形成双层套</w:t>
      </w:r>
      <w:r>
        <w:rPr>
          <w:sz w:val="24"/>
        </w:rPr>
        <w:t>管、单层水泥环的保护措施，将事故风险降低到最低。</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2</w:t>
      </w:r>
      <w:r>
        <w:rPr>
          <w:sz w:val="24"/>
        </w:rPr>
        <w:t>）</w:t>
      </w:r>
      <w:r>
        <w:rPr>
          <w:rFonts w:hint="eastAsia"/>
          <w:sz w:val="24"/>
        </w:rPr>
        <w:t>设置地下水监测井，</w:t>
      </w:r>
      <w:r>
        <w:rPr>
          <w:sz w:val="24"/>
        </w:rPr>
        <w:t>定期对</w:t>
      </w:r>
      <w:r>
        <w:rPr>
          <w:rFonts w:hint="eastAsia"/>
          <w:sz w:val="24"/>
        </w:rPr>
        <w:t>工程区</w:t>
      </w:r>
      <w:r>
        <w:rPr>
          <w:sz w:val="24"/>
        </w:rPr>
        <w:t>各地下水层监测井采样分析，一个季度采样一次，分析项目为</w:t>
      </w:r>
      <w:r>
        <w:rPr>
          <w:sz w:val="24"/>
        </w:rPr>
        <w:t>COD</w:t>
      </w:r>
      <w:r>
        <w:rPr>
          <w:sz w:val="24"/>
        </w:rPr>
        <w:t>、石油类、挥发酚等石油特征指标，根据监测指标的变化趋势，对可能产生的隐蔽污染，做到及时发现，尽早处理。</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3</w:t>
      </w:r>
      <w:r>
        <w:rPr>
          <w:sz w:val="24"/>
        </w:rPr>
        <w:t>）及时展开隐蔽污染源调查，查明隐蔽污染源之所在，采取果断措施，截断隐蔽污染源的扩散途径。</w:t>
      </w:r>
    </w:p>
    <w:p w:rsidR="00C645C9" w:rsidRDefault="00F955D9">
      <w:pPr>
        <w:pStyle w:val="33"/>
        <w:adjustRightInd w:val="0"/>
        <w:snapToGrid w:val="0"/>
        <w:spacing w:before="0" w:after="0" w:line="360" w:lineRule="auto"/>
        <w:outlineLvl w:val="3"/>
        <w:rPr>
          <w:color w:val="auto"/>
          <w:sz w:val="24"/>
          <w:szCs w:val="24"/>
        </w:rPr>
      </w:pPr>
      <w:bookmarkStart w:id="1772" w:name="_Toc22592"/>
      <w:bookmarkStart w:id="1773" w:name="_Toc173941965"/>
      <w:bookmarkStart w:id="1774" w:name="_Toc23857"/>
      <w:bookmarkStart w:id="1775" w:name="OLE_LINK1473"/>
      <w:r>
        <w:rPr>
          <w:rFonts w:hint="eastAsia"/>
          <w:color w:val="auto"/>
          <w:sz w:val="24"/>
          <w:szCs w:val="24"/>
          <w:lang w:eastAsia="zh-CN"/>
        </w:rPr>
        <w:t>5.8.5.3</w:t>
      </w:r>
      <w:r>
        <w:rPr>
          <w:rFonts w:hint="eastAsia"/>
          <w:color w:val="auto"/>
          <w:sz w:val="24"/>
          <w:szCs w:val="24"/>
        </w:rPr>
        <w:t>井场风险防范措施</w:t>
      </w:r>
      <w:bookmarkEnd w:id="1772"/>
      <w:bookmarkEnd w:id="1773"/>
      <w:bookmarkEnd w:id="1774"/>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1</w:t>
      </w:r>
      <w:r>
        <w:rPr>
          <w:sz w:val="24"/>
        </w:rPr>
        <w:t>）</w:t>
      </w:r>
      <w:bookmarkEnd w:id="1775"/>
      <w:r>
        <w:rPr>
          <w:sz w:val="24"/>
        </w:rPr>
        <w:t>平面布置中尽量将火灾危险性相近的设施集中布置，并保持规定的防火距离；将全场内的明火点控制到最少，并布置在生产区场地边缘部位；有油气</w:t>
      </w:r>
      <w:r>
        <w:rPr>
          <w:sz w:val="24"/>
        </w:rPr>
        <w:t>散发的场所布置在有明火或散发火花地点的当地全年最小频率风向的上风侧。</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2</w:t>
      </w:r>
      <w:r>
        <w:rPr>
          <w:sz w:val="24"/>
        </w:rPr>
        <w:t>）在建、构筑物区域内设置接地装置，必要时可加装消雷器。工艺设备、塔、架等设置防静电接地装置；变压器等采用避雷器作为防雷保护。</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3</w:t>
      </w:r>
      <w:r>
        <w:rPr>
          <w:sz w:val="24"/>
        </w:rPr>
        <w:t>）按规定配置齐全各类消防设施，并定期进行检查，保持完好可用。</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4</w:t>
      </w:r>
      <w:r>
        <w:rPr>
          <w:sz w:val="24"/>
        </w:rPr>
        <w:t>）</w:t>
      </w:r>
      <w:r>
        <w:rPr>
          <w:rFonts w:hint="eastAsia"/>
          <w:sz w:val="24"/>
        </w:rPr>
        <w:t>井场</w:t>
      </w:r>
      <w:r>
        <w:rPr>
          <w:sz w:val="24"/>
        </w:rPr>
        <w:t>内的装置区等均为爆炸火灾危险区域，区域内的配电设备均应采用防爆型；根据各建筑物的不同防爆等级采取相应的防爆措施。</w:t>
      </w:r>
    </w:p>
    <w:p w:rsidR="00C645C9" w:rsidRDefault="00F955D9" w:rsidP="005718BB">
      <w:pPr>
        <w:pStyle w:val="afff3"/>
        <w:adjustRightInd w:val="0"/>
        <w:snapToGrid w:val="0"/>
        <w:spacing w:beforeLines="0" w:before="0" w:afterLines="0" w:after="0" w:line="360" w:lineRule="auto"/>
        <w:ind w:firstLine="480"/>
        <w:rPr>
          <w:b/>
          <w:bCs/>
          <w:sz w:val="24"/>
        </w:rPr>
      </w:pPr>
      <w:r>
        <w:rPr>
          <w:sz w:val="24"/>
        </w:rPr>
        <w:t>（</w:t>
      </w:r>
      <w:r>
        <w:rPr>
          <w:sz w:val="24"/>
        </w:rPr>
        <w:t>5</w:t>
      </w:r>
      <w:r>
        <w:rPr>
          <w:sz w:val="24"/>
        </w:rPr>
        <w:t>）在可能产生易燃易爆介质泄漏的地方，设置可燃气体检测报警器，以便及时发现事故隐患。</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6</w:t>
      </w:r>
      <w:r>
        <w:rPr>
          <w:rFonts w:hint="eastAsia"/>
          <w:sz w:val="24"/>
        </w:rPr>
        <w:t>）井场应</w:t>
      </w:r>
      <w:r>
        <w:rPr>
          <w:sz w:val="24"/>
        </w:rPr>
        <w:t>采取多种防井喷控制措施</w:t>
      </w:r>
      <w:r>
        <w:rPr>
          <w:sz w:val="24"/>
        </w:rPr>
        <w:t>、防漏措施和固井措施，防止发生井喷等事故；按规范设置安全防火距离，配置相应消防设施。</w:t>
      </w:r>
      <w:r>
        <w:rPr>
          <w:rFonts w:hint="eastAsia"/>
          <w:sz w:val="24"/>
        </w:rPr>
        <w:t>加强工作人员和车辆管理，必须在规定的路线和范围内活动，严禁乱压乱碾，加强防火措施，</w:t>
      </w:r>
      <w:r>
        <w:rPr>
          <w:sz w:val="24"/>
        </w:rPr>
        <w:t>防止火灾</w:t>
      </w:r>
      <w:r>
        <w:rPr>
          <w:rFonts w:hint="eastAsia"/>
          <w:sz w:val="24"/>
        </w:rPr>
        <w:t>发生</w:t>
      </w:r>
      <w:r>
        <w:rPr>
          <w:sz w:val="24"/>
        </w:rPr>
        <w:t>。</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7</w:t>
      </w:r>
      <w:r>
        <w:rPr>
          <w:rFonts w:hint="eastAsia"/>
          <w:sz w:val="24"/>
        </w:rPr>
        <w:t>）</w:t>
      </w:r>
      <w:r>
        <w:rPr>
          <w:sz w:val="24"/>
        </w:rPr>
        <w:t>事故时所有排放气体均密闭放空至火炬系统燃烧后排放，不允许就地排入大气；储罐区</w:t>
      </w:r>
      <w:r>
        <w:rPr>
          <w:rFonts w:hint="eastAsia"/>
          <w:sz w:val="24"/>
        </w:rPr>
        <w:t>周围设置防火堤。</w:t>
      </w:r>
    </w:p>
    <w:p w:rsidR="00C645C9" w:rsidRDefault="00F955D9">
      <w:pPr>
        <w:adjustRightInd w:val="0"/>
        <w:snapToGrid w:val="0"/>
        <w:spacing w:line="360" w:lineRule="auto"/>
        <w:ind w:firstLineChars="200" w:firstLine="480"/>
      </w:pPr>
      <w:r>
        <w:rPr>
          <w:rFonts w:hint="eastAsia"/>
        </w:rPr>
        <w:t>（</w:t>
      </w:r>
      <w:r>
        <w:t>8</w:t>
      </w:r>
      <w:r>
        <w:rPr>
          <w:rFonts w:hint="eastAsia"/>
        </w:rPr>
        <w:t>）建设单位应在施工期严把质量关，严格按照环评提出的分区防渗要求进行防渗体系建设；运营期应严格按照地下水污染防治管理要求规范生产活动，编制企业环境风险应急预案并建立相关配套环保制度，定期检查防渗层及罐体的破损情况，定期开展地下水环境监测，将地下水污染事故的发生概率</w:t>
      </w:r>
      <w:r>
        <w:rPr>
          <w:rFonts w:hint="eastAsia"/>
        </w:rPr>
        <w:t>降</w:t>
      </w:r>
      <w:r>
        <w:rPr>
          <w:rFonts w:hint="eastAsia"/>
        </w:rPr>
        <w:t>至最低。</w:t>
      </w:r>
    </w:p>
    <w:p w:rsidR="00C645C9" w:rsidRDefault="00F955D9">
      <w:pPr>
        <w:pStyle w:val="33"/>
        <w:adjustRightInd w:val="0"/>
        <w:snapToGrid w:val="0"/>
        <w:spacing w:before="0" w:after="0" w:line="360" w:lineRule="auto"/>
        <w:outlineLvl w:val="3"/>
        <w:rPr>
          <w:color w:val="auto"/>
          <w:sz w:val="24"/>
          <w:szCs w:val="24"/>
        </w:rPr>
      </w:pPr>
      <w:r>
        <w:rPr>
          <w:rFonts w:hint="eastAsia"/>
          <w:color w:val="auto"/>
          <w:sz w:val="24"/>
          <w:szCs w:val="24"/>
          <w:lang w:eastAsia="zh-CN"/>
        </w:rPr>
        <w:lastRenderedPageBreak/>
        <w:t>5.8.5.4</w:t>
      </w:r>
      <w:r>
        <w:rPr>
          <w:rFonts w:hint="eastAsia"/>
          <w:color w:val="auto"/>
          <w:sz w:val="24"/>
          <w:szCs w:val="24"/>
        </w:rPr>
        <w:t>液体储罐的风险防范措施</w:t>
      </w:r>
    </w:p>
    <w:p w:rsidR="00C645C9" w:rsidRDefault="00F955D9">
      <w:pPr>
        <w:adjustRightInd w:val="0"/>
        <w:snapToGrid w:val="0"/>
        <w:spacing w:line="360" w:lineRule="auto"/>
        <w:ind w:firstLineChars="200" w:firstLine="480"/>
      </w:pPr>
      <w:bookmarkStart w:id="1776" w:name="OLE_LINK1474"/>
      <w:r>
        <w:rPr>
          <w:rFonts w:hint="eastAsia"/>
        </w:rPr>
        <w:t>（</w:t>
      </w:r>
      <w:r>
        <w:rPr>
          <w:rFonts w:hint="eastAsia"/>
        </w:rPr>
        <w:t>1</w:t>
      </w:r>
      <w:r>
        <w:rPr>
          <w:rFonts w:hint="eastAsia"/>
        </w:rPr>
        <w:t>）</w:t>
      </w:r>
      <w:bookmarkEnd w:id="1776"/>
      <w:r>
        <w:rPr>
          <w:rFonts w:hint="eastAsia"/>
        </w:rPr>
        <w:t>按生产工艺合理划分和安全布局，各生产设施间满足规定的防火间距。</w:t>
      </w:r>
    </w:p>
    <w:p w:rsidR="00C645C9" w:rsidRDefault="00F955D9">
      <w:pPr>
        <w:adjustRightInd w:val="0"/>
        <w:snapToGrid w:val="0"/>
        <w:spacing w:line="360" w:lineRule="auto"/>
        <w:ind w:firstLineChars="200" w:firstLine="480"/>
      </w:pPr>
      <w:r>
        <w:rPr>
          <w:rFonts w:hint="eastAsia"/>
        </w:rPr>
        <w:t>（</w:t>
      </w:r>
      <w:r>
        <w:rPr>
          <w:rFonts w:hint="eastAsia"/>
        </w:rPr>
        <w:t>2</w:t>
      </w:r>
      <w:r>
        <w:rPr>
          <w:rFonts w:hint="eastAsia"/>
        </w:rPr>
        <w:t>）本工程自动化程度高，由控制中心进行统一监控和管理，遇有紧急情况或事故发生，可实现紧急控制和切断，提高系统的可靠性和安全性。</w:t>
      </w:r>
    </w:p>
    <w:p w:rsidR="00C645C9" w:rsidRDefault="00F955D9">
      <w:pPr>
        <w:adjustRightInd w:val="0"/>
        <w:snapToGrid w:val="0"/>
        <w:spacing w:line="360" w:lineRule="auto"/>
        <w:ind w:firstLineChars="200" w:firstLine="480"/>
      </w:pPr>
      <w:r>
        <w:rPr>
          <w:rFonts w:hint="eastAsia"/>
        </w:rPr>
        <w:t>（</w:t>
      </w:r>
      <w:r>
        <w:rPr>
          <w:rFonts w:hint="eastAsia"/>
        </w:rPr>
        <w:t>3</w:t>
      </w:r>
      <w:r>
        <w:rPr>
          <w:rFonts w:hint="eastAsia"/>
        </w:rPr>
        <w:t>）在油气可能泄漏和积聚的场所设置可燃气体浓度检测报警装置。爆炸危险区域内的所有电气设备全部选用防爆型，并满足相应的防爆等级和组别。</w:t>
      </w:r>
    </w:p>
    <w:p w:rsidR="00C645C9" w:rsidRDefault="00F955D9">
      <w:pPr>
        <w:adjustRightInd w:val="0"/>
        <w:snapToGrid w:val="0"/>
        <w:spacing w:line="360" w:lineRule="auto"/>
        <w:ind w:firstLineChars="200" w:firstLine="480"/>
      </w:pPr>
      <w:r>
        <w:rPr>
          <w:rFonts w:hint="eastAsia"/>
        </w:rPr>
        <w:t>（</w:t>
      </w:r>
      <w:r>
        <w:rPr>
          <w:rFonts w:hint="eastAsia"/>
        </w:rPr>
        <w:t>4</w:t>
      </w:r>
      <w:r>
        <w:rPr>
          <w:rFonts w:hint="eastAsia"/>
        </w:rPr>
        <w:t>）运营期井场使用火炬，泄放燃烧超压天然气。</w:t>
      </w:r>
    </w:p>
    <w:p w:rsidR="00C645C9" w:rsidRDefault="00F955D9">
      <w:pPr>
        <w:adjustRightInd w:val="0"/>
        <w:snapToGrid w:val="0"/>
        <w:spacing w:line="360" w:lineRule="auto"/>
        <w:ind w:firstLineChars="200" w:firstLine="480"/>
      </w:pPr>
      <w:r>
        <w:rPr>
          <w:rFonts w:hint="eastAsia"/>
        </w:rPr>
        <w:t>（</w:t>
      </w:r>
      <w:r>
        <w:rPr>
          <w:rFonts w:hint="eastAsia"/>
        </w:rPr>
        <w:t>5</w:t>
      </w:r>
      <w:r>
        <w:rPr>
          <w:rFonts w:hint="eastAsia"/>
        </w:rPr>
        <w:t>）运营期井场的储罐区外围设</w:t>
      </w:r>
      <w:r>
        <w:rPr>
          <w:rFonts w:hint="eastAsia"/>
        </w:rPr>
        <w:t>0.5m</w:t>
      </w:r>
      <w:r>
        <w:rPr>
          <w:rFonts w:hint="eastAsia"/>
        </w:rPr>
        <w:t>高围堰，</w:t>
      </w:r>
      <w:r>
        <w:rPr>
          <w:rFonts w:hint="eastAsia"/>
        </w:rPr>
        <w:t>C20</w:t>
      </w:r>
      <w:r>
        <w:rPr>
          <w:rFonts w:hint="eastAsia"/>
        </w:rPr>
        <w:t>混凝土修筑。储罐区下方按一般防渗要求防渗。</w:t>
      </w:r>
    </w:p>
    <w:p w:rsidR="00C645C9" w:rsidRDefault="00F955D9">
      <w:pPr>
        <w:adjustRightInd w:val="0"/>
        <w:snapToGrid w:val="0"/>
        <w:spacing w:line="360" w:lineRule="auto"/>
        <w:ind w:firstLineChars="200" w:firstLine="480"/>
      </w:pPr>
      <w:r>
        <w:rPr>
          <w:rFonts w:hint="eastAsia"/>
        </w:rPr>
        <w:t>（</w:t>
      </w:r>
      <w:r>
        <w:rPr>
          <w:rFonts w:hint="eastAsia"/>
        </w:rPr>
        <w:t>6</w:t>
      </w:r>
      <w:r>
        <w:rPr>
          <w:rFonts w:hint="eastAsia"/>
        </w:rPr>
        <w:t>）加强日常生产监督管理和安全运行检查工作，对各种设备、油罐、阀门定期进行检查，防止跑、冒、滴、漏，及时巡查，消除事故隐患。</w:t>
      </w:r>
    </w:p>
    <w:p w:rsidR="00C645C9" w:rsidRDefault="00F955D9">
      <w:pPr>
        <w:adjustRightInd w:val="0"/>
        <w:snapToGrid w:val="0"/>
        <w:spacing w:line="360" w:lineRule="auto"/>
        <w:ind w:firstLineChars="200" w:firstLine="480"/>
      </w:pPr>
      <w:r>
        <w:rPr>
          <w:rFonts w:hint="eastAsia"/>
        </w:rPr>
        <w:t>（</w:t>
      </w:r>
      <w:r>
        <w:rPr>
          <w:rFonts w:hint="eastAsia"/>
        </w:rPr>
        <w:t>7</w:t>
      </w:r>
      <w:r>
        <w:rPr>
          <w:rFonts w:hint="eastAsia"/>
        </w:rPr>
        <w:t>）加强职工安全意识教育和安全生产技术培训，制定安全生产操作规程。</w:t>
      </w:r>
    </w:p>
    <w:p w:rsidR="00C645C9" w:rsidRDefault="00F955D9">
      <w:pPr>
        <w:pStyle w:val="33"/>
        <w:adjustRightInd w:val="0"/>
        <w:snapToGrid w:val="0"/>
        <w:spacing w:before="0" w:after="0" w:line="360" w:lineRule="auto"/>
        <w:outlineLvl w:val="3"/>
        <w:rPr>
          <w:color w:val="auto"/>
          <w:sz w:val="24"/>
          <w:szCs w:val="24"/>
        </w:rPr>
      </w:pPr>
      <w:bookmarkStart w:id="1777" w:name="_Toc28172"/>
      <w:bookmarkStart w:id="1778" w:name="_Toc4100"/>
      <w:r>
        <w:rPr>
          <w:rFonts w:hint="eastAsia"/>
          <w:color w:val="auto"/>
          <w:sz w:val="24"/>
          <w:szCs w:val="24"/>
          <w:lang w:eastAsia="zh-CN"/>
        </w:rPr>
        <w:t>5.8.5.</w:t>
      </w:r>
      <w:r>
        <w:rPr>
          <w:rFonts w:hint="eastAsia"/>
          <w:color w:val="auto"/>
          <w:sz w:val="24"/>
          <w:szCs w:val="24"/>
          <w:lang w:eastAsia="zh-CN"/>
        </w:rPr>
        <w:t>5</w:t>
      </w:r>
      <w:r>
        <w:rPr>
          <w:rFonts w:ascii="宋体" w:hAnsi="宋体" w:hint="eastAsia"/>
          <w:color w:val="auto"/>
          <w:sz w:val="24"/>
          <w:szCs w:val="24"/>
        </w:rPr>
        <w:t>天然气</w:t>
      </w:r>
      <w:r>
        <w:rPr>
          <w:rFonts w:ascii="宋体" w:hAnsi="宋体" w:hint="eastAsia"/>
          <w:color w:val="auto"/>
          <w:sz w:val="24"/>
          <w:szCs w:val="24"/>
          <w:lang w:eastAsia="zh-CN"/>
        </w:rPr>
        <w:t>、</w:t>
      </w:r>
      <w:r>
        <w:rPr>
          <w:rFonts w:ascii="宋体" w:hAnsi="宋体" w:hint="eastAsia"/>
          <w:color w:val="auto"/>
          <w:sz w:val="24"/>
          <w:szCs w:val="24"/>
          <w:lang w:eastAsia="zh-CN"/>
        </w:rPr>
        <w:t>凝析油</w:t>
      </w:r>
      <w:r>
        <w:rPr>
          <w:rFonts w:ascii="宋体" w:hAnsi="宋体"/>
          <w:color w:val="auto"/>
          <w:sz w:val="24"/>
          <w:szCs w:val="24"/>
        </w:rPr>
        <w:t>运输风险</w:t>
      </w:r>
      <w:r>
        <w:rPr>
          <w:rFonts w:ascii="宋体" w:hAnsi="宋体" w:hint="eastAsia"/>
          <w:color w:val="auto"/>
          <w:sz w:val="24"/>
          <w:szCs w:val="24"/>
        </w:rPr>
        <w:t>措施</w:t>
      </w:r>
      <w:bookmarkEnd w:id="1777"/>
      <w:bookmarkEnd w:id="1778"/>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1</w:t>
      </w:r>
      <w:r>
        <w:rPr>
          <w:sz w:val="24"/>
        </w:rPr>
        <w:t>）罐车是</w:t>
      </w:r>
      <w:r>
        <w:rPr>
          <w:rFonts w:ascii="宋体" w:hAnsi="宋体" w:hint="eastAsia"/>
          <w:sz w:val="24"/>
        </w:rPr>
        <w:t>天然气</w:t>
      </w:r>
      <w:r>
        <w:rPr>
          <w:rFonts w:ascii="宋体" w:hAnsi="宋体" w:hint="eastAsia"/>
          <w:sz w:val="24"/>
        </w:rPr>
        <w:t>和凝析油</w:t>
      </w:r>
      <w:r>
        <w:rPr>
          <w:sz w:val="24"/>
        </w:rPr>
        <w:t>的运输工具，必须认真执行《压力容器安全技术监察规程》及原劳动部颁发的《液化气体汽车罐车安全监察规程》</w:t>
      </w:r>
      <w:r>
        <w:rPr>
          <w:rFonts w:hint="eastAsia"/>
          <w:sz w:val="24"/>
        </w:rPr>
        <w:t>以及相关运行安全规范</w:t>
      </w:r>
      <w:r>
        <w:rPr>
          <w:sz w:val="24"/>
        </w:rPr>
        <w:t>的有关条款。</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2</w:t>
      </w:r>
      <w:r>
        <w:rPr>
          <w:sz w:val="24"/>
        </w:rPr>
        <w:t>）罐车必须有材质分析、探伤检查、热处理、水压试验和气密试验等技术资料，并有合格证书，旧罐车应按期检查。</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3</w:t>
      </w:r>
      <w:r>
        <w:rPr>
          <w:sz w:val="24"/>
        </w:rPr>
        <w:t>）安全阀、压力表、液位计、进出口阀、手动放空阀、压力表经过校验并有铅封。</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4</w:t>
      </w:r>
      <w:r>
        <w:rPr>
          <w:sz w:val="24"/>
        </w:rPr>
        <w:t>）色别、标志必须清楚。</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5</w:t>
      </w:r>
      <w:r>
        <w:rPr>
          <w:sz w:val="24"/>
        </w:rPr>
        <w:t>）罐车必须定期检验。检验间隔是：每</w:t>
      </w:r>
      <w:r>
        <w:rPr>
          <w:sz w:val="24"/>
        </w:rPr>
        <w:t>6</w:t>
      </w:r>
      <w:r>
        <w:rPr>
          <w:sz w:val="24"/>
        </w:rPr>
        <w:t>年进行</w:t>
      </w:r>
      <w:r>
        <w:rPr>
          <w:sz w:val="24"/>
        </w:rPr>
        <w:t>1</w:t>
      </w:r>
      <w:r>
        <w:rPr>
          <w:sz w:val="24"/>
        </w:rPr>
        <w:t>次全面检验，每年进行</w:t>
      </w:r>
      <w:r>
        <w:rPr>
          <w:sz w:val="24"/>
        </w:rPr>
        <w:t>1</w:t>
      </w:r>
      <w:r>
        <w:rPr>
          <w:sz w:val="24"/>
        </w:rPr>
        <w:t>次年度检验。</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6</w:t>
      </w:r>
      <w:r>
        <w:rPr>
          <w:sz w:val="24"/>
        </w:rPr>
        <w:t>）使用过程中，在任何情况下，必须留有</w:t>
      </w:r>
      <w:r>
        <w:rPr>
          <w:sz w:val="24"/>
        </w:rPr>
        <w:t>不少于最大充装重量</w:t>
      </w:r>
      <w:r>
        <w:rPr>
          <w:sz w:val="24"/>
        </w:rPr>
        <w:t>0.5%</w:t>
      </w:r>
      <w:r>
        <w:rPr>
          <w:sz w:val="24"/>
        </w:rPr>
        <w:t>或</w:t>
      </w:r>
      <w:r>
        <w:rPr>
          <w:sz w:val="24"/>
        </w:rPr>
        <w:t>100kg</w:t>
      </w:r>
      <w:r>
        <w:rPr>
          <w:sz w:val="24"/>
        </w:rPr>
        <w:t>的余量，且余压不低于</w:t>
      </w:r>
      <w:r>
        <w:rPr>
          <w:sz w:val="24"/>
        </w:rPr>
        <w:t>0.1MPa</w:t>
      </w:r>
      <w:r>
        <w:rPr>
          <w:sz w:val="24"/>
        </w:rPr>
        <w:t>。</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7</w:t>
      </w:r>
      <w:r>
        <w:rPr>
          <w:sz w:val="24"/>
        </w:rPr>
        <w:t>）罐车检修必须严格执行有关安全检修制度、安全动火制度以及防火防爆安全技术规程的规定。</w:t>
      </w:r>
    </w:p>
    <w:p w:rsidR="00C645C9" w:rsidRDefault="00F955D9" w:rsidP="005718BB">
      <w:pPr>
        <w:pStyle w:val="afff3"/>
        <w:adjustRightInd w:val="0"/>
        <w:snapToGrid w:val="0"/>
        <w:spacing w:beforeLines="0" w:before="0" w:afterLines="0" w:after="0" w:line="360" w:lineRule="auto"/>
        <w:ind w:firstLine="480"/>
        <w:rPr>
          <w:sz w:val="24"/>
        </w:rPr>
      </w:pPr>
      <w:r>
        <w:rPr>
          <w:sz w:val="24"/>
        </w:rPr>
        <w:t>（</w:t>
      </w:r>
      <w:r>
        <w:rPr>
          <w:sz w:val="24"/>
        </w:rPr>
        <w:t>8</w:t>
      </w:r>
      <w:r>
        <w:rPr>
          <w:sz w:val="24"/>
        </w:rPr>
        <w:t>）罐车每次充装，都应按规定的表格认真填写充装记录。</w:t>
      </w:r>
    </w:p>
    <w:p w:rsidR="00C645C9" w:rsidRDefault="00F955D9">
      <w:pPr>
        <w:pStyle w:val="afffb"/>
        <w:outlineLvl w:val="3"/>
        <w:rPr>
          <w:sz w:val="24"/>
          <w:szCs w:val="24"/>
          <w:lang w:eastAsia="zh-CN"/>
        </w:rPr>
      </w:pPr>
      <w:r>
        <w:rPr>
          <w:rFonts w:hint="eastAsia"/>
          <w:sz w:val="24"/>
          <w:szCs w:val="24"/>
          <w:lang w:eastAsia="zh-CN"/>
        </w:rPr>
        <w:t>5.8.5.</w:t>
      </w:r>
      <w:r>
        <w:rPr>
          <w:rFonts w:hint="eastAsia"/>
          <w:sz w:val="24"/>
          <w:szCs w:val="24"/>
          <w:lang w:eastAsia="zh-CN"/>
        </w:rPr>
        <w:t>6</w:t>
      </w:r>
      <w:r>
        <w:rPr>
          <w:sz w:val="24"/>
          <w:szCs w:val="24"/>
          <w:lang w:eastAsia="zh-CN"/>
        </w:rPr>
        <w:t>危险废物运输风险防范措施</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rPr>
        <w:t>运输时应当采取密闭、遮盖措施防止渗漏。</w:t>
      </w:r>
    </w:p>
    <w:p w:rsidR="00C645C9" w:rsidRDefault="00F955D9">
      <w:pPr>
        <w:adjustRightInd w:val="0"/>
        <w:snapToGrid w:val="0"/>
        <w:spacing w:line="360" w:lineRule="auto"/>
        <w:ind w:firstLineChars="200" w:firstLine="480"/>
        <w:rPr>
          <w:rFonts w:cs="Times New Roman"/>
        </w:rPr>
      </w:pPr>
      <w:r>
        <w:rPr>
          <w:rFonts w:cs="Times New Roman" w:hint="eastAsia"/>
        </w:rPr>
        <w:lastRenderedPageBreak/>
        <w:t>（</w:t>
      </w:r>
      <w:r>
        <w:rPr>
          <w:rFonts w:cs="Times New Roman" w:hint="eastAsia"/>
        </w:rPr>
        <w:t>2</w:t>
      </w:r>
      <w:r>
        <w:rPr>
          <w:rFonts w:cs="Times New Roman" w:hint="eastAsia"/>
        </w:rPr>
        <w:t>）</w:t>
      </w:r>
      <w:r>
        <w:rPr>
          <w:rFonts w:cs="Times New Roman"/>
        </w:rPr>
        <w:t>对运输危险废物的设施和设备应当加强管理和维护，保证其正常运行和使用。</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3</w:t>
      </w:r>
      <w:r>
        <w:rPr>
          <w:rFonts w:cs="Times New Roman" w:hint="eastAsia"/>
        </w:rPr>
        <w:t>）</w:t>
      </w:r>
      <w:r>
        <w:rPr>
          <w:rFonts w:cs="Times New Roman"/>
        </w:rPr>
        <w:t>不能混合运输性质不相容而又未经安全性处置的危险废物。</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4</w:t>
      </w:r>
      <w:r>
        <w:rPr>
          <w:rFonts w:cs="Times New Roman" w:hint="eastAsia"/>
        </w:rPr>
        <w:t>）</w:t>
      </w:r>
      <w:r>
        <w:rPr>
          <w:rFonts w:cs="Times New Roman"/>
        </w:rPr>
        <w:t>转移危险废物时，必须按照规定填危险废物转移联单，并向危险废物移出地和</w:t>
      </w:r>
      <w:r>
        <w:rPr>
          <w:rFonts w:cs="Times New Roman" w:hint="eastAsia"/>
        </w:rPr>
        <w:t>接收</w:t>
      </w:r>
      <w:r>
        <w:rPr>
          <w:rFonts w:cs="Times New Roman"/>
        </w:rPr>
        <w:t>地的县级以上地方人民政府生态环境行政主管部门报告。</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5</w:t>
      </w:r>
      <w:r>
        <w:rPr>
          <w:rFonts w:cs="Times New Roman" w:hint="eastAsia"/>
        </w:rPr>
        <w:t>）</w:t>
      </w:r>
      <w:r>
        <w:rPr>
          <w:rFonts w:cs="Times New Roman"/>
        </w:rPr>
        <w:t>禁止将危险废物与旅客在同一运输工具上载运</w:t>
      </w:r>
      <w:r>
        <w:rPr>
          <w:rFonts w:cs="Times New Roman" w:hint="eastAsia"/>
        </w:rPr>
        <w:t>。</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6</w:t>
      </w:r>
      <w:r>
        <w:rPr>
          <w:rFonts w:cs="Times New Roman" w:hint="eastAsia"/>
        </w:rPr>
        <w:t>）</w:t>
      </w:r>
      <w:r>
        <w:rPr>
          <w:rFonts w:cs="Times New Roman"/>
        </w:rPr>
        <w:t>运输危险废物的设施和设备在转作他用时，必须经过消除污染的处理，方可使用。</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7</w:t>
      </w:r>
      <w:r>
        <w:rPr>
          <w:rFonts w:cs="Times New Roman" w:hint="eastAsia"/>
        </w:rPr>
        <w:t>）</w:t>
      </w:r>
      <w:r>
        <w:rPr>
          <w:rFonts w:cs="Times New Roman"/>
        </w:rPr>
        <w:t>运输危险废物的人员，应当接受专业培训；经考核合格后，方可从事运输危险废物的工作。</w:t>
      </w:r>
    </w:p>
    <w:p w:rsidR="00C645C9" w:rsidRDefault="00F955D9">
      <w:pPr>
        <w:adjustRightInd w:val="0"/>
        <w:snapToGrid w:val="0"/>
        <w:spacing w:line="360" w:lineRule="auto"/>
        <w:ind w:firstLineChars="200" w:firstLine="480"/>
        <w:rPr>
          <w:rFonts w:cs="Times New Roman"/>
        </w:rPr>
      </w:pPr>
      <w:r>
        <w:rPr>
          <w:rFonts w:cs="Times New Roman" w:hint="eastAsia"/>
        </w:rPr>
        <w:t>（</w:t>
      </w:r>
      <w:r>
        <w:rPr>
          <w:rFonts w:cs="Times New Roman" w:hint="eastAsia"/>
        </w:rPr>
        <w:t>8</w:t>
      </w:r>
      <w:r>
        <w:rPr>
          <w:rFonts w:cs="Times New Roman" w:hint="eastAsia"/>
        </w:rPr>
        <w:t>）</w:t>
      </w:r>
      <w:r>
        <w:rPr>
          <w:rFonts w:cs="Times New Roman"/>
        </w:rPr>
        <w:t>运输危险废物的单位应当制定在发生意外事故时采取的应急措施和防范措施。</w:t>
      </w:r>
    </w:p>
    <w:p w:rsidR="00C645C9" w:rsidRDefault="00F955D9">
      <w:pPr>
        <w:adjustRightInd w:val="0"/>
        <w:snapToGrid w:val="0"/>
        <w:spacing w:line="360" w:lineRule="auto"/>
        <w:ind w:firstLineChars="200" w:firstLine="480"/>
      </w:pPr>
      <w:r>
        <w:rPr>
          <w:rFonts w:cs="Times New Roman" w:hint="eastAsia"/>
        </w:rPr>
        <w:t>（</w:t>
      </w:r>
      <w:r>
        <w:rPr>
          <w:rFonts w:cs="Times New Roman" w:hint="eastAsia"/>
        </w:rPr>
        <w:t>9</w:t>
      </w:r>
      <w:r>
        <w:rPr>
          <w:rFonts w:cs="Times New Roman" w:hint="eastAsia"/>
        </w:rPr>
        <w:t>）</w:t>
      </w:r>
      <w:r>
        <w:rPr>
          <w:rFonts w:cs="Times New Roman"/>
        </w:rPr>
        <w:t>运输时，发生突发性事故必须立即采取措施消除或者减轻对环境的污染危害，及时通报给附近的单位和居民，并向事故发生地县级以上人民政府环境保护行政主管部门和有关部门报告，接受调查处理。</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3605" w:history="1">
        <w:r>
          <w:rPr>
            <w:rFonts w:ascii="Times New Roman" w:hAnsi="Times New Roman" w:cs="Times New Roman" w:hint="eastAsia"/>
            <w:color w:val="auto"/>
            <w:lang w:eastAsia="zh-CN"/>
          </w:rPr>
          <w:t>5.8.6</w:t>
        </w:r>
        <w:r>
          <w:rPr>
            <w:rFonts w:ascii="Times New Roman" w:hAnsi="Times New Roman" w:cs="Times New Roman" w:hint="eastAsia"/>
            <w:color w:val="auto"/>
            <w:lang w:eastAsia="zh-CN"/>
          </w:rPr>
          <w:t>环境</w:t>
        </w:r>
      </w:hyperlink>
      <w:r>
        <w:rPr>
          <w:rFonts w:ascii="Times New Roman" w:hAnsi="Times New Roman" w:cs="Times New Roman" w:hint="eastAsia"/>
          <w:color w:val="auto"/>
          <w:lang w:eastAsia="zh-CN"/>
        </w:rPr>
        <w:t>风险管理</w:t>
      </w:r>
    </w:p>
    <w:p w:rsidR="00C645C9" w:rsidRDefault="00F955D9">
      <w:pPr>
        <w:adjustRightInd w:val="0"/>
        <w:snapToGrid w:val="0"/>
        <w:spacing w:line="360" w:lineRule="auto"/>
        <w:ind w:firstLineChars="200" w:firstLine="480"/>
        <w:jc w:val="both"/>
        <w:rPr>
          <w:rFonts w:cs="Times New Roman"/>
        </w:rPr>
      </w:pPr>
      <w:r>
        <w:rPr>
          <w:rFonts w:cs="Times New Roman" w:hint="eastAsia"/>
        </w:rPr>
        <w:t>（</w:t>
      </w:r>
      <w:r>
        <w:rPr>
          <w:rFonts w:cs="Times New Roman" w:hint="eastAsia"/>
        </w:rPr>
        <w:t>1</w:t>
      </w:r>
      <w:r>
        <w:rPr>
          <w:rFonts w:cs="Times New Roman" w:hint="eastAsia"/>
        </w:rPr>
        <w:t>）</w:t>
      </w:r>
      <w:r>
        <w:rPr>
          <w:rFonts w:cs="Times New Roman"/>
        </w:rPr>
        <w:t>环境风险</w:t>
      </w:r>
      <w:r>
        <w:rPr>
          <w:rFonts w:cs="Times New Roman" w:hint="eastAsia"/>
        </w:rPr>
        <w:t>人员管理</w:t>
      </w:r>
    </w:p>
    <w:p w:rsidR="00C645C9" w:rsidRDefault="00F955D9">
      <w:pPr>
        <w:adjustRightInd w:val="0"/>
        <w:snapToGrid w:val="0"/>
        <w:spacing w:line="360" w:lineRule="auto"/>
        <w:ind w:firstLineChars="200" w:firstLine="480"/>
        <w:jc w:val="both"/>
        <w:rPr>
          <w:rFonts w:cs="Times New Roman"/>
        </w:rPr>
      </w:pPr>
      <w:r>
        <w:rPr>
          <w:rFonts w:cs="Times New Roman"/>
        </w:rPr>
        <w:t>除采取上述安全预防措施外，还应通过提高人员素质，加强责任心教育，完善有关操作条例等方法来防止人为因素引发的事故。</w:t>
      </w:r>
    </w:p>
    <w:p w:rsidR="00C645C9" w:rsidRDefault="00F955D9">
      <w:pPr>
        <w:adjustRightInd w:val="0"/>
        <w:snapToGrid w:val="0"/>
        <w:spacing w:line="360" w:lineRule="auto"/>
        <w:ind w:firstLineChars="200" w:firstLine="480"/>
        <w:jc w:val="both"/>
        <w:rPr>
          <w:rFonts w:cs="Times New Roman"/>
        </w:rPr>
      </w:pPr>
      <w:r>
        <w:rPr>
          <w:rFonts w:cs="Times New Roman"/>
        </w:rPr>
        <w:t>①</w:t>
      </w:r>
      <w:r>
        <w:rPr>
          <w:rFonts w:cs="Times New Roman"/>
        </w:rPr>
        <w:t>对生产操作的工人必须培训经考核后上岗，使其了解工艺过程，熟悉操作规程，对各种情况能进行正确判断。</w:t>
      </w:r>
    </w:p>
    <w:p w:rsidR="00C645C9" w:rsidRDefault="00F955D9">
      <w:pPr>
        <w:adjustRightInd w:val="0"/>
        <w:snapToGrid w:val="0"/>
        <w:spacing w:line="360" w:lineRule="auto"/>
        <w:ind w:firstLineChars="200" w:firstLine="480"/>
        <w:jc w:val="both"/>
        <w:rPr>
          <w:rFonts w:cs="Times New Roman"/>
        </w:rPr>
      </w:pPr>
      <w:r>
        <w:rPr>
          <w:rFonts w:cs="Times New Roman"/>
        </w:rPr>
        <w:t>②</w:t>
      </w:r>
      <w:r>
        <w:rPr>
          <w:rFonts w:cs="Times New Roman"/>
        </w:rPr>
        <w:t>加强干部、职工的风险意识和环境意识教育，增强安全、环保意识。建立健全各种规章制度、规程，使制度</w:t>
      </w:r>
      <w:r>
        <w:rPr>
          <w:rFonts w:cs="Times New Roman" w:hint="eastAsia"/>
        </w:rPr>
        <w:t>落到实处</w:t>
      </w:r>
      <w:r>
        <w:rPr>
          <w:rFonts w:cs="Times New Roman"/>
        </w:rPr>
        <w:t>，严格遵守，杜绝违章作业。</w:t>
      </w:r>
    </w:p>
    <w:p w:rsidR="00C645C9" w:rsidRDefault="00F955D9">
      <w:pPr>
        <w:adjustRightInd w:val="0"/>
        <w:snapToGrid w:val="0"/>
        <w:spacing w:line="360" w:lineRule="auto"/>
        <w:ind w:firstLineChars="200" w:firstLine="480"/>
        <w:jc w:val="both"/>
        <w:rPr>
          <w:rFonts w:cs="Times New Roman"/>
        </w:rPr>
      </w:pPr>
      <w:r>
        <w:rPr>
          <w:rFonts w:cs="Times New Roman"/>
        </w:rPr>
        <w:t>③</w:t>
      </w:r>
      <w:r>
        <w:rPr>
          <w:rFonts w:cs="Times New Roman"/>
        </w:rPr>
        <w:t>经</w:t>
      </w:r>
      <w:r>
        <w:rPr>
          <w:rFonts w:cs="Times New Roman"/>
        </w:rPr>
        <w:t>常对职工进行爱岗教育，使职工安心本职工作，遵守劳动纪律，避免因责任心不强、操作中疏忽大意、擅离职守等原因造成的事故。</w:t>
      </w:r>
    </w:p>
    <w:p w:rsidR="00C645C9" w:rsidRDefault="00F955D9">
      <w:pPr>
        <w:adjustRightInd w:val="0"/>
        <w:snapToGrid w:val="0"/>
        <w:spacing w:line="360" w:lineRule="auto"/>
        <w:ind w:firstLineChars="200" w:firstLine="480"/>
        <w:jc w:val="both"/>
        <w:rPr>
          <w:rFonts w:cs="Times New Roman"/>
        </w:rPr>
      </w:pPr>
      <w:bookmarkStart w:id="1779" w:name="OLE_LINK887"/>
      <w:r>
        <w:rPr>
          <w:rFonts w:cs="Times New Roman" w:hint="eastAsia"/>
        </w:rPr>
        <w:t>（</w:t>
      </w:r>
      <w:r>
        <w:rPr>
          <w:rFonts w:cs="Times New Roman" w:hint="eastAsia"/>
        </w:rPr>
        <w:t>2</w:t>
      </w:r>
      <w:r>
        <w:rPr>
          <w:rFonts w:cs="Times New Roman" w:hint="eastAsia"/>
        </w:rPr>
        <w:t>）</w:t>
      </w:r>
      <w:r>
        <w:rPr>
          <w:rFonts w:cs="Times New Roman"/>
        </w:rPr>
        <w:t>环境风险应急预案</w:t>
      </w:r>
    </w:p>
    <w:bookmarkEnd w:id="1779"/>
    <w:p w:rsidR="00C645C9" w:rsidRDefault="00F955D9">
      <w:pPr>
        <w:adjustRightInd w:val="0"/>
        <w:snapToGrid w:val="0"/>
        <w:spacing w:line="360" w:lineRule="auto"/>
        <w:ind w:firstLineChars="200" w:firstLine="480"/>
        <w:jc w:val="both"/>
      </w:pPr>
      <w:r>
        <w:rPr>
          <w:rFonts w:cs="Times New Roman"/>
        </w:rPr>
        <w:t>本</w:t>
      </w:r>
      <w:r>
        <w:rPr>
          <w:rFonts w:cs="Times New Roman" w:hint="eastAsia"/>
        </w:rPr>
        <w:t>工程</w:t>
      </w:r>
      <w:r>
        <w:rPr>
          <w:rFonts w:cs="Times New Roman"/>
        </w:rPr>
        <w:t>由</w:t>
      </w:r>
      <w:bookmarkStart w:id="1780" w:name="OLE_LINK889"/>
      <w:r>
        <w:rPr>
          <w:rFonts w:cs="Times New Roman" w:hint="eastAsia"/>
        </w:rPr>
        <w:t>雅克拉采气厂</w:t>
      </w:r>
      <w:bookmarkEnd w:id="1780"/>
      <w:r>
        <w:rPr>
          <w:rFonts w:cs="Times New Roman"/>
        </w:rPr>
        <w:t>管理。</w:t>
      </w:r>
      <w:r>
        <w:rPr>
          <w:rFonts w:cs="Times New Roman" w:hint="eastAsia"/>
        </w:rPr>
        <w:t>雅克拉采气厂</w:t>
      </w:r>
      <w:r>
        <w:rPr>
          <w:rFonts w:cs="Times New Roman"/>
        </w:rPr>
        <w:t>于</w:t>
      </w:r>
      <w:r>
        <w:rPr>
          <w:rFonts w:cs="Times New Roman"/>
        </w:rPr>
        <w:t>20</w:t>
      </w:r>
      <w:r>
        <w:rPr>
          <w:rFonts w:cs="Times New Roman"/>
        </w:rPr>
        <w:t>2</w:t>
      </w:r>
      <w:r>
        <w:rPr>
          <w:rFonts w:cs="Times New Roman" w:hint="eastAsia"/>
        </w:rPr>
        <w:t>4</w:t>
      </w:r>
      <w:r>
        <w:rPr>
          <w:rFonts w:cs="Times New Roman"/>
        </w:rPr>
        <w:t>年</w:t>
      </w:r>
      <w:r>
        <w:rPr>
          <w:rFonts w:cs="Times New Roman" w:hint="eastAsia"/>
        </w:rPr>
        <w:t>11</w:t>
      </w:r>
      <w:r>
        <w:rPr>
          <w:rFonts w:cs="Times New Roman"/>
        </w:rPr>
        <w:t>月</w:t>
      </w:r>
      <w:r>
        <w:rPr>
          <w:rFonts w:cs="Times New Roman"/>
        </w:rPr>
        <w:t>1</w:t>
      </w:r>
      <w:r>
        <w:rPr>
          <w:rFonts w:cs="Times New Roman" w:hint="eastAsia"/>
        </w:rPr>
        <w:t>8</w:t>
      </w:r>
      <w:r>
        <w:rPr>
          <w:rFonts w:cs="Times New Roman"/>
        </w:rPr>
        <w:t>日</w:t>
      </w:r>
      <w:r>
        <w:rPr>
          <w:rFonts w:cs="Times New Roman"/>
        </w:rPr>
        <w:t>取得</w:t>
      </w:r>
      <w:r>
        <w:rPr>
          <w:rFonts w:cs="Times New Roman"/>
        </w:rPr>
        <w:t>《</w:t>
      </w:r>
      <w:bookmarkStart w:id="1781" w:name="OLE_LINK896"/>
      <w:r>
        <w:rPr>
          <w:rFonts w:cs="Times New Roman"/>
        </w:rPr>
        <w:t>中国石油化工股份有限公司西北油田分公司</w:t>
      </w:r>
      <w:r>
        <w:rPr>
          <w:rFonts w:cs="Times New Roman" w:hint="eastAsia"/>
        </w:rPr>
        <w:t>雅克拉采气厂</w:t>
      </w:r>
      <w:r>
        <w:rPr>
          <w:rFonts w:cs="Times New Roman"/>
        </w:rPr>
        <w:t>突发环境事件应急预案</w:t>
      </w:r>
      <w:bookmarkEnd w:id="1781"/>
      <w:r>
        <w:rPr>
          <w:rFonts w:cs="Times New Roman"/>
        </w:rPr>
        <w:t>》</w:t>
      </w:r>
      <w:r>
        <w:rPr>
          <w:rFonts w:cs="Times New Roman"/>
        </w:rPr>
        <w:t>的备案证明，备案编号为</w:t>
      </w:r>
      <w:bookmarkStart w:id="1782" w:name="OLE_LINK898"/>
      <w:r>
        <w:rPr>
          <w:rFonts w:cs="Times New Roman"/>
        </w:rPr>
        <w:t>65</w:t>
      </w:r>
      <w:r>
        <w:rPr>
          <w:rFonts w:cs="Times New Roman"/>
        </w:rPr>
        <w:t>292</w:t>
      </w:r>
      <w:r>
        <w:rPr>
          <w:rFonts w:cs="Times New Roman" w:hint="eastAsia"/>
        </w:rPr>
        <w:t>5</w:t>
      </w:r>
      <w:r>
        <w:rPr>
          <w:rFonts w:cs="Times New Roman"/>
        </w:rPr>
        <w:t>-20</w:t>
      </w:r>
      <w:r>
        <w:rPr>
          <w:rFonts w:cs="Times New Roman"/>
        </w:rPr>
        <w:t>2</w:t>
      </w:r>
      <w:r>
        <w:rPr>
          <w:rFonts w:cs="Times New Roman" w:hint="eastAsia"/>
        </w:rPr>
        <w:t>4</w:t>
      </w:r>
      <w:r>
        <w:rPr>
          <w:rFonts w:cs="Times New Roman"/>
        </w:rPr>
        <w:t>-</w:t>
      </w:r>
      <w:r>
        <w:rPr>
          <w:rFonts w:cs="Times New Roman" w:hint="eastAsia"/>
        </w:rPr>
        <w:t>30</w:t>
      </w:r>
      <w:r>
        <w:rPr>
          <w:rFonts w:cs="Times New Roman"/>
        </w:rPr>
        <w:t>-</w:t>
      </w:r>
      <w:r>
        <w:rPr>
          <w:rFonts w:cs="Times New Roman"/>
        </w:rPr>
        <w:t>L</w:t>
      </w:r>
      <w:bookmarkEnd w:id="1782"/>
      <w:r>
        <w:rPr>
          <w:rFonts w:cs="Times New Roman"/>
        </w:rPr>
        <w:t>。</w:t>
      </w:r>
      <w:r>
        <w:rPr>
          <w:rFonts w:cs="Times New Roman"/>
        </w:rPr>
        <w:t>本评价建议将本次建设内容突发环</w:t>
      </w:r>
      <w:r>
        <w:rPr>
          <w:rFonts w:cs="Times New Roman"/>
        </w:rPr>
        <w:lastRenderedPageBreak/>
        <w:t>境事件应急预案纳入西北油田分公司</w:t>
      </w:r>
      <w:bookmarkStart w:id="1783" w:name="OLE_LINK888"/>
      <w:r>
        <w:rPr>
          <w:rFonts w:cs="Times New Roman" w:hint="eastAsia"/>
        </w:rPr>
        <w:t>雅克拉采气厂</w:t>
      </w:r>
      <w:bookmarkEnd w:id="1783"/>
      <w:r>
        <w:rPr>
          <w:rFonts w:cs="Times New Roman"/>
        </w:rPr>
        <w:t>现有突发环境事件应急预案中，对现有突发环境事件应急预案进行必要的完善和补充。</w:t>
      </w:r>
    </w:p>
    <w:p w:rsidR="00C645C9" w:rsidRDefault="00F955D9">
      <w:pPr>
        <w:pStyle w:val="3"/>
        <w:adjustRightInd w:val="0"/>
        <w:snapToGrid w:val="0"/>
        <w:spacing w:before="0" w:after="0" w:line="360" w:lineRule="auto"/>
        <w:rPr>
          <w:rFonts w:ascii="Times New Roman" w:hAnsi="Times New Roman" w:cs="Times New Roman"/>
          <w:color w:val="auto"/>
          <w:lang w:eastAsia="zh-CN"/>
        </w:rPr>
      </w:pPr>
      <w:hyperlink w:anchor="_Toc31633" w:history="1">
        <w:r>
          <w:rPr>
            <w:rFonts w:ascii="Times New Roman" w:hAnsi="Times New Roman" w:cs="Times New Roman" w:hint="eastAsia"/>
            <w:color w:val="auto"/>
            <w:lang w:eastAsia="zh-CN"/>
          </w:rPr>
          <w:t xml:space="preserve">5.8.7 </w:t>
        </w:r>
        <w:r>
          <w:rPr>
            <w:rFonts w:ascii="Times New Roman" w:hAnsi="Times New Roman" w:cs="Times New Roman" w:hint="eastAsia"/>
            <w:color w:val="auto"/>
            <w:lang w:eastAsia="zh-CN"/>
          </w:rPr>
          <w:t>环境风险分析结论</w:t>
        </w:r>
      </w:hyperlink>
    </w:p>
    <w:p w:rsidR="00C645C9" w:rsidRDefault="00F955D9">
      <w:pPr>
        <w:adjustRightInd w:val="0"/>
        <w:snapToGrid w:val="0"/>
        <w:spacing w:line="360" w:lineRule="auto"/>
        <w:ind w:firstLineChars="200" w:firstLine="480"/>
        <w:jc w:val="both"/>
        <w:rPr>
          <w:rFonts w:cs="Times New Roman"/>
          <w:snapToGrid w:val="0"/>
        </w:rPr>
      </w:pPr>
      <w:r>
        <w:rPr>
          <w:rFonts w:cs="Times New Roman"/>
        </w:rPr>
        <w:t>本</w:t>
      </w:r>
      <w:r>
        <w:rPr>
          <w:rFonts w:cs="Times New Roman" w:hint="eastAsia"/>
        </w:rPr>
        <w:t>工程</w:t>
      </w:r>
      <w:r>
        <w:rPr>
          <w:rFonts w:cs="Times New Roman"/>
        </w:rPr>
        <w:t>所涉及的危险物质包括</w:t>
      </w:r>
      <w:r>
        <w:rPr>
          <w:rFonts w:cs="Times New Roman" w:hint="eastAsia"/>
        </w:rPr>
        <w:t>天然气和凝析油</w:t>
      </w:r>
      <w:r>
        <w:rPr>
          <w:rFonts w:cs="Times New Roman"/>
        </w:rPr>
        <w:t>，</w:t>
      </w:r>
      <w:bookmarkStart w:id="1784" w:name="OLE_LINK903"/>
      <w:r>
        <w:rPr>
          <w:rFonts w:cs="Times New Roman"/>
        </w:rPr>
        <w:t>分布于</w:t>
      </w:r>
      <w:bookmarkStart w:id="1785" w:name="OLE_LINK901"/>
      <w:r>
        <w:rPr>
          <w:rFonts w:cs="Times New Roman"/>
          <w:snapToGrid w:val="0"/>
        </w:rPr>
        <w:t>储罐</w:t>
      </w:r>
      <w:r>
        <w:rPr>
          <w:rFonts w:cs="Times New Roman" w:hint="eastAsia"/>
          <w:snapToGrid w:val="0"/>
        </w:rPr>
        <w:t>和工艺装置</w:t>
      </w:r>
      <w:r>
        <w:rPr>
          <w:rFonts w:cs="Times New Roman"/>
          <w:snapToGrid w:val="0"/>
        </w:rPr>
        <w:t>内</w:t>
      </w:r>
      <w:bookmarkEnd w:id="1785"/>
      <w:r>
        <w:rPr>
          <w:rFonts w:cs="Times New Roman"/>
          <w:snapToGrid w:val="0"/>
        </w:rPr>
        <w:t>，</w:t>
      </w:r>
      <w:bookmarkStart w:id="1786" w:name="OLE_LINK902"/>
      <w:r>
        <w:rPr>
          <w:rFonts w:cs="Times New Roman"/>
          <w:snapToGrid w:val="0"/>
        </w:rPr>
        <w:t>可能发生的风险事故包括</w:t>
      </w:r>
      <w:r>
        <w:rPr>
          <w:rFonts w:cs="Times New Roman" w:hint="eastAsia"/>
          <w:snapToGrid w:val="0"/>
        </w:rPr>
        <w:t>井喷、</w:t>
      </w:r>
      <w:r>
        <w:rPr>
          <w:rFonts w:cs="Times New Roman"/>
          <w:snapToGrid w:val="0"/>
        </w:rPr>
        <w:t>井漏、</w:t>
      </w:r>
      <w:r>
        <w:rPr>
          <w:rFonts w:cs="Times New Roman" w:hint="eastAsia"/>
          <w:snapToGrid w:val="0"/>
        </w:rPr>
        <w:t>储罐</w:t>
      </w:r>
      <w:r>
        <w:rPr>
          <w:rFonts w:cs="Times New Roman"/>
          <w:snapToGrid w:val="0"/>
        </w:rPr>
        <w:t>泄漏</w:t>
      </w:r>
      <w:r>
        <w:rPr>
          <w:rFonts w:cs="Times New Roman" w:hint="eastAsia"/>
          <w:snapToGrid w:val="0"/>
        </w:rPr>
        <w:t>、火灾、爆炸等引发的伴生</w:t>
      </w:r>
      <w:r>
        <w:rPr>
          <w:rFonts w:cs="Times New Roman" w:hint="eastAsia"/>
          <w:snapToGrid w:val="0"/>
        </w:rPr>
        <w:t>/</w:t>
      </w:r>
      <w:r>
        <w:rPr>
          <w:rFonts w:cs="Times New Roman" w:hint="eastAsia"/>
          <w:snapToGrid w:val="0"/>
        </w:rPr>
        <w:t>次生污染物排放</w:t>
      </w:r>
      <w:bookmarkEnd w:id="1784"/>
      <w:bookmarkEnd w:id="1786"/>
      <w:r>
        <w:rPr>
          <w:rFonts w:cs="Times New Roman"/>
          <w:snapToGrid w:val="0"/>
        </w:rPr>
        <w:t>。</w:t>
      </w:r>
    </w:p>
    <w:p w:rsidR="00C645C9" w:rsidRDefault="00F955D9">
      <w:pPr>
        <w:adjustRightInd w:val="0"/>
        <w:snapToGrid w:val="0"/>
        <w:spacing w:line="360" w:lineRule="auto"/>
        <w:ind w:firstLineChars="200" w:firstLine="480"/>
        <w:jc w:val="both"/>
        <w:rPr>
          <w:rFonts w:cs="Times New Roman"/>
          <w:snapToGrid w:val="0"/>
          <w:lang w:bidi="ar"/>
        </w:rPr>
      </w:pPr>
      <w:bookmarkStart w:id="1787" w:name="OLE_LINK900"/>
      <w:r>
        <w:rPr>
          <w:rFonts w:cs="Times New Roman"/>
          <w:snapToGrid w:val="0"/>
        </w:rPr>
        <w:t>井喷会</w:t>
      </w:r>
      <w:bookmarkStart w:id="1788" w:name="OLE_LINK891"/>
      <w:r>
        <w:rPr>
          <w:rFonts w:cs="Times New Roman"/>
          <w:snapToGrid w:val="0"/>
        </w:rPr>
        <w:t>对大气、土壤、地下水</w:t>
      </w:r>
      <w:bookmarkEnd w:id="1788"/>
      <w:r>
        <w:rPr>
          <w:rFonts w:cs="Times New Roman"/>
          <w:snapToGrid w:val="0"/>
        </w:rPr>
        <w:t>产生的直接影响以及火灾、爆炸等引发的伴生</w:t>
      </w:r>
      <w:r>
        <w:rPr>
          <w:rFonts w:cs="Times New Roman"/>
          <w:snapToGrid w:val="0"/>
        </w:rPr>
        <w:t>/</w:t>
      </w:r>
      <w:r>
        <w:rPr>
          <w:rFonts w:cs="Times New Roman"/>
          <w:snapToGrid w:val="0"/>
        </w:rPr>
        <w:t>次生污染物排放</w:t>
      </w:r>
      <w:r>
        <w:rPr>
          <w:rFonts w:cs="Times New Roman" w:hint="eastAsia"/>
          <w:snapToGrid w:val="0"/>
        </w:rPr>
        <w:t>；</w:t>
      </w:r>
      <w:r>
        <w:rPr>
          <w:rFonts w:cs="Times New Roman" w:hint="eastAsia"/>
          <w:snapToGrid w:val="0"/>
        </w:rPr>
        <w:t>井漏</w:t>
      </w:r>
      <w:r>
        <w:rPr>
          <w:rFonts w:cs="Times New Roman"/>
          <w:snapToGrid w:val="0"/>
        </w:rPr>
        <w:t>对地下水</w:t>
      </w:r>
      <w:bookmarkStart w:id="1789" w:name="OLE_LINK892"/>
      <w:r>
        <w:rPr>
          <w:rFonts w:cs="Times New Roman"/>
          <w:snapToGrid w:val="0"/>
        </w:rPr>
        <w:t>造成影响</w:t>
      </w:r>
      <w:bookmarkEnd w:id="1789"/>
      <w:r>
        <w:rPr>
          <w:rFonts w:cs="Times New Roman" w:hint="eastAsia"/>
          <w:snapToGrid w:val="0"/>
        </w:rPr>
        <w:t>；</w:t>
      </w:r>
      <w:bookmarkStart w:id="1790" w:name="OLE_LINK894"/>
      <w:r>
        <w:rPr>
          <w:rFonts w:cs="Times New Roman" w:hint="eastAsia"/>
          <w:snapToGrid w:val="0"/>
        </w:rPr>
        <w:t>多功能</w:t>
      </w:r>
      <w:bookmarkEnd w:id="1790"/>
      <w:r>
        <w:rPr>
          <w:rFonts w:cs="Times New Roman" w:hint="eastAsia"/>
          <w:snapToGrid w:val="0"/>
        </w:rPr>
        <w:t>储集器和</w:t>
      </w:r>
      <w:r>
        <w:rPr>
          <w:rFonts w:cs="Times New Roman"/>
          <w:snapToGrid w:val="0"/>
        </w:rPr>
        <w:t>混烃</w:t>
      </w:r>
      <w:r>
        <w:rPr>
          <w:rFonts w:cs="Times New Roman" w:hint="eastAsia"/>
          <w:snapToGrid w:val="0"/>
        </w:rPr>
        <w:t>储</w:t>
      </w:r>
      <w:r>
        <w:rPr>
          <w:rFonts w:cs="Times New Roman"/>
          <w:snapToGrid w:val="0"/>
        </w:rPr>
        <w:t>罐</w:t>
      </w:r>
      <w:r>
        <w:rPr>
          <w:rFonts w:cs="Times New Roman" w:hint="eastAsia"/>
          <w:snapToGrid w:val="0"/>
        </w:rPr>
        <w:t>泄漏</w:t>
      </w:r>
      <w:r>
        <w:rPr>
          <w:rFonts w:cs="Times New Roman"/>
          <w:snapToGrid w:val="0"/>
        </w:rPr>
        <w:t>对大气、土壤、地下水造成影响</w:t>
      </w:r>
      <w:r>
        <w:rPr>
          <w:rFonts w:cs="Times New Roman" w:hint="eastAsia"/>
          <w:snapToGrid w:val="0"/>
        </w:rPr>
        <w:t>。</w:t>
      </w:r>
      <w:bookmarkEnd w:id="1787"/>
      <w:r>
        <w:rPr>
          <w:rFonts w:cs="Times New Roman"/>
          <w:snapToGrid w:val="0"/>
          <w:lang w:bidi="ar"/>
        </w:rPr>
        <w:t>本</w:t>
      </w:r>
      <w:r>
        <w:rPr>
          <w:rFonts w:cs="Times New Roman" w:hint="eastAsia"/>
          <w:snapToGrid w:val="0"/>
          <w:lang w:bidi="ar"/>
        </w:rPr>
        <w:t>工程</w:t>
      </w:r>
      <w:r>
        <w:rPr>
          <w:rFonts w:cs="Times New Roman"/>
          <w:snapToGrid w:val="0"/>
          <w:lang w:bidi="ar"/>
        </w:rPr>
        <w:t>在井下作业时应落实各项井场制度，降低井漏发生概率，</w:t>
      </w:r>
      <w:r>
        <w:rPr>
          <w:rFonts w:cs="Times New Roman" w:hint="eastAsia"/>
          <w:snapToGrid w:val="0"/>
          <w:lang w:bidi="ar"/>
        </w:rPr>
        <w:t>本工程</w:t>
      </w:r>
      <w:r>
        <w:rPr>
          <w:rFonts w:cs="Times New Roman"/>
          <w:snapToGrid w:val="0"/>
          <w:lang w:bidi="ar"/>
        </w:rPr>
        <w:t>所在区域人烟稀少，地域空旷，大气扩散条件较好，发生事故后，及时采取相应的措施，不会对周围环境空气产生明显影响</w:t>
      </w:r>
      <w:r>
        <w:rPr>
          <w:rFonts w:cs="Times New Roman" w:hint="eastAsia"/>
          <w:snapToGrid w:val="0"/>
          <w:lang w:bidi="ar"/>
        </w:rPr>
        <w:t>。</w:t>
      </w:r>
      <w:r>
        <w:rPr>
          <w:rFonts w:cs="Times New Roman"/>
          <w:snapToGrid w:val="0"/>
        </w:rPr>
        <w:t>当泄漏事故发生时，及时采取措施、彻底清除泄漏油品、被污染的土壤，污染物不会进入地下水中，对地下水水质没有不良影响。因此，发生事故后，在严格落实</w:t>
      </w:r>
      <w:r>
        <w:rPr>
          <w:rFonts w:cs="Times New Roman"/>
          <w:snapToGrid w:val="0"/>
        </w:rPr>
        <w:t>本</w:t>
      </w:r>
      <w:r>
        <w:rPr>
          <w:rFonts w:cs="Times New Roman" w:hint="eastAsia"/>
          <w:snapToGrid w:val="0"/>
        </w:rPr>
        <w:t>工程</w:t>
      </w:r>
      <w:r>
        <w:rPr>
          <w:rFonts w:cs="Times New Roman"/>
          <w:snapToGrid w:val="0"/>
        </w:rPr>
        <w:t>提出的风险防范措施的前提下，不会对周围环境产生明显影响</w:t>
      </w:r>
      <w:r>
        <w:rPr>
          <w:rFonts w:cs="Times New Roman" w:hint="eastAsia"/>
          <w:snapToGrid w:val="0"/>
        </w:rPr>
        <w:t>。</w:t>
      </w:r>
      <w:r>
        <w:rPr>
          <w:rFonts w:cs="Times New Roman" w:hint="eastAsia"/>
        </w:rPr>
        <w:t>雅克拉采气厂</w:t>
      </w:r>
      <w:r>
        <w:rPr>
          <w:rFonts w:cs="Times New Roman"/>
          <w:snapToGrid w:val="0"/>
        </w:rPr>
        <w:t>已制定了环境风险应急预案，发生事故时按照环境风险应急预案采取措施</w:t>
      </w:r>
      <w:r>
        <w:rPr>
          <w:rFonts w:cs="Times New Roman"/>
          <w:snapToGrid w:val="0"/>
          <w:lang w:bidi="ar"/>
        </w:rPr>
        <w:t>。</w:t>
      </w:r>
    </w:p>
    <w:p w:rsidR="00C645C9" w:rsidRDefault="00F955D9">
      <w:pPr>
        <w:spacing w:line="360" w:lineRule="auto"/>
        <w:ind w:firstLineChars="200" w:firstLine="480"/>
        <w:jc w:val="both"/>
        <w:rPr>
          <w:rFonts w:cs="Times New Roman"/>
        </w:rPr>
      </w:pPr>
      <w:r>
        <w:rPr>
          <w:rFonts w:cs="Times New Roman"/>
        </w:rPr>
        <w:t>本</w:t>
      </w:r>
      <w:r>
        <w:rPr>
          <w:rFonts w:cs="Times New Roman" w:hint="eastAsia"/>
        </w:rPr>
        <w:t>工程</w:t>
      </w:r>
      <w:r>
        <w:rPr>
          <w:rFonts w:cs="Times New Roman"/>
        </w:rPr>
        <w:t>环境风险简单分析内容表见表</w:t>
      </w:r>
      <w:r>
        <w:rPr>
          <w:rFonts w:cs="Times New Roman"/>
        </w:rPr>
        <w:t>5.8-1</w:t>
      </w:r>
      <w:r>
        <w:rPr>
          <w:rFonts w:cs="Times New Roman" w:hint="eastAsia"/>
        </w:rPr>
        <w:t>0</w:t>
      </w:r>
      <w:r>
        <w:rPr>
          <w:rFonts w:cs="Times New Roman"/>
        </w:rPr>
        <w:t>。</w:t>
      </w:r>
    </w:p>
    <w:p w:rsidR="00C645C9" w:rsidRDefault="00F955D9">
      <w:pPr>
        <w:pStyle w:val="af7"/>
        <w:outlineLvl w:val="9"/>
      </w:pPr>
      <w:bookmarkStart w:id="1791" w:name="_Hlk48605093"/>
      <w:r>
        <w:t>表</w:t>
      </w:r>
      <w:bookmarkStart w:id="1792" w:name="OLE_LINK904"/>
      <w:r>
        <w:t>5.8-1</w:t>
      </w:r>
      <w:bookmarkEnd w:id="1792"/>
      <w:r>
        <w:rPr>
          <w:rFonts w:hint="eastAsia"/>
        </w:rPr>
        <w:t xml:space="preserve">0   </w:t>
      </w:r>
      <w:r>
        <w:t>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518"/>
        <w:gridCol w:w="2119"/>
        <w:gridCol w:w="1115"/>
        <w:gridCol w:w="2276"/>
      </w:tblGrid>
      <w:tr w:rsidR="00C645C9">
        <w:trPr>
          <w:trHeight w:val="227"/>
          <w:jc w:val="center"/>
        </w:trPr>
        <w:tc>
          <w:tcPr>
            <w:tcW w:w="1494" w:type="dxa"/>
            <w:vAlign w:val="center"/>
          </w:tcPr>
          <w:bookmarkEnd w:id="1791"/>
          <w:p w:rsidR="00C645C9" w:rsidRDefault="00F955D9">
            <w:pPr>
              <w:adjustRightInd w:val="0"/>
              <w:snapToGrid w:val="0"/>
              <w:jc w:val="center"/>
              <w:rPr>
                <w:rFonts w:cs="Times New Roman"/>
                <w:sz w:val="21"/>
                <w:szCs w:val="21"/>
              </w:rPr>
            </w:pPr>
            <w:r>
              <w:rPr>
                <w:rFonts w:cs="Times New Roman"/>
                <w:sz w:val="21"/>
                <w:szCs w:val="21"/>
              </w:rPr>
              <w:t>建设项目名称</w:t>
            </w:r>
          </w:p>
        </w:tc>
        <w:tc>
          <w:tcPr>
            <w:tcW w:w="7028"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新北区块试采工程</w:t>
            </w:r>
          </w:p>
        </w:tc>
      </w:tr>
      <w:tr w:rsidR="00C645C9">
        <w:trPr>
          <w:trHeight w:val="227"/>
          <w:jc w:val="center"/>
        </w:trPr>
        <w:tc>
          <w:tcPr>
            <w:tcW w:w="1494" w:type="dxa"/>
            <w:vAlign w:val="center"/>
          </w:tcPr>
          <w:p w:rsidR="00C645C9" w:rsidRDefault="00F955D9">
            <w:pPr>
              <w:adjustRightInd w:val="0"/>
              <w:snapToGrid w:val="0"/>
              <w:jc w:val="center"/>
              <w:rPr>
                <w:rFonts w:cs="Times New Roman"/>
                <w:sz w:val="21"/>
                <w:szCs w:val="21"/>
              </w:rPr>
            </w:pPr>
            <w:r>
              <w:rPr>
                <w:rFonts w:cs="Times New Roman"/>
                <w:sz w:val="21"/>
                <w:szCs w:val="21"/>
              </w:rPr>
              <w:t>建设地点</w:t>
            </w:r>
          </w:p>
        </w:tc>
        <w:tc>
          <w:tcPr>
            <w:tcW w:w="7028"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新疆维吾尔自治区阿克苏地区</w:t>
            </w:r>
            <w:r>
              <w:rPr>
                <w:rFonts w:cs="Times New Roman" w:hint="eastAsia"/>
                <w:sz w:val="21"/>
                <w:szCs w:val="21"/>
              </w:rPr>
              <w:t>新和</w:t>
            </w:r>
            <w:r>
              <w:rPr>
                <w:rFonts w:cs="Times New Roman"/>
                <w:sz w:val="21"/>
                <w:szCs w:val="21"/>
              </w:rPr>
              <w:t>县</w:t>
            </w:r>
          </w:p>
        </w:tc>
      </w:tr>
      <w:tr w:rsidR="00C645C9">
        <w:trPr>
          <w:trHeight w:val="227"/>
          <w:jc w:val="center"/>
        </w:trPr>
        <w:tc>
          <w:tcPr>
            <w:tcW w:w="1494" w:type="dxa"/>
            <w:vAlign w:val="center"/>
          </w:tcPr>
          <w:p w:rsidR="00C645C9" w:rsidRDefault="00F955D9">
            <w:pPr>
              <w:adjustRightInd w:val="0"/>
              <w:snapToGrid w:val="0"/>
              <w:jc w:val="center"/>
              <w:rPr>
                <w:rFonts w:cs="Times New Roman"/>
                <w:sz w:val="21"/>
                <w:szCs w:val="21"/>
              </w:rPr>
            </w:pPr>
            <w:r>
              <w:rPr>
                <w:rFonts w:cs="Times New Roman"/>
                <w:sz w:val="21"/>
                <w:szCs w:val="21"/>
              </w:rPr>
              <w:t>地理坐标</w:t>
            </w:r>
          </w:p>
        </w:tc>
        <w:tc>
          <w:tcPr>
            <w:tcW w:w="1518" w:type="dxa"/>
            <w:vAlign w:val="center"/>
          </w:tcPr>
          <w:p w:rsidR="00C645C9" w:rsidRDefault="00F955D9">
            <w:pPr>
              <w:adjustRightInd w:val="0"/>
              <w:snapToGrid w:val="0"/>
              <w:jc w:val="center"/>
              <w:rPr>
                <w:rFonts w:cs="Times New Roman"/>
                <w:sz w:val="21"/>
                <w:szCs w:val="21"/>
              </w:rPr>
            </w:pPr>
            <w:r>
              <w:rPr>
                <w:rFonts w:cs="Times New Roman"/>
                <w:sz w:val="21"/>
                <w:szCs w:val="21"/>
              </w:rPr>
              <w:t>经度</w:t>
            </w:r>
          </w:p>
        </w:tc>
        <w:tc>
          <w:tcPr>
            <w:tcW w:w="2119"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c>
          <w:tcPr>
            <w:tcW w:w="1115" w:type="dxa"/>
            <w:vAlign w:val="center"/>
          </w:tcPr>
          <w:p w:rsidR="00C645C9" w:rsidRDefault="00F955D9">
            <w:pPr>
              <w:adjustRightInd w:val="0"/>
              <w:snapToGrid w:val="0"/>
              <w:jc w:val="center"/>
              <w:rPr>
                <w:rFonts w:cs="Times New Roman"/>
                <w:sz w:val="21"/>
                <w:szCs w:val="21"/>
              </w:rPr>
            </w:pPr>
            <w:r>
              <w:rPr>
                <w:rFonts w:cs="Times New Roman"/>
                <w:sz w:val="21"/>
                <w:szCs w:val="21"/>
              </w:rPr>
              <w:t>纬度</w:t>
            </w:r>
          </w:p>
        </w:tc>
        <w:tc>
          <w:tcPr>
            <w:tcW w:w="2276"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w:t>
            </w:r>
          </w:p>
        </w:tc>
      </w:tr>
      <w:tr w:rsidR="00C645C9">
        <w:trPr>
          <w:trHeight w:val="227"/>
          <w:jc w:val="center"/>
        </w:trPr>
        <w:tc>
          <w:tcPr>
            <w:tcW w:w="1494" w:type="dxa"/>
            <w:vAlign w:val="center"/>
          </w:tcPr>
          <w:p w:rsidR="00C645C9" w:rsidRDefault="00F955D9">
            <w:pPr>
              <w:adjustRightInd w:val="0"/>
              <w:snapToGrid w:val="0"/>
              <w:jc w:val="center"/>
              <w:rPr>
                <w:rFonts w:cs="Times New Roman"/>
                <w:sz w:val="21"/>
                <w:szCs w:val="21"/>
              </w:rPr>
            </w:pPr>
            <w:r>
              <w:rPr>
                <w:rFonts w:cs="Times New Roman"/>
                <w:sz w:val="21"/>
                <w:szCs w:val="21"/>
              </w:rPr>
              <w:t>主要危险物质及分布</w:t>
            </w:r>
          </w:p>
        </w:tc>
        <w:tc>
          <w:tcPr>
            <w:tcW w:w="7028"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主要危险物质：</w:t>
            </w:r>
            <w:r>
              <w:rPr>
                <w:rFonts w:cs="Times New Roman" w:hint="eastAsia"/>
                <w:sz w:val="21"/>
                <w:szCs w:val="21"/>
              </w:rPr>
              <w:t>天然气、凝析油</w:t>
            </w:r>
            <w:r>
              <w:rPr>
                <w:rFonts w:cs="Times New Roman"/>
                <w:sz w:val="21"/>
                <w:szCs w:val="21"/>
              </w:rPr>
              <w:t>，储罐和工艺装置内</w:t>
            </w:r>
            <w:r>
              <w:rPr>
                <w:rFonts w:cs="Times New Roman"/>
                <w:sz w:val="21"/>
                <w:szCs w:val="21"/>
              </w:rPr>
              <w:t>。</w:t>
            </w:r>
          </w:p>
        </w:tc>
      </w:tr>
      <w:tr w:rsidR="00C645C9">
        <w:trPr>
          <w:trHeight w:val="227"/>
          <w:jc w:val="center"/>
        </w:trPr>
        <w:tc>
          <w:tcPr>
            <w:tcW w:w="1494" w:type="dxa"/>
            <w:vAlign w:val="center"/>
          </w:tcPr>
          <w:p w:rsidR="00C645C9" w:rsidRDefault="00F955D9">
            <w:pPr>
              <w:adjustRightInd w:val="0"/>
              <w:snapToGrid w:val="0"/>
              <w:jc w:val="center"/>
              <w:rPr>
                <w:rFonts w:cs="Times New Roman"/>
                <w:sz w:val="21"/>
                <w:szCs w:val="21"/>
              </w:rPr>
            </w:pPr>
            <w:r>
              <w:rPr>
                <w:rFonts w:cs="Times New Roman"/>
                <w:sz w:val="21"/>
                <w:szCs w:val="21"/>
              </w:rPr>
              <w:t>环境影响途径及危害后果（大气、地表水、地下水等）</w:t>
            </w:r>
          </w:p>
        </w:tc>
        <w:tc>
          <w:tcPr>
            <w:tcW w:w="7028" w:type="dxa"/>
            <w:gridSpan w:val="4"/>
            <w:vAlign w:val="center"/>
          </w:tcPr>
          <w:p w:rsidR="00C645C9" w:rsidRDefault="00F955D9">
            <w:pPr>
              <w:adjustRightInd w:val="0"/>
              <w:snapToGrid w:val="0"/>
              <w:jc w:val="both"/>
              <w:rPr>
                <w:rFonts w:cs="Times New Roman"/>
                <w:sz w:val="21"/>
                <w:szCs w:val="21"/>
              </w:rPr>
            </w:pPr>
            <w:r>
              <w:rPr>
                <w:rFonts w:cs="Times New Roman"/>
                <w:sz w:val="21"/>
                <w:szCs w:val="21"/>
              </w:rPr>
              <w:t>可能发生的风险事故包括井喷、井漏、储罐泄漏、火灾、爆炸等引发的伴生</w:t>
            </w:r>
            <w:r>
              <w:rPr>
                <w:rFonts w:cs="Times New Roman"/>
                <w:sz w:val="21"/>
                <w:szCs w:val="21"/>
              </w:rPr>
              <w:t>/</w:t>
            </w:r>
            <w:r>
              <w:rPr>
                <w:rFonts w:cs="Times New Roman"/>
                <w:sz w:val="21"/>
                <w:szCs w:val="21"/>
              </w:rPr>
              <w:t>次生污染物排放。井喷会对大气、土壤、地下水产生的直接影响以及火灾、爆炸等引发的伴生</w:t>
            </w:r>
            <w:r>
              <w:rPr>
                <w:rFonts w:cs="Times New Roman"/>
                <w:sz w:val="21"/>
                <w:szCs w:val="21"/>
              </w:rPr>
              <w:t>/</w:t>
            </w:r>
            <w:r>
              <w:rPr>
                <w:rFonts w:cs="Times New Roman"/>
                <w:sz w:val="21"/>
                <w:szCs w:val="21"/>
              </w:rPr>
              <w:t>次生污染物排放；井漏对地下水造成影响；多功能储集器和混烃储罐</w:t>
            </w:r>
            <w:r>
              <w:rPr>
                <w:rFonts w:cs="Times New Roman" w:hint="eastAsia"/>
                <w:sz w:val="21"/>
                <w:szCs w:val="21"/>
              </w:rPr>
              <w:t>泄漏</w:t>
            </w:r>
            <w:r>
              <w:rPr>
                <w:rFonts w:cs="Times New Roman"/>
                <w:sz w:val="21"/>
                <w:szCs w:val="21"/>
              </w:rPr>
              <w:t>对大气、土壤、地下水造成影响。</w:t>
            </w:r>
          </w:p>
        </w:tc>
      </w:tr>
      <w:tr w:rsidR="00C645C9">
        <w:trPr>
          <w:trHeight w:val="227"/>
          <w:jc w:val="center"/>
        </w:trPr>
        <w:tc>
          <w:tcPr>
            <w:tcW w:w="1494" w:type="dxa"/>
            <w:vAlign w:val="center"/>
          </w:tcPr>
          <w:p w:rsidR="00C645C9" w:rsidRDefault="00F955D9">
            <w:pPr>
              <w:adjustRightInd w:val="0"/>
              <w:snapToGrid w:val="0"/>
              <w:jc w:val="center"/>
              <w:rPr>
                <w:rFonts w:cs="Times New Roman"/>
                <w:sz w:val="21"/>
                <w:szCs w:val="21"/>
              </w:rPr>
            </w:pPr>
            <w:r>
              <w:rPr>
                <w:rFonts w:cs="Times New Roman"/>
                <w:sz w:val="21"/>
                <w:szCs w:val="21"/>
              </w:rPr>
              <w:t>风险防范措施要求</w:t>
            </w:r>
          </w:p>
        </w:tc>
        <w:tc>
          <w:tcPr>
            <w:tcW w:w="7028" w:type="dxa"/>
            <w:gridSpan w:val="4"/>
            <w:vAlign w:val="center"/>
          </w:tcPr>
          <w:p w:rsidR="00C645C9" w:rsidRDefault="00F955D9">
            <w:pPr>
              <w:adjustRightInd w:val="0"/>
              <w:snapToGrid w:val="0"/>
              <w:rPr>
                <w:rFonts w:cs="Times New Roman"/>
                <w:sz w:val="21"/>
                <w:szCs w:val="21"/>
              </w:rPr>
            </w:pPr>
            <w:r>
              <w:rPr>
                <w:rFonts w:cs="Times New Roman"/>
                <w:sz w:val="21"/>
                <w:szCs w:val="21"/>
              </w:rPr>
              <w:fldChar w:fldCharType="begin"/>
            </w:r>
            <w:r>
              <w:rPr>
                <w:rFonts w:cs="Times New Roman"/>
                <w:sz w:val="21"/>
                <w:szCs w:val="21"/>
              </w:rPr>
              <w:instrText xml:space="preserve"> = 1 \* GB3 \* MERGEFORMAT </w:instrText>
            </w:r>
            <w:r>
              <w:rPr>
                <w:rFonts w:cs="Times New Roman"/>
                <w:sz w:val="21"/>
                <w:szCs w:val="21"/>
              </w:rPr>
              <w:fldChar w:fldCharType="separate"/>
            </w:r>
            <w:r>
              <w:rPr>
                <w:rFonts w:cs="Times New Roman"/>
                <w:sz w:val="21"/>
                <w:szCs w:val="21"/>
              </w:rPr>
              <w:t>①</w:t>
            </w:r>
            <w:r>
              <w:rPr>
                <w:rFonts w:cs="Times New Roman"/>
                <w:sz w:val="21"/>
                <w:szCs w:val="21"/>
              </w:rPr>
              <w:fldChar w:fldCharType="end"/>
            </w:r>
            <w:r>
              <w:rPr>
                <w:rFonts w:cs="Times New Roman"/>
                <w:sz w:val="21"/>
                <w:szCs w:val="21"/>
              </w:rPr>
              <w:t>设置可燃气体检测报警仪等防范设施。</w:t>
            </w:r>
          </w:p>
          <w:p w:rsidR="00C645C9" w:rsidRDefault="00F955D9">
            <w:pPr>
              <w:adjustRightInd w:val="0"/>
              <w:snapToGrid w:val="0"/>
              <w:rPr>
                <w:rFonts w:cs="Times New Roman"/>
                <w:sz w:val="21"/>
                <w:szCs w:val="21"/>
              </w:rPr>
            </w:pPr>
            <w:r>
              <w:rPr>
                <w:rFonts w:cs="Times New Roman"/>
                <w:sz w:val="21"/>
                <w:szCs w:val="21"/>
              </w:rPr>
              <w:fldChar w:fldCharType="begin"/>
            </w:r>
            <w:r>
              <w:rPr>
                <w:rFonts w:cs="Times New Roman"/>
                <w:sz w:val="21"/>
                <w:szCs w:val="21"/>
              </w:rPr>
              <w:instrText xml:space="preserve"> = 2 \* GB3 \* MERGEFORMAT </w:instrText>
            </w:r>
            <w:r>
              <w:rPr>
                <w:rFonts w:cs="Times New Roman"/>
                <w:sz w:val="21"/>
                <w:szCs w:val="21"/>
              </w:rPr>
              <w:fldChar w:fldCharType="separate"/>
            </w:r>
            <w:r>
              <w:rPr>
                <w:rFonts w:cs="Times New Roman"/>
                <w:sz w:val="21"/>
                <w:szCs w:val="21"/>
              </w:rPr>
              <w:t>②</w:t>
            </w:r>
            <w:r>
              <w:rPr>
                <w:rFonts w:cs="Times New Roman"/>
                <w:sz w:val="21"/>
                <w:szCs w:val="21"/>
              </w:rPr>
              <w:fldChar w:fldCharType="end"/>
            </w:r>
            <w:r>
              <w:rPr>
                <w:rFonts w:cs="Times New Roman"/>
                <w:sz w:val="21"/>
                <w:szCs w:val="21"/>
              </w:rPr>
              <w:t>制定安全生产方针、政策、计划和各种规范，完善安全管理制度和安全操作规程，建立健全环境管理体系和监测体系，完善各种规章制度标准</w:t>
            </w:r>
            <w:r>
              <w:rPr>
                <w:rFonts w:cs="Times New Roman"/>
                <w:sz w:val="21"/>
                <w:szCs w:val="21"/>
              </w:rPr>
              <w:t>。</w:t>
            </w:r>
          </w:p>
          <w:p w:rsidR="00C645C9" w:rsidRDefault="00F955D9">
            <w:pPr>
              <w:adjustRightInd w:val="0"/>
              <w:snapToGrid w:val="0"/>
              <w:rPr>
                <w:rFonts w:cs="Times New Roman"/>
                <w:sz w:val="21"/>
                <w:szCs w:val="21"/>
              </w:rPr>
            </w:pPr>
            <w:r>
              <w:rPr>
                <w:rFonts w:cs="Times New Roman"/>
                <w:sz w:val="21"/>
                <w:szCs w:val="21"/>
              </w:rPr>
              <w:fldChar w:fldCharType="begin"/>
            </w:r>
            <w:r>
              <w:rPr>
                <w:rFonts w:cs="Times New Roman"/>
                <w:sz w:val="21"/>
                <w:szCs w:val="21"/>
              </w:rPr>
              <w:instrText xml:space="preserve"> = 3 \* GB3 \* MERGEFORMAT </w:instrText>
            </w:r>
            <w:r>
              <w:rPr>
                <w:rFonts w:cs="Times New Roman"/>
                <w:sz w:val="21"/>
                <w:szCs w:val="21"/>
              </w:rPr>
              <w:fldChar w:fldCharType="separate"/>
            </w:r>
            <w:r>
              <w:rPr>
                <w:rFonts w:cs="Times New Roman"/>
                <w:sz w:val="21"/>
                <w:szCs w:val="21"/>
              </w:rPr>
              <w:t>③</w:t>
            </w:r>
            <w:r>
              <w:rPr>
                <w:rFonts w:cs="Times New Roman"/>
                <w:sz w:val="21"/>
                <w:szCs w:val="21"/>
              </w:rPr>
              <w:fldChar w:fldCharType="end"/>
            </w:r>
            <w:r>
              <w:rPr>
                <w:rFonts w:cs="Times New Roman"/>
                <w:sz w:val="21"/>
                <w:szCs w:val="21"/>
              </w:rPr>
              <w:t>制定环境风险应急预案，定期演练。</w:t>
            </w:r>
          </w:p>
        </w:tc>
      </w:tr>
      <w:tr w:rsidR="00C645C9">
        <w:trPr>
          <w:trHeight w:val="227"/>
          <w:jc w:val="center"/>
        </w:trPr>
        <w:tc>
          <w:tcPr>
            <w:tcW w:w="8522"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结论：</w:t>
            </w:r>
            <w:bookmarkStart w:id="1793" w:name="OLE_LINK906"/>
            <w:r>
              <w:rPr>
                <w:rFonts w:cs="Times New Roman"/>
                <w:sz w:val="21"/>
                <w:szCs w:val="21"/>
              </w:rPr>
              <w:t>本</w:t>
            </w:r>
            <w:r>
              <w:rPr>
                <w:rFonts w:cs="Times New Roman" w:hint="eastAsia"/>
                <w:sz w:val="21"/>
                <w:szCs w:val="21"/>
              </w:rPr>
              <w:t>工程</w:t>
            </w:r>
            <w:r>
              <w:rPr>
                <w:rFonts w:cs="Times New Roman"/>
                <w:sz w:val="21"/>
                <w:szCs w:val="21"/>
              </w:rPr>
              <w:t>所涉及的危险物质包括</w:t>
            </w:r>
            <w:r>
              <w:rPr>
                <w:rFonts w:cs="Times New Roman" w:hint="eastAsia"/>
                <w:sz w:val="21"/>
                <w:szCs w:val="21"/>
              </w:rPr>
              <w:t>天然气和凝析油</w:t>
            </w:r>
            <w:r>
              <w:rPr>
                <w:rFonts w:cs="Times New Roman"/>
                <w:sz w:val="21"/>
                <w:szCs w:val="21"/>
              </w:rPr>
              <w:t>，分布于储罐和工艺装置内，可能发生的风险事故包括井喷、井漏、储罐泄漏、火灾、爆炸等引发的伴生</w:t>
            </w:r>
            <w:r>
              <w:rPr>
                <w:rFonts w:cs="Times New Roman"/>
                <w:sz w:val="21"/>
                <w:szCs w:val="21"/>
              </w:rPr>
              <w:t>/</w:t>
            </w:r>
            <w:r>
              <w:rPr>
                <w:rFonts w:cs="Times New Roman"/>
                <w:sz w:val="21"/>
                <w:szCs w:val="21"/>
              </w:rPr>
              <w:t>次生污染物排放。井喷会对大气、土壤、地下水产生的直接影响以及火灾、爆炸等引发的伴生</w:t>
            </w:r>
            <w:r>
              <w:rPr>
                <w:rFonts w:cs="Times New Roman"/>
                <w:sz w:val="21"/>
                <w:szCs w:val="21"/>
              </w:rPr>
              <w:t>/</w:t>
            </w:r>
            <w:r>
              <w:rPr>
                <w:rFonts w:cs="Times New Roman"/>
                <w:sz w:val="21"/>
                <w:szCs w:val="21"/>
              </w:rPr>
              <w:t>次生污染物排放；井漏对地下水造成影响；多功能储集器和混烃储罐</w:t>
            </w:r>
            <w:r>
              <w:rPr>
                <w:rFonts w:cs="Times New Roman" w:hint="eastAsia"/>
                <w:sz w:val="21"/>
                <w:szCs w:val="21"/>
              </w:rPr>
              <w:t>泄漏</w:t>
            </w:r>
            <w:r>
              <w:rPr>
                <w:rFonts w:cs="Times New Roman"/>
                <w:sz w:val="21"/>
                <w:szCs w:val="21"/>
              </w:rPr>
              <w:t>对大气、土壤、地下水造成影响。本工程在井下作业时应落实各项井场制度，降低井漏发生概率，本工程所在区域人烟稀少，地域空旷，大气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本工程提出的风险防范措施的前提下，不会对周围环境产生明显影响。雅克拉采气厂已制定了环境风</w:t>
            </w:r>
            <w:r>
              <w:rPr>
                <w:rFonts w:cs="Times New Roman"/>
                <w:sz w:val="21"/>
                <w:szCs w:val="21"/>
              </w:rPr>
              <w:lastRenderedPageBreak/>
              <w:t>险应急预案，将事故发生概率减少到最低，</w:t>
            </w:r>
            <w:r>
              <w:rPr>
                <w:rFonts w:cs="Times New Roman" w:hint="eastAsia"/>
                <w:sz w:val="21"/>
                <w:szCs w:val="21"/>
              </w:rPr>
              <w:t>减少</w:t>
            </w:r>
            <w:r>
              <w:rPr>
                <w:rFonts w:cs="Times New Roman"/>
                <w:sz w:val="21"/>
                <w:szCs w:val="21"/>
              </w:rPr>
              <w:t>事故造成的损失，在可接受范围之内</w:t>
            </w:r>
            <w:bookmarkEnd w:id="1793"/>
            <w:r>
              <w:rPr>
                <w:rFonts w:cs="Times New Roman"/>
                <w:sz w:val="21"/>
                <w:szCs w:val="21"/>
              </w:rPr>
              <w:t>。</w:t>
            </w:r>
          </w:p>
        </w:tc>
      </w:tr>
    </w:tbl>
    <w:p w:rsidR="00C645C9" w:rsidRDefault="00F955D9">
      <w:pPr>
        <w:adjustRightInd w:val="0"/>
        <w:snapToGrid w:val="0"/>
        <w:spacing w:before="122"/>
        <w:jc w:val="center"/>
        <w:rPr>
          <w:rFonts w:cs="Times New Roman"/>
          <w:sz w:val="21"/>
          <w:szCs w:val="21"/>
        </w:rPr>
      </w:pPr>
      <w:r>
        <w:rPr>
          <w:rFonts w:eastAsia="黑体" w:cs="Times New Roman"/>
          <w:sz w:val="21"/>
          <w:szCs w:val="21"/>
        </w:rPr>
        <w:lastRenderedPageBreak/>
        <w:t>表</w:t>
      </w:r>
      <w:r>
        <w:rPr>
          <w:rFonts w:eastAsia="黑体" w:cs="Times New Roman"/>
          <w:sz w:val="21"/>
          <w:szCs w:val="21"/>
        </w:rPr>
        <w:t>5.8-1</w:t>
      </w:r>
      <w:r>
        <w:rPr>
          <w:rFonts w:eastAsia="黑体" w:cs="Times New Roman" w:hint="eastAsia"/>
          <w:sz w:val="21"/>
          <w:szCs w:val="21"/>
        </w:rPr>
        <w:t>1</w:t>
      </w:r>
      <w:r>
        <w:rPr>
          <w:rFonts w:eastAsia="黑体" w:cs="Times New Roman"/>
          <w:sz w:val="21"/>
          <w:szCs w:val="21"/>
        </w:rPr>
        <w:t xml:space="preserve">   </w:t>
      </w:r>
      <w:r>
        <w:rPr>
          <w:rFonts w:eastAsia="黑体" w:cs="Times New Roman"/>
          <w:sz w:val="21"/>
          <w:szCs w:val="21"/>
        </w:rPr>
        <w:t>环境风险评价自查表</w:t>
      </w:r>
    </w:p>
    <w:tbl>
      <w:tblPr>
        <w:tblStyle w:val="TableNormal"/>
        <w:tblW w:w="861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5"/>
        <w:gridCol w:w="1203"/>
        <w:gridCol w:w="1100"/>
        <w:gridCol w:w="398"/>
        <w:gridCol w:w="346"/>
        <w:gridCol w:w="744"/>
        <w:gridCol w:w="484"/>
        <w:gridCol w:w="260"/>
        <w:gridCol w:w="157"/>
        <w:gridCol w:w="587"/>
        <w:gridCol w:w="323"/>
        <w:gridCol w:w="421"/>
        <w:gridCol w:w="242"/>
        <w:gridCol w:w="6"/>
        <w:gridCol w:w="496"/>
        <w:gridCol w:w="162"/>
        <w:gridCol w:w="582"/>
        <w:gridCol w:w="745"/>
      </w:tblGrid>
      <w:tr w:rsidR="00C645C9">
        <w:trPr>
          <w:trHeight w:val="349"/>
          <w:jc w:val="center"/>
        </w:trPr>
        <w:tc>
          <w:tcPr>
            <w:tcW w:w="2658" w:type="dxa"/>
            <w:gridSpan w:val="3"/>
            <w:vAlign w:val="center"/>
          </w:tcPr>
          <w:p w:rsidR="00C645C9" w:rsidRDefault="00F955D9">
            <w:pPr>
              <w:adjustRightInd w:val="0"/>
              <w:snapToGrid w:val="0"/>
              <w:jc w:val="center"/>
              <w:rPr>
                <w:rFonts w:cs="Times New Roman"/>
                <w:sz w:val="21"/>
                <w:szCs w:val="21"/>
              </w:rPr>
            </w:pPr>
            <w:r>
              <w:rPr>
                <w:rFonts w:cs="Times New Roman"/>
                <w:sz w:val="21"/>
                <w:szCs w:val="21"/>
              </w:rPr>
              <w:t>工作内容</w:t>
            </w:r>
          </w:p>
        </w:tc>
        <w:tc>
          <w:tcPr>
            <w:tcW w:w="5953" w:type="dxa"/>
            <w:gridSpan w:val="15"/>
            <w:vAlign w:val="center"/>
          </w:tcPr>
          <w:p w:rsidR="00C645C9" w:rsidRDefault="00F955D9">
            <w:pPr>
              <w:adjustRightInd w:val="0"/>
              <w:snapToGrid w:val="0"/>
              <w:jc w:val="center"/>
              <w:rPr>
                <w:rFonts w:cs="Times New Roman"/>
                <w:sz w:val="21"/>
                <w:szCs w:val="21"/>
              </w:rPr>
            </w:pPr>
            <w:r>
              <w:rPr>
                <w:rFonts w:cs="Times New Roman"/>
                <w:sz w:val="21"/>
                <w:szCs w:val="21"/>
              </w:rPr>
              <w:t>完成情况</w:t>
            </w:r>
          </w:p>
        </w:tc>
      </w:tr>
      <w:tr w:rsidR="00C645C9">
        <w:trPr>
          <w:trHeight w:val="549"/>
          <w:jc w:val="center"/>
        </w:trPr>
        <w:tc>
          <w:tcPr>
            <w:tcW w:w="355" w:type="dxa"/>
            <w:vMerge w:val="restart"/>
            <w:tcBorders>
              <w:bottom w:val="nil"/>
            </w:tcBorders>
            <w:textDirection w:val="tbRlV"/>
            <w:vAlign w:val="center"/>
          </w:tcPr>
          <w:p w:rsidR="00C645C9" w:rsidRDefault="00F955D9">
            <w:pPr>
              <w:adjustRightInd w:val="0"/>
              <w:snapToGrid w:val="0"/>
              <w:jc w:val="center"/>
              <w:rPr>
                <w:rFonts w:cs="Times New Roman"/>
                <w:sz w:val="21"/>
                <w:szCs w:val="21"/>
              </w:rPr>
            </w:pPr>
            <w:r>
              <w:rPr>
                <w:rFonts w:cs="Times New Roman"/>
                <w:sz w:val="21"/>
                <w:szCs w:val="21"/>
              </w:rPr>
              <w:t>风</w:t>
            </w:r>
            <w:r>
              <w:rPr>
                <w:rFonts w:cs="Times New Roman"/>
                <w:sz w:val="21"/>
                <w:szCs w:val="21"/>
              </w:rPr>
              <w:t xml:space="preserve"> </w:t>
            </w:r>
            <w:r>
              <w:rPr>
                <w:rFonts w:cs="Times New Roman"/>
                <w:sz w:val="21"/>
                <w:szCs w:val="21"/>
              </w:rPr>
              <w:t>险</w:t>
            </w:r>
            <w:r>
              <w:rPr>
                <w:rFonts w:cs="Times New Roman"/>
                <w:sz w:val="21"/>
                <w:szCs w:val="21"/>
              </w:rPr>
              <w:t xml:space="preserve"> </w:t>
            </w:r>
            <w:r>
              <w:rPr>
                <w:rFonts w:cs="Times New Roman"/>
                <w:sz w:val="21"/>
                <w:szCs w:val="21"/>
              </w:rPr>
              <w:t>调</w:t>
            </w:r>
            <w:r>
              <w:rPr>
                <w:rFonts w:cs="Times New Roman"/>
                <w:sz w:val="21"/>
                <w:szCs w:val="21"/>
              </w:rPr>
              <w:t xml:space="preserve"> </w:t>
            </w:r>
            <w:r>
              <w:rPr>
                <w:rFonts w:cs="Times New Roman"/>
                <w:sz w:val="21"/>
                <w:szCs w:val="21"/>
              </w:rPr>
              <w:t>查</w:t>
            </w:r>
          </w:p>
        </w:tc>
        <w:tc>
          <w:tcPr>
            <w:tcW w:w="1203"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危险物质</w:t>
            </w: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名称</w:t>
            </w:r>
          </w:p>
        </w:tc>
        <w:tc>
          <w:tcPr>
            <w:tcW w:w="744" w:type="dxa"/>
            <w:gridSpan w:val="2"/>
            <w:vAlign w:val="center"/>
          </w:tcPr>
          <w:p w:rsidR="00C645C9" w:rsidRDefault="00F955D9">
            <w:pPr>
              <w:adjustRightInd w:val="0"/>
              <w:snapToGrid w:val="0"/>
              <w:jc w:val="center"/>
              <w:rPr>
                <w:rFonts w:cs="Times New Roman"/>
                <w:sz w:val="21"/>
                <w:szCs w:val="21"/>
              </w:rPr>
            </w:pPr>
            <w:r>
              <w:rPr>
                <w:rFonts w:cs="Times New Roman" w:hint="eastAsia"/>
                <w:sz w:val="21"/>
                <w:szCs w:val="21"/>
              </w:rPr>
              <w:t>天然气</w:t>
            </w:r>
          </w:p>
        </w:tc>
        <w:tc>
          <w:tcPr>
            <w:tcW w:w="744"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凝析油</w:t>
            </w: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3"/>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5" w:type="dxa"/>
            <w:vAlign w:val="center"/>
          </w:tcPr>
          <w:p w:rsidR="00C645C9" w:rsidRDefault="00C645C9">
            <w:pPr>
              <w:adjustRightInd w:val="0"/>
              <w:snapToGrid w:val="0"/>
              <w:jc w:val="center"/>
              <w:rPr>
                <w:rFonts w:cs="Times New Roman"/>
                <w:sz w:val="21"/>
                <w:szCs w:val="21"/>
              </w:rPr>
            </w:pP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tcBorders>
            <w:vAlign w:val="center"/>
          </w:tcPr>
          <w:p w:rsidR="00C645C9" w:rsidRDefault="00C645C9">
            <w:pPr>
              <w:adjustRightInd w:val="0"/>
              <w:snapToGrid w:val="0"/>
              <w:jc w:val="center"/>
              <w:rPr>
                <w:rFonts w:cs="Times New Roman"/>
                <w:sz w:val="21"/>
                <w:szCs w:val="21"/>
              </w:rPr>
            </w:pP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存在总量</w:t>
            </w:r>
            <w:r>
              <w:rPr>
                <w:rFonts w:cs="Times New Roman"/>
                <w:sz w:val="21"/>
                <w:szCs w:val="21"/>
              </w:rPr>
              <w:t>/t</w:t>
            </w:r>
          </w:p>
        </w:tc>
        <w:tc>
          <w:tcPr>
            <w:tcW w:w="744" w:type="dxa"/>
            <w:gridSpan w:val="2"/>
            <w:vAlign w:val="center"/>
          </w:tcPr>
          <w:p w:rsidR="00C645C9" w:rsidRDefault="00F955D9">
            <w:pPr>
              <w:adjustRightInd w:val="0"/>
              <w:snapToGrid w:val="0"/>
              <w:jc w:val="center"/>
              <w:rPr>
                <w:rFonts w:cs="Times New Roman"/>
                <w:sz w:val="21"/>
                <w:szCs w:val="21"/>
              </w:rPr>
            </w:pPr>
            <w:r>
              <w:rPr>
                <w:rFonts w:cs="Times New Roman" w:hint="eastAsia"/>
                <w:sz w:val="21"/>
                <w:szCs w:val="21"/>
              </w:rPr>
              <w:t>0.139</w:t>
            </w:r>
          </w:p>
        </w:tc>
        <w:tc>
          <w:tcPr>
            <w:tcW w:w="744" w:type="dxa"/>
            <w:vAlign w:val="center"/>
          </w:tcPr>
          <w:p w:rsidR="00C645C9" w:rsidRDefault="00F955D9">
            <w:pPr>
              <w:adjustRightInd w:val="0"/>
              <w:snapToGrid w:val="0"/>
              <w:jc w:val="center"/>
              <w:rPr>
                <w:rFonts w:cs="Times New Roman"/>
                <w:sz w:val="21"/>
                <w:szCs w:val="21"/>
              </w:rPr>
            </w:pPr>
            <w:r>
              <w:rPr>
                <w:rFonts w:cs="Times New Roman" w:hint="eastAsia"/>
                <w:sz w:val="21"/>
                <w:szCs w:val="21"/>
              </w:rPr>
              <w:t>277.514</w:t>
            </w: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4" w:type="dxa"/>
            <w:gridSpan w:val="3"/>
            <w:vAlign w:val="center"/>
          </w:tcPr>
          <w:p w:rsidR="00C645C9" w:rsidRDefault="00C645C9">
            <w:pPr>
              <w:adjustRightInd w:val="0"/>
              <w:snapToGrid w:val="0"/>
              <w:jc w:val="center"/>
              <w:rPr>
                <w:rFonts w:cs="Times New Roman"/>
                <w:sz w:val="21"/>
                <w:szCs w:val="21"/>
              </w:rPr>
            </w:pPr>
          </w:p>
        </w:tc>
        <w:tc>
          <w:tcPr>
            <w:tcW w:w="744" w:type="dxa"/>
            <w:gridSpan w:val="2"/>
            <w:vAlign w:val="center"/>
          </w:tcPr>
          <w:p w:rsidR="00C645C9" w:rsidRDefault="00C645C9">
            <w:pPr>
              <w:adjustRightInd w:val="0"/>
              <w:snapToGrid w:val="0"/>
              <w:jc w:val="center"/>
              <w:rPr>
                <w:rFonts w:cs="Times New Roman"/>
                <w:sz w:val="21"/>
                <w:szCs w:val="21"/>
              </w:rPr>
            </w:pPr>
          </w:p>
        </w:tc>
        <w:tc>
          <w:tcPr>
            <w:tcW w:w="745" w:type="dxa"/>
            <w:vAlign w:val="center"/>
          </w:tcPr>
          <w:p w:rsidR="00C645C9" w:rsidRDefault="00C645C9">
            <w:pPr>
              <w:adjustRightInd w:val="0"/>
              <w:snapToGrid w:val="0"/>
              <w:jc w:val="center"/>
              <w:rPr>
                <w:rFonts w:cs="Times New Roman"/>
                <w:sz w:val="21"/>
                <w:szCs w:val="21"/>
              </w:rPr>
            </w:pP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环境敏感性</w:t>
            </w:r>
          </w:p>
        </w:tc>
        <w:tc>
          <w:tcPr>
            <w:tcW w:w="1100"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大气</w:t>
            </w:r>
          </w:p>
        </w:tc>
        <w:tc>
          <w:tcPr>
            <w:tcW w:w="3299" w:type="dxa"/>
            <w:gridSpan w:val="8"/>
            <w:vAlign w:val="center"/>
          </w:tcPr>
          <w:p w:rsidR="00C645C9" w:rsidRDefault="00F955D9">
            <w:pPr>
              <w:adjustRightInd w:val="0"/>
              <w:snapToGrid w:val="0"/>
              <w:jc w:val="center"/>
              <w:rPr>
                <w:rFonts w:cs="Times New Roman"/>
                <w:sz w:val="21"/>
                <w:szCs w:val="21"/>
              </w:rPr>
            </w:pPr>
            <w:r>
              <w:rPr>
                <w:rFonts w:cs="Times New Roman"/>
                <w:sz w:val="21"/>
                <w:szCs w:val="21"/>
              </w:rPr>
              <w:t>500m</w:t>
            </w:r>
            <w:r>
              <w:rPr>
                <w:rFonts w:cs="Times New Roman"/>
                <w:sz w:val="21"/>
                <w:szCs w:val="21"/>
              </w:rPr>
              <w:t>范围内人口数</w:t>
            </w:r>
            <w:r>
              <w:rPr>
                <w:rFonts w:cs="Times New Roman"/>
                <w:sz w:val="21"/>
                <w:szCs w:val="21"/>
              </w:rPr>
              <w:t xml:space="preserve">        </w:t>
            </w:r>
            <w:r>
              <w:rPr>
                <w:rFonts w:cs="Times New Roman"/>
                <w:sz w:val="21"/>
                <w:szCs w:val="21"/>
              </w:rPr>
              <w:t>人</w:t>
            </w:r>
          </w:p>
        </w:tc>
        <w:tc>
          <w:tcPr>
            <w:tcW w:w="2654" w:type="dxa"/>
            <w:gridSpan w:val="7"/>
            <w:vAlign w:val="center"/>
          </w:tcPr>
          <w:p w:rsidR="00C645C9" w:rsidRDefault="00F955D9">
            <w:pPr>
              <w:adjustRightInd w:val="0"/>
              <w:snapToGrid w:val="0"/>
              <w:jc w:val="both"/>
              <w:rPr>
                <w:rFonts w:cs="Times New Roman"/>
                <w:sz w:val="21"/>
                <w:szCs w:val="21"/>
              </w:rPr>
            </w:pPr>
            <w:r>
              <w:rPr>
                <w:rFonts w:cs="Times New Roman"/>
                <w:sz w:val="21"/>
                <w:szCs w:val="21"/>
              </w:rPr>
              <w:t>5km</w:t>
            </w:r>
            <w:r>
              <w:rPr>
                <w:rFonts w:cs="Times New Roman"/>
                <w:sz w:val="21"/>
                <w:szCs w:val="21"/>
              </w:rPr>
              <w:t>范围内人口数</w:t>
            </w:r>
            <w:r>
              <w:rPr>
                <w:rFonts w:cs="Times New Roman"/>
                <w:sz w:val="21"/>
                <w:szCs w:val="21"/>
              </w:rPr>
              <w:t xml:space="preserve">        </w:t>
            </w:r>
            <w:r>
              <w:rPr>
                <w:rFonts w:cs="Times New Roman"/>
                <w:sz w:val="21"/>
                <w:szCs w:val="21"/>
              </w:rPr>
              <w:t>人</w:t>
            </w: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Merge/>
            <w:tcBorders>
              <w:top w:val="nil"/>
            </w:tcBorders>
            <w:vAlign w:val="center"/>
          </w:tcPr>
          <w:p w:rsidR="00C645C9" w:rsidRDefault="00C645C9">
            <w:pPr>
              <w:adjustRightInd w:val="0"/>
              <w:snapToGrid w:val="0"/>
              <w:jc w:val="center"/>
              <w:rPr>
                <w:rFonts w:cs="Times New Roman"/>
                <w:sz w:val="21"/>
                <w:szCs w:val="21"/>
              </w:rPr>
            </w:pPr>
          </w:p>
        </w:tc>
        <w:tc>
          <w:tcPr>
            <w:tcW w:w="4626" w:type="dxa"/>
            <w:gridSpan w:val="13"/>
            <w:vAlign w:val="center"/>
          </w:tcPr>
          <w:p w:rsidR="00C645C9" w:rsidRDefault="00F955D9">
            <w:pPr>
              <w:adjustRightInd w:val="0"/>
              <w:snapToGrid w:val="0"/>
              <w:jc w:val="center"/>
              <w:rPr>
                <w:rFonts w:cs="Times New Roman"/>
                <w:sz w:val="21"/>
                <w:szCs w:val="21"/>
              </w:rPr>
            </w:pPr>
            <w:r>
              <w:rPr>
                <w:rFonts w:cs="Times New Roman"/>
                <w:sz w:val="21"/>
                <w:szCs w:val="21"/>
              </w:rPr>
              <w:t>每公里管段周边</w:t>
            </w:r>
            <w:r>
              <w:rPr>
                <w:rFonts w:cs="Times New Roman"/>
                <w:sz w:val="21"/>
                <w:szCs w:val="21"/>
              </w:rPr>
              <w:t>200m</w:t>
            </w:r>
            <w:r>
              <w:rPr>
                <w:rFonts w:cs="Times New Roman"/>
                <w:sz w:val="21"/>
                <w:szCs w:val="21"/>
              </w:rPr>
              <w:t>范围内人口数（最大）</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 xml:space="preserve">      </w:t>
            </w:r>
            <w:r>
              <w:rPr>
                <w:rFonts w:cs="Times New Roman"/>
                <w:sz w:val="21"/>
                <w:szCs w:val="21"/>
              </w:rPr>
              <w:t>人</w:t>
            </w:r>
          </w:p>
        </w:tc>
      </w:tr>
      <w:tr w:rsidR="00C645C9">
        <w:trPr>
          <w:trHeight w:val="548"/>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地表水</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地表水功能敏感性</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F1</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F2</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F3</w:t>
            </w:r>
            <w:r>
              <w:rPr>
                <w:rFonts w:cs="Times New Roman" w:hint="eastAsia"/>
                <w:sz w:val="21"/>
                <w:szCs w:val="21"/>
              </w:rPr>
              <w:t>□</w:t>
            </w:r>
          </w:p>
        </w:tc>
      </w:tr>
      <w:tr w:rsidR="00C645C9">
        <w:trPr>
          <w:trHeight w:val="549"/>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Merge/>
            <w:tcBorders>
              <w:top w:val="nil"/>
            </w:tcBorders>
            <w:vAlign w:val="center"/>
          </w:tcPr>
          <w:p w:rsidR="00C645C9" w:rsidRDefault="00C645C9">
            <w:pPr>
              <w:adjustRightInd w:val="0"/>
              <w:snapToGrid w:val="0"/>
              <w:jc w:val="center"/>
              <w:rPr>
                <w:rFonts w:cs="Times New Roman"/>
                <w:sz w:val="21"/>
                <w:szCs w:val="21"/>
              </w:rPr>
            </w:pP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环境敏感目标分级</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S1</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S2</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S3</w:t>
            </w:r>
            <w:r>
              <w:rPr>
                <w:rFonts w:cs="Times New Roman" w:hint="eastAsia"/>
                <w:sz w:val="21"/>
                <w:szCs w:val="21"/>
              </w:rPr>
              <w:t>□</w:t>
            </w:r>
          </w:p>
        </w:tc>
      </w:tr>
      <w:tr w:rsidR="00C645C9">
        <w:trPr>
          <w:trHeight w:val="550"/>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地下水</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地下水功能敏感性</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G1</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G2</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G3</w:t>
            </w:r>
            <w:r>
              <w:rPr>
                <w:rFonts w:cs="Times New Roman" w:hint="eastAsia"/>
                <w:sz w:val="21"/>
                <w:szCs w:val="21"/>
              </w:rPr>
              <w:t>□</w:t>
            </w:r>
          </w:p>
        </w:tc>
      </w:tr>
      <w:tr w:rsidR="00C645C9">
        <w:trPr>
          <w:trHeight w:val="548"/>
          <w:jc w:val="center"/>
        </w:trPr>
        <w:tc>
          <w:tcPr>
            <w:tcW w:w="355" w:type="dxa"/>
            <w:vMerge/>
            <w:tcBorders>
              <w:top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tcBorders>
            <w:vAlign w:val="center"/>
          </w:tcPr>
          <w:p w:rsidR="00C645C9" w:rsidRDefault="00C645C9">
            <w:pPr>
              <w:adjustRightInd w:val="0"/>
              <w:snapToGrid w:val="0"/>
              <w:jc w:val="center"/>
              <w:rPr>
                <w:rFonts w:cs="Times New Roman"/>
                <w:sz w:val="21"/>
                <w:szCs w:val="21"/>
              </w:rPr>
            </w:pPr>
          </w:p>
        </w:tc>
        <w:tc>
          <w:tcPr>
            <w:tcW w:w="1100" w:type="dxa"/>
            <w:vMerge/>
            <w:tcBorders>
              <w:top w:val="nil"/>
            </w:tcBorders>
            <w:vAlign w:val="center"/>
          </w:tcPr>
          <w:p w:rsidR="00C645C9" w:rsidRDefault="00C645C9">
            <w:pPr>
              <w:adjustRightInd w:val="0"/>
              <w:snapToGrid w:val="0"/>
              <w:jc w:val="center"/>
              <w:rPr>
                <w:rFonts w:cs="Times New Roman"/>
                <w:sz w:val="21"/>
                <w:szCs w:val="21"/>
              </w:rPr>
            </w:pP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包气带防污性能</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D1</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D2</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D3</w:t>
            </w:r>
            <w:r>
              <w:rPr>
                <w:rFonts w:cs="Times New Roman" w:hint="eastAsia"/>
                <w:sz w:val="21"/>
                <w:szCs w:val="21"/>
              </w:rPr>
              <w:t>□</w:t>
            </w:r>
          </w:p>
        </w:tc>
      </w:tr>
      <w:tr w:rsidR="00C645C9">
        <w:trPr>
          <w:trHeight w:val="345"/>
          <w:jc w:val="center"/>
        </w:trPr>
        <w:tc>
          <w:tcPr>
            <w:tcW w:w="1558" w:type="dxa"/>
            <w:gridSpan w:val="2"/>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物质及工艺</w:t>
            </w:r>
            <w:r>
              <w:rPr>
                <w:rFonts w:cs="Times New Roman"/>
                <w:sz w:val="21"/>
                <w:szCs w:val="21"/>
              </w:rPr>
              <w:t xml:space="preserve"> </w:t>
            </w:r>
            <w:r>
              <w:rPr>
                <w:rFonts w:cs="Times New Roman"/>
                <w:sz w:val="21"/>
                <w:szCs w:val="21"/>
              </w:rPr>
              <w:t>系统危险性</w:t>
            </w: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Q</w:t>
            </w:r>
            <w:r>
              <w:rPr>
                <w:rFonts w:cs="Times New Roman"/>
                <w:sz w:val="21"/>
                <w:szCs w:val="21"/>
              </w:rPr>
              <w:t>值</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Q&lt;1</w:t>
            </w:r>
            <w:r>
              <w:rPr>
                <w:rFonts w:cs="Times New Roman" w:hint="eastAsia"/>
                <w:sz w:val="21"/>
                <w:szCs w:val="21"/>
              </w:rPr>
              <w:t>☑</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1≤Q&lt;10</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10≤Q&lt;100</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Q&gt;100</w:t>
            </w:r>
            <w:r>
              <w:rPr>
                <w:rFonts w:cs="Times New Roman" w:hint="eastAsia"/>
                <w:sz w:val="21"/>
                <w:szCs w:val="21"/>
              </w:rPr>
              <w:t>□</w:t>
            </w:r>
          </w:p>
        </w:tc>
      </w:tr>
      <w:tr w:rsidR="00C645C9">
        <w:trPr>
          <w:trHeight w:val="345"/>
          <w:jc w:val="center"/>
        </w:trPr>
        <w:tc>
          <w:tcPr>
            <w:tcW w:w="1558" w:type="dxa"/>
            <w:gridSpan w:val="2"/>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M</w:t>
            </w:r>
            <w:r>
              <w:rPr>
                <w:rFonts w:cs="Times New Roman"/>
                <w:sz w:val="21"/>
                <w:szCs w:val="21"/>
              </w:rPr>
              <w:t>值</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M1</w:t>
            </w:r>
            <w:r>
              <w:rPr>
                <w:rFonts w:cs="Times New Roman" w:hint="eastAsia"/>
                <w:sz w:val="21"/>
                <w:szCs w:val="21"/>
              </w:rPr>
              <w:t>□</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M2</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M3</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M4</w:t>
            </w:r>
            <w:r>
              <w:rPr>
                <w:rFonts w:cs="Times New Roman" w:hint="eastAsia"/>
                <w:sz w:val="21"/>
                <w:szCs w:val="21"/>
              </w:rPr>
              <w:t>□</w:t>
            </w:r>
          </w:p>
        </w:tc>
      </w:tr>
      <w:tr w:rsidR="00C645C9">
        <w:trPr>
          <w:trHeight w:val="345"/>
          <w:jc w:val="center"/>
        </w:trPr>
        <w:tc>
          <w:tcPr>
            <w:tcW w:w="1558" w:type="dxa"/>
            <w:gridSpan w:val="2"/>
            <w:vMerge/>
            <w:tcBorders>
              <w:top w:val="nil"/>
            </w:tcBorders>
            <w:vAlign w:val="center"/>
          </w:tcPr>
          <w:p w:rsidR="00C645C9" w:rsidRDefault="00C645C9">
            <w:pPr>
              <w:adjustRightInd w:val="0"/>
              <w:snapToGrid w:val="0"/>
              <w:jc w:val="center"/>
              <w:rPr>
                <w:rFonts w:cs="Times New Roman"/>
                <w:sz w:val="21"/>
                <w:szCs w:val="21"/>
              </w:rPr>
            </w:pP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P</w:t>
            </w:r>
            <w:r>
              <w:rPr>
                <w:rFonts w:cs="Times New Roman"/>
                <w:sz w:val="21"/>
                <w:szCs w:val="21"/>
              </w:rPr>
              <w:t>值</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P1</w:t>
            </w:r>
            <w:r>
              <w:rPr>
                <w:rFonts w:cs="Times New Roman" w:hint="eastAsia"/>
                <w:sz w:val="21"/>
                <w:szCs w:val="21"/>
              </w:rPr>
              <w:t>□</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P2</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P3</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P4</w:t>
            </w:r>
            <w:r>
              <w:rPr>
                <w:rFonts w:cs="Times New Roman" w:hint="eastAsia"/>
                <w:sz w:val="21"/>
                <w:szCs w:val="21"/>
              </w:rPr>
              <w:t>□</w:t>
            </w:r>
          </w:p>
        </w:tc>
      </w:tr>
      <w:tr w:rsidR="00C645C9">
        <w:trPr>
          <w:trHeight w:val="345"/>
          <w:jc w:val="center"/>
        </w:trPr>
        <w:tc>
          <w:tcPr>
            <w:tcW w:w="1558" w:type="dxa"/>
            <w:gridSpan w:val="2"/>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环境敏感</w:t>
            </w:r>
          </w:p>
          <w:p w:rsidR="00C645C9" w:rsidRDefault="00F955D9">
            <w:pPr>
              <w:adjustRightInd w:val="0"/>
              <w:snapToGrid w:val="0"/>
              <w:jc w:val="center"/>
              <w:rPr>
                <w:rFonts w:cs="Times New Roman"/>
                <w:sz w:val="21"/>
                <w:szCs w:val="21"/>
              </w:rPr>
            </w:pPr>
            <w:r>
              <w:rPr>
                <w:rFonts w:cs="Times New Roman"/>
                <w:sz w:val="21"/>
                <w:szCs w:val="21"/>
              </w:rPr>
              <w:t>程度</w:t>
            </w: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大气</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E1</w:t>
            </w:r>
            <w:r>
              <w:rPr>
                <w:rFonts w:cs="Times New Roman" w:hint="eastAsia"/>
                <w:sz w:val="21"/>
                <w:szCs w:val="21"/>
              </w:rPr>
              <w:t>□</w:t>
            </w:r>
          </w:p>
        </w:tc>
        <w:tc>
          <w:tcPr>
            <w:tcW w:w="1996" w:type="dxa"/>
            <w:gridSpan w:val="7"/>
            <w:vAlign w:val="center"/>
          </w:tcPr>
          <w:p w:rsidR="00C645C9" w:rsidRDefault="00F955D9">
            <w:pPr>
              <w:adjustRightInd w:val="0"/>
              <w:snapToGrid w:val="0"/>
              <w:jc w:val="center"/>
              <w:rPr>
                <w:rFonts w:cs="Times New Roman"/>
                <w:sz w:val="21"/>
                <w:szCs w:val="21"/>
              </w:rPr>
            </w:pPr>
            <w:r>
              <w:rPr>
                <w:rFonts w:cs="Times New Roman"/>
                <w:sz w:val="21"/>
                <w:szCs w:val="21"/>
              </w:rPr>
              <w:t>E2</w:t>
            </w:r>
            <w:r>
              <w:rPr>
                <w:rFonts w:cs="Times New Roman" w:hint="eastAsia"/>
                <w:sz w:val="21"/>
                <w:szCs w:val="21"/>
              </w:rPr>
              <w:t>□</w:t>
            </w:r>
          </w:p>
        </w:tc>
        <w:tc>
          <w:tcPr>
            <w:tcW w:w="1985"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E3</w:t>
            </w:r>
            <w:r>
              <w:rPr>
                <w:rFonts w:cs="Times New Roman" w:hint="eastAsia"/>
                <w:sz w:val="21"/>
                <w:szCs w:val="21"/>
              </w:rPr>
              <w:t>□</w:t>
            </w:r>
          </w:p>
        </w:tc>
      </w:tr>
      <w:tr w:rsidR="00C645C9">
        <w:trPr>
          <w:trHeight w:val="345"/>
          <w:jc w:val="center"/>
        </w:trPr>
        <w:tc>
          <w:tcPr>
            <w:tcW w:w="1558" w:type="dxa"/>
            <w:gridSpan w:val="2"/>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地表水</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E1</w:t>
            </w:r>
            <w:r>
              <w:rPr>
                <w:rFonts w:cs="Times New Roman" w:hint="eastAsia"/>
                <w:sz w:val="21"/>
                <w:szCs w:val="21"/>
              </w:rPr>
              <w:t>□</w:t>
            </w:r>
          </w:p>
        </w:tc>
        <w:tc>
          <w:tcPr>
            <w:tcW w:w="1996" w:type="dxa"/>
            <w:gridSpan w:val="7"/>
            <w:vAlign w:val="center"/>
          </w:tcPr>
          <w:p w:rsidR="00C645C9" w:rsidRDefault="00F955D9">
            <w:pPr>
              <w:adjustRightInd w:val="0"/>
              <w:snapToGrid w:val="0"/>
              <w:jc w:val="center"/>
              <w:rPr>
                <w:rFonts w:cs="Times New Roman"/>
                <w:sz w:val="21"/>
                <w:szCs w:val="21"/>
              </w:rPr>
            </w:pPr>
            <w:r>
              <w:rPr>
                <w:rFonts w:cs="Times New Roman"/>
                <w:sz w:val="21"/>
                <w:szCs w:val="21"/>
              </w:rPr>
              <w:t>E2</w:t>
            </w:r>
            <w:r>
              <w:rPr>
                <w:rFonts w:cs="Times New Roman" w:hint="eastAsia"/>
                <w:sz w:val="21"/>
                <w:szCs w:val="21"/>
              </w:rPr>
              <w:t>□</w:t>
            </w:r>
          </w:p>
        </w:tc>
        <w:tc>
          <w:tcPr>
            <w:tcW w:w="1985"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E3</w:t>
            </w:r>
            <w:r>
              <w:rPr>
                <w:rFonts w:cs="Times New Roman" w:hint="eastAsia"/>
                <w:sz w:val="21"/>
                <w:szCs w:val="21"/>
              </w:rPr>
              <w:t>□</w:t>
            </w:r>
          </w:p>
        </w:tc>
      </w:tr>
      <w:tr w:rsidR="00C645C9">
        <w:trPr>
          <w:trHeight w:val="345"/>
          <w:jc w:val="center"/>
        </w:trPr>
        <w:tc>
          <w:tcPr>
            <w:tcW w:w="1558" w:type="dxa"/>
            <w:gridSpan w:val="2"/>
            <w:vMerge/>
            <w:tcBorders>
              <w:top w:val="nil"/>
            </w:tcBorders>
            <w:vAlign w:val="center"/>
          </w:tcPr>
          <w:p w:rsidR="00C645C9" w:rsidRDefault="00C645C9">
            <w:pPr>
              <w:adjustRightInd w:val="0"/>
              <w:snapToGrid w:val="0"/>
              <w:jc w:val="center"/>
              <w:rPr>
                <w:rFonts w:cs="Times New Roman"/>
                <w:sz w:val="21"/>
                <w:szCs w:val="21"/>
              </w:rPr>
            </w:pP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地下水</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E1</w:t>
            </w:r>
            <w:r>
              <w:rPr>
                <w:rFonts w:cs="Times New Roman" w:hint="eastAsia"/>
                <w:sz w:val="21"/>
                <w:szCs w:val="21"/>
              </w:rPr>
              <w:t>□</w:t>
            </w:r>
          </w:p>
        </w:tc>
        <w:tc>
          <w:tcPr>
            <w:tcW w:w="1996" w:type="dxa"/>
            <w:gridSpan w:val="7"/>
            <w:vAlign w:val="center"/>
          </w:tcPr>
          <w:p w:rsidR="00C645C9" w:rsidRDefault="00F955D9">
            <w:pPr>
              <w:adjustRightInd w:val="0"/>
              <w:snapToGrid w:val="0"/>
              <w:jc w:val="center"/>
              <w:rPr>
                <w:rFonts w:cs="Times New Roman"/>
                <w:sz w:val="21"/>
                <w:szCs w:val="21"/>
              </w:rPr>
            </w:pPr>
            <w:r>
              <w:rPr>
                <w:rFonts w:cs="Times New Roman"/>
                <w:sz w:val="21"/>
                <w:szCs w:val="21"/>
              </w:rPr>
              <w:t>E2</w:t>
            </w:r>
            <w:r>
              <w:rPr>
                <w:rFonts w:cs="Times New Roman" w:hint="eastAsia"/>
                <w:sz w:val="21"/>
                <w:szCs w:val="21"/>
              </w:rPr>
              <w:t>□</w:t>
            </w:r>
          </w:p>
        </w:tc>
        <w:tc>
          <w:tcPr>
            <w:tcW w:w="1985"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E3</w:t>
            </w:r>
            <w:r>
              <w:rPr>
                <w:rFonts w:cs="Times New Roman" w:hint="eastAsia"/>
                <w:sz w:val="21"/>
                <w:szCs w:val="21"/>
              </w:rPr>
              <w:t>□</w:t>
            </w:r>
          </w:p>
        </w:tc>
      </w:tr>
      <w:tr w:rsidR="00C645C9">
        <w:trPr>
          <w:trHeight w:val="686"/>
          <w:jc w:val="center"/>
        </w:trPr>
        <w:tc>
          <w:tcPr>
            <w:tcW w:w="155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环境风险</w:t>
            </w:r>
          </w:p>
          <w:p w:rsidR="00C645C9" w:rsidRDefault="00F955D9">
            <w:pPr>
              <w:adjustRightInd w:val="0"/>
              <w:snapToGrid w:val="0"/>
              <w:jc w:val="center"/>
              <w:rPr>
                <w:rFonts w:cs="Times New Roman"/>
                <w:sz w:val="21"/>
                <w:szCs w:val="21"/>
              </w:rPr>
            </w:pPr>
            <w:r>
              <w:rPr>
                <w:rFonts w:cs="Times New Roman"/>
                <w:sz w:val="21"/>
                <w:szCs w:val="21"/>
              </w:rPr>
              <w:t>潜势</w:t>
            </w:r>
          </w:p>
        </w:tc>
        <w:tc>
          <w:tcPr>
            <w:tcW w:w="149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Ⅳ+</w:t>
            </w:r>
            <w:r>
              <w:rPr>
                <w:rFonts w:cs="Times New Roman" w:hint="eastAsia"/>
                <w:sz w:val="21"/>
                <w:szCs w:val="21"/>
              </w:rPr>
              <w:t>□</w:t>
            </w:r>
          </w:p>
        </w:tc>
        <w:tc>
          <w:tcPr>
            <w:tcW w:w="1574" w:type="dxa"/>
            <w:gridSpan w:val="3"/>
            <w:vAlign w:val="center"/>
          </w:tcPr>
          <w:p w:rsidR="00C645C9" w:rsidRDefault="00F955D9">
            <w:pPr>
              <w:adjustRightInd w:val="0"/>
              <w:snapToGrid w:val="0"/>
              <w:jc w:val="center"/>
              <w:rPr>
                <w:rFonts w:cs="Times New Roman"/>
                <w:sz w:val="21"/>
                <w:szCs w:val="21"/>
              </w:rPr>
            </w:pPr>
            <w:r>
              <w:rPr>
                <w:rFonts w:cs="Times New Roman"/>
                <w:sz w:val="21"/>
                <w:szCs w:val="21"/>
              </w:rPr>
              <w:t>Ⅳ</w:t>
            </w:r>
            <w:r>
              <w:rPr>
                <w:rFonts w:cs="Times New Roman" w:hint="eastAsia"/>
                <w:sz w:val="21"/>
                <w:szCs w:val="21"/>
              </w:rPr>
              <w:t>□</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Ⅲ</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Ⅱ</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Ⅰ</w:t>
            </w:r>
            <w:r>
              <w:rPr>
                <w:rFonts w:cs="Times New Roman"/>
                <w:sz w:val="21"/>
                <w:szCs w:val="21"/>
              </w:rPr>
              <w:t>☑</w:t>
            </w:r>
          </w:p>
        </w:tc>
      </w:tr>
      <w:tr w:rsidR="00C645C9">
        <w:trPr>
          <w:trHeight w:val="345"/>
          <w:jc w:val="center"/>
        </w:trPr>
        <w:tc>
          <w:tcPr>
            <w:tcW w:w="155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评价等级</w:t>
            </w:r>
          </w:p>
        </w:tc>
        <w:tc>
          <w:tcPr>
            <w:tcW w:w="3072"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一级</w:t>
            </w:r>
            <w:r>
              <w:rPr>
                <w:rFonts w:cs="Times New Roman" w:hint="eastAsia"/>
                <w:sz w:val="21"/>
                <w:szCs w:val="21"/>
              </w:rPr>
              <w:t>□</w:t>
            </w:r>
          </w:p>
        </w:tc>
        <w:tc>
          <w:tcPr>
            <w:tcW w:w="1327"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二级</w:t>
            </w:r>
            <w:r>
              <w:rPr>
                <w:rFonts w:cs="Times New Roman" w:hint="eastAsia"/>
                <w:sz w:val="21"/>
                <w:szCs w:val="21"/>
              </w:rPr>
              <w:t>□</w:t>
            </w:r>
          </w:p>
        </w:tc>
        <w:tc>
          <w:tcPr>
            <w:tcW w:w="1327"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三级</w:t>
            </w:r>
            <w:r>
              <w:rPr>
                <w:rFonts w:cs="Times New Roman" w:hint="eastAsia"/>
                <w:sz w:val="21"/>
                <w:szCs w:val="21"/>
              </w:rPr>
              <w:t>□</w:t>
            </w:r>
          </w:p>
        </w:tc>
        <w:tc>
          <w:tcPr>
            <w:tcW w:w="1327"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简单分析</w:t>
            </w:r>
            <w:r>
              <w:rPr>
                <w:rFonts w:cs="Times New Roman"/>
                <w:sz w:val="21"/>
                <w:szCs w:val="21"/>
              </w:rPr>
              <w:t>☑</w:t>
            </w:r>
          </w:p>
        </w:tc>
      </w:tr>
      <w:tr w:rsidR="00C645C9">
        <w:trPr>
          <w:trHeight w:val="550"/>
          <w:jc w:val="center"/>
        </w:trPr>
        <w:tc>
          <w:tcPr>
            <w:tcW w:w="355"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风险识别</w:t>
            </w:r>
          </w:p>
        </w:tc>
        <w:tc>
          <w:tcPr>
            <w:tcW w:w="1203" w:type="dxa"/>
            <w:vAlign w:val="center"/>
          </w:tcPr>
          <w:p w:rsidR="00C645C9" w:rsidRDefault="00F955D9">
            <w:pPr>
              <w:adjustRightInd w:val="0"/>
              <w:snapToGrid w:val="0"/>
              <w:jc w:val="center"/>
              <w:rPr>
                <w:rFonts w:cs="Times New Roman"/>
                <w:sz w:val="21"/>
                <w:szCs w:val="21"/>
              </w:rPr>
            </w:pPr>
            <w:r>
              <w:rPr>
                <w:rFonts w:cs="Times New Roman"/>
                <w:sz w:val="21"/>
                <w:szCs w:val="21"/>
              </w:rPr>
              <w:t>物质危险性</w:t>
            </w:r>
          </w:p>
        </w:tc>
        <w:tc>
          <w:tcPr>
            <w:tcW w:w="3489" w:type="dxa"/>
            <w:gridSpan w:val="7"/>
            <w:vAlign w:val="center"/>
          </w:tcPr>
          <w:p w:rsidR="00C645C9" w:rsidRDefault="00F955D9">
            <w:pPr>
              <w:adjustRightInd w:val="0"/>
              <w:snapToGrid w:val="0"/>
              <w:jc w:val="center"/>
              <w:rPr>
                <w:rFonts w:cs="Times New Roman"/>
                <w:sz w:val="21"/>
                <w:szCs w:val="21"/>
              </w:rPr>
            </w:pPr>
            <w:r>
              <w:rPr>
                <w:rFonts w:cs="Times New Roman"/>
                <w:sz w:val="21"/>
                <w:szCs w:val="21"/>
              </w:rPr>
              <w:t>有毒有害</w:t>
            </w:r>
            <w:r>
              <w:rPr>
                <w:rFonts w:cs="Times New Roman"/>
                <w:sz w:val="21"/>
                <w:szCs w:val="21"/>
              </w:rPr>
              <w:t>☑</w:t>
            </w:r>
          </w:p>
        </w:tc>
        <w:tc>
          <w:tcPr>
            <w:tcW w:w="3564" w:type="dxa"/>
            <w:gridSpan w:val="9"/>
            <w:vAlign w:val="center"/>
          </w:tcPr>
          <w:p w:rsidR="00C645C9" w:rsidRDefault="00F955D9">
            <w:pPr>
              <w:adjustRightInd w:val="0"/>
              <w:snapToGrid w:val="0"/>
              <w:jc w:val="center"/>
              <w:rPr>
                <w:rFonts w:cs="Times New Roman"/>
                <w:sz w:val="21"/>
                <w:szCs w:val="21"/>
              </w:rPr>
            </w:pPr>
            <w:r>
              <w:rPr>
                <w:rFonts w:cs="Times New Roman"/>
                <w:sz w:val="21"/>
                <w:szCs w:val="21"/>
              </w:rPr>
              <w:t>易燃易爆</w:t>
            </w:r>
            <w:r>
              <w:rPr>
                <w:rFonts w:cs="Times New Roman"/>
                <w:sz w:val="21"/>
                <w:szCs w:val="21"/>
              </w:rPr>
              <w:t>☑</w:t>
            </w:r>
          </w:p>
        </w:tc>
      </w:tr>
      <w:tr w:rsidR="00C645C9">
        <w:trPr>
          <w:trHeight w:val="549"/>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Align w:val="center"/>
          </w:tcPr>
          <w:p w:rsidR="00C645C9" w:rsidRDefault="00F955D9">
            <w:pPr>
              <w:adjustRightInd w:val="0"/>
              <w:snapToGrid w:val="0"/>
              <w:jc w:val="center"/>
              <w:rPr>
                <w:rFonts w:cs="Times New Roman"/>
                <w:sz w:val="21"/>
                <w:szCs w:val="21"/>
              </w:rPr>
            </w:pPr>
            <w:r>
              <w:rPr>
                <w:rFonts w:cs="Times New Roman"/>
                <w:sz w:val="21"/>
                <w:szCs w:val="21"/>
              </w:rPr>
              <w:t>环境风险</w:t>
            </w:r>
          </w:p>
          <w:p w:rsidR="00C645C9" w:rsidRDefault="00F955D9">
            <w:pPr>
              <w:adjustRightInd w:val="0"/>
              <w:snapToGrid w:val="0"/>
              <w:jc w:val="center"/>
              <w:rPr>
                <w:rFonts w:cs="Times New Roman"/>
                <w:sz w:val="21"/>
                <w:szCs w:val="21"/>
              </w:rPr>
            </w:pPr>
            <w:r>
              <w:rPr>
                <w:rFonts w:cs="Times New Roman"/>
                <w:sz w:val="21"/>
                <w:szCs w:val="21"/>
              </w:rPr>
              <w:t>类型</w:t>
            </w:r>
          </w:p>
        </w:tc>
        <w:tc>
          <w:tcPr>
            <w:tcW w:w="3072"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泄漏</w:t>
            </w:r>
            <w:r>
              <w:rPr>
                <w:rFonts w:cs="Times New Roman"/>
                <w:sz w:val="21"/>
                <w:szCs w:val="21"/>
              </w:rPr>
              <w:t>☑</w:t>
            </w:r>
          </w:p>
        </w:tc>
        <w:tc>
          <w:tcPr>
            <w:tcW w:w="3981" w:type="dxa"/>
            <w:gridSpan w:val="11"/>
            <w:vAlign w:val="center"/>
          </w:tcPr>
          <w:p w:rsidR="00C645C9" w:rsidRDefault="00F955D9">
            <w:pPr>
              <w:adjustRightInd w:val="0"/>
              <w:snapToGrid w:val="0"/>
              <w:jc w:val="center"/>
              <w:rPr>
                <w:rFonts w:cs="Times New Roman"/>
                <w:sz w:val="21"/>
                <w:szCs w:val="21"/>
              </w:rPr>
            </w:pPr>
            <w:r>
              <w:rPr>
                <w:rFonts w:cs="Times New Roman"/>
                <w:sz w:val="21"/>
                <w:szCs w:val="21"/>
              </w:rPr>
              <w:t>火灾、爆炸引发伴生</w:t>
            </w:r>
            <w:r>
              <w:rPr>
                <w:rFonts w:cs="Times New Roman"/>
                <w:sz w:val="21"/>
                <w:szCs w:val="21"/>
              </w:rPr>
              <w:t>/</w:t>
            </w:r>
            <w:r>
              <w:rPr>
                <w:rFonts w:cs="Times New Roman"/>
                <w:sz w:val="21"/>
                <w:szCs w:val="21"/>
              </w:rPr>
              <w:t>次生污染物排放</w:t>
            </w:r>
            <w:r>
              <w:rPr>
                <w:rFonts w:cs="Times New Roman"/>
                <w:sz w:val="21"/>
                <w:szCs w:val="21"/>
              </w:rPr>
              <w:t>☑</w:t>
            </w:r>
          </w:p>
        </w:tc>
      </w:tr>
      <w:tr w:rsidR="00C645C9">
        <w:trPr>
          <w:trHeight w:val="549"/>
          <w:jc w:val="center"/>
        </w:trPr>
        <w:tc>
          <w:tcPr>
            <w:tcW w:w="355" w:type="dxa"/>
            <w:vMerge/>
            <w:tcBorders>
              <w:top w:val="nil"/>
            </w:tcBorders>
            <w:textDirection w:val="tbRlV"/>
            <w:vAlign w:val="center"/>
          </w:tcPr>
          <w:p w:rsidR="00C645C9" w:rsidRDefault="00C645C9">
            <w:pPr>
              <w:adjustRightInd w:val="0"/>
              <w:snapToGrid w:val="0"/>
              <w:jc w:val="center"/>
              <w:rPr>
                <w:rFonts w:cs="Times New Roman"/>
                <w:sz w:val="21"/>
                <w:szCs w:val="21"/>
              </w:rPr>
            </w:pPr>
          </w:p>
        </w:tc>
        <w:tc>
          <w:tcPr>
            <w:tcW w:w="1203" w:type="dxa"/>
            <w:vAlign w:val="center"/>
          </w:tcPr>
          <w:p w:rsidR="00C645C9" w:rsidRDefault="00F955D9">
            <w:pPr>
              <w:adjustRightInd w:val="0"/>
              <w:snapToGrid w:val="0"/>
              <w:jc w:val="center"/>
              <w:rPr>
                <w:rFonts w:cs="Times New Roman"/>
                <w:sz w:val="21"/>
                <w:szCs w:val="21"/>
              </w:rPr>
            </w:pPr>
            <w:r>
              <w:rPr>
                <w:rFonts w:cs="Times New Roman"/>
                <w:sz w:val="21"/>
                <w:szCs w:val="21"/>
              </w:rPr>
              <w:t>影响途径</w:t>
            </w:r>
          </w:p>
        </w:tc>
        <w:tc>
          <w:tcPr>
            <w:tcW w:w="3072"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大气</w:t>
            </w:r>
            <w:r>
              <w:rPr>
                <w:rFonts w:cs="Times New Roman"/>
                <w:sz w:val="21"/>
                <w:szCs w:val="21"/>
              </w:rPr>
              <w:t>☑</w:t>
            </w:r>
          </w:p>
        </w:tc>
        <w:tc>
          <w:tcPr>
            <w:tcW w:w="1990" w:type="dxa"/>
            <w:gridSpan w:val="6"/>
            <w:vAlign w:val="center"/>
          </w:tcPr>
          <w:p w:rsidR="00C645C9" w:rsidRDefault="00F955D9">
            <w:pPr>
              <w:adjustRightInd w:val="0"/>
              <w:snapToGrid w:val="0"/>
              <w:jc w:val="center"/>
              <w:rPr>
                <w:rFonts w:cs="Times New Roman"/>
                <w:sz w:val="21"/>
                <w:szCs w:val="21"/>
              </w:rPr>
            </w:pPr>
            <w:r>
              <w:rPr>
                <w:rFonts w:cs="Times New Roman"/>
                <w:sz w:val="21"/>
                <w:szCs w:val="21"/>
              </w:rPr>
              <w:t>地表水</w:t>
            </w:r>
            <w:r>
              <w:rPr>
                <w:rFonts w:cs="Times New Roman" w:hint="eastAsia"/>
                <w:sz w:val="21"/>
                <w:szCs w:val="21"/>
              </w:rPr>
              <w:t>□</w:t>
            </w:r>
          </w:p>
        </w:tc>
        <w:tc>
          <w:tcPr>
            <w:tcW w:w="1991"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地下水</w:t>
            </w:r>
            <w:r>
              <w:rPr>
                <w:rFonts w:cs="Times New Roman"/>
                <w:sz w:val="21"/>
                <w:szCs w:val="21"/>
              </w:rPr>
              <w:t>☑</w:t>
            </w:r>
          </w:p>
        </w:tc>
      </w:tr>
      <w:tr w:rsidR="00C645C9">
        <w:trPr>
          <w:trHeight w:val="550"/>
          <w:jc w:val="center"/>
        </w:trPr>
        <w:tc>
          <w:tcPr>
            <w:tcW w:w="155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事故情形</w:t>
            </w:r>
          </w:p>
          <w:p w:rsidR="00C645C9" w:rsidRDefault="00F955D9">
            <w:pPr>
              <w:adjustRightInd w:val="0"/>
              <w:snapToGrid w:val="0"/>
              <w:jc w:val="center"/>
              <w:rPr>
                <w:rFonts w:cs="Times New Roman"/>
                <w:sz w:val="21"/>
                <w:szCs w:val="21"/>
              </w:rPr>
            </w:pPr>
            <w:r>
              <w:rPr>
                <w:rFonts w:cs="Times New Roman"/>
                <w:sz w:val="21"/>
                <w:szCs w:val="21"/>
              </w:rPr>
              <w:t>分析</w:t>
            </w: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源强设定</w:t>
            </w:r>
            <w:r>
              <w:rPr>
                <w:rFonts w:cs="Times New Roman"/>
                <w:sz w:val="21"/>
                <w:szCs w:val="21"/>
              </w:rPr>
              <w:t xml:space="preserve"> </w:t>
            </w:r>
            <w:r>
              <w:rPr>
                <w:rFonts w:cs="Times New Roman"/>
                <w:sz w:val="21"/>
                <w:szCs w:val="21"/>
              </w:rPr>
              <w:t>方法</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计算法</w:t>
            </w:r>
            <w:r>
              <w:rPr>
                <w:rFonts w:cs="Times New Roman" w:hint="eastAsia"/>
                <w:sz w:val="21"/>
                <w:szCs w:val="21"/>
              </w:rPr>
              <w:t>□</w:t>
            </w:r>
          </w:p>
        </w:tc>
        <w:tc>
          <w:tcPr>
            <w:tcW w:w="1990" w:type="dxa"/>
            <w:gridSpan w:val="6"/>
            <w:vAlign w:val="center"/>
          </w:tcPr>
          <w:p w:rsidR="00C645C9" w:rsidRDefault="00F955D9">
            <w:pPr>
              <w:adjustRightInd w:val="0"/>
              <w:snapToGrid w:val="0"/>
              <w:jc w:val="center"/>
              <w:rPr>
                <w:rFonts w:cs="Times New Roman"/>
                <w:sz w:val="21"/>
                <w:szCs w:val="21"/>
              </w:rPr>
            </w:pPr>
            <w:r>
              <w:rPr>
                <w:rFonts w:cs="Times New Roman"/>
                <w:sz w:val="21"/>
                <w:szCs w:val="21"/>
              </w:rPr>
              <w:t>经验估算法</w:t>
            </w:r>
            <w:r>
              <w:rPr>
                <w:rFonts w:cs="Times New Roman" w:hint="eastAsia"/>
                <w:sz w:val="21"/>
                <w:szCs w:val="21"/>
              </w:rPr>
              <w:t>□</w:t>
            </w:r>
          </w:p>
        </w:tc>
        <w:tc>
          <w:tcPr>
            <w:tcW w:w="1991"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其他估算法</w:t>
            </w:r>
            <w:r>
              <w:rPr>
                <w:rFonts w:cs="Times New Roman" w:hint="eastAsia"/>
                <w:sz w:val="21"/>
                <w:szCs w:val="21"/>
              </w:rPr>
              <w:t>□</w:t>
            </w:r>
          </w:p>
        </w:tc>
      </w:tr>
      <w:tr w:rsidR="00C645C9">
        <w:trPr>
          <w:trHeight w:val="345"/>
          <w:jc w:val="center"/>
        </w:trPr>
        <w:tc>
          <w:tcPr>
            <w:tcW w:w="355"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风险预测与评价</w:t>
            </w:r>
          </w:p>
        </w:tc>
        <w:tc>
          <w:tcPr>
            <w:tcW w:w="1203"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大气</w:t>
            </w:r>
          </w:p>
        </w:tc>
        <w:tc>
          <w:tcPr>
            <w:tcW w:w="1100" w:type="dxa"/>
            <w:vAlign w:val="center"/>
          </w:tcPr>
          <w:p w:rsidR="00C645C9" w:rsidRDefault="00F955D9">
            <w:pPr>
              <w:adjustRightInd w:val="0"/>
              <w:snapToGrid w:val="0"/>
              <w:jc w:val="center"/>
              <w:rPr>
                <w:rFonts w:cs="Times New Roman"/>
                <w:sz w:val="21"/>
                <w:szCs w:val="21"/>
              </w:rPr>
            </w:pPr>
            <w:r>
              <w:rPr>
                <w:rFonts w:cs="Times New Roman"/>
                <w:sz w:val="21"/>
                <w:szCs w:val="21"/>
              </w:rPr>
              <w:t>预测模型</w:t>
            </w:r>
          </w:p>
        </w:tc>
        <w:tc>
          <w:tcPr>
            <w:tcW w:w="1972" w:type="dxa"/>
            <w:gridSpan w:val="4"/>
            <w:vAlign w:val="center"/>
          </w:tcPr>
          <w:p w:rsidR="00C645C9" w:rsidRDefault="00F955D9">
            <w:pPr>
              <w:adjustRightInd w:val="0"/>
              <w:snapToGrid w:val="0"/>
              <w:jc w:val="center"/>
              <w:rPr>
                <w:rFonts w:cs="Times New Roman"/>
                <w:sz w:val="21"/>
                <w:szCs w:val="21"/>
              </w:rPr>
            </w:pPr>
            <w:r>
              <w:rPr>
                <w:rFonts w:cs="Times New Roman"/>
                <w:sz w:val="21"/>
                <w:szCs w:val="21"/>
              </w:rPr>
              <w:t>SLAB</w:t>
            </w:r>
            <w:r>
              <w:rPr>
                <w:rFonts w:cs="Times New Roman" w:hint="eastAsia"/>
                <w:sz w:val="21"/>
                <w:szCs w:val="21"/>
              </w:rPr>
              <w:t>□</w:t>
            </w:r>
          </w:p>
        </w:tc>
        <w:tc>
          <w:tcPr>
            <w:tcW w:w="1990" w:type="dxa"/>
            <w:gridSpan w:val="6"/>
            <w:vAlign w:val="center"/>
          </w:tcPr>
          <w:p w:rsidR="00C645C9" w:rsidRDefault="00F955D9">
            <w:pPr>
              <w:adjustRightInd w:val="0"/>
              <w:snapToGrid w:val="0"/>
              <w:jc w:val="center"/>
              <w:rPr>
                <w:rFonts w:cs="Times New Roman"/>
                <w:sz w:val="21"/>
                <w:szCs w:val="21"/>
              </w:rPr>
            </w:pPr>
            <w:r>
              <w:rPr>
                <w:rFonts w:cs="Times New Roman"/>
                <w:sz w:val="21"/>
                <w:szCs w:val="21"/>
              </w:rPr>
              <w:t>AFTOX</w:t>
            </w:r>
            <w:r>
              <w:rPr>
                <w:rFonts w:cs="Times New Roman" w:hint="eastAsia"/>
                <w:sz w:val="21"/>
                <w:szCs w:val="21"/>
              </w:rPr>
              <w:t>□</w:t>
            </w:r>
          </w:p>
        </w:tc>
        <w:tc>
          <w:tcPr>
            <w:tcW w:w="1991" w:type="dxa"/>
            <w:gridSpan w:val="5"/>
            <w:vAlign w:val="center"/>
          </w:tcPr>
          <w:p w:rsidR="00C645C9" w:rsidRDefault="00F955D9">
            <w:pPr>
              <w:adjustRightInd w:val="0"/>
              <w:snapToGrid w:val="0"/>
              <w:jc w:val="center"/>
              <w:rPr>
                <w:rFonts w:cs="Times New Roman"/>
                <w:sz w:val="21"/>
                <w:szCs w:val="21"/>
              </w:rPr>
            </w:pPr>
            <w:r>
              <w:rPr>
                <w:rFonts w:cs="Times New Roman"/>
                <w:sz w:val="21"/>
                <w:szCs w:val="21"/>
              </w:rPr>
              <w:t>其他</w:t>
            </w:r>
            <w:r>
              <w:rPr>
                <w:rFonts w:cs="Times New Roman" w:hint="eastAsia"/>
                <w:sz w:val="21"/>
                <w:szCs w:val="21"/>
              </w:rPr>
              <w:t>□</w:t>
            </w: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bottom w:val="nil"/>
            </w:tcBorders>
            <w:vAlign w:val="center"/>
          </w:tcPr>
          <w:p w:rsidR="00C645C9" w:rsidRDefault="00C645C9">
            <w:pPr>
              <w:adjustRightInd w:val="0"/>
              <w:snapToGrid w:val="0"/>
              <w:jc w:val="center"/>
              <w:rPr>
                <w:rFonts w:cs="Times New Roman"/>
                <w:sz w:val="21"/>
                <w:szCs w:val="21"/>
              </w:rPr>
            </w:pPr>
          </w:p>
        </w:tc>
        <w:tc>
          <w:tcPr>
            <w:tcW w:w="1100"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预测结果</w:t>
            </w:r>
          </w:p>
        </w:tc>
        <w:tc>
          <w:tcPr>
            <w:tcW w:w="5953" w:type="dxa"/>
            <w:gridSpan w:val="15"/>
            <w:vAlign w:val="center"/>
          </w:tcPr>
          <w:p w:rsidR="00C645C9" w:rsidRDefault="00F955D9">
            <w:pPr>
              <w:adjustRightInd w:val="0"/>
              <w:snapToGrid w:val="0"/>
              <w:jc w:val="center"/>
              <w:rPr>
                <w:rFonts w:cs="Times New Roman"/>
                <w:sz w:val="21"/>
                <w:szCs w:val="21"/>
              </w:rPr>
            </w:pPr>
            <w:r>
              <w:rPr>
                <w:rFonts w:cs="Times New Roman"/>
                <w:sz w:val="21"/>
                <w:szCs w:val="21"/>
              </w:rPr>
              <w:t>大气毒性终点浓度</w:t>
            </w:r>
            <w:r>
              <w:rPr>
                <w:rFonts w:cs="Times New Roman"/>
                <w:sz w:val="21"/>
                <w:szCs w:val="21"/>
              </w:rPr>
              <w:t xml:space="preserve">- 1  </w:t>
            </w:r>
            <w:r>
              <w:rPr>
                <w:rFonts w:cs="Times New Roman"/>
                <w:sz w:val="21"/>
                <w:szCs w:val="21"/>
              </w:rPr>
              <w:t>最大影响范围</w:t>
            </w:r>
            <w:r>
              <w:rPr>
                <w:rFonts w:cs="Times New Roman"/>
                <w:sz w:val="21"/>
                <w:szCs w:val="21"/>
              </w:rPr>
              <w:t xml:space="preserve">      m</w:t>
            </w: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tcBorders>
            <w:vAlign w:val="center"/>
          </w:tcPr>
          <w:p w:rsidR="00C645C9" w:rsidRDefault="00C645C9">
            <w:pPr>
              <w:adjustRightInd w:val="0"/>
              <w:snapToGrid w:val="0"/>
              <w:jc w:val="center"/>
              <w:rPr>
                <w:rFonts w:cs="Times New Roman"/>
                <w:sz w:val="21"/>
                <w:szCs w:val="21"/>
              </w:rPr>
            </w:pPr>
          </w:p>
        </w:tc>
        <w:tc>
          <w:tcPr>
            <w:tcW w:w="1100" w:type="dxa"/>
            <w:vMerge/>
            <w:tcBorders>
              <w:top w:val="nil"/>
            </w:tcBorders>
            <w:vAlign w:val="center"/>
          </w:tcPr>
          <w:p w:rsidR="00C645C9" w:rsidRDefault="00C645C9">
            <w:pPr>
              <w:adjustRightInd w:val="0"/>
              <w:snapToGrid w:val="0"/>
              <w:jc w:val="center"/>
              <w:rPr>
                <w:rFonts w:cs="Times New Roman"/>
                <w:sz w:val="21"/>
                <w:szCs w:val="21"/>
              </w:rPr>
            </w:pPr>
          </w:p>
        </w:tc>
        <w:tc>
          <w:tcPr>
            <w:tcW w:w="5953" w:type="dxa"/>
            <w:gridSpan w:val="15"/>
            <w:vAlign w:val="center"/>
          </w:tcPr>
          <w:p w:rsidR="00C645C9" w:rsidRDefault="00F955D9">
            <w:pPr>
              <w:adjustRightInd w:val="0"/>
              <w:snapToGrid w:val="0"/>
              <w:jc w:val="center"/>
              <w:rPr>
                <w:rFonts w:cs="Times New Roman"/>
                <w:sz w:val="21"/>
                <w:szCs w:val="21"/>
              </w:rPr>
            </w:pPr>
            <w:r>
              <w:rPr>
                <w:rFonts w:cs="Times New Roman"/>
                <w:sz w:val="21"/>
                <w:szCs w:val="21"/>
              </w:rPr>
              <w:t>大气毒性终点浓度</w:t>
            </w:r>
            <w:r>
              <w:rPr>
                <w:rFonts w:cs="Times New Roman"/>
                <w:sz w:val="21"/>
                <w:szCs w:val="21"/>
              </w:rPr>
              <w:t xml:space="preserve">-2  </w:t>
            </w:r>
            <w:r>
              <w:rPr>
                <w:rFonts w:cs="Times New Roman"/>
                <w:sz w:val="21"/>
                <w:szCs w:val="21"/>
              </w:rPr>
              <w:t>最大影响范围</w:t>
            </w:r>
            <w:r>
              <w:rPr>
                <w:rFonts w:cs="Times New Roman"/>
                <w:sz w:val="21"/>
                <w:szCs w:val="21"/>
              </w:rPr>
              <w:t xml:space="preserve">      m</w:t>
            </w: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Align w:val="center"/>
          </w:tcPr>
          <w:p w:rsidR="00C645C9" w:rsidRDefault="00F955D9">
            <w:pPr>
              <w:adjustRightInd w:val="0"/>
              <w:snapToGrid w:val="0"/>
              <w:jc w:val="center"/>
              <w:rPr>
                <w:rFonts w:cs="Times New Roman"/>
                <w:sz w:val="21"/>
                <w:szCs w:val="21"/>
              </w:rPr>
            </w:pPr>
            <w:r>
              <w:rPr>
                <w:rFonts w:cs="Times New Roman"/>
                <w:sz w:val="21"/>
                <w:szCs w:val="21"/>
              </w:rPr>
              <w:t>地表水</w:t>
            </w:r>
          </w:p>
        </w:tc>
        <w:tc>
          <w:tcPr>
            <w:tcW w:w="7053" w:type="dxa"/>
            <w:gridSpan w:val="16"/>
            <w:vAlign w:val="center"/>
          </w:tcPr>
          <w:p w:rsidR="00C645C9" w:rsidRDefault="00F955D9">
            <w:pPr>
              <w:adjustRightInd w:val="0"/>
              <w:snapToGrid w:val="0"/>
              <w:jc w:val="center"/>
              <w:rPr>
                <w:rFonts w:cs="Times New Roman"/>
                <w:sz w:val="21"/>
                <w:szCs w:val="21"/>
              </w:rPr>
            </w:pPr>
            <w:r>
              <w:rPr>
                <w:rFonts w:cs="Times New Roman"/>
                <w:sz w:val="21"/>
                <w:szCs w:val="21"/>
              </w:rPr>
              <w:t>最近环境敏感目标</w:t>
            </w:r>
            <w:r>
              <w:rPr>
                <w:rFonts w:cs="Times New Roman"/>
                <w:sz w:val="21"/>
                <w:szCs w:val="21"/>
              </w:rPr>
              <w:t xml:space="preserve">              </w:t>
            </w:r>
            <w:r>
              <w:rPr>
                <w:rFonts w:cs="Times New Roman"/>
                <w:sz w:val="21"/>
                <w:szCs w:val="21"/>
              </w:rPr>
              <w:t>，到达时间</w:t>
            </w:r>
            <w:r>
              <w:rPr>
                <w:rFonts w:cs="Times New Roman"/>
                <w:sz w:val="21"/>
                <w:szCs w:val="21"/>
              </w:rPr>
              <w:t xml:space="preserve">        h</w:t>
            </w:r>
          </w:p>
        </w:tc>
      </w:tr>
      <w:tr w:rsidR="00C645C9">
        <w:trPr>
          <w:trHeight w:val="345"/>
          <w:jc w:val="center"/>
        </w:trPr>
        <w:tc>
          <w:tcPr>
            <w:tcW w:w="355" w:type="dxa"/>
            <w:vMerge/>
            <w:tcBorders>
              <w:top w:val="nil"/>
              <w:bottom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val="restart"/>
            <w:tcBorders>
              <w:bottom w:val="nil"/>
            </w:tcBorders>
            <w:vAlign w:val="center"/>
          </w:tcPr>
          <w:p w:rsidR="00C645C9" w:rsidRDefault="00F955D9">
            <w:pPr>
              <w:adjustRightInd w:val="0"/>
              <w:snapToGrid w:val="0"/>
              <w:jc w:val="center"/>
              <w:rPr>
                <w:rFonts w:cs="Times New Roman"/>
                <w:sz w:val="21"/>
                <w:szCs w:val="21"/>
              </w:rPr>
            </w:pPr>
            <w:r>
              <w:rPr>
                <w:rFonts w:cs="Times New Roman"/>
                <w:sz w:val="21"/>
                <w:szCs w:val="21"/>
              </w:rPr>
              <w:t>地下水</w:t>
            </w:r>
          </w:p>
        </w:tc>
        <w:tc>
          <w:tcPr>
            <w:tcW w:w="7053" w:type="dxa"/>
            <w:gridSpan w:val="16"/>
            <w:vAlign w:val="center"/>
          </w:tcPr>
          <w:p w:rsidR="00C645C9" w:rsidRDefault="00F955D9">
            <w:pPr>
              <w:adjustRightInd w:val="0"/>
              <w:snapToGrid w:val="0"/>
              <w:jc w:val="center"/>
              <w:rPr>
                <w:rFonts w:cs="Times New Roman"/>
                <w:sz w:val="21"/>
                <w:szCs w:val="21"/>
              </w:rPr>
            </w:pPr>
            <w:r>
              <w:rPr>
                <w:rFonts w:cs="Times New Roman"/>
                <w:sz w:val="21"/>
                <w:szCs w:val="21"/>
              </w:rPr>
              <w:t>下游厂区边界到达时间</w:t>
            </w:r>
            <w:r>
              <w:rPr>
                <w:rFonts w:cs="Times New Roman"/>
                <w:sz w:val="21"/>
                <w:szCs w:val="21"/>
              </w:rPr>
              <w:t xml:space="preserve">          d</w:t>
            </w:r>
          </w:p>
        </w:tc>
      </w:tr>
      <w:tr w:rsidR="00C645C9">
        <w:trPr>
          <w:trHeight w:val="345"/>
          <w:jc w:val="center"/>
        </w:trPr>
        <w:tc>
          <w:tcPr>
            <w:tcW w:w="355" w:type="dxa"/>
            <w:vMerge/>
            <w:tcBorders>
              <w:top w:val="nil"/>
            </w:tcBorders>
            <w:textDirection w:val="tbRlV"/>
            <w:vAlign w:val="center"/>
          </w:tcPr>
          <w:p w:rsidR="00C645C9" w:rsidRDefault="00C645C9">
            <w:pPr>
              <w:adjustRightInd w:val="0"/>
              <w:snapToGrid w:val="0"/>
              <w:jc w:val="center"/>
              <w:rPr>
                <w:rFonts w:cs="Times New Roman"/>
                <w:sz w:val="21"/>
                <w:szCs w:val="21"/>
              </w:rPr>
            </w:pPr>
          </w:p>
        </w:tc>
        <w:tc>
          <w:tcPr>
            <w:tcW w:w="1203" w:type="dxa"/>
            <w:vMerge/>
            <w:tcBorders>
              <w:top w:val="nil"/>
            </w:tcBorders>
            <w:vAlign w:val="center"/>
          </w:tcPr>
          <w:p w:rsidR="00C645C9" w:rsidRDefault="00C645C9">
            <w:pPr>
              <w:adjustRightInd w:val="0"/>
              <w:snapToGrid w:val="0"/>
              <w:jc w:val="center"/>
              <w:rPr>
                <w:rFonts w:cs="Times New Roman"/>
                <w:sz w:val="21"/>
                <w:szCs w:val="21"/>
              </w:rPr>
            </w:pPr>
          </w:p>
        </w:tc>
        <w:tc>
          <w:tcPr>
            <w:tcW w:w="7053" w:type="dxa"/>
            <w:gridSpan w:val="16"/>
            <w:vAlign w:val="center"/>
          </w:tcPr>
          <w:p w:rsidR="00C645C9" w:rsidRDefault="00F955D9">
            <w:pPr>
              <w:adjustRightInd w:val="0"/>
              <w:snapToGrid w:val="0"/>
              <w:jc w:val="center"/>
              <w:rPr>
                <w:rFonts w:cs="Times New Roman"/>
                <w:sz w:val="21"/>
                <w:szCs w:val="21"/>
              </w:rPr>
            </w:pPr>
            <w:r>
              <w:rPr>
                <w:rFonts w:cs="Times New Roman"/>
                <w:sz w:val="21"/>
                <w:szCs w:val="21"/>
              </w:rPr>
              <w:t>最近环境敏感目标</w:t>
            </w:r>
            <w:r>
              <w:rPr>
                <w:rFonts w:cs="Times New Roman"/>
                <w:sz w:val="21"/>
                <w:szCs w:val="21"/>
              </w:rPr>
              <w:t xml:space="preserve">               </w:t>
            </w:r>
            <w:r>
              <w:rPr>
                <w:rFonts w:cs="Times New Roman"/>
                <w:sz w:val="21"/>
                <w:szCs w:val="21"/>
              </w:rPr>
              <w:t>，到达时间</w:t>
            </w:r>
            <w:r>
              <w:rPr>
                <w:rFonts w:cs="Times New Roman"/>
                <w:sz w:val="21"/>
                <w:szCs w:val="21"/>
              </w:rPr>
              <w:t xml:space="preserve">         d</w:t>
            </w:r>
          </w:p>
        </w:tc>
      </w:tr>
      <w:tr w:rsidR="00C645C9">
        <w:trPr>
          <w:trHeight w:val="1334"/>
          <w:jc w:val="center"/>
        </w:trPr>
        <w:tc>
          <w:tcPr>
            <w:tcW w:w="155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t>重点风险防范措施</w:t>
            </w:r>
          </w:p>
        </w:tc>
        <w:tc>
          <w:tcPr>
            <w:tcW w:w="7053" w:type="dxa"/>
            <w:gridSpan w:val="16"/>
            <w:vAlign w:val="center"/>
          </w:tcPr>
          <w:p w:rsidR="00C645C9" w:rsidRDefault="00F955D9">
            <w:pPr>
              <w:adjustRightInd w:val="0"/>
              <w:snapToGrid w:val="0"/>
              <w:jc w:val="center"/>
              <w:rPr>
                <w:rFonts w:cs="Times New Roman"/>
                <w:sz w:val="21"/>
                <w:szCs w:val="21"/>
              </w:rPr>
            </w:pPr>
            <w:r>
              <w:rPr>
                <w:rFonts w:cs="Times New Roman"/>
                <w:sz w:val="21"/>
                <w:szCs w:val="21"/>
              </w:rPr>
              <w:t>①</w:t>
            </w:r>
            <w:r>
              <w:rPr>
                <w:rFonts w:cs="Times New Roman"/>
                <w:sz w:val="21"/>
                <w:szCs w:val="21"/>
              </w:rPr>
              <w:t>制定安全生产方针、政策、计划和各种规范，完善安全管理制度和安全操作规程，建立健全环境管理体系和监测体系，完善各种规章制度标准</w:t>
            </w:r>
            <w:r>
              <w:rPr>
                <w:rFonts w:cs="Times New Roman"/>
                <w:sz w:val="21"/>
                <w:szCs w:val="21"/>
              </w:rPr>
              <w:t>。</w:t>
            </w:r>
            <w:r>
              <w:rPr>
                <w:rFonts w:cs="Times New Roman"/>
                <w:sz w:val="21"/>
                <w:szCs w:val="21"/>
              </w:rPr>
              <w:t>②</w:t>
            </w:r>
            <w:r>
              <w:rPr>
                <w:rFonts w:cs="Times New Roman"/>
                <w:sz w:val="21"/>
                <w:szCs w:val="21"/>
              </w:rPr>
              <w:t>井下作业时要求带罐操作，最大限度避免落地油产生。按消防规定配备消防器材。</w:t>
            </w:r>
            <w:r>
              <w:rPr>
                <w:rFonts w:cs="Times New Roman"/>
                <w:sz w:val="21"/>
                <w:szCs w:val="21"/>
              </w:rPr>
              <w:t>③</w:t>
            </w:r>
            <w:r>
              <w:rPr>
                <w:rFonts w:cs="Times New Roman"/>
                <w:sz w:val="21"/>
                <w:szCs w:val="21"/>
              </w:rPr>
              <w:t>本工程环境风险应急预案依托雅克拉采气厂编制的《</w:t>
            </w:r>
            <w:bookmarkStart w:id="1794" w:name="OLE_LINK897"/>
            <w:r>
              <w:rPr>
                <w:rFonts w:cs="Times New Roman" w:hint="eastAsia"/>
                <w:sz w:val="21"/>
                <w:szCs w:val="21"/>
              </w:rPr>
              <w:t>中国石油化工股份有限公司西北油田分公司雅克拉采气厂突发环境事件应急预案</w:t>
            </w:r>
            <w:bookmarkEnd w:id="1794"/>
            <w:r>
              <w:rPr>
                <w:rFonts w:cs="Times New Roman"/>
                <w:sz w:val="21"/>
                <w:szCs w:val="21"/>
              </w:rPr>
              <w:t>》（备案编号：</w:t>
            </w:r>
            <w:r>
              <w:rPr>
                <w:rFonts w:cs="Times New Roman" w:hint="eastAsia"/>
                <w:sz w:val="21"/>
                <w:szCs w:val="21"/>
              </w:rPr>
              <w:lastRenderedPageBreak/>
              <w:t>652925-2024-30-L</w:t>
            </w:r>
            <w:r>
              <w:rPr>
                <w:rFonts w:cs="Times New Roman"/>
                <w:sz w:val="21"/>
                <w:szCs w:val="21"/>
              </w:rPr>
              <w:t>），定期演练。</w:t>
            </w:r>
          </w:p>
        </w:tc>
      </w:tr>
      <w:tr w:rsidR="00C645C9">
        <w:trPr>
          <w:trHeight w:val="2044"/>
          <w:jc w:val="center"/>
        </w:trPr>
        <w:tc>
          <w:tcPr>
            <w:tcW w:w="1558" w:type="dxa"/>
            <w:gridSpan w:val="2"/>
            <w:vAlign w:val="center"/>
          </w:tcPr>
          <w:p w:rsidR="00C645C9" w:rsidRDefault="00F955D9">
            <w:pPr>
              <w:adjustRightInd w:val="0"/>
              <w:snapToGrid w:val="0"/>
              <w:jc w:val="center"/>
              <w:rPr>
                <w:rFonts w:cs="Times New Roman"/>
                <w:sz w:val="21"/>
                <w:szCs w:val="21"/>
              </w:rPr>
            </w:pPr>
            <w:r>
              <w:rPr>
                <w:rFonts w:cs="Times New Roman"/>
                <w:sz w:val="21"/>
                <w:szCs w:val="21"/>
              </w:rPr>
              <w:lastRenderedPageBreak/>
              <w:t>评价结论与建议</w:t>
            </w:r>
          </w:p>
        </w:tc>
        <w:tc>
          <w:tcPr>
            <w:tcW w:w="7053" w:type="dxa"/>
            <w:gridSpan w:val="16"/>
            <w:vAlign w:val="center"/>
          </w:tcPr>
          <w:p w:rsidR="00C645C9" w:rsidRDefault="00F955D9">
            <w:pPr>
              <w:adjustRightInd w:val="0"/>
              <w:snapToGrid w:val="0"/>
              <w:jc w:val="center"/>
              <w:rPr>
                <w:rFonts w:cs="Times New Roman"/>
                <w:sz w:val="21"/>
                <w:szCs w:val="21"/>
              </w:rPr>
            </w:pPr>
            <w:r>
              <w:rPr>
                <w:rFonts w:cs="Times New Roman"/>
                <w:sz w:val="21"/>
                <w:szCs w:val="21"/>
              </w:rPr>
              <w:t>本</w:t>
            </w:r>
            <w:r>
              <w:rPr>
                <w:rFonts w:cs="Times New Roman" w:hint="eastAsia"/>
                <w:sz w:val="21"/>
                <w:szCs w:val="21"/>
              </w:rPr>
              <w:t>工程</w:t>
            </w:r>
            <w:r>
              <w:rPr>
                <w:rFonts w:cs="Times New Roman"/>
                <w:sz w:val="21"/>
                <w:szCs w:val="21"/>
              </w:rPr>
              <w:t>所涉及的危险物质包括</w:t>
            </w:r>
            <w:r>
              <w:rPr>
                <w:rFonts w:cs="Times New Roman" w:hint="eastAsia"/>
                <w:sz w:val="21"/>
                <w:szCs w:val="21"/>
              </w:rPr>
              <w:t>天然气和凝析油</w:t>
            </w:r>
            <w:r>
              <w:rPr>
                <w:rFonts w:cs="Times New Roman"/>
                <w:sz w:val="21"/>
                <w:szCs w:val="21"/>
              </w:rPr>
              <w:t>，分布于储罐和工艺装置内，可能发生的风险事故包括井喷、井漏、储罐泄漏、火灾、爆炸等引发的伴生</w:t>
            </w:r>
            <w:r>
              <w:rPr>
                <w:rFonts w:cs="Times New Roman"/>
                <w:sz w:val="21"/>
                <w:szCs w:val="21"/>
              </w:rPr>
              <w:t>/</w:t>
            </w:r>
            <w:r>
              <w:rPr>
                <w:rFonts w:cs="Times New Roman"/>
                <w:sz w:val="21"/>
                <w:szCs w:val="21"/>
              </w:rPr>
              <w:t>次生污染物排放。发生事故后，在严格落实本工程提出的风险防范措施的前提下，可使风险发生概率降低，不会对周围环境产生明显影响</w:t>
            </w:r>
            <w:r>
              <w:rPr>
                <w:rFonts w:cs="Times New Roman" w:hint="eastAsia"/>
                <w:sz w:val="21"/>
                <w:szCs w:val="21"/>
              </w:rPr>
              <w:t>，</w:t>
            </w:r>
            <w:r>
              <w:rPr>
                <w:rFonts w:cs="Times New Roman"/>
                <w:sz w:val="21"/>
                <w:szCs w:val="21"/>
              </w:rPr>
              <w:t>使事故发生对环境的影响控制在可接受水平。雅克拉采气厂已制定了环境风险应急预案，将事故发生概率减少到最低，</w:t>
            </w:r>
            <w:r>
              <w:rPr>
                <w:rFonts w:cs="Times New Roman" w:hint="eastAsia"/>
                <w:sz w:val="21"/>
                <w:szCs w:val="21"/>
              </w:rPr>
              <w:t>减少</w:t>
            </w:r>
            <w:r>
              <w:rPr>
                <w:rFonts w:cs="Times New Roman"/>
                <w:sz w:val="21"/>
                <w:szCs w:val="21"/>
              </w:rPr>
              <w:t>事故造成的损失，在可接受范围之内</w:t>
            </w:r>
            <w:r>
              <w:rPr>
                <w:rFonts w:cs="Times New Roman" w:hint="eastAsia"/>
                <w:sz w:val="21"/>
                <w:szCs w:val="21"/>
              </w:rPr>
              <w:t>。</w:t>
            </w:r>
            <w:r>
              <w:rPr>
                <w:rFonts w:cs="Times New Roman"/>
                <w:sz w:val="21"/>
                <w:szCs w:val="21"/>
              </w:rPr>
              <w:t>综上所述，本</w:t>
            </w:r>
            <w:r>
              <w:rPr>
                <w:rFonts w:cs="Times New Roman" w:hint="eastAsia"/>
                <w:sz w:val="21"/>
                <w:szCs w:val="21"/>
              </w:rPr>
              <w:t>工程</w:t>
            </w:r>
            <w:r>
              <w:rPr>
                <w:rFonts w:cs="Times New Roman"/>
                <w:sz w:val="21"/>
                <w:szCs w:val="21"/>
              </w:rPr>
              <w:t>环境风险程度属于可以防控的。</w:t>
            </w:r>
          </w:p>
        </w:tc>
      </w:tr>
      <w:tr w:rsidR="00C645C9">
        <w:trPr>
          <w:trHeight w:val="349"/>
          <w:jc w:val="center"/>
        </w:trPr>
        <w:tc>
          <w:tcPr>
            <w:tcW w:w="8611" w:type="dxa"/>
            <w:gridSpan w:val="18"/>
            <w:vAlign w:val="center"/>
          </w:tcPr>
          <w:p w:rsidR="00C645C9" w:rsidRDefault="00F955D9">
            <w:pPr>
              <w:adjustRightInd w:val="0"/>
              <w:snapToGrid w:val="0"/>
              <w:jc w:val="center"/>
              <w:rPr>
                <w:rFonts w:cs="Times New Roman"/>
                <w:sz w:val="21"/>
                <w:szCs w:val="21"/>
              </w:rPr>
            </w:pPr>
            <w:r>
              <w:rPr>
                <w:rFonts w:cs="Times New Roman"/>
                <w:sz w:val="21"/>
                <w:szCs w:val="21"/>
              </w:rPr>
              <w:t>注：</w:t>
            </w:r>
            <w:r>
              <w:rPr>
                <w:rFonts w:cs="Times New Roman" w:hint="eastAsia"/>
                <w:sz w:val="21"/>
                <w:szCs w:val="21"/>
              </w:rPr>
              <w:t>“</w:t>
            </w:r>
            <w:r>
              <w:rPr>
                <w:rFonts w:cs="Times New Roman"/>
                <w:sz w:val="21"/>
                <w:szCs w:val="21"/>
              </w:rPr>
              <w:t>□</w:t>
            </w:r>
            <w:r>
              <w:rPr>
                <w:rFonts w:cs="Times New Roman" w:hint="eastAsia"/>
                <w:sz w:val="21"/>
                <w:szCs w:val="21"/>
              </w:rPr>
              <w:t>”</w:t>
            </w:r>
            <w:r>
              <w:rPr>
                <w:rFonts w:cs="Times New Roman"/>
                <w:sz w:val="21"/>
                <w:szCs w:val="21"/>
              </w:rPr>
              <w:t>为勾选项，</w:t>
            </w:r>
            <w:r>
              <w:rPr>
                <w:rFonts w:cs="Times New Roman" w:hint="eastAsia"/>
                <w:sz w:val="21"/>
                <w:szCs w:val="21"/>
              </w:rPr>
              <w:t>“</w:t>
            </w:r>
            <w:r>
              <w:rPr>
                <w:rFonts w:cs="Times New Roman"/>
                <w:sz w:val="21"/>
                <w:szCs w:val="21"/>
              </w:rPr>
              <w:t xml:space="preserve">    </w:t>
            </w:r>
            <w:r>
              <w:rPr>
                <w:rFonts w:cs="Times New Roman" w:hint="eastAsia"/>
                <w:sz w:val="21"/>
                <w:szCs w:val="21"/>
              </w:rPr>
              <w:t>”</w:t>
            </w:r>
            <w:r>
              <w:rPr>
                <w:rFonts w:cs="Times New Roman"/>
                <w:sz w:val="21"/>
                <w:szCs w:val="21"/>
              </w:rPr>
              <w:t>为填写项。</w:t>
            </w:r>
          </w:p>
        </w:tc>
      </w:tr>
    </w:tbl>
    <w:p w:rsidR="00C645C9" w:rsidRDefault="00C645C9">
      <w:pPr>
        <w:pStyle w:val="ad"/>
        <w:sectPr w:rsidR="00C645C9">
          <w:pgSz w:w="11906" w:h="16838"/>
          <w:pgMar w:top="1440" w:right="1800" w:bottom="1440" w:left="1800" w:header="851" w:footer="1134" w:gutter="0"/>
          <w:cols w:space="720"/>
          <w:docGrid w:type="lines" w:linePitch="326"/>
        </w:sectPr>
      </w:pPr>
    </w:p>
    <w:p w:rsidR="00C645C9" w:rsidRDefault="00F955D9">
      <w:pPr>
        <w:widowControl w:val="0"/>
        <w:tabs>
          <w:tab w:val="left" w:pos="5695"/>
        </w:tabs>
        <w:adjustRightInd w:val="0"/>
        <w:snapToGrid w:val="0"/>
        <w:spacing w:line="360" w:lineRule="auto"/>
        <w:outlineLvl w:val="0"/>
        <w:rPr>
          <w:rFonts w:cs="Times New Roman"/>
          <w:b/>
          <w:bCs/>
          <w:sz w:val="36"/>
          <w:szCs w:val="36"/>
        </w:rPr>
      </w:pPr>
      <w:bookmarkStart w:id="1795" w:name="_Toc15789"/>
      <w:r>
        <w:rPr>
          <w:rFonts w:cs="Times New Roman"/>
          <w:b/>
          <w:bCs/>
          <w:sz w:val="36"/>
          <w:szCs w:val="36"/>
        </w:rPr>
        <w:lastRenderedPageBreak/>
        <w:t>6</w:t>
      </w:r>
      <w:r>
        <w:rPr>
          <w:rFonts w:cs="Times New Roman"/>
          <w:b/>
          <w:bCs/>
          <w:sz w:val="36"/>
          <w:szCs w:val="36"/>
        </w:rPr>
        <w:t>环境保护措施可行性论证</w:t>
      </w:r>
      <w:bookmarkEnd w:id="1795"/>
      <w:r>
        <w:rPr>
          <w:rFonts w:cs="Times New Roman" w:hint="eastAsia"/>
          <w:b/>
          <w:bCs/>
          <w:sz w:val="36"/>
          <w:szCs w:val="36"/>
        </w:rPr>
        <w:tab/>
      </w:r>
    </w:p>
    <w:bookmarkStart w:id="1796" w:name="_Toc11195"/>
    <w:p w:rsidR="00C645C9" w:rsidRDefault="00F955D9">
      <w:pPr>
        <w:widowControl w:val="0"/>
        <w:tabs>
          <w:tab w:val="left" w:pos="5695"/>
        </w:tabs>
        <w:adjustRightInd w:val="0"/>
        <w:snapToGrid w:val="0"/>
        <w:spacing w:line="360" w:lineRule="auto"/>
        <w:outlineLvl w:val="1"/>
        <w:rPr>
          <w:rFonts w:cs="Times New Roman"/>
          <w:b/>
          <w:snapToGrid w:val="0"/>
          <w:sz w:val="28"/>
          <w:szCs w:val="21"/>
          <w:lang w:eastAsia="en-US"/>
        </w:rPr>
      </w:pPr>
      <w:r>
        <w:rPr>
          <w:rFonts w:cs="Times New Roman"/>
          <w:b/>
          <w:snapToGrid w:val="0"/>
          <w:sz w:val="28"/>
          <w:szCs w:val="21"/>
          <w:lang w:eastAsia="en-US"/>
        </w:rPr>
        <w:fldChar w:fldCharType="begin"/>
      </w:r>
      <w:r>
        <w:rPr>
          <w:rFonts w:cs="Times New Roman"/>
          <w:b/>
          <w:snapToGrid w:val="0"/>
          <w:sz w:val="28"/>
          <w:szCs w:val="21"/>
          <w:lang w:eastAsia="en-US"/>
        </w:rPr>
        <w:instrText xml:space="preserve"> HYPERLINK \l _Toc6182 </w:instrText>
      </w:r>
      <w:r>
        <w:rPr>
          <w:rFonts w:cs="Times New Roman"/>
          <w:b/>
          <w:snapToGrid w:val="0"/>
          <w:sz w:val="28"/>
          <w:szCs w:val="21"/>
          <w:lang w:eastAsia="en-US"/>
        </w:rPr>
        <w:fldChar w:fldCharType="separate"/>
      </w:r>
      <w:r>
        <w:rPr>
          <w:rFonts w:cs="Times New Roman" w:hint="eastAsia"/>
          <w:b/>
          <w:snapToGrid w:val="0"/>
          <w:sz w:val="28"/>
          <w:szCs w:val="21"/>
          <w:lang w:eastAsia="en-US"/>
        </w:rPr>
        <w:t>6.</w:t>
      </w:r>
      <w:r>
        <w:rPr>
          <w:rFonts w:cs="Times New Roman" w:hint="eastAsia"/>
          <w:b/>
          <w:snapToGrid w:val="0"/>
          <w:sz w:val="28"/>
          <w:szCs w:val="21"/>
        </w:rPr>
        <w:t>1</w:t>
      </w:r>
      <w:r>
        <w:rPr>
          <w:rFonts w:cs="Times New Roman" w:hint="eastAsia"/>
          <w:b/>
          <w:snapToGrid w:val="0"/>
          <w:sz w:val="28"/>
          <w:szCs w:val="21"/>
          <w:lang w:eastAsia="en-US"/>
        </w:rPr>
        <w:t xml:space="preserve"> </w:t>
      </w:r>
      <w:r>
        <w:rPr>
          <w:rFonts w:cs="Times New Roman" w:hint="eastAsia"/>
          <w:b/>
          <w:snapToGrid w:val="0"/>
          <w:sz w:val="28"/>
          <w:szCs w:val="21"/>
          <w:lang w:eastAsia="en-US"/>
        </w:rPr>
        <w:t>生态保护措施可行性论证</w:t>
      </w:r>
      <w:r>
        <w:rPr>
          <w:rFonts w:cs="Times New Roman"/>
          <w:b/>
          <w:snapToGrid w:val="0"/>
          <w:sz w:val="28"/>
          <w:szCs w:val="21"/>
          <w:lang w:eastAsia="en-US"/>
        </w:rPr>
        <w:fldChar w:fldCharType="end"/>
      </w:r>
      <w:bookmarkEnd w:id="1796"/>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8542" w:history="1">
        <w:r>
          <w:rPr>
            <w:rFonts w:cs="Times New Roman" w:hint="eastAsia"/>
            <w:b/>
            <w:snapToGrid w:val="0"/>
            <w:sz w:val="28"/>
            <w:szCs w:val="21"/>
            <w:lang w:eastAsia="en-US"/>
          </w:rPr>
          <w:t>6.</w:t>
        </w:r>
        <w:r>
          <w:rPr>
            <w:rFonts w:cs="Times New Roman" w:hint="eastAsia"/>
            <w:b/>
            <w:snapToGrid w:val="0"/>
            <w:sz w:val="28"/>
            <w:szCs w:val="21"/>
          </w:rPr>
          <w:t>1</w:t>
        </w:r>
        <w:r>
          <w:rPr>
            <w:rFonts w:cs="Times New Roman" w:hint="eastAsia"/>
            <w:b/>
            <w:snapToGrid w:val="0"/>
            <w:sz w:val="28"/>
            <w:szCs w:val="21"/>
            <w:lang w:eastAsia="en-US"/>
          </w:rPr>
          <w:t>.1</w:t>
        </w:r>
        <w:r>
          <w:rPr>
            <w:rFonts w:cs="Times New Roman" w:hint="eastAsia"/>
            <w:b/>
            <w:snapToGrid w:val="0"/>
            <w:sz w:val="28"/>
            <w:szCs w:val="21"/>
            <w:lang w:eastAsia="en-US"/>
          </w:rPr>
          <w:t>施工期生态保护措施</w:t>
        </w:r>
      </w:hyperlink>
    </w:p>
    <w:p w:rsidR="00C645C9" w:rsidRDefault="00F955D9">
      <w:pPr>
        <w:keepNext/>
        <w:keepLines/>
        <w:adjustRightInd w:val="0"/>
        <w:snapToGrid w:val="0"/>
        <w:spacing w:before="10" w:after="10" w:line="360" w:lineRule="auto"/>
        <w:jc w:val="both"/>
        <w:outlineLvl w:val="3"/>
        <w:rPr>
          <w:rFonts w:cs="Times New Roman"/>
          <w:b/>
          <w:bCs/>
          <w:szCs w:val="28"/>
        </w:rPr>
      </w:pPr>
      <w:r>
        <w:rPr>
          <w:rFonts w:cs="Times New Roman"/>
          <w:b/>
          <w:bCs/>
          <w:szCs w:val="28"/>
        </w:rPr>
        <w:t>6.1.1.1</w:t>
      </w:r>
      <w:r>
        <w:rPr>
          <w:rFonts w:cs="Times New Roman"/>
          <w:b/>
          <w:bCs/>
          <w:szCs w:val="28"/>
        </w:rPr>
        <w:t>井场</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）井场区域主要占地类型为</w:t>
      </w:r>
      <w:r>
        <w:rPr>
          <w:rFonts w:cs="Times New Roman" w:hint="eastAsia"/>
          <w:szCs w:val="21"/>
        </w:rPr>
        <w:t>果园、水浇地、农村道路和采矿用地</w:t>
      </w:r>
      <w:r>
        <w:rPr>
          <w:rFonts w:cs="Times New Roman" w:hint="eastAsia"/>
          <w:szCs w:val="21"/>
        </w:rPr>
        <w:t>，施工过程中须严格</w:t>
      </w:r>
      <w:r>
        <w:rPr>
          <w:rFonts w:cs="Times New Roman"/>
          <w:szCs w:val="21"/>
        </w:rPr>
        <w:t>控制井场占地面积，减少扰动面积，减少</w:t>
      </w:r>
      <w:r>
        <w:rPr>
          <w:rFonts w:cs="Times New Roman" w:hint="eastAsia"/>
          <w:szCs w:val="21"/>
        </w:rPr>
        <w:t>对荒漠植被影响</w:t>
      </w:r>
      <w:r>
        <w:rPr>
          <w:rFonts w:cs="Times New Roman"/>
          <w:szCs w:val="21"/>
        </w:rPr>
        <w:t>。</w:t>
      </w:r>
    </w:p>
    <w:p w:rsidR="00C645C9" w:rsidRDefault="00F955D9">
      <w:pPr>
        <w:adjustRightInd w:val="0"/>
        <w:snapToGrid w:val="0"/>
        <w:spacing w:line="360" w:lineRule="auto"/>
        <w:ind w:firstLineChars="200" w:firstLine="480"/>
        <w:jc w:val="both"/>
        <w:rPr>
          <w:rFonts w:cs="Times New Roman"/>
          <w:szCs w:val="21"/>
        </w:rPr>
      </w:pPr>
      <w:bookmarkStart w:id="1797" w:name="_Hlk68084578"/>
      <w:r>
        <w:rPr>
          <w:rFonts w:cs="Times New Roman"/>
          <w:szCs w:val="21"/>
        </w:rPr>
        <w:t>（</w:t>
      </w:r>
      <w:r>
        <w:rPr>
          <w:rFonts w:cs="Times New Roman"/>
          <w:szCs w:val="21"/>
        </w:rPr>
        <w:t>2</w:t>
      </w:r>
      <w:r>
        <w:rPr>
          <w:rFonts w:cs="Times New Roman"/>
          <w:szCs w:val="21"/>
        </w:rPr>
        <w:t>）钻井过程中严格执行钻井</w:t>
      </w:r>
      <w:r>
        <w:rPr>
          <w:rFonts w:cs="Times New Roman" w:hint="eastAsia"/>
          <w:szCs w:val="21"/>
        </w:rPr>
        <w:t>生态环境保护</w:t>
      </w:r>
      <w:r>
        <w:rPr>
          <w:rFonts w:cs="Times New Roman"/>
          <w:szCs w:val="21"/>
        </w:rPr>
        <w:t>管理规定，岩屑、废弃泥浆处置应符合《</w:t>
      </w:r>
      <w:bookmarkStart w:id="1798" w:name="OLE_LINK1495"/>
      <w:r>
        <w:rPr>
          <w:rFonts w:cs="Times New Roman"/>
          <w:szCs w:val="21"/>
        </w:rPr>
        <w:t>油气田含油污泥及钻井固体废物处理处置控制技术规范</w:t>
      </w:r>
      <w:bookmarkEnd w:id="1798"/>
      <w:r>
        <w:rPr>
          <w:rFonts w:cs="Times New Roman"/>
          <w:szCs w:val="21"/>
        </w:rPr>
        <w:t>》（</w:t>
      </w:r>
      <w:r>
        <w:rPr>
          <w:rFonts w:cs="Times New Roman"/>
          <w:szCs w:val="21"/>
        </w:rPr>
        <w:t>DB65/T3999-2017</w:t>
      </w:r>
      <w:r>
        <w:rPr>
          <w:rFonts w:cs="Times New Roman"/>
          <w:szCs w:val="21"/>
        </w:rPr>
        <w:t>）要求。</w:t>
      </w:r>
      <w:r>
        <w:rPr>
          <w:rFonts w:cs="Times New Roman"/>
        </w:rPr>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cs="Times New Roman"/>
        </w:rPr>
        <w:t>DB65/T 3997-2017</w:t>
      </w:r>
      <w:r>
        <w:rPr>
          <w:rFonts w:cs="Times New Roman"/>
        </w:rPr>
        <w:t>）中综合利用污染物限值要求，同时石油烃满足《土壤环境质量</w:t>
      </w:r>
      <w:r>
        <w:rPr>
          <w:rFonts w:cs="Times New Roman"/>
        </w:rPr>
        <w:t xml:space="preserve"> </w:t>
      </w:r>
      <w:r>
        <w:rPr>
          <w:rFonts w:cs="Times New Roman"/>
        </w:rPr>
        <w:t>建设用地土壤污染风险管控标准（试行）》（</w:t>
      </w:r>
      <w:r>
        <w:rPr>
          <w:rFonts w:cs="Times New Roman"/>
        </w:rPr>
        <w:t>GB36600-2018</w:t>
      </w:r>
      <w:r>
        <w:rPr>
          <w:rFonts w:cs="Times New Roman"/>
        </w:rPr>
        <w:t>）中表</w:t>
      </w:r>
      <w:r>
        <w:rPr>
          <w:rFonts w:cs="Times New Roman"/>
        </w:rPr>
        <w:t>2</w:t>
      </w:r>
      <w:r>
        <w:rPr>
          <w:rFonts w:cs="Times New Roman"/>
        </w:rPr>
        <w:t>第二类用地风险筛选值后，可用于铺垫油区内的井场等；磺化水基泥浆在现场进行固液分离，分离后的液体用于钻井液配备，固相拉</w:t>
      </w:r>
      <w:r>
        <w:rPr>
          <w:rFonts w:cs="Times New Roman"/>
        </w:rPr>
        <w:t>运至塔河油田绿色环保工作站的含油污泥处理系统处置。油基泥浆采用油基泥浆不落地系统在井场进行固液分离，液相回用于钻井，固相使用专用罐收集后，拉运至塔河油田绿色环保工作站的含油污泥处理系统处置</w:t>
      </w:r>
      <w:r>
        <w:rPr>
          <w:rFonts w:cs="Times New Roman" w:hint="eastAsia"/>
        </w:rPr>
        <w:t>。</w:t>
      </w:r>
      <w:r>
        <w:rPr>
          <w:rFonts w:cs="Times New Roman"/>
          <w:szCs w:val="21"/>
        </w:rPr>
        <w:t>污油、药品回收利用，防止污水、污油、泥浆、药品的随意乱丢乱放。</w:t>
      </w:r>
    </w:p>
    <w:bookmarkEnd w:id="1797"/>
    <w:p w:rsidR="00C645C9" w:rsidRDefault="00F955D9">
      <w:pPr>
        <w:adjustRightInd w:val="0"/>
        <w:snapToGrid w:val="0"/>
        <w:spacing w:line="360" w:lineRule="auto"/>
        <w:ind w:firstLineChars="200" w:firstLine="480"/>
        <w:jc w:val="both"/>
        <w:rPr>
          <w:rFonts w:cs="Times New Roman"/>
          <w:szCs w:val="21"/>
        </w:rPr>
      </w:pPr>
      <w:r>
        <w:rPr>
          <w:rFonts w:cs="Times New Roman"/>
          <w:szCs w:val="21"/>
        </w:rPr>
        <w:t>（</w:t>
      </w:r>
      <w:r>
        <w:rPr>
          <w:rFonts w:cs="Times New Roman"/>
          <w:szCs w:val="21"/>
        </w:rPr>
        <w:t>3</w:t>
      </w:r>
      <w:r>
        <w:rPr>
          <w:rFonts w:cs="Times New Roman"/>
          <w:szCs w:val="21"/>
        </w:rPr>
        <w:t>）加强井区的野生动物保护，对施工人员进行野生动物保护法的宣传教育，严禁施工人员猎杀野生动物。</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w:t>
      </w:r>
      <w:r>
        <w:rPr>
          <w:rFonts w:cs="Times New Roman"/>
          <w:szCs w:val="21"/>
        </w:rPr>
        <w:t>4</w:t>
      </w:r>
      <w:r>
        <w:rPr>
          <w:rFonts w:cs="Times New Roman"/>
          <w:szCs w:val="21"/>
        </w:rPr>
        <w:t>）尽量减少因施工对植被的破坏，施工前对施工人员进行环保培训，要求施工人员能识别保护植物，禁止采伐项目占地外</w:t>
      </w:r>
      <w:r>
        <w:rPr>
          <w:rFonts w:cs="Times New Roman" w:hint="eastAsia"/>
          <w:szCs w:val="21"/>
        </w:rPr>
        <w:t>荒漠</w:t>
      </w:r>
      <w:r>
        <w:rPr>
          <w:rFonts w:cs="Times New Roman"/>
          <w:szCs w:val="21"/>
        </w:rPr>
        <w:t>植物。施工中大量建筑材料的调运及人员的流动，会</w:t>
      </w:r>
      <w:r>
        <w:rPr>
          <w:rFonts w:cs="Times New Roman"/>
          <w:szCs w:val="21"/>
        </w:rPr>
        <w:t>增加作业区内的拥挤度，施工区设置明显的作业区域标志，加强管理，把施工作业严格控制在作业区内。本环评要求，井场在施工过程中，减少对</w:t>
      </w:r>
      <w:r>
        <w:rPr>
          <w:rFonts w:cs="Times New Roman" w:hint="eastAsia"/>
          <w:szCs w:val="21"/>
        </w:rPr>
        <w:t>荒漠植被</w:t>
      </w:r>
      <w:r>
        <w:rPr>
          <w:rFonts w:cs="Times New Roman"/>
          <w:szCs w:val="21"/>
        </w:rPr>
        <w:t>的碾压破坏，要严格控制扰动面积，施工过程中严格按照施工场地界线范围内施工，并安排专人监察。</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w:t>
      </w:r>
      <w:r>
        <w:rPr>
          <w:rFonts w:cs="Times New Roman"/>
          <w:szCs w:val="21"/>
        </w:rPr>
        <w:t>5</w:t>
      </w:r>
      <w:r>
        <w:rPr>
          <w:rFonts w:cs="Times New Roman"/>
          <w:szCs w:val="21"/>
        </w:rPr>
        <w:t>）施工在开挖地表、平整土地时，临时堆土必须进行拦挡，施工完毕，应尽快整理施工现场，防护工程平面图见</w:t>
      </w:r>
      <w:r>
        <w:rPr>
          <w:rFonts w:cs="Times New Roman"/>
          <w:szCs w:val="21"/>
        </w:rPr>
        <w:t>6.1-</w:t>
      </w:r>
      <w:r>
        <w:rPr>
          <w:rFonts w:cs="Times New Roman" w:hint="eastAsia"/>
          <w:szCs w:val="21"/>
        </w:rPr>
        <w:t>1</w:t>
      </w:r>
      <w:r>
        <w:rPr>
          <w:rFonts w:cs="Times New Roman"/>
          <w:szCs w:val="21"/>
        </w:rPr>
        <w:t>。</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lastRenderedPageBreak/>
        <w:t>（</w:t>
      </w:r>
      <w:r>
        <w:rPr>
          <w:rFonts w:cs="Times New Roman"/>
          <w:szCs w:val="21"/>
        </w:rPr>
        <w:t>6</w:t>
      </w:r>
      <w:r>
        <w:rPr>
          <w:rFonts w:cs="Times New Roman"/>
          <w:szCs w:val="21"/>
        </w:rPr>
        <w:t>）对井场地表进行砾石压盖，防止由于地表扰动造成的水土流失。</w:t>
      </w:r>
    </w:p>
    <w:p w:rsidR="00C645C9" w:rsidRDefault="00C645C9">
      <w:pPr>
        <w:adjustRightInd w:val="0"/>
        <w:snapToGrid w:val="0"/>
        <w:spacing w:line="0" w:lineRule="atLeast"/>
        <w:jc w:val="center"/>
        <w:rPr>
          <w:rFonts w:cs="Times New Roman"/>
          <w:sz w:val="21"/>
          <w:szCs w:val="21"/>
        </w:rPr>
      </w:pPr>
    </w:p>
    <w:p w:rsidR="00C645C9" w:rsidRDefault="00F955D9">
      <w:pPr>
        <w:widowControl w:val="0"/>
        <w:adjustRightInd w:val="0"/>
        <w:snapToGrid w:val="0"/>
        <w:jc w:val="center"/>
        <w:rPr>
          <w:rFonts w:eastAsia="黑体" w:cs="Times New Roman"/>
          <w:sz w:val="21"/>
          <w:szCs w:val="21"/>
        </w:rPr>
      </w:pPr>
      <w:r>
        <w:rPr>
          <w:rFonts w:eastAsia="黑体" w:cs="Times New Roman" w:hint="eastAsia"/>
          <w:sz w:val="21"/>
          <w:szCs w:val="21"/>
        </w:rPr>
        <w:t>图</w:t>
      </w:r>
      <w:r>
        <w:rPr>
          <w:rFonts w:eastAsia="黑体" w:cs="Times New Roman" w:hint="eastAsia"/>
          <w:sz w:val="21"/>
          <w:szCs w:val="21"/>
        </w:rPr>
        <w:t xml:space="preserve">6.1-1   </w:t>
      </w:r>
      <w:r>
        <w:rPr>
          <w:rFonts w:eastAsia="黑体" w:cs="Times New Roman" w:hint="eastAsia"/>
          <w:sz w:val="21"/>
          <w:szCs w:val="21"/>
        </w:rPr>
        <w:t>施工期生态保护措施示意图</w:t>
      </w:r>
    </w:p>
    <w:p w:rsidR="00C645C9" w:rsidRDefault="00C645C9">
      <w:pPr>
        <w:adjustRightInd w:val="0"/>
        <w:snapToGrid w:val="0"/>
        <w:spacing w:line="0" w:lineRule="atLeast"/>
        <w:jc w:val="center"/>
        <w:rPr>
          <w:rFonts w:cs="Times New Roman"/>
          <w:sz w:val="21"/>
          <w:szCs w:val="21"/>
        </w:rPr>
      </w:pPr>
    </w:p>
    <w:p w:rsidR="00C645C9" w:rsidRDefault="00F955D9">
      <w:pPr>
        <w:widowControl w:val="0"/>
        <w:adjustRightInd w:val="0"/>
        <w:snapToGrid w:val="0"/>
        <w:jc w:val="center"/>
        <w:rPr>
          <w:rFonts w:eastAsia="黑体" w:cs="Times New Roman"/>
          <w:sz w:val="21"/>
          <w:szCs w:val="21"/>
        </w:rPr>
      </w:pPr>
      <w:r>
        <w:rPr>
          <w:rFonts w:eastAsia="黑体" w:cs="Times New Roman" w:hint="eastAsia"/>
          <w:sz w:val="21"/>
          <w:szCs w:val="21"/>
        </w:rPr>
        <w:t>图</w:t>
      </w:r>
      <w:r>
        <w:rPr>
          <w:rFonts w:eastAsia="黑体" w:cs="Times New Roman" w:hint="eastAsia"/>
          <w:sz w:val="21"/>
          <w:szCs w:val="21"/>
        </w:rPr>
        <w:t>6.1-</w:t>
      </w:r>
      <w:r>
        <w:rPr>
          <w:rFonts w:eastAsia="黑体" w:cs="Times New Roman" w:hint="eastAsia"/>
          <w:sz w:val="21"/>
          <w:szCs w:val="21"/>
        </w:rPr>
        <w:t>2</w:t>
      </w:r>
      <w:r>
        <w:rPr>
          <w:rFonts w:eastAsia="黑体" w:cs="Times New Roman" w:hint="eastAsia"/>
          <w:sz w:val="21"/>
          <w:szCs w:val="21"/>
        </w:rPr>
        <w:t xml:space="preserve">   </w:t>
      </w:r>
      <w:r>
        <w:rPr>
          <w:rFonts w:eastAsia="黑体" w:cs="Times New Roman" w:hint="eastAsia"/>
          <w:sz w:val="21"/>
          <w:szCs w:val="21"/>
        </w:rPr>
        <w:t>井场砾石压盖措施典型设计图</w:t>
      </w:r>
    </w:p>
    <w:p w:rsidR="00C645C9" w:rsidRDefault="00F955D9">
      <w:pPr>
        <w:keepNext/>
        <w:keepLines/>
        <w:adjustRightInd w:val="0"/>
        <w:snapToGrid w:val="0"/>
        <w:spacing w:before="10" w:after="10" w:line="360" w:lineRule="auto"/>
        <w:jc w:val="both"/>
        <w:outlineLvl w:val="3"/>
        <w:rPr>
          <w:rFonts w:cs="Times New Roman"/>
          <w:b/>
          <w:bCs/>
          <w:szCs w:val="28"/>
        </w:rPr>
      </w:pPr>
      <w:bookmarkStart w:id="1799" w:name="_Hlk95844547"/>
      <w:bookmarkStart w:id="1800" w:name="_Hlk69390513"/>
      <w:r>
        <w:rPr>
          <w:rFonts w:cs="Times New Roman"/>
          <w:b/>
          <w:bCs/>
          <w:szCs w:val="28"/>
        </w:rPr>
        <w:t>6.1.1.</w:t>
      </w:r>
      <w:r>
        <w:rPr>
          <w:rFonts w:cs="Times New Roman" w:hint="eastAsia"/>
          <w:b/>
          <w:bCs/>
          <w:szCs w:val="28"/>
        </w:rPr>
        <w:t>2</w:t>
      </w:r>
      <w:r>
        <w:rPr>
          <w:rFonts w:cs="Times New Roman" w:hint="eastAsia"/>
          <w:b/>
          <w:bCs/>
          <w:szCs w:val="28"/>
        </w:rPr>
        <w:t>永久基本农田</w:t>
      </w:r>
      <w:r>
        <w:rPr>
          <w:rFonts w:cs="Times New Roman"/>
          <w:b/>
          <w:bCs/>
          <w:szCs w:val="28"/>
        </w:rPr>
        <w:t>的生态保护措施</w:t>
      </w:r>
    </w:p>
    <w:p w:rsidR="00C645C9" w:rsidRDefault="00F955D9">
      <w:pPr>
        <w:adjustRightInd w:val="0"/>
        <w:snapToGrid w:val="0"/>
        <w:spacing w:line="360" w:lineRule="auto"/>
        <w:ind w:firstLineChars="200" w:firstLine="464"/>
        <w:jc w:val="both"/>
        <w:rPr>
          <w:rFonts w:cs="Times New Roman"/>
          <w:szCs w:val="21"/>
        </w:rPr>
      </w:pPr>
      <w:bookmarkStart w:id="1801" w:name="_Hlk95845296"/>
      <w:bookmarkEnd w:id="1799"/>
      <w:bookmarkEnd w:id="1800"/>
      <w:r>
        <w:rPr>
          <w:rFonts w:cs="Times New Roman" w:hint="eastAsia"/>
          <w:spacing w:val="-4"/>
        </w:rPr>
        <w:t>本工程</w:t>
      </w:r>
      <w:r>
        <w:rPr>
          <w:rFonts w:cs="Times New Roman" w:hint="eastAsia"/>
        </w:rPr>
        <w:t>不占用永久基本农田，</w:t>
      </w:r>
      <w:r>
        <w:rPr>
          <w:rFonts w:cs="Times New Roman" w:hint="eastAsia"/>
          <w:spacing w:val="-4"/>
        </w:rPr>
        <w:t>评价范围涉及永久基本农田</w:t>
      </w:r>
      <w:r>
        <w:rPr>
          <w:rFonts w:cs="Times New Roman" w:hint="eastAsia"/>
          <w:szCs w:val="21"/>
        </w:rPr>
        <w:t>，工程施工时应采取的保护措施如下：</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在工程的总体规划中必须考虑施工对农业生产的影响，将农业损失纳入工程预算中。尽量缩小施工影响范围，提高施工效率，缩短施工时间，因地制宜地选择施工季节，尽量避开农作物的生长和收获期，减少农业当季损失</w:t>
      </w:r>
      <w:r>
        <w:rPr>
          <w:rFonts w:cs="Times New Roman" w:hint="eastAsia"/>
          <w:szCs w:val="21"/>
        </w:rPr>
        <w:t>。</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hint="eastAsia"/>
          <w:szCs w:val="21"/>
        </w:rPr>
        <w:t>井场平整</w:t>
      </w:r>
      <w:r>
        <w:rPr>
          <w:rFonts w:cs="Times New Roman" w:hint="eastAsia"/>
          <w:szCs w:val="21"/>
        </w:rPr>
        <w:t>分层回填前应清理留在土壤中的固体废物，回填时，还应留足适宜的堆积层，防止因降水、径流造成地表下陷和水土流失。</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3</w:t>
      </w:r>
      <w:r>
        <w:rPr>
          <w:rFonts w:cs="Times New Roman" w:hint="eastAsia"/>
          <w:szCs w:val="21"/>
        </w:rPr>
        <w:t>）在施工中应尽量减少对农田防护树木的砍伐，完工后根据不同的地区特点采取植被恢复措施，种植速生树木和耐贫瘠的先锋灌木草本植物，在农地可种植绿肥作物，加速农业土壤肥力的恢复</w:t>
      </w:r>
      <w:r>
        <w:rPr>
          <w:rFonts w:cs="Times New Roman" w:hint="eastAsia"/>
          <w:szCs w:val="21"/>
        </w:rPr>
        <w:t>。</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4</w:t>
      </w:r>
      <w:r>
        <w:rPr>
          <w:rFonts w:cs="Times New Roman" w:hint="eastAsia"/>
          <w:szCs w:val="21"/>
        </w:rPr>
        <w:t>）施工完成后做好现场清理及恢复工作，包括弃渣妥善处置等，尽可能降低施工对农田生态系统带来的不利影响。</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5</w:t>
      </w:r>
      <w:r>
        <w:rPr>
          <w:rFonts w:cs="Times New Roman" w:hint="eastAsia"/>
          <w:szCs w:val="21"/>
        </w:rPr>
        <w:t>）按照耕地的工程范围，依法办理相关耕地占用手续</w:t>
      </w:r>
      <w:r>
        <w:rPr>
          <w:rFonts w:cs="Times New Roman" w:hint="eastAsia"/>
          <w:szCs w:val="21"/>
        </w:rPr>
        <w:t>。</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6</w:t>
      </w:r>
      <w:r>
        <w:rPr>
          <w:rFonts w:cs="Times New Roman" w:hint="eastAsia"/>
          <w:szCs w:val="21"/>
        </w:rPr>
        <w:t>）农田恢复目标</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临时占用的各类农田应</w:t>
      </w:r>
      <w:r>
        <w:rPr>
          <w:rFonts w:cs="Times New Roman" w:hint="eastAsia"/>
          <w:szCs w:val="21"/>
        </w:rPr>
        <w:t>100%</w:t>
      </w:r>
      <w:r>
        <w:rPr>
          <w:rFonts w:cs="Times New Roman" w:hint="eastAsia"/>
          <w:szCs w:val="21"/>
        </w:rPr>
        <w:t>恢复耕种，破坏的农业基础设施全部恢复或经济赔偿；永久占用的农田应“占多少、垦多少”或缴纳耕地开垦费由农业部门实施。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7</w:t>
      </w:r>
      <w:r>
        <w:rPr>
          <w:rFonts w:cs="Times New Roman" w:hint="eastAsia"/>
          <w:szCs w:val="21"/>
        </w:rPr>
        <w:t>）对于临</w:t>
      </w:r>
      <w:r>
        <w:rPr>
          <w:rFonts w:cs="Times New Roman" w:hint="eastAsia"/>
          <w:szCs w:val="21"/>
        </w:rPr>
        <w:t>时占地，除在施工中采取措施减少对基本农田的破坏外，在施工结束后，还应做好基本农田的恢复工作，应立即实施复垦措施，应按照“等质等量”的原则进行复垦，并可与农民协商，由农民自行复垦。除补偿因临时占地对农田产量的直接损失外，还应考虑施工结束后因土壤结构破坏对农作物产量的间接损失以及土壤恢复的补偿费等。</w:t>
      </w:r>
    </w:p>
    <w:bookmarkEnd w:id="1801"/>
    <w:p w:rsidR="00C645C9" w:rsidRDefault="00F955D9">
      <w:pPr>
        <w:keepNext/>
        <w:widowControl w:val="0"/>
        <w:adjustRightInd w:val="0"/>
        <w:snapToGrid w:val="0"/>
        <w:spacing w:before="10" w:after="10" w:line="360" w:lineRule="auto"/>
        <w:jc w:val="both"/>
        <w:outlineLvl w:val="3"/>
        <w:rPr>
          <w:rFonts w:cs="Times New Roman"/>
          <w:b/>
          <w:bCs/>
          <w:szCs w:val="28"/>
        </w:rPr>
      </w:pPr>
      <w:r>
        <w:rPr>
          <w:rFonts w:cs="Times New Roman"/>
          <w:b/>
          <w:bCs/>
          <w:szCs w:val="28"/>
        </w:rPr>
        <w:t>6.1.1.</w:t>
      </w:r>
      <w:r>
        <w:rPr>
          <w:rFonts w:cs="Times New Roman" w:hint="eastAsia"/>
          <w:b/>
          <w:bCs/>
          <w:szCs w:val="28"/>
        </w:rPr>
        <w:t>3</w:t>
      </w:r>
      <w:r>
        <w:rPr>
          <w:rFonts w:cs="Times New Roman" w:hint="eastAsia"/>
          <w:b/>
          <w:bCs/>
          <w:szCs w:val="28"/>
        </w:rPr>
        <w:t>水土流失防治</w:t>
      </w:r>
      <w:r>
        <w:rPr>
          <w:rFonts w:cs="Times New Roman"/>
          <w:b/>
          <w:bCs/>
          <w:szCs w:val="28"/>
        </w:rPr>
        <w:t>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）工程措施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lastRenderedPageBreak/>
        <w:t>井场工程区开挖及回填时应保证地面相对平整，压实度较高的采用推土机的松土器进行耙松。精细平整过程中不仅要保证土体再塑，而且要稳坡固表，防治水土流失。</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）场地平整</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井场工程区场地平整：针对井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3</w:t>
      </w:r>
      <w:r>
        <w:rPr>
          <w:rFonts w:cs="Times New Roman" w:hint="eastAsia"/>
          <w:szCs w:val="21"/>
        </w:rPr>
        <w:t>）限行彩条旗</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严格控制和管理施工期间车辆行驶的范围，减轻对周边区域的扰动，在施工作业区两侧拉彩条旗以示明车辆行驶的边界，以避免增加对地表的扰动和破坏。</w:t>
      </w:r>
    </w:p>
    <w:p w:rsidR="00C645C9" w:rsidRDefault="00F955D9">
      <w:pPr>
        <w:keepNext/>
        <w:keepLines/>
        <w:adjustRightInd w:val="0"/>
        <w:snapToGrid w:val="0"/>
        <w:spacing w:before="10" w:after="10" w:line="360" w:lineRule="auto"/>
        <w:jc w:val="both"/>
        <w:outlineLvl w:val="3"/>
        <w:rPr>
          <w:rFonts w:cs="Times New Roman"/>
          <w:b/>
          <w:bCs/>
          <w:szCs w:val="28"/>
        </w:rPr>
      </w:pPr>
      <w:r>
        <w:rPr>
          <w:rFonts w:cs="Times New Roman"/>
          <w:b/>
          <w:bCs/>
          <w:szCs w:val="28"/>
        </w:rPr>
        <w:t>6.1.1.</w:t>
      </w:r>
      <w:r>
        <w:rPr>
          <w:rFonts w:cs="Times New Roman" w:hint="eastAsia"/>
          <w:b/>
          <w:bCs/>
          <w:szCs w:val="28"/>
        </w:rPr>
        <w:t>4</w:t>
      </w:r>
      <w:r>
        <w:rPr>
          <w:rFonts w:cs="Times New Roman" w:hint="eastAsia"/>
          <w:b/>
          <w:bCs/>
          <w:szCs w:val="28"/>
        </w:rPr>
        <w:t>对野生动植物的生态保护措施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）施工机械和车辆应严格按规定在设计场地及便道上作</w:t>
      </w:r>
      <w:r>
        <w:rPr>
          <w:rFonts w:cs="Times New Roman" w:hint="eastAsia"/>
          <w:szCs w:val="21"/>
        </w:rPr>
        <w:t>业和行驶，防止扩大对土壤和植被的破坏范围。在保证顺利施工的前提下，减少临时占地影响，将施工期对环境不利影响降到最低限度。</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）在施工区域设置“保护生态环境、保护野生动植物”等警示牌，并从管理上对施工作业人员加强宣传教育，切实提高保护生态环境的意识。车辆行驶过程中不得鸣笛惊吓野生动物。</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3</w:t>
      </w:r>
      <w:r>
        <w:rPr>
          <w:rFonts w:cs="Times New Roman" w:hint="eastAsia"/>
          <w:szCs w:val="21"/>
        </w:rPr>
        <w:t>）注意施工后的地表修复应注意尽量恢复原有紧实度，或留足适宜的堆积层，防止因降水造成地表下陷形成积水洼地。</w:t>
      </w:r>
    </w:p>
    <w:p w:rsidR="00C645C9" w:rsidRDefault="00F955D9">
      <w:pPr>
        <w:widowControl w:val="0"/>
        <w:tabs>
          <w:tab w:val="left" w:pos="5695"/>
        </w:tabs>
        <w:adjustRightInd w:val="0"/>
        <w:snapToGrid w:val="0"/>
        <w:spacing w:line="360" w:lineRule="auto"/>
        <w:ind w:firstLineChars="200" w:firstLine="480"/>
        <w:rPr>
          <w:rFonts w:cs="Times New Roman"/>
          <w:b/>
          <w:snapToGrid w:val="0"/>
          <w:sz w:val="28"/>
          <w:szCs w:val="21"/>
          <w:lang w:eastAsia="en-US"/>
        </w:rPr>
      </w:pPr>
      <w:r>
        <w:rPr>
          <w:rFonts w:cs="Times New Roman" w:hint="eastAsia"/>
          <w:szCs w:val="21"/>
        </w:rPr>
        <w:t>（</w:t>
      </w:r>
      <w:r>
        <w:rPr>
          <w:rFonts w:cs="Times New Roman" w:hint="eastAsia"/>
          <w:szCs w:val="21"/>
        </w:rPr>
        <w:t>4</w:t>
      </w:r>
      <w:r>
        <w:rPr>
          <w:rFonts w:cs="Times New Roman" w:hint="eastAsia"/>
          <w:szCs w:val="21"/>
        </w:rPr>
        <w:t>）建设选址尽量</w:t>
      </w:r>
      <w:r>
        <w:rPr>
          <w:rFonts w:cs="Times New Roman" w:hint="eastAsia"/>
          <w:szCs w:val="21"/>
        </w:rPr>
        <w:t>避免</w:t>
      </w:r>
      <w:r>
        <w:rPr>
          <w:rFonts w:cs="Times New Roman" w:hint="eastAsia"/>
          <w:szCs w:val="21"/>
        </w:rPr>
        <w:t>砍伐野生植物</w:t>
      </w:r>
      <w:r>
        <w:rPr>
          <w:rFonts w:cs="Times New Roman" w:hint="eastAsia"/>
          <w:szCs w:val="21"/>
        </w:rPr>
        <w:t>，</w:t>
      </w:r>
      <w:r>
        <w:rPr>
          <w:rFonts w:cs="Times New Roman" w:hint="eastAsia"/>
          <w:szCs w:val="21"/>
        </w:rPr>
        <w:t>尤其不得铲除保护植物。若无法进行避让，需对保护植物进行移植保护。同时，严格控制占地面积，以减少占地和保护野生动、植物。</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5354" w:history="1">
        <w:r>
          <w:rPr>
            <w:rFonts w:cs="Times New Roman" w:hint="eastAsia"/>
            <w:b/>
            <w:snapToGrid w:val="0"/>
            <w:sz w:val="28"/>
            <w:szCs w:val="21"/>
            <w:lang w:eastAsia="en-US"/>
          </w:rPr>
          <w:t>6.</w:t>
        </w:r>
        <w:r>
          <w:rPr>
            <w:rFonts w:cs="Times New Roman" w:hint="eastAsia"/>
            <w:b/>
            <w:snapToGrid w:val="0"/>
            <w:sz w:val="28"/>
            <w:szCs w:val="21"/>
          </w:rPr>
          <w:t>1</w:t>
        </w:r>
        <w:r>
          <w:rPr>
            <w:rFonts w:cs="Times New Roman" w:hint="eastAsia"/>
            <w:b/>
            <w:snapToGrid w:val="0"/>
            <w:sz w:val="28"/>
            <w:szCs w:val="21"/>
            <w:lang w:eastAsia="en-US"/>
          </w:rPr>
          <w:t xml:space="preserve">.2 </w:t>
        </w:r>
        <w:r>
          <w:rPr>
            <w:rFonts w:cs="Times New Roman" w:hint="eastAsia"/>
            <w:b/>
            <w:snapToGrid w:val="0"/>
            <w:sz w:val="28"/>
            <w:szCs w:val="21"/>
            <w:lang w:eastAsia="en-US"/>
          </w:rPr>
          <w:t>运营期生态保护措施</w:t>
        </w:r>
      </w:hyperlink>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1</w:t>
      </w:r>
      <w:r>
        <w:rPr>
          <w:rFonts w:cs="Times New Roman" w:hint="eastAsia"/>
          <w:szCs w:val="21"/>
        </w:rPr>
        <w:t>）监督和管理措施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①针对本工程的建设，西北油田分公司安全环保部负责工程建设及运营期间对</w:t>
      </w:r>
      <w:r>
        <w:rPr>
          <w:rFonts w:cs="Times New Roman" w:hint="eastAsia"/>
          <w:szCs w:val="21"/>
        </w:rPr>
        <w:t>生态环境保护</w:t>
      </w:r>
      <w:r>
        <w:rPr>
          <w:rFonts w:cs="Times New Roman" w:hint="eastAsia"/>
          <w:szCs w:val="21"/>
        </w:rPr>
        <w:t>工作，落实本工程环保措施的实施并与各施工单位签订详细的环境保护协议，明确各方的责任以及奖惩规定。</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lastRenderedPageBreak/>
        <w:t>②选择信誉良好、素质较高的施工队伍，保证工程建设的质量，避免因质量问题对环境带来不利影响；同时，通过培训和发放宣传手册强化施工人员的环境保护意识，明确施工人员的行为和奖惩制度。</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③针对已经发生的破坏生态环境的问题必须认真、及时地解决，并对正在和即将建设的工程提出具体、可行的整改和防治措施。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④针对本工程所在区域遗留的生态环境问题需按要求整改完成，原井场遗留有弃渣没有及时清运、老井临时占地内的水泥块未清理或综合利用等，需尽快组织工作人员按期将井场遗留固废清运或综合利用，并纳入本工程环保投资。</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w:t>
      </w:r>
      <w:r>
        <w:rPr>
          <w:rFonts w:cs="Times New Roman" w:hint="eastAsia"/>
          <w:szCs w:val="21"/>
        </w:rPr>
        <w:t>2</w:t>
      </w:r>
      <w:r>
        <w:rPr>
          <w:rFonts w:cs="Times New Roman" w:hint="eastAsia"/>
          <w:szCs w:val="21"/>
        </w:rPr>
        <w:t>）运营期生态</w:t>
      </w:r>
      <w:r>
        <w:rPr>
          <w:rFonts w:cs="Times New Roman" w:hint="eastAsia"/>
          <w:szCs w:val="21"/>
        </w:rPr>
        <w:t>保护措施</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①加强管理，确保各项环保措施落实。对施工迹地表面覆以砾石，以减少风蚀量。</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②在道路边、油田区，设置“保护生态环境、保护野生动植物”等警示牌，并从管理上对作业人员加强宣传教育，切实增强保护生态环境的意识。</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③对泄漏的落地油应及时清理，彻底回收，防止污染扩大蔓延。</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④本工程事故状态下对生态环境影响较大，因此必须对事故风险严加防范和控制。加强日常生产监督管理和安全运行检查工作，制定安全生产操作规程，加</w:t>
      </w:r>
      <w:r>
        <w:rPr>
          <w:rFonts w:cs="Times New Roman"/>
          <w:szCs w:val="21"/>
        </w:rPr>
        <w:t>强职工安全意识教育和安全生产技术培训。一旦发现事故，及时采取相应补救措施，尽量减少影响和损失。</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w:t>
      </w:r>
      <w:r>
        <w:rPr>
          <w:rFonts w:cs="Times New Roman"/>
          <w:szCs w:val="21"/>
        </w:rPr>
        <w:t>3</w:t>
      </w:r>
      <w:r>
        <w:rPr>
          <w:rFonts w:cs="Times New Roman"/>
          <w:szCs w:val="21"/>
        </w:rPr>
        <w:t>）生态修复方案</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油田运营期开展生态修复目标为油田污染得到安全处置，生态环境质量明显改善；植被破坏区域覆盖率稳步增长，环境风险发生率得到有效控制，杜绝跑冒滴漏危害；油田区生态功能基本稳定；生物多样性呈上升趋势；公众生态环保意识得到提高；油田区生态环境监测范围达到</w:t>
      </w:r>
      <w:r>
        <w:rPr>
          <w:rFonts w:cs="Times New Roman"/>
          <w:szCs w:val="21"/>
        </w:rPr>
        <w:t>100%</w:t>
      </w:r>
      <w:r>
        <w:rPr>
          <w:rFonts w:cs="Times New Roman"/>
          <w:szCs w:val="21"/>
        </w:rPr>
        <w:t>，建立生态安全应急系统。</w:t>
      </w:r>
    </w:p>
    <w:p w:rsidR="00C645C9" w:rsidRDefault="00F955D9">
      <w:pPr>
        <w:adjustRightInd w:val="0"/>
        <w:snapToGrid w:val="0"/>
        <w:spacing w:line="360" w:lineRule="auto"/>
        <w:ind w:firstLineChars="200" w:firstLine="480"/>
        <w:jc w:val="both"/>
        <w:rPr>
          <w:rFonts w:cs="Times New Roman"/>
          <w:szCs w:val="21"/>
        </w:rPr>
      </w:pPr>
      <w:r>
        <w:rPr>
          <w:rFonts w:cs="Times New Roman" w:hint="eastAsia"/>
          <w:szCs w:val="21"/>
        </w:rPr>
        <w:t>本工程</w:t>
      </w:r>
      <w:r>
        <w:rPr>
          <w:rFonts w:cs="Times New Roman"/>
          <w:szCs w:val="21"/>
        </w:rPr>
        <w:t>井场施工完毕后</w:t>
      </w:r>
      <w:r>
        <w:rPr>
          <w:rFonts w:cs="Times New Roman" w:hint="eastAsia"/>
          <w:szCs w:val="21"/>
        </w:rPr>
        <w:t>须</w:t>
      </w:r>
      <w:r>
        <w:rPr>
          <w:rFonts w:cs="Times New Roman" w:hint="eastAsia"/>
          <w:szCs w:val="21"/>
        </w:rPr>
        <w:t>对临时占地</w:t>
      </w:r>
      <w:r>
        <w:rPr>
          <w:rFonts w:cs="Times New Roman"/>
          <w:szCs w:val="21"/>
        </w:rPr>
        <w:t>进行植被恢复，植被恢复以自然恢复为主</w:t>
      </w:r>
      <w:r>
        <w:rPr>
          <w:rFonts w:cs="Times New Roman" w:hint="eastAsia"/>
          <w:szCs w:val="21"/>
        </w:rPr>
        <w:t>，同时建设单位须积极配合林草部门落实“占补平衡”，维持区域林地、草地的生态功能不降低。</w:t>
      </w:r>
    </w:p>
    <w:p w:rsidR="00C645C9" w:rsidRDefault="00F955D9">
      <w:pPr>
        <w:adjustRightInd w:val="0"/>
        <w:snapToGrid w:val="0"/>
        <w:spacing w:line="360" w:lineRule="auto"/>
        <w:ind w:firstLineChars="200" w:firstLine="480"/>
        <w:jc w:val="both"/>
        <w:rPr>
          <w:lang w:eastAsia="en-US"/>
        </w:rPr>
      </w:pPr>
      <w:r>
        <w:rPr>
          <w:rFonts w:cs="Times New Roman"/>
          <w:szCs w:val="21"/>
        </w:rPr>
        <w:t>综上，</w:t>
      </w:r>
      <w:r>
        <w:rPr>
          <w:rFonts w:cs="Times New Roman" w:hint="eastAsia"/>
          <w:szCs w:val="21"/>
        </w:rPr>
        <w:t>本工程</w:t>
      </w:r>
      <w:r>
        <w:rPr>
          <w:rFonts w:cs="Times New Roman"/>
          <w:szCs w:val="21"/>
        </w:rPr>
        <w:t>采取的生态环境保护措施可行。</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26185" w:history="1">
        <w:r>
          <w:rPr>
            <w:rFonts w:cs="Times New Roman" w:hint="eastAsia"/>
            <w:b/>
            <w:snapToGrid w:val="0"/>
            <w:sz w:val="28"/>
            <w:szCs w:val="21"/>
            <w:lang w:eastAsia="en-US"/>
          </w:rPr>
          <w:t>6.</w:t>
        </w:r>
        <w:r>
          <w:rPr>
            <w:rFonts w:cs="Times New Roman" w:hint="eastAsia"/>
            <w:b/>
            <w:snapToGrid w:val="0"/>
            <w:sz w:val="28"/>
            <w:szCs w:val="21"/>
          </w:rPr>
          <w:t>1</w:t>
        </w:r>
        <w:r>
          <w:rPr>
            <w:rFonts w:cs="Times New Roman" w:hint="eastAsia"/>
            <w:b/>
            <w:snapToGrid w:val="0"/>
            <w:sz w:val="28"/>
            <w:szCs w:val="21"/>
            <w:lang w:eastAsia="en-US"/>
          </w:rPr>
          <w:t xml:space="preserve">.3 </w:t>
        </w:r>
        <w:r>
          <w:rPr>
            <w:rFonts w:cs="Times New Roman" w:hint="eastAsia"/>
            <w:b/>
            <w:snapToGrid w:val="0"/>
            <w:sz w:val="28"/>
            <w:szCs w:val="21"/>
            <w:lang w:eastAsia="en-US"/>
          </w:rPr>
          <w:t>退役期生态保护措施</w:t>
        </w:r>
      </w:hyperlink>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随着</w:t>
      </w:r>
      <w:r>
        <w:rPr>
          <w:rFonts w:cs="Times New Roman" w:hint="eastAsia"/>
          <w:szCs w:val="21"/>
        </w:rPr>
        <w:t>气</w:t>
      </w:r>
      <w:r>
        <w:rPr>
          <w:rFonts w:cs="Times New Roman"/>
          <w:szCs w:val="21"/>
        </w:rPr>
        <w:t>井开采时间的延长，其储量将逐年降低，最终进入退役期。当开发接近尾声时，各种机械设备将停止使用，站场</w:t>
      </w:r>
      <w:r>
        <w:rPr>
          <w:rFonts w:cs="Times New Roman" w:hint="eastAsia"/>
          <w:szCs w:val="21"/>
        </w:rPr>
        <w:t>内</w:t>
      </w:r>
      <w:r>
        <w:rPr>
          <w:rFonts w:cs="Times New Roman"/>
          <w:szCs w:val="21"/>
        </w:rPr>
        <w:t>设备设施陆续被拆卸、转移，原有</w:t>
      </w:r>
      <w:r>
        <w:rPr>
          <w:rFonts w:cs="Times New Roman"/>
          <w:szCs w:val="21"/>
        </w:rPr>
        <w:lastRenderedPageBreak/>
        <w:t>的大气污染物、噪声及固体废物等对环境的影响将会逐渐减弱甚至消失。</w:t>
      </w:r>
      <w:r>
        <w:rPr>
          <w:rFonts w:cs="Times New Roman" w:hint="eastAsia"/>
          <w:szCs w:val="21"/>
        </w:rPr>
        <w:t>拆除地面设施、清理井场等，拆除的报废设备和建筑废料等由施工单位运至指定位置进行处理；及时清理作业现场，做到“工完、料尽、场地清”，恢复原有地貌；按规范要求对废弃井采取固井、封井措施。</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井场经过清理后，永久性占地范围内的水泥平台或砂砾石铺垫应进行清理，然后根据周边区域的自然现状对其进行恢复，使井场恢复到相对自然的一种状态。</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通过宣传教育的形式，使施工工作人员</w:t>
      </w:r>
      <w:r>
        <w:rPr>
          <w:rFonts w:cs="Times New Roman" w:hint="eastAsia"/>
          <w:szCs w:val="21"/>
        </w:rPr>
        <w:t>对</w:t>
      </w:r>
      <w:r>
        <w:rPr>
          <w:rFonts w:cs="Times New Roman"/>
          <w:szCs w:val="21"/>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rsidR="00C645C9" w:rsidRDefault="00F955D9">
      <w:pPr>
        <w:adjustRightInd w:val="0"/>
        <w:snapToGrid w:val="0"/>
        <w:spacing w:line="360" w:lineRule="auto"/>
        <w:ind w:firstLineChars="200" w:firstLine="480"/>
        <w:jc w:val="both"/>
        <w:rPr>
          <w:rFonts w:cs="Times New Roman"/>
          <w:szCs w:val="21"/>
        </w:rPr>
      </w:pPr>
      <w:r>
        <w:rPr>
          <w:rFonts w:cs="Times New Roman"/>
          <w:szCs w:val="21"/>
        </w:rPr>
        <w:t>加强对《中华人民共和国野生动物保护法》及《中华人民共和国野生植物保护条例》的普及、教育工作，强化保护野生</w:t>
      </w:r>
      <w:r>
        <w:rPr>
          <w:rFonts w:cs="Times New Roman"/>
          <w:szCs w:val="21"/>
        </w:rPr>
        <w:t>动植物的观念，让施工人员明确破坏保护植物，捕猎、杀害保护动物的法律后果，理解保护野生动植物的重要意义。</w:t>
      </w:r>
    </w:p>
    <w:p w:rsidR="00C645C9" w:rsidRDefault="00F955D9">
      <w:pPr>
        <w:adjustRightInd w:val="0"/>
        <w:snapToGrid w:val="0"/>
        <w:spacing w:line="360" w:lineRule="auto"/>
        <w:ind w:firstLineChars="200" w:firstLine="480"/>
        <w:jc w:val="both"/>
        <w:rPr>
          <w:rFonts w:cs="Times New Roman"/>
          <w:szCs w:val="21"/>
          <w:lang w:eastAsia="en-US"/>
        </w:rPr>
      </w:pPr>
      <w:r>
        <w:rPr>
          <w:rFonts w:cs="Times New Roman"/>
          <w:szCs w:val="21"/>
        </w:rPr>
        <w:t>通过采取以上生态保护措施，对于减少植被破坏、减缓水土流失、抵制荒漠化发展起到了一定的积极作用，可有效保护脆弱的荒漠生态环境。</w:t>
      </w:r>
    </w:p>
    <w:bookmarkStart w:id="1802" w:name="_Toc3261"/>
    <w:p w:rsidR="00C645C9" w:rsidRDefault="00F955D9">
      <w:pPr>
        <w:widowControl w:val="0"/>
        <w:tabs>
          <w:tab w:val="left" w:pos="5695"/>
        </w:tabs>
        <w:adjustRightInd w:val="0"/>
        <w:snapToGrid w:val="0"/>
        <w:spacing w:line="360" w:lineRule="auto"/>
        <w:outlineLvl w:val="1"/>
        <w:rPr>
          <w:rFonts w:cs="Times New Roman"/>
          <w:b/>
          <w:snapToGrid w:val="0"/>
          <w:sz w:val="28"/>
          <w:szCs w:val="21"/>
          <w:lang w:eastAsia="en-US"/>
        </w:rPr>
      </w:pPr>
      <w:r>
        <w:rPr>
          <w:rFonts w:cs="Times New Roman"/>
          <w:b/>
          <w:snapToGrid w:val="0"/>
          <w:sz w:val="28"/>
          <w:szCs w:val="21"/>
          <w:lang w:eastAsia="en-US"/>
        </w:rPr>
        <w:fldChar w:fldCharType="begin"/>
      </w:r>
      <w:r>
        <w:rPr>
          <w:rFonts w:cs="Times New Roman"/>
          <w:b/>
          <w:snapToGrid w:val="0"/>
          <w:sz w:val="28"/>
          <w:szCs w:val="21"/>
          <w:lang w:eastAsia="en-US"/>
        </w:rPr>
        <w:instrText xml:space="preserve"> HYPERLINK \l _Toc26803 </w:instrText>
      </w:r>
      <w:r>
        <w:rPr>
          <w:rFonts w:cs="Times New Roman"/>
          <w:b/>
          <w:snapToGrid w:val="0"/>
          <w:sz w:val="28"/>
          <w:szCs w:val="21"/>
          <w:lang w:eastAsia="en-US"/>
        </w:rPr>
        <w:fldChar w:fldCharType="separate"/>
      </w:r>
      <w:r>
        <w:rPr>
          <w:rFonts w:cs="Times New Roman" w:hint="eastAsia"/>
          <w:b/>
          <w:snapToGrid w:val="0"/>
          <w:sz w:val="28"/>
          <w:szCs w:val="21"/>
          <w:lang w:eastAsia="en-US"/>
        </w:rPr>
        <w:t xml:space="preserve">6.2 </w:t>
      </w:r>
      <w:r>
        <w:rPr>
          <w:rFonts w:cs="Times New Roman" w:hint="eastAsia"/>
          <w:b/>
          <w:snapToGrid w:val="0"/>
          <w:sz w:val="28"/>
          <w:szCs w:val="21"/>
        </w:rPr>
        <w:t>地下水环境保护</w:t>
      </w:r>
      <w:r>
        <w:rPr>
          <w:rFonts w:cs="Times New Roman" w:hint="eastAsia"/>
          <w:b/>
          <w:snapToGrid w:val="0"/>
          <w:sz w:val="28"/>
          <w:szCs w:val="21"/>
          <w:lang w:eastAsia="en-US"/>
        </w:rPr>
        <w:t>措施可行性论证</w:t>
      </w:r>
      <w:r>
        <w:rPr>
          <w:rFonts w:cs="Times New Roman"/>
          <w:b/>
          <w:snapToGrid w:val="0"/>
          <w:sz w:val="28"/>
          <w:szCs w:val="21"/>
          <w:lang w:eastAsia="en-US"/>
        </w:rPr>
        <w:fldChar w:fldCharType="end"/>
      </w:r>
      <w:bookmarkEnd w:id="1802"/>
    </w:p>
    <w:p w:rsidR="00C645C9" w:rsidRDefault="00F955D9">
      <w:pPr>
        <w:pStyle w:val="SSEC"/>
        <w:spacing w:line="360" w:lineRule="auto"/>
        <w:ind w:firstLine="480"/>
        <w:rPr>
          <w:rFonts w:ascii="Times New Roman" w:hAnsi="Times New Roman"/>
        </w:rPr>
      </w:pPr>
      <w:r>
        <w:rPr>
          <w:rFonts w:ascii="Times New Roman" w:hAnsi="Times New Roman"/>
        </w:rPr>
        <w:t>地下水保护与污染防治按照</w:t>
      </w:r>
      <w:r>
        <w:rPr>
          <w:rFonts w:ascii="Times New Roman" w:hAnsi="Times New Roman"/>
        </w:rPr>
        <w:t>“</w:t>
      </w:r>
      <w:r>
        <w:rPr>
          <w:rFonts w:ascii="Times New Roman" w:hAnsi="Times New Roman"/>
        </w:rPr>
        <w:t>源头控制、分区防治、污染监控、应急响应</w:t>
      </w:r>
      <w:r>
        <w:rPr>
          <w:rFonts w:ascii="Times New Roman" w:hAnsi="Times New Roman"/>
        </w:rPr>
        <w:t>”</w:t>
      </w:r>
      <w:r>
        <w:rPr>
          <w:rFonts w:ascii="Times New Roman" w:hAnsi="Times New Roman"/>
        </w:rPr>
        <w:t>的原则。运营期要建立健全地下水保护与污染防治的措施与方法；必须采取必要监测制度，一旦发现地下水遭受污染，就应及时采取措施，防微杜渐；尽量减少污染物进入地下含水层的机会和数量。</w:t>
      </w:r>
    </w:p>
    <w:p w:rsidR="00C645C9" w:rsidRDefault="00F955D9">
      <w:pPr>
        <w:pStyle w:val="STC"/>
        <w:spacing w:line="360" w:lineRule="auto"/>
        <w:ind w:firstLine="480"/>
        <w:rPr>
          <w:rFonts w:ascii="Times New Roman" w:hAnsi="Times New Roman"/>
        </w:rPr>
      </w:pPr>
      <w:r>
        <w:rPr>
          <w:rFonts w:ascii="Times New Roman" w:hAnsi="Times New Roman"/>
        </w:rPr>
        <w:t>针对</w:t>
      </w:r>
      <w:r>
        <w:rPr>
          <w:rFonts w:ascii="Times New Roman" w:hAnsi="Times New Roman" w:hint="eastAsia"/>
        </w:rPr>
        <w:t>本工程</w:t>
      </w:r>
      <w:r>
        <w:rPr>
          <w:rFonts w:ascii="Times New Roman" w:hAnsi="Times New Roman"/>
        </w:rPr>
        <w:t>可能发生的地下水污染，地下水污染防治措施按照</w:t>
      </w:r>
      <w:r>
        <w:rPr>
          <w:rFonts w:ascii="Times New Roman" w:hAnsi="Times New Roman"/>
        </w:rPr>
        <w:t>“</w:t>
      </w:r>
      <w:r>
        <w:rPr>
          <w:rFonts w:ascii="Times New Roman" w:hAnsi="Times New Roman"/>
        </w:rPr>
        <w:t>源头控制、分区防治、污染监控、应急响应</w:t>
      </w:r>
      <w:r>
        <w:rPr>
          <w:rFonts w:ascii="Times New Roman" w:hAnsi="Times New Roman"/>
        </w:rPr>
        <w:t>”</w:t>
      </w:r>
      <w:r>
        <w:rPr>
          <w:rFonts w:ascii="Times New Roman" w:hAnsi="Times New Roman"/>
        </w:rPr>
        <w:t>相结合的原则，从污染物的产生、入渗、扩散、应急响应全阶段进行控制。</w:t>
      </w:r>
    </w:p>
    <w:p w:rsidR="00C645C9" w:rsidRDefault="00F955D9">
      <w:pPr>
        <w:pStyle w:val="STC"/>
        <w:spacing w:line="360" w:lineRule="auto"/>
        <w:ind w:firstLine="480"/>
        <w:rPr>
          <w:rFonts w:ascii="Times New Roman" w:hAnsi="Times New Roman"/>
        </w:rPr>
      </w:pPr>
      <w:r>
        <w:rPr>
          <w:rFonts w:ascii="Times New Roman" w:hAnsi="Times New Roman"/>
        </w:rPr>
        <w:t>源头控制：主要包括在工艺、管道、设备、污水产生及储存构筑物采取相应措施，防止和降低污染物跑、冒、滴、漏，将</w:t>
      </w:r>
      <w:r>
        <w:rPr>
          <w:rFonts w:ascii="Times New Roman" w:hAnsi="Times New Roman"/>
        </w:rPr>
        <w:t>污染物泄漏的环境风险事故降到最低程度</w:t>
      </w:r>
      <w:r>
        <w:rPr>
          <w:rFonts w:ascii="Times New Roman" w:hAnsi="Times New Roman" w:hint="eastAsia"/>
        </w:rPr>
        <w:t>。</w:t>
      </w:r>
    </w:p>
    <w:p w:rsidR="00C645C9" w:rsidRDefault="00F955D9">
      <w:pPr>
        <w:pStyle w:val="STC"/>
        <w:spacing w:line="360" w:lineRule="auto"/>
        <w:ind w:firstLine="480"/>
        <w:rPr>
          <w:rFonts w:ascii="Times New Roman" w:hAnsi="Times New Roman"/>
        </w:rPr>
      </w:pPr>
      <w:r>
        <w:rPr>
          <w:rFonts w:ascii="Times New Roman" w:hAnsi="Times New Roman"/>
        </w:rPr>
        <w:t>分区防治：结合建设场区生产设备、管道、污染物储存等布局，实行重点污染防治区、一般污染防治区和非污染区防渗措施有区别的防渗原则。主要包括生产区地面和设备的防渗措施和泄漏、渗漏污染物收集措施</w:t>
      </w:r>
      <w:r>
        <w:rPr>
          <w:rFonts w:ascii="Times New Roman" w:hAnsi="Times New Roman" w:hint="eastAsia"/>
        </w:rPr>
        <w:t>。</w:t>
      </w:r>
    </w:p>
    <w:p w:rsidR="00C645C9" w:rsidRDefault="00F955D9">
      <w:pPr>
        <w:pStyle w:val="STC"/>
        <w:spacing w:line="360" w:lineRule="auto"/>
        <w:ind w:firstLine="480"/>
        <w:rPr>
          <w:rFonts w:ascii="Times New Roman" w:hAnsi="Times New Roman"/>
        </w:rPr>
      </w:pPr>
      <w:r>
        <w:rPr>
          <w:rFonts w:ascii="Times New Roman" w:hAnsi="Times New Roman"/>
        </w:rPr>
        <w:t>污染监控体系：实施覆盖生产区的地下水污染监控系统，包括建立完善的监</w:t>
      </w:r>
      <w:r>
        <w:rPr>
          <w:rFonts w:ascii="Times New Roman" w:hAnsi="Times New Roman"/>
        </w:rPr>
        <w:lastRenderedPageBreak/>
        <w:t>测制度、配备先进的检测仪器和设备、科学、合理设置地下水污染监控井，及时发现污染、及时控制</w:t>
      </w:r>
      <w:r>
        <w:rPr>
          <w:rFonts w:ascii="Times New Roman" w:hAnsi="Times New Roman" w:hint="eastAsia"/>
        </w:rPr>
        <w:t>。</w:t>
      </w:r>
    </w:p>
    <w:p w:rsidR="00C645C9" w:rsidRDefault="00F955D9">
      <w:pPr>
        <w:pStyle w:val="STC"/>
        <w:spacing w:line="360" w:lineRule="auto"/>
        <w:ind w:firstLine="480"/>
      </w:pPr>
      <w:r>
        <w:rPr>
          <w:rFonts w:ascii="Times New Roman" w:hAnsi="Times New Roman"/>
        </w:rPr>
        <w:t>应急响应：包括一旦发现地下水污染事故，立即启动应急预案、采取应急措施控制地下水污染，并使污染得到治理。</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693" w:history="1">
        <w:r>
          <w:rPr>
            <w:rFonts w:cs="Times New Roman" w:hint="eastAsia"/>
            <w:b/>
            <w:snapToGrid w:val="0"/>
            <w:sz w:val="28"/>
            <w:szCs w:val="21"/>
            <w:lang w:eastAsia="en-US"/>
          </w:rPr>
          <w:t>6.2.1</w:t>
        </w:r>
        <w:r>
          <w:rPr>
            <w:rFonts w:cs="Times New Roman" w:hint="eastAsia"/>
            <w:b/>
            <w:snapToGrid w:val="0"/>
            <w:sz w:val="28"/>
            <w:szCs w:val="21"/>
            <w:lang w:eastAsia="en-US"/>
          </w:rPr>
          <w:t>施工期</w:t>
        </w:r>
        <w:r>
          <w:rPr>
            <w:rFonts w:cs="Times New Roman" w:hint="eastAsia"/>
            <w:b/>
            <w:snapToGrid w:val="0"/>
            <w:sz w:val="28"/>
            <w:szCs w:val="21"/>
          </w:rPr>
          <w:t>地下</w:t>
        </w:r>
        <w:r>
          <w:rPr>
            <w:rFonts w:cs="Times New Roman" w:hint="eastAsia"/>
            <w:b/>
            <w:snapToGrid w:val="0"/>
            <w:sz w:val="28"/>
            <w:szCs w:val="21"/>
            <w:lang w:eastAsia="en-US"/>
          </w:rPr>
          <w:t>水环境保护措施</w:t>
        </w:r>
      </w:hyperlink>
    </w:p>
    <w:p w:rsidR="00C645C9" w:rsidRDefault="00F955D9">
      <w:pPr>
        <w:keepLines/>
        <w:adjustRightInd w:val="0"/>
        <w:snapToGrid w:val="0"/>
        <w:spacing w:line="360" w:lineRule="auto"/>
        <w:outlineLvl w:val="3"/>
        <w:rPr>
          <w:rFonts w:cs="Times New Roman"/>
          <w:b/>
        </w:rPr>
      </w:pPr>
      <w:r>
        <w:rPr>
          <w:rFonts w:cs="Times New Roman"/>
          <w:b/>
        </w:rPr>
        <w:t>6.2.1.1</w:t>
      </w:r>
      <w:r>
        <w:rPr>
          <w:rFonts w:cs="Times New Roman"/>
          <w:b/>
        </w:rPr>
        <w:t>源头控制措施</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w:t>
      </w:r>
      <w:r>
        <w:rPr>
          <w:rFonts w:cs="Times New Roman"/>
          <w:kern w:val="2"/>
          <w:szCs w:val="21"/>
        </w:rPr>
        <w:t>1</w:t>
      </w:r>
      <w:r>
        <w:rPr>
          <w:rFonts w:cs="Times New Roman"/>
          <w:kern w:val="2"/>
          <w:szCs w:val="21"/>
        </w:rPr>
        <w:t>）禁止使用列入淘汰落后的、耗水量高的工艺、设备和产品名录的设备，或列入限期禁止采用的严重污染水环境的工艺名录和限期禁止生产、销售、进口、使用的严重污染水环境的设备。采取节水措施，提高水的重复利用率：以钻井队为单位，在保证正常作业的情况下，确定各类施工作业条件下的合理用水量，以控制清水用量。动力设备、水刹车等冷却水要循环使用，要安装泥浆泵冷却水循环系统；振动筛的污水循环系统，以减少用清水直接冲洗设备，尽量采用擦洗的方法清洗设备。</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w:t>
      </w:r>
      <w:r>
        <w:rPr>
          <w:rFonts w:cs="Times New Roman"/>
          <w:kern w:val="2"/>
          <w:szCs w:val="21"/>
        </w:rPr>
        <w:t>2</w:t>
      </w:r>
      <w:r>
        <w:rPr>
          <w:rFonts w:cs="Times New Roman"/>
          <w:kern w:val="2"/>
          <w:szCs w:val="21"/>
        </w:rPr>
        <w:t>）污染物防控措施</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①</w:t>
      </w:r>
      <w:r>
        <w:rPr>
          <w:rFonts w:cs="Times New Roman"/>
          <w:kern w:val="2"/>
          <w:szCs w:val="21"/>
        </w:rPr>
        <w:t>施工场地应设置临时沉砂池，混凝土搅拌机等冲洗废水经沉</w:t>
      </w:r>
      <w:r>
        <w:rPr>
          <w:rFonts w:cs="Times New Roman"/>
          <w:kern w:val="2"/>
          <w:szCs w:val="21"/>
        </w:rPr>
        <w:t>淀后回用到施工作业中，不外排。禁止沿途倾倒、排放废水。含有害物质的建筑材料如沥青、水泥等，并应设</w:t>
      </w:r>
      <w:r>
        <w:rPr>
          <w:rFonts w:cs="Times New Roman" w:hint="eastAsia"/>
          <w:kern w:val="2"/>
          <w:szCs w:val="21"/>
        </w:rPr>
        <w:t>篷盖</w:t>
      </w:r>
      <w:r>
        <w:rPr>
          <w:rFonts w:cs="Times New Roman"/>
          <w:kern w:val="2"/>
          <w:szCs w:val="21"/>
        </w:rPr>
        <w:t>和围栏，防止雨水冲刷进入外环境。井场四周设置井界沟，防止井场内污水随地面径流进入外环境。</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②</w:t>
      </w:r>
      <w:r>
        <w:rPr>
          <w:rFonts w:cs="Times New Roman" w:hint="eastAsia"/>
          <w:kern w:val="2"/>
          <w:szCs w:val="21"/>
        </w:rPr>
        <w:t>本工程</w:t>
      </w:r>
      <w:r>
        <w:rPr>
          <w:rFonts w:cs="Times New Roman"/>
          <w:kern w:val="2"/>
          <w:szCs w:val="21"/>
        </w:rPr>
        <w:t>采用</w:t>
      </w:r>
      <w:bookmarkStart w:id="1803" w:name="OLE_LINK1497"/>
      <w:r>
        <w:rPr>
          <w:rFonts w:cs="Times New Roman"/>
          <w:kern w:val="2"/>
          <w:szCs w:val="21"/>
        </w:rPr>
        <w:t>水基钻井液</w:t>
      </w:r>
      <w:bookmarkEnd w:id="1803"/>
      <w:r>
        <w:rPr>
          <w:rFonts w:cs="Times New Roman" w:hint="eastAsia"/>
          <w:kern w:val="2"/>
          <w:szCs w:val="21"/>
        </w:rPr>
        <w:t>和油</w:t>
      </w:r>
      <w:r>
        <w:rPr>
          <w:rFonts w:cs="Times New Roman"/>
          <w:kern w:val="2"/>
          <w:szCs w:val="21"/>
        </w:rPr>
        <w:t>基钻井液，并采用泥浆不落地工艺，钻井废水随钻井固废一同委托专业单位综合处置，不直接外排</w:t>
      </w:r>
      <w:r>
        <w:rPr>
          <w:rFonts w:cs="Times New Roman"/>
          <w:kern w:val="2"/>
          <w:lang w:bidi="ar"/>
        </w:rPr>
        <w:t>。</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③</w:t>
      </w:r>
      <w:r>
        <w:rPr>
          <w:rFonts w:cs="Times New Roman"/>
          <w:kern w:val="2"/>
          <w:szCs w:val="21"/>
        </w:rPr>
        <w:t>泥浆不落地工艺无须设置泥浆池，最大限度地降低了泥浆泄漏的可能性和泄漏量，使项目区污染物对土壤的影响降至最低。</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④</w:t>
      </w:r>
      <w:r>
        <w:rPr>
          <w:rFonts w:cs="Times New Roman"/>
          <w:kern w:val="2"/>
          <w:szCs w:val="21"/>
        </w:rPr>
        <w:t>设计、施工时对泥浆储存、收集、处理、排放设备等应采用优质、稳定、成熟的产品，做好质量检查、验</w:t>
      </w:r>
      <w:r>
        <w:rPr>
          <w:rFonts w:cs="Times New Roman"/>
          <w:kern w:val="2"/>
          <w:szCs w:val="21"/>
        </w:rPr>
        <w:t>收工作，防止设备破损和</w:t>
      </w:r>
      <w:r>
        <w:rPr>
          <w:rFonts w:cs="Times New Roman"/>
          <w:kern w:val="2"/>
          <w:szCs w:val="21"/>
        </w:rPr>
        <w:t>“</w:t>
      </w:r>
      <w:r>
        <w:rPr>
          <w:rFonts w:cs="Times New Roman"/>
          <w:kern w:val="2"/>
          <w:szCs w:val="21"/>
        </w:rPr>
        <w:t>跑、冒、滴、漏</w:t>
      </w:r>
      <w:r>
        <w:rPr>
          <w:rFonts w:cs="Times New Roman"/>
          <w:kern w:val="2"/>
          <w:szCs w:val="21"/>
        </w:rPr>
        <w:t>”</w:t>
      </w:r>
      <w:r>
        <w:rPr>
          <w:rFonts w:cs="Times New Roman"/>
          <w:kern w:val="2"/>
          <w:szCs w:val="21"/>
        </w:rPr>
        <w:t>现象。</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⑤</w:t>
      </w:r>
      <w:r>
        <w:rPr>
          <w:rFonts w:cs="Times New Roman" w:hint="eastAsia"/>
          <w:kern w:val="2"/>
          <w:szCs w:val="21"/>
        </w:rPr>
        <w:t>站内</w:t>
      </w:r>
      <w:r>
        <w:rPr>
          <w:rFonts w:cs="Times New Roman"/>
          <w:kern w:val="2"/>
          <w:szCs w:val="21"/>
        </w:rPr>
        <w:t>管线采用无缝钢管，采取防腐</w:t>
      </w:r>
      <w:r>
        <w:rPr>
          <w:rFonts w:cs="Times New Roman"/>
          <w:kern w:val="2"/>
          <w:szCs w:val="21"/>
        </w:rPr>
        <w:t>+</w:t>
      </w:r>
      <w:r>
        <w:rPr>
          <w:rFonts w:cs="Times New Roman"/>
          <w:kern w:val="2"/>
          <w:szCs w:val="21"/>
        </w:rPr>
        <w:t>保温措施，具有较强的耐化学腐蚀性能、耐温耐压性能好，粘结力强并具有良好的韧性等性质，有效地减小了管线腐蚀穿孔造成地下水污染的情况。</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⑥</w:t>
      </w:r>
      <w:r>
        <w:rPr>
          <w:rFonts w:cs="Times New Roman"/>
          <w:kern w:val="2"/>
          <w:szCs w:val="21"/>
        </w:rPr>
        <w:t>定期对泥浆罐等隐蔽设施的渗漏性进行检查，观察是否有渗水、漏水现象，发现问题及时解决。</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⑦</w:t>
      </w:r>
      <w:r>
        <w:rPr>
          <w:rFonts w:cs="Times New Roman"/>
          <w:kern w:val="2"/>
          <w:szCs w:val="21"/>
        </w:rPr>
        <w:t>对现有工程防渗设施进行排查，杜绝设备老化，防渗不达标。</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lastRenderedPageBreak/>
        <w:t>⑧</w:t>
      </w:r>
      <w:r>
        <w:rPr>
          <w:rFonts w:cs="Times New Roman"/>
          <w:kern w:val="2"/>
          <w:szCs w:val="21"/>
        </w:rPr>
        <w:t>钻井过程中贯彻清洁生产要求，选用无毒无害钻井泥浆。钻井泥浆循环利用，钻井完毕后，废弃泥浆和一般岩屑采用</w:t>
      </w:r>
      <w:r>
        <w:rPr>
          <w:rFonts w:cs="Times New Roman"/>
          <w:kern w:val="2"/>
          <w:szCs w:val="21"/>
        </w:rPr>
        <w:t>“</w:t>
      </w:r>
      <w:r>
        <w:rPr>
          <w:rFonts w:cs="Times New Roman"/>
          <w:kern w:val="2"/>
          <w:szCs w:val="21"/>
        </w:rPr>
        <w:t>泥浆不落地</w:t>
      </w:r>
      <w:r>
        <w:rPr>
          <w:rFonts w:cs="Times New Roman"/>
          <w:kern w:val="2"/>
          <w:szCs w:val="21"/>
        </w:rPr>
        <w:t>”</w:t>
      </w:r>
      <w:r>
        <w:rPr>
          <w:rFonts w:cs="Times New Roman"/>
          <w:kern w:val="2"/>
          <w:szCs w:val="21"/>
        </w:rPr>
        <w:t>工艺处理。</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w:t>
      </w:r>
      <w:r>
        <w:rPr>
          <w:rFonts w:cs="Times New Roman"/>
          <w:kern w:val="2"/>
          <w:szCs w:val="21"/>
        </w:rPr>
        <w:t>3</w:t>
      </w:r>
      <w:r>
        <w:rPr>
          <w:rFonts w:cs="Times New Roman"/>
          <w:kern w:val="2"/>
          <w:szCs w:val="21"/>
        </w:rPr>
        <w:t>）其他</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①</w:t>
      </w:r>
      <w:r>
        <w:rPr>
          <w:rFonts w:cs="Times New Roman"/>
          <w:kern w:val="2"/>
          <w:szCs w:val="21"/>
        </w:rPr>
        <w:t>标准化建</w:t>
      </w:r>
      <w:r>
        <w:rPr>
          <w:rFonts w:cs="Times New Roman"/>
          <w:kern w:val="2"/>
          <w:szCs w:val="21"/>
        </w:rPr>
        <w:t>设，具备监控系统，管理区工作人员在调度中心能根据计算机演算结果、压力数据变化等，确定管道是否泄漏，当风险发生时，立即停输，使泄漏量降低到</w:t>
      </w:r>
      <w:r>
        <w:rPr>
          <w:rFonts w:cs="Times New Roman" w:hint="eastAsia"/>
          <w:kern w:val="2"/>
          <w:szCs w:val="21"/>
        </w:rPr>
        <w:t>最小</w:t>
      </w:r>
      <w:r>
        <w:rPr>
          <w:rFonts w:cs="Times New Roman"/>
          <w:kern w:val="2"/>
          <w:szCs w:val="21"/>
        </w:rPr>
        <w:t>。</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②</w:t>
      </w:r>
      <w:r>
        <w:rPr>
          <w:rFonts w:cs="Times New Roman"/>
          <w:kern w:val="2"/>
          <w:szCs w:val="21"/>
        </w:rPr>
        <w:t>表层套管的固井水泥必须</w:t>
      </w:r>
      <w:r>
        <w:rPr>
          <w:rFonts w:cs="Times New Roman" w:hint="eastAsia"/>
          <w:kern w:val="2"/>
          <w:szCs w:val="21"/>
        </w:rPr>
        <w:t>抬高</w:t>
      </w:r>
      <w:r>
        <w:rPr>
          <w:rFonts w:cs="Times New Roman"/>
          <w:kern w:val="2"/>
          <w:szCs w:val="21"/>
        </w:rPr>
        <w:t>至地面，防止浅层含水层受到钻井泥浆污染。完井后固井水泥必须返高至地面，确保安全封闭此深度内的潜水层和承压水层。</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③</w:t>
      </w:r>
      <w:r>
        <w:rPr>
          <w:rFonts w:cs="Times New Roman"/>
          <w:kern w:val="2"/>
          <w:szCs w:val="21"/>
        </w:rPr>
        <w:t>施工期间，施工单位应严格</w:t>
      </w:r>
      <w:r>
        <w:rPr>
          <w:rFonts w:cs="Times New Roman"/>
          <w:kern w:val="2"/>
          <w:szCs w:val="21"/>
        </w:rPr>
        <w:t>执行《</w:t>
      </w:r>
      <w:bookmarkStart w:id="1804" w:name="OLE_LINK1498"/>
      <w:r>
        <w:rPr>
          <w:rFonts w:cs="Times New Roman"/>
          <w:kern w:val="2"/>
          <w:szCs w:val="21"/>
        </w:rPr>
        <w:t>建设工程施工场地文明施工及环境管理暂行规定</w:t>
      </w:r>
      <w:bookmarkEnd w:id="1804"/>
      <w:r>
        <w:rPr>
          <w:rFonts w:cs="Times New Roman"/>
          <w:kern w:val="2"/>
          <w:szCs w:val="21"/>
        </w:rPr>
        <w:t>》，对污水加强管理，严禁乱排污染环境，施工机械检修期间，地面应铺设塑料布，及时回收废机油，防止废油落地，污染土壤和地下水。加强施工机械维护，防止施工机械漏油。施工期固体废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禁止利用渗井、渗坑</w:t>
      </w:r>
      <w:r>
        <w:rPr>
          <w:rFonts w:cs="Times New Roman"/>
          <w:kern w:val="2"/>
          <w:szCs w:val="21"/>
        </w:rPr>
        <w:t>、裂隙以及私设暗管等逃避监管的方式排放水污染物。</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④</w:t>
      </w:r>
      <w:r>
        <w:rPr>
          <w:rFonts w:cs="Times New Roman"/>
          <w:kern w:val="2"/>
          <w:szCs w:val="21"/>
        </w:rPr>
        <w:t>选择有经验的单位进行施工，加强施工过程监理，确保施工质量。做好阀门和管线的安装、试运行工作，杜绝水的跑、冒、滴、漏。</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⑤</w:t>
      </w:r>
      <w:r>
        <w:rPr>
          <w:rFonts w:cs="Times New Roman"/>
          <w:kern w:val="2"/>
          <w:szCs w:val="21"/>
        </w:rPr>
        <w:t>井的设计、建造应按照</w:t>
      </w:r>
      <w:bookmarkStart w:id="1805" w:name="OLE_LINK1499"/>
      <w:r>
        <w:rPr>
          <w:rFonts w:cs="Times New Roman" w:hint="eastAsia"/>
          <w:kern w:val="2"/>
          <w:szCs w:val="21"/>
        </w:rPr>
        <w:t>《气田水注入技术要求》（</w:t>
      </w:r>
      <w:r>
        <w:rPr>
          <w:rFonts w:cs="Times New Roman"/>
          <w:kern w:val="2"/>
          <w:szCs w:val="21"/>
        </w:rPr>
        <w:t>SY/T 6596</w:t>
      </w:r>
      <w:r>
        <w:rPr>
          <w:rFonts w:cs="Times New Roman" w:hint="eastAsia"/>
          <w:kern w:val="2"/>
          <w:szCs w:val="21"/>
        </w:rPr>
        <w:t>-2016</w:t>
      </w:r>
      <w:r>
        <w:rPr>
          <w:rFonts w:cs="Times New Roman" w:hint="eastAsia"/>
          <w:kern w:val="2"/>
          <w:szCs w:val="21"/>
        </w:rPr>
        <w:t>）</w:t>
      </w:r>
      <w:bookmarkEnd w:id="1805"/>
      <w:r>
        <w:rPr>
          <w:rFonts w:cs="Times New Roman"/>
          <w:kern w:val="2"/>
          <w:szCs w:val="21"/>
        </w:rPr>
        <w:t>的要求保证其完整性。钻井过程中严格按照钻井施工工艺，施工规范进行操作，防止钻井过程中，由于施工不当，导致井喷、凝析油</w:t>
      </w:r>
      <w:r>
        <w:rPr>
          <w:rFonts w:cs="Times New Roman" w:hint="eastAsia"/>
          <w:kern w:val="2"/>
          <w:szCs w:val="21"/>
        </w:rPr>
        <w:t>泄漏</w:t>
      </w:r>
      <w:r>
        <w:rPr>
          <w:rFonts w:cs="Times New Roman"/>
          <w:kern w:val="2"/>
          <w:szCs w:val="21"/>
        </w:rPr>
        <w:t>以及油水地层窜层等事故污染地下水。钻井过程中产生的钻井废水，废弃泥浆、岩屑等按照规范统一集中处理。保证固井质量，确保安全封闭此深度内的潜水层和承压</w:t>
      </w:r>
      <w:r>
        <w:rPr>
          <w:rFonts w:cs="Times New Roman"/>
          <w:kern w:val="2"/>
          <w:szCs w:val="21"/>
        </w:rPr>
        <w:t>水层。</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针对以上措施的实施，实际施工期井队对机械设备做检修保养记录，并制定环境保护管理制度，设环保专员负责检查井场内废水、固废等处置情况，保证废物得到有效处理，从而达到减少对周围地下水环境污染的预期效果。</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综上所述，通过采取以上各种废水处理及防治措施，</w:t>
      </w:r>
      <w:r>
        <w:rPr>
          <w:rFonts w:cs="Times New Roman" w:hint="eastAsia"/>
          <w:kern w:val="2"/>
          <w:szCs w:val="21"/>
        </w:rPr>
        <w:t>本工程</w:t>
      </w:r>
      <w:r>
        <w:rPr>
          <w:rFonts w:cs="Times New Roman"/>
          <w:kern w:val="2"/>
          <w:szCs w:val="21"/>
        </w:rPr>
        <w:t>施工期产生的各类废水均可以得到有效处置，施工期的废水污染防治措施合理可行。</w:t>
      </w:r>
    </w:p>
    <w:p w:rsidR="00C645C9" w:rsidRDefault="00F955D9">
      <w:pPr>
        <w:keepLines/>
        <w:adjustRightInd w:val="0"/>
        <w:snapToGrid w:val="0"/>
        <w:spacing w:line="360" w:lineRule="auto"/>
        <w:outlineLvl w:val="3"/>
        <w:rPr>
          <w:rFonts w:cs="Times New Roman"/>
          <w:b/>
        </w:rPr>
      </w:pPr>
      <w:r>
        <w:rPr>
          <w:rFonts w:cs="Times New Roman"/>
          <w:b/>
        </w:rPr>
        <w:lastRenderedPageBreak/>
        <w:t>6.2.1.2</w:t>
      </w:r>
      <w:r>
        <w:rPr>
          <w:rFonts w:cs="Times New Roman"/>
          <w:b/>
        </w:rPr>
        <w:t>过程防控措施</w:t>
      </w:r>
    </w:p>
    <w:p w:rsidR="00C645C9" w:rsidRDefault="00F955D9">
      <w:pPr>
        <w:widowControl w:val="0"/>
        <w:numPr>
          <w:ilvl w:val="0"/>
          <w:numId w:val="3"/>
        </w:numPr>
        <w:adjustRightInd w:val="0"/>
        <w:snapToGrid w:val="0"/>
        <w:spacing w:line="360" w:lineRule="auto"/>
        <w:ind w:firstLineChars="200" w:firstLine="480"/>
        <w:jc w:val="both"/>
        <w:rPr>
          <w:rFonts w:cs="Times New Roman"/>
          <w:kern w:val="2"/>
          <w:szCs w:val="20"/>
        </w:rPr>
      </w:pPr>
      <w:r>
        <w:rPr>
          <w:rFonts w:cs="Times New Roman"/>
          <w:kern w:val="2"/>
          <w:szCs w:val="20"/>
        </w:rPr>
        <w:t>防渗措施</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建设单位须做好场区分区防渗措施。按重点防渗区、一般防渗区分别采取不同等级的防渗措施，防渗层尽量在地表铺设，防渗材料可根据具体防渗区域拟选取</w:t>
      </w:r>
      <w:r>
        <w:rPr>
          <w:rFonts w:cs="Times New Roman"/>
          <w:kern w:val="2"/>
          <w:szCs w:val="21"/>
        </w:rPr>
        <w:t>H</w:t>
      </w:r>
      <w:r>
        <w:rPr>
          <w:rFonts w:cs="Times New Roman"/>
          <w:kern w:val="2"/>
          <w:szCs w:val="21"/>
        </w:rPr>
        <w:t>DPE</w:t>
      </w:r>
      <w:r>
        <w:rPr>
          <w:rFonts w:cs="Times New Roman"/>
          <w:kern w:val="2"/>
          <w:szCs w:val="21"/>
        </w:rPr>
        <w:t>或其他防渗材料，按照污染防治分区采取不同的设计方案。</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为防止对地下水污染，针对井场施工期间工程特点，</w:t>
      </w:r>
      <w:r>
        <w:rPr>
          <w:rFonts w:cs="Times New Roman"/>
          <w:kern w:val="2"/>
          <w:szCs w:val="20"/>
        </w:rPr>
        <w:t>根据</w:t>
      </w:r>
      <w:r>
        <w:rPr>
          <w:rFonts w:cs="Times New Roman"/>
          <w:kern w:val="2"/>
          <w:szCs w:val="20"/>
        </w:rPr>
        <w:t>《环境影响评价技术导则</w:t>
      </w:r>
      <w:r>
        <w:rPr>
          <w:rFonts w:cs="Times New Roman"/>
          <w:kern w:val="2"/>
          <w:szCs w:val="20"/>
        </w:rPr>
        <w:t xml:space="preserve"> </w:t>
      </w:r>
      <w:r>
        <w:rPr>
          <w:rFonts w:cs="Times New Roman"/>
          <w:kern w:val="2"/>
          <w:szCs w:val="20"/>
        </w:rPr>
        <w:t>地下水环境》</w:t>
      </w:r>
      <w:r>
        <w:rPr>
          <w:rFonts w:cs="Times New Roman" w:hint="eastAsia"/>
          <w:kern w:val="2"/>
          <w:szCs w:val="20"/>
        </w:rPr>
        <w:t>（</w:t>
      </w:r>
      <w:r>
        <w:rPr>
          <w:rFonts w:cs="Times New Roman"/>
          <w:kern w:val="2"/>
          <w:szCs w:val="20"/>
        </w:rPr>
        <w:t>HJ610-2016</w:t>
      </w:r>
      <w:r>
        <w:rPr>
          <w:rFonts w:cs="Times New Roman" w:hint="eastAsia"/>
          <w:kern w:val="2"/>
          <w:szCs w:val="20"/>
        </w:rPr>
        <w:t>）</w:t>
      </w:r>
      <w:r>
        <w:rPr>
          <w:rFonts w:cs="Times New Roman"/>
          <w:kern w:val="2"/>
          <w:szCs w:val="20"/>
        </w:rPr>
        <w:t>《环境影响评价技术导则</w:t>
      </w:r>
      <w:r>
        <w:rPr>
          <w:rFonts w:cs="Times New Roman"/>
          <w:kern w:val="2"/>
          <w:szCs w:val="20"/>
        </w:rPr>
        <w:t xml:space="preserve"> </w:t>
      </w:r>
      <w:r>
        <w:rPr>
          <w:rFonts w:cs="Times New Roman"/>
          <w:kern w:val="2"/>
          <w:szCs w:val="20"/>
        </w:rPr>
        <w:t>陆地石油天然气开发建设项目》（</w:t>
      </w:r>
      <w:r>
        <w:rPr>
          <w:rFonts w:cs="Times New Roman"/>
          <w:kern w:val="2"/>
          <w:szCs w:val="20"/>
        </w:rPr>
        <w:t>HJ349-2023</w:t>
      </w:r>
      <w:r>
        <w:rPr>
          <w:rFonts w:cs="Times New Roman"/>
          <w:kern w:val="2"/>
          <w:szCs w:val="20"/>
        </w:rPr>
        <w:t>），将钻井期井场进行分区防渗，其中钻井工程基础区域、放喷池、应急池、油罐区、危险废物</w:t>
      </w:r>
      <w:r>
        <w:rPr>
          <w:rFonts w:cs="Times New Roman"/>
          <w:kern w:val="2"/>
          <w:szCs w:val="20"/>
        </w:rPr>
        <w:t>暂存间</w:t>
      </w:r>
      <w:r>
        <w:rPr>
          <w:rFonts w:cs="Times New Roman"/>
          <w:kern w:val="2"/>
          <w:szCs w:val="20"/>
        </w:rPr>
        <w:t>等划分为重点</w:t>
      </w:r>
      <w:r>
        <w:rPr>
          <w:rFonts w:cs="Times New Roman"/>
          <w:kern w:val="2"/>
          <w:szCs w:val="20"/>
        </w:rPr>
        <w:t>防渗</w:t>
      </w:r>
      <w:r>
        <w:rPr>
          <w:rFonts w:cs="Times New Roman"/>
          <w:kern w:val="2"/>
          <w:szCs w:val="20"/>
        </w:rPr>
        <w:t>区，油罐区</w:t>
      </w:r>
      <w:r>
        <w:rPr>
          <w:rFonts w:cs="Times New Roman"/>
          <w:kern w:val="2"/>
          <w:szCs w:val="20"/>
        </w:rPr>
        <w:t>为一般防渗区，</w:t>
      </w:r>
      <w:r>
        <w:rPr>
          <w:rFonts w:cs="Times New Roman"/>
          <w:kern w:val="2"/>
          <w:szCs w:val="20"/>
        </w:rPr>
        <w:t>采取相应的防渗措施可有效避免发生渗漏事故。分区防渗方案见表</w:t>
      </w:r>
      <w:r>
        <w:rPr>
          <w:rFonts w:cs="Times New Roman"/>
          <w:kern w:val="2"/>
          <w:szCs w:val="20"/>
        </w:rPr>
        <w:t>6.</w:t>
      </w:r>
      <w:r>
        <w:rPr>
          <w:rFonts w:cs="Times New Roman"/>
          <w:kern w:val="2"/>
          <w:szCs w:val="20"/>
        </w:rPr>
        <w:t>2</w:t>
      </w:r>
      <w:r>
        <w:rPr>
          <w:rFonts w:cs="Times New Roman"/>
          <w:kern w:val="2"/>
          <w:szCs w:val="20"/>
        </w:rPr>
        <w:t>-1</w:t>
      </w:r>
      <w:r>
        <w:rPr>
          <w:rFonts w:cs="Times New Roman"/>
          <w:kern w:val="2"/>
          <w:szCs w:val="20"/>
        </w:rPr>
        <w:t>。</w:t>
      </w:r>
    </w:p>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t>表</w:t>
      </w:r>
      <w:r>
        <w:rPr>
          <w:rFonts w:eastAsia="黑体" w:cs="Times New Roman"/>
          <w:bCs/>
          <w:sz w:val="21"/>
          <w:szCs w:val="21"/>
          <w:lang w:val="zh-CN"/>
        </w:rPr>
        <w:t>6.</w:t>
      </w:r>
      <w:r>
        <w:rPr>
          <w:rFonts w:eastAsia="黑体" w:cs="Times New Roman"/>
          <w:bCs/>
          <w:sz w:val="21"/>
          <w:szCs w:val="21"/>
        </w:rPr>
        <w:t>2</w:t>
      </w:r>
      <w:r>
        <w:rPr>
          <w:rFonts w:eastAsia="黑体" w:cs="Times New Roman"/>
          <w:bCs/>
          <w:sz w:val="21"/>
          <w:szCs w:val="21"/>
          <w:lang w:val="zh-CN"/>
        </w:rPr>
        <w:t>-1</w:t>
      </w:r>
      <w:r>
        <w:rPr>
          <w:rFonts w:eastAsia="黑体" w:cs="Times New Roman" w:hint="eastAsia"/>
          <w:bCs/>
          <w:sz w:val="21"/>
          <w:szCs w:val="21"/>
        </w:rPr>
        <w:t xml:space="preserve">   </w:t>
      </w:r>
      <w:r>
        <w:rPr>
          <w:rFonts w:eastAsia="黑体" w:cs="Times New Roman"/>
          <w:bCs/>
          <w:sz w:val="21"/>
          <w:szCs w:val="21"/>
          <w:lang w:val="zh-CN"/>
        </w:rPr>
        <w:t>分区防渗方案</w:t>
      </w:r>
    </w:p>
    <w:tbl>
      <w:tblPr>
        <w:tblW w:w="5220" w:type="pct"/>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89"/>
        <w:gridCol w:w="937"/>
        <w:gridCol w:w="4462"/>
      </w:tblGrid>
      <w:tr w:rsidR="00C645C9">
        <w:trPr>
          <w:trHeight w:val="23"/>
          <w:jc w:val="center"/>
        </w:trPr>
        <w:tc>
          <w:tcPr>
            <w:tcW w:w="1893" w:type="pct"/>
            <w:tcBorders>
              <w:tl2br w:val="nil"/>
              <w:tr2bl w:val="nil"/>
            </w:tcBorders>
          </w:tcPr>
          <w:p w:rsidR="00C645C9" w:rsidRDefault="00F955D9">
            <w:pPr>
              <w:adjustRightInd w:val="0"/>
              <w:snapToGrid w:val="0"/>
              <w:jc w:val="center"/>
              <w:rPr>
                <w:rFonts w:cs="Times New Roman"/>
                <w:sz w:val="21"/>
                <w:szCs w:val="21"/>
              </w:rPr>
            </w:pPr>
            <w:r>
              <w:rPr>
                <w:rFonts w:cs="Times New Roman"/>
                <w:sz w:val="21"/>
                <w:szCs w:val="21"/>
              </w:rPr>
              <w:t>污染源名称</w:t>
            </w:r>
          </w:p>
        </w:tc>
        <w:tc>
          <w:tcPr>
            <w:tcW w:w="539" w:type="pct"/>
            <w:tcBorders>
              <w:tl2br w:val="nil"/>
              <w:tr2bl w:val="nil"/>
            </w:tcBorders>
          </w:tcPr>
          <w:p w:rsidR="00C645C9" w:rsidRDefault="00F955D9">
            <w:pPr>
              <w:adjustRightInd w:val="0"/>
              <w:snapToGrid w:val="0"/>
              <w:jc w:val="center"/>
              <w:rPr>
                <w:rFonts w:cs="Times New Roman"/>
                <w:sz w:val="21"/>
                <w:szCs w:val="21"/>
              </w:rPr>
            </w:pPr>
            <w:r>
              <w:rPr>
                <w:rFonts w:cs="Times New Roman"/>
                <w:sz w:val="21"/>
                <w:szCs w:val="21"/>
              </w:rPr>
              <w:t>防治分区</w:t>
            </w:r>
          </w:p>
        </w:tc>
        <w:tc>
          <w:tcPr>
            <w:tcW w:w="2567" w:type="pct"/>
            <w:tcBorders>
              <w:tl2br w:val="nil"/>
              <w:tr2bl w:val="nil"/>
            </w:tcBorders>
          </w:tcPr>
          <w:p w:rsidR="00C645C9" w:rsidRDefault="00F955D9">
            <w:pPr>
              <w:adjustRightInd w:val="0"/>
              <w:snapToGrid w:val="0"/>
              <w:jc w:val="center"/>
              <w:rPr>
                <w:rFonts w:cs="Times New Roman"/>
                <w:sz w:val="21"/>
                <w:szCs w:val="21"/>
              </w:rPr>
            </w:pPr>
            <w:r>
              <w:rPr>
                <w:rFonts w:cs="Times New Roman"/>
                <w:sz w:val="21"/>
                <w:szCs w:val="21"/>
              </w:rPr>
              <w:t>防渗技术要求</w:t>
            </w:r>
          </w:p>
        </w:tc>
      </w:tr>
      <w:tr w:rsidR="00C645C9">
        <w:trPr>
          <w:trHeight w:val="23"/>
          <w:jc w:val="center"/>
        </w:trPr>
        <w:tc>
          <w:tcPr>
            <w:tcW w:w="1893" w:type="pct"/>
            <w:tcBorders>
              <w:tl2br w:val="nil"/>
              <w:tr2bl w:val="nil"/>
            </w:tcBorders>
            <w:vAlign w:val="center"/>
          </w:tcPr>
          <w:p w:rsidR="00C645C9" w:rsidRDefault="00F955D9">
            <w:pPr>
              <w:adjustRightInd w:val="0"/>
              <w:snapToGrid w:val="0"/>
              <w:jc w:val="both"/>
              <w:rPr>
                <w:rFonts w:cs="Times New Roman"/>
                <w:sz w:val="21"/>
                <w:szCs w:val="21"/>
              </w:rPr>
            </w:pPr>
            <w:r>
              <w:rPr>
                <w:rFonts w:cs="Times New Roman"/>
                <w:sz w:val="21"/>
                <w:szCs w:val="21"/>
              </w:rPr>
              <w:t>钻井工程基础区域、钻井液循环系统、清洁生产操作平台、废水池</w:t>
            </w:r>
          </w:p>
        </w:tc>
        <w:tc>
          <w:tcPr>
            <w:tcW w:w="539" w:type="pc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重点防渗</w:t>
            </w:r>
          </w:p>
        </w:tc>
        <w:tc>
          <w:tcPr>
            <w:tcW w:w="2567" w:type="pc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等效黏土防渗层</w:t>
            </w:r>
            <w:r>
              <w:rPr>
                <w:rFonts w:cs="Times New Roman"/>
                <w:sz w:val="21"/>
                <w:szCs w:val="21"/>
              </w:rPr>
              <w:t>Mb≥6.0m</w:t>
            </w:r>
            <w:r>
              <w:rPr>
                <w:rFonts w:cs="Times New Roman"/>
                <w:sz w:val="21"/>
                <w:szCs w:val="21"/>
              </w:rPr>
              <w:t>，</w:t>
            </w:r>
            <w:r>
              <w:rPr>
                <w:rFonts w:cs="Times New Roman"/>
                <w:sz w:val="21"/>
                <w:szCs w:val="21"/>
              </w:rPr>
              <w:t>K≤1×10</w:t>
            </w:r>
            <w:r>
              <w:rPr>
                <w:rFonts w:cs="Times New Roman"/>
                <w:sz w:val="21"/>
                <w:szCs w:val="21"/>
                <w:vertAlign w:val="superscript"/>
              </w:rPr>
              <w:t>-7</w:t>
            </w:r>
            <w:r>
              <w:rPr>
                <w:rFonts w:cs="Times New Roman"/>
                <w:sz w:val="21"/>
                <w:szCs w:val="21"/>
              </w:rPr>
              <w:t>cm/s</w:t>
            </w:r>
            <w:r>
              <w:rPr>
                <w:rFonts w:cs="Times New Roman"/>
                <w:sz w:val="21"/>
                <w:szCs w:val="21"/>
              </w:rPr>
              <w:t>；或参照</w:t>
            </w:r>
            <w:r>
              <w:rPr>
                <w:rFonts w:cs="Times New Roman"/>
                <w:sz w:val="21"/>
                <w:szCs w:val="21"/>
              </w:rPr>
              <w:t>GB18598</w:t>
            </w:r>
            <w:r>
              <w:rPr>
                <w:rFonts w:cs="Times New Roman"/>
                <w:sz w:val="21"/>
                <w:szCs w:val="21"/>
              </w:rPr>
              <w:t>执行</w:t>
            </w:r>
          </w:p>
        </w:tc>
      </w:tr>
      <w:tr w:rsidR="00C645C9">
        <w:trPr>
          <w:trHeight w:val="23"/>
          <w:jc w:val="center"/>
        </w:trPr>
        <w:tc>
          <w:tcPr>
            <w:tcW w:w="1893" w:type="pc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油罐区</w:t>
            </w:r>
          </w:p>
        </w:tc>
        <w:tc>
          <w:tcPr>
            <w:tcW w:w="539" w:type="pc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一般防渗</w:t>
            </w:r>
          </w:p>
        </w:tc>
        <w:tc>
          <w:tcPr>
            <w:tcW w:w="2567" w:type="pct"/>
            <w:tcBorders>
              <w:tl2br w:val="nil"/>
              <w:tr2bl w:val="nil"/>
            </w:tcBorders>
            <w:vAlign w:val="center"/>
          </w:tcPr>
          <w:p w:rsidR="00C645C9" w:rsidRDefault="00F955D9">
            <w:pPr>
              <w:adjustRightInd w:val="0"/>
              <w:snapToGrid w:val="0"/>
              <w:jc w:val="center"/>
              <w:rPr>
                <w:rFonts w:cs="Times New Roman"/>
                <w:sz w:val="21"/>
                <w:szCs w:val="21"/>
              </w:rPr>
            </w:pPr>
            <w:r>
              <w:rPr>
                <w:rFonts w:cs="Times New Roman"/>
                <w:sz w:val="21"/>
                <w:szCs w:val="21"/>
              </w:rPr>
              <w:t>等效黏土防渗层</w:t>
            </w:r>
            <w:r>
              <w:rPr>
                <w:rFonts w:cs="Times New Roman"/>
                <w:sz w:val="21"/>
                <w:szCs w:val="21"/>
              </w:rPr>
              <w:t>Mb≥1.5m</w:t>
            </w:r>
            <w:r>
              <w:rPr>
                <w:rFonts w:cs="Times New Roman"/>
                <w:sz w:val="21"/>
                <w:szCs w:val="21"/>
              </w:rPr>
              <w:t>，</w:t>
            </w:r>
            <w:r>
              <w:rPr>
                <w:rFonts w:cs="Times New Roman"/>
                <w:sz w:val="21"/>
                <w:szCs w:val="21"/>
              </w:rPr>
              <w:t>K≤1×10</w:t>
            </w:r>
            <w:r>
              <w:rPr>
                <w:rFonts w:cs="Times New Roman"/>
                <w:sz w:val="21"/>
                <w:szCs w:val="21"/>
                <w:vertAlign w:val="superscript"/>
              </w:rPr>
              <w:t>-7</w:t>
            </w:r>
            <w:r>
              <w:rPr>
                <w:rFonts w:cs="Times New Roman"/>
                <w:sz w:val="21"/>
                <w:szCs w:val="21"/>
              </w:rPr>
              <w:t>cm/s</w:t>
            </w:r>
            <w:r>
              <w:rPr>
                <w:rFonts w:cs="Times New Roman"/>
                <w:sz w:val="21"/>
                <w:szCs w:val="21"/>
              </w:rPr>
              <w:t>，或参照</w:t>
            </w:r>
            <w:r>
              <w:rPr>
                <w:rFonts w:cs="Times New Roman"/>
                <w:sz w:val="21"/>
                <w:szCs w:val="21"/>
              </w:rPr>
              <w:t>GB16889</w:t>
            </w:r>
            <w:r>
              <w:rPr>
                <w:rFonts w:cs="Times New Roman"/>
                <w:sz w:val="21"/>
                <w:szCs w:val="21"/>
              </w:rPr>
              <w:t>执行</w:t>
            </w:r>
          </w:p>
        </w:tc>
      </w:tr>
    </w:tbl>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w:t>
      </w:r>
      <w:r>
        <w:rPr>
          <w:rFonts w:cs="Times New Roman"/>
          <w:kern w:val="2"/>
          <w:szCs w:val="21"/>
        </w:rPr>
        <w:t>2</w:t>
      </w:r>
      <w:r>
        <w:rPr>
          <w:rFonts w:cs="Times New Roman"/>
          <w:kern w:val="2"/>
          <w:szCs w:val="21"/>
        </w:rPr>
        <w:t>）严格按照操作规程施工，提高固井质量，避免因发生固井质量问题造成含油污水泄漏而引起地下水污染。加强施工管理，发现问题及时解决。</w:t>
      </w:r>
    </w:p>
    <w:p w:rsidR="00C645C9" w:rsidRDefault="00F955D9">
      <w:pPr>
        <w:widowControl w:val="0"/>
        <w:adjustRightInd w:val="0"/>
        <w:snapToGrid w:val="0"/>
        <w:spacing w:line="360" w:lineRule="auto"/>
        <w:ind w:firstLineChars="200" w:firstLine="480"/>
        <w:jc w:val="both"/>
        <w:rPr>
          <w:rFonts w:cs="Times New Roman"/>
          <w:kern w:val="2"/>
          <w:szCs w:val="21"/>
        </w:rPr>
      </w:pPr>
      <w:r>
        <w:rPr>
          <w:rFonts w:cs="Times New Roman"/>
          <w:kern w:val="2"/>
          <w:szCs w:val="21"/>
        </w:rPr>
        <w:t>（</w:t>
      </w:r>
      <w:r>
        <w:rPr>
          <w:rFonts w:cs="Times New Roman"/>
          <w:kern w:val="2"/>
          <w:szCs w:val="21"/>
        </w:rPr>
        <w:t>3</w:t>
      </w:r>
      <w:r>
        <w:rPr>
          <w:rFonts w:cs="Times New Roman"/>
          <w:kern w:val="2"/>
          <w:szCs w:val="21"/>
        </w:rPr>
        <w:t>）钻井架底座表面应有导流槽，保证钻井废水全</w:t>
      </w:r>
      <w:r>
        <w:rPr>
          <w:rFonts w:cs="Times New Roman" w:hint="eastAsia"/>
          <w:kern w:val="2"/>
          <w:szCs w:val="21"/>
        </w:rPr>
        <w:t>部投</w:t>
      </w:r>
      <w:r>
        <w:rPr>
          <w:rFonts w:cs="Times New Roman"/>
          <w:kern w:val="2"/>
          <w:szCs w:val="21"/>
        </w:rPr>
        <w:t>入泥浆不落地装置中，无随意漫流现象，杜绝钻井泥浆流失。</w:t>
      </w:r>
    </w:p>
    <w:p w:rsidR="00C645C9" w:rsidRDefault="00F955D9">
      <w:pPr>
        <w:widowControl w:val="0"/>
        <w:adjustRightInd w:val="0"/>
        <w:snapToGrid w:val="0"/>
        <w:spacing w:line="360" w:lineRule="auto"/>
        <w:ind w:firstLineChars="200" w:firstLine="480"/>
        <w:jc w:val="both"/>
        <w:rPr>
          <w:lang w:eastAsia="en-US"/>
        </w:rPr>
      </w:pPr>
      <w:r>
        <w:rPr>
          <w:rFonts w:cs="Times New Roman"/>
          <w:kern w:val="2"/>
          <w:szCs w:val="21"/>
        </w:rPr>
        <w:t>（</w:t>
      </w:r>
      <w:r>
        <w:rPr>
          <w:rFonts w:cs="Times New Roman"/>
          <w:kern w:val="2"/>
          <w:szCs w:val="21"/>
        </w:rPr>
        <w:t>4</w:t>
      </w:r>
      <w:r>
        <w:rPr>
          <w:rFonts w:cs="Times New Roman"/>
          <w:kern w:val="2"/>
          <w:szCs w:val="21"/>
        </w:rPr>
        <w:t>）建议在泥浆循环罐周围设置约</w:t>
      </w:r>
      <w:r>
        <w:rPr>
          <w:rFonts w:cs="Times New Roman"/>
          <w:kern w:val="2"/>
          <w:szCs w:val="21"/>
        </w:rPr>
        <w:t>50cm</w:t>
      </w:r>
      <w:r>
        <w:rPr>
          <w:rFonts w:cs="Times New Roman"/>
          <w:kern w:val="2"/>
          <w:szCs w:val="21"/>
        </w:rPr>
        <w:t>～</w:t>
      </w:r>
      <w:r>
        <w:rPr>
          <w:rFonts w:cs="Times New Roman"/>
          <w:kern w:val="2"/>
          <w:szCs w:val="21"/>
        </w:rPr>
        <w:t>60cm</w:t>
      </w:r>
      <w:r>
        <w:rPr>
          <w:rFonts w:cs="Times New Roman"/>
          <w:kern w:val="2"/>
          <w:szCs w:val="21"/>
        </w:rPr>
        <w:t>防渗污水收集渠或事故截污沟，阻止暴雨时或其他事故情况下池水满溢外排。</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150" w:history="1">
        <w:r>
          <w:rPr>
            <w:rFonts w:cs="Times New Roman" w:hint="eastAsia"/>
            <w:b/>
            <w:snapToGrid w:val="0"/>
            <w:sz w:val="28"/>
            <w:szCs w:val="21"/>
            <w:lang w:eastAsia="en-US"/>
          </w:rPr>
          <w:t>6.2.2</w:t>
        </w:r>
        <w:r>
          <w:rPr>
            <w:rFonts w:cs="Times New Roman" w:hint="eastAsia"/>
            <w:b/>
            <w:snapToGrid w:val="0"/>
            <w:sz w:val="28"/>
            <w:szCs w:val="21"/>
            <w:lang w:eastAsia="en-US"/>
          </w:rPr>
          <w:t>运营期</w:t>
        </w:r>
        <w:r>
          <w:rPr>
            <w:rFonts w:cs="Times New Roman" w:hint="eastAsia"/>
            <w:b/>
            <w:snapToGrid w:val="0"/>
            <w:sz w:val="28"/>
            <w:szCs w:val="21"/>
          </w:rPr>
          <w:t>地下</w:t>
        </w:r>
        <w:r>
          <w:rPr>
            <w:rFonts w:cs="Times New Roman" w:hint="eastAsia"/>
            <w:b/>
            <w:snapToGrid w:val="0"/>
            <w:sz w:val="28"/>
            <w:szCs w:val="21"/>
            <w:lang w:eastAsia="en-US"/>
          </w:rPr>
          <w:t>水环境保护措施</w:t>
        </w:r>
      </w:hyperlink>
    </w:p>
    <w:p w:rsidR="00C645C9" w:rsidRDefault="00F955D9">
      <w:pPr>
        <w:keepLines/>
        <w:adjustRightInd w:val="0"/>
        <w:snapToGrid w:val="0"/>
        <w:spacing w:line="360" w:lineRule="auto"/>
        <w:outlineLvl w:val="3"/>
        <w:rPr>
          <w:rFonts w:cs="Times New Roman"/>
          <w:b/>
        </w:rPr>
      </w:pPr>
      <w:r>
        <w:rPr>
          <w:rFonts w:cs="Times New Roman"/>
          <w:b/>
        </w:rPr>
        <w:t>6.2.2</w:t>
      </w:r>
      <w:r>
        <w:rPr>
          <w:rFonts w:cs="Times New Roman"/>
          <w:b/>
        </w:rPr>
        <w:t>.1</w:t>
      </w:r>
      <w:r>
        <w:rPr>
          <w:rFonts w:cs="Times New Roman"/>
          <w:b/>
        </w:rPr>
        <w:t>源头控制措施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lang w:bidi="ar"/>
        </w:rPr>
        <w:t>选择先进、成熟、可靠的工艺技术，对产生的废物进行合理的回用和治理，尽可能从源头上减少污染物排放；严格按照国家相关规范要求，对井场、站场、管道的装置等采取相应措施，以防止和降低污染物的跑、冒、滴、漏，降低风险事故，尽量减少地下水污染。</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①</w:t>
      </w:r>
      <w:r>
        <w:rPr>
          <w:rFonts w:cs="Times New Roman" w:hint="eastAsia"/>
          <w:kern w:val="2"/>
          <w:szCs w:val="20"/>
          <w:lang w:bidi="ar"/>
        </w:rPr>
        <w:t>少量</w:t>
      </w:r>
      <w:r>
        <w:rPr>
          <w:rFonts w:cs="Times New Roman"/>
          <w:kern w:val="2"/>
          <w:szCs w:val="20"/>
          <w:lang w:bidi="ar"/>
        </w:rPr>
        <w:t>采出水依托</w:t>
      </w:r>
      <w:r>
        <w:rPr>
          <w:rFonts w:cs="Times New Roman" w:hint="eastAsia"/>
          <w:kern w:val="2"/>
          <w:szCs w:val="20"/>
          <w:lang w:bidi="ar"/>
        </w:rPr>
        <w:t>塔河油田绿色环保工作站</w:t>
      </w:r>
      <w:r>
        <w:rPr>
          <w:rFonts w:cs="Times New Roman"/>
          <w:kern w:val="2"/>
          <w:szCs w:val="20"/>
          <w:lang w:bidi="ar"/>
        </w:rPr>
        <w:t>水处理系统处理，经处理满足《碎屑岩油藏注水水质指标技术要求及分析方法》（</w:t>
      </w:r>
      <w:r>
        <w:rPr>
          <w:rFonts w:cs="Times New Roman"/>
          <w:kern w:val="2"/>
          <w:szCs w:val="20"/>
          <w:lang w:bidi="ar"/>
        </w:rPr>
        <w:t>SY/T5329-2022</w:t>
      </w:r>
      <w:r>
        <w:rPr>
          <w:rFonts w:cs="Times New Roman"/>
          <w:kern w:val="2"/>
          <w:szCs w:val="20"/>
          <w:lang w:bidi="ar"/>
        </w:rPr>
        <w:t>）标准中指标后回注</w:t>
      </w:r>
      <w:r>
        <w:rPr>
          <w:rFonts w:cs="Times New Roman"/>
          <w:kern w:val="2"/>
          <w:szCs w:val="20"/>
          <w:lang w:bidi="ar"/>
        </w:rPr>
        <w:t>地下</w:t>
      </w:r>
      <w:r>
        <w:rPr>
          <w:rFonts w:cs="Times New Roman"/>
          <w:kern w:val="2"/>
          <w:szCs w:val="20"/>
          <w:lang w:bidi="ar"/>
        </w:rPr>
        <w:t>，不外排。</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lastRenderedPageBreak/>
        <w:t>②</w:t>
      </w:r>
      <w:r>
        <w:rPr>
          <w:rFonts w:cs="Times New Roman"/>
          <w:kern w:val="2"/>
          <w:szCs w:val="20"/>
          <w:lang w:bidi="ar"/>
        </w:rPr>
        <w:t>定期对井场</w:t>
      </w:r>
      <w:r>
        <w:rPr>
          <w:rFonts w:cs="Times New Roman"/>
          <w:kern w:val="2"/>
          <w:szCs w:val="20"/>
          <w:lang w:bidi="ar"/>
        </w:rPr>
        <w:t>、</w:t>
      </w:r>
      <w:r>
        <w:rPr>
          <w:rFonts w:cs="Times New Roman" w:hint="eastAsia"/>
          <w:kern w:val="2"/>
          <w:szCs w:val="20"/>
          <w:lang w:bidi="ar"/>
        </w:rPr>
        <w:t>储罐</w:t>
      </w:r>
      <w:r>
        <w:rPr>
          <w:rFonts w:cs="Times New Roman"/>
          <w:kern w:val="2"/>
          <w:szCs w:val="20"/>
          <w:lang w:bidi="ar"/>
        </w:rPr>
        <w:t>、管线</w:t>
      </w:r>
      <w:r>
        <w:rPr>
          <w:rFonts w:cs="Times New Roman"/>
          <w:kern w:val="2"/>
          <w:szCs w:val="20"/>
          <w:lang w:bidi="ar"/>
        </w:rPr>
        <w:t>的设备、阀门等进行检查，一旦发现异常，及时采取措施，防止凝析油</w:t>
      </w:r>
      <w:r>
        <w:rPr>
          <w:rFonts w:cs="Times New Roman"/>
          <w:kern w:val="2"/>
          <w:szCs w:val="20"/>
          <w:lang w:bidi="ar"/>
        </w:rPr>
        <w:t>“</w:t>
      </w:r>
      <w:r>
        <w:rPr>
          <w:rFonts w:cs="Times New Roman"/>
          <w:kern w:val="2"/>
          <w:szCs w:val="20"/>
          <w:lang w:bidi="ar"/>
        </w:rPr>
        <w:t>跑、冒、滴、漏</w:t>
      </w:r>
      <w:r>
        <w:rPr>
          <w:rFonts w:cs="Times New Roman"/>
          <w:kern w:val="2"/>
          <w:szCs w:val="20"/>
          <w:lang w:bidi="ar"/>
        </w:rPr>
        <w:t>”</w:t>
      </w:r>
      <w:r>
        <w:rPr>
          <w:rFonts w:cs="Times New Roman"/>
          <w:kern w:val="2"/>
          <w:szCs w:val="20"/>
          <w:lang w:bidi="ar"/>
        </w:rPr>
        <w:t>的发生。</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③</w:t>
      </w:r>
      <w:r>
        <w:rPr>
          <w:rFonts w:cs="Times New Roman"/>
          <w:kern w:val="2"/>
          <w:szCs w:val="20"/>
          <w:lang w:bidi="ar"/>
        </w:rPr>
        <w:t>定期对</w:t>
      </w:r>
      <w:r>
        <w:rPr>
          <w:rFonts w:cs="Times New Roman" w:hint="eastAsia"/>
          <w:kern w:val="2"/>
          <w:szCs w:val="20"/>
          <w:lang w:bidi="ar"/>
        </w:rPr>
        <w:t>站内</w:t>
      </w:r>
      <w:r>
        <w:rPr>
          <w:rFonts w:cs="Times New Roman"/>
          <w:kern w:val="2"/>
          <w:szCs w:val="20"/>
          <w:lang w:bidi="ar"/>
        </w:rPr>
        <w:t>管道进行检查，一旦发现异常，及时更换，尽量杜绝</w:t>
      </w:r>
      <w:r>
        <w:rPr>
          <w:rFonts w:cs="Times New Roman"/>
          <w:kern w:val="2"/>
          <w:szCs w:val="20"/>
          <w:lang w:bidi="ar"/>
        </w:rPr>
        <w:t>“</w:t>
      </w:r>
      <w:r>
        <w:rPr>
          <w:rFonts w:cs="Times New Roman"/>
          <w:kern w:val="2"/>
          <w:szCs w:val="20"/>
          <w:lang w:bidi="ar"/>
        </w:rPr>
        <w:t>跑、冒、滴、漏</w:t>
      </w:r>
      <w:r>
        <w:rPr>
          <w:rFonts w:cs="Times New Roman"/>
          <w:kern w:val="2"/>
          <w:szCs w:val="20"/>
          <w:lang w:bidi="ar"/>
        </w:rPr>
        <w:t>”</w:t>
      </w:r>
      <w:r>
        <w:rPr>
          <w:rFonts w:cs="Times New Roman"/>
          <w:kern w:val="2"/>
          <w:szCs w:val="20"/>
          <w:lang w:bidi="ar"/>
        </w:rPr>
        <w:t>的发生，并随时做好抢修准备，加强抢修队伍的训练和工作演练。</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④</w:t>
      </w:r>
      <w:r>
        <w:rPr>
          <w:rFonts w:cs="Times New Roman"/>
          <w:kern w:val="2"/>
          <w:szCs w:val="20"/>
          <w:lang w:bidi="ar"/>
        </w:rPr>
        <w:t>生产</w:t>
      </w:r>
      <w:r>
        <w:rPr>
          <w:rFonts w:cs="Times New Roman"/>
          <w:kern w:val="2"/>
          <w:szCs w:val="20"/>
          <w:lang w:bidi="ar"/>
        </w:rPr>
        <w:t>井运行期间应参照《石油天然气工业套管和油管的维护与使用》（</w:t>
      </w:r>
      <w:r>
        <w:rPr>
          <w:rFonts w:cs="Times New Roman"/>
          <w:kern w:val="2"/>
          <w:szCs w:val="20"/>
          <w:lang w:bidi="ar"/>
        </w:rPr>
        <w:t xml:space="preserve">GB/T </w:t>
      </w:r>
      <w:r>
        <w:rPr>
          <w:rFonts w:cs="Times New Roman"/>
          <w:kern w:val="2"/>
          <w:szCs w:val="20"/>
          <w:lang w:bidi="ar"/>
        </w:rPr>
        <w:t>17745-2011</w:t>
      </w:r>
      <w:r>
        <w:rPr>
          <w:rFonts w:cs="Times New Roman"/>
          <w:kern w:val="2"/>
          <w:szCs w:val="20"/>
          <w:lang w:bidi="ar"/>
        </w:rPr>
        <w:t>）要求进行井筒完整性管理，定期开展井筒完整性检查。定期对</w:t>
      </w:r>
      <w:r>
        <w:rPr>
          <w:rFonts w:cs="Times New Roman" w:hint="eastAsia"/>
          <w:kern w:val="2"/>
          <w:szCs w:val="20"/>
          <w:lang w:bidi="ar"/>
        </w:rPr>
        <w:t>采气</w:t>
      </w:r>
      <w:r>
        <w:rPr>
          <w:rFonts w:cs="Times New Roman"/>
          <w:kern w:val="2"/>
          <w:szCs w:val="20"/>
          <w:lang w:bidi="ar"/>
        </w:rPr>
        <w:t>井的固井质量进行检查，若发现固井质量不合格，先查明固井质量不合格的原因，并及时采取一系列的修整措施，保证固井质量合格，防止发生油水窜层等事故；发现异常情况及时处理，防止污染地下水。</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⑤</w:t>
      </w:r>
      <w:r>
        <w:rPr>
          <w:rFonts w:cs="Times New Roman"/>
          <w:kern w:val="2"/>
          <w:szCs w:val="20"/>
          <w:lang w:bidi="ar"/>
        </w:rPr>
        <w:t>修井作业时，要严格加强防污染措施。起油管前要打开泄油器，管内油水进入废液罐，蒸汽吹扫油管、油杆的污油、污水等全部回收至废液罐回收，严禁流入井场。</w:t>
      </w:r>
    </w:p>
    <w:p w:rsidR="00C645C9" w:rsidRDefault="00F955D9">
      <w:pPr>
        <w:keepLines/>
        <w:adjustRightInd w:val="0"/>
        <w:snapToGrid w:val="0"/>
        <w:spacing w:line="360" w:lineRule="auto"/>
        <w:outlineLvl w:val="3"/>
        <w:rPr>
          <w:rFonts w:cs="Times New Roman"/>
          <w:b/>
        </w:rPr>
      </w:pPr>
      <w:r>
        <w:rPr>
          <w:rFonts w:cs="Times New Roman"/>
          <w:b/>
        </w:rPr>
        <w:t>6.2.2</w:t>
      </w:r>
      <w:r>
        <w:rPr>
          <w:rFonts w:cs="Times New Roman"/>
          <w:b/>
        </w:rPr>
        <w:t>.2</w:t>
      </w:r>
      <w:r>
        <w:rPr>
          <w:rFonts w:cs="Times New Roman"/>
          <w:b/>
        </w:rPr>
        <w:t>分区防治措施</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对井场可能泄漏污染物的污染区地面进行防渗处理，并及时将泄漏</w:t>
      </w:r>
      <w:r>
        <w:rPr>
          <w:rFonts w:cs="Times New Roman"/>
          <w:kern w:val="2"/>
          <w:szCs w:val="20"/>
          <w:lang w:bidi="ar"/>
        </w:rPr>
        <w:t>/</w:t>
      </w:r>
      <w:r>
        <w:rPr>
          <w:rFonts w:cs="Times New Roman"/>
          <w:kern w:val="2"/>
          <w:szCs w:val="20"/>
          <w:lang w:bidi="ar"/>
        </w:rPr>
        <w:t>渗漏的污染物收集起来进行处理，可有效防止洒落地面的污染物渗入地下。根据《环境影响评价技术导则</w:t>
      </w:r>
      <w:r>
        <w:rPr>
          <w:rFonts w:cs="Times New Roman"/>
          <w:kern w:val="2"/>
          <w:szCs w:val="20"/>
          <w:lang w:bidi="ar"/>
        </w:rPr>
        <w:t xml:space="preserve"> </w:t>
      </w:r>
      <w:r>
        <w:rPr>
          <w:rFonts w:cs="Times New Roman"/>
          <w:kern w:val="2"/>
          <w:szCs w:val="20"/>
          <w:lang w:bidi="ar"/>
        </w:rPr>
        <w:t>地下水环境》（</w:t>
      </w:r>
      <w:r>
        <w:rPr>
          <w:rFonts w:cs="Times New Roman"/>
          <w:kern w:val="2"/>
          <w:szCs w:val="20"/>
          <w:lang w:bidi="ar"/>
        </w:rPr>
        <w:t>HJ610-2016</w:t>
      </w:r>
      <w:r>
        <w:rPr>
          <w:rFonts w:cs="Times New Roman"/>
          <w:kern w:val="2"/>
          <w:szCs w:val="20"/>
          <w:lang w:bidi="ar"/>
        </w:rPr>
        <w:t>），分区防控措施应满足以下要求：</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①</w:t>
      </w:r>
      <w:r>
        <w:rPr>
          <w:rFonts w:cs="Times New Roman"/>
          <w:kern w:val="2"/>
          <w:szCs w:val="20"/>
          <w:lang w:bidi="ar"/>
        </w:rPr>
        <w:t>已颁布污染控制国家标准或防渗技术规范的行业，水平防渗技术要求按照相应标准或规范执行，如</w:t>
      </w:r>
      <w:r>
        <w:rPr>
          <w:rFonts w:cs="Times New Roman"/>
          <w:kern w:val="2"/>
          <w:szCs w:val="20"/>
          <w:lang w:bidi="ar"/>
        </w:rPr>
        <w:t>GB16889</w:t>
      </w:r>
      <w:r>
        <w:rPr>
          <w:rFonts w:cs="Times New Roman"/>
          <w:kern w:val="2"/>
          <w:szCs w:val="20"/>
          <w:lang w:bidi="ar"/>
        </w:rPr>
        <w:t>、</w:t>
      </w:r>
      <w:r>
        <w:rPr>
          <w:rFonts w:cs="Times New Roman"/>
          <w:kern w:val="2"/>
          <w:szCs w:val="20"/>
          <w:lang w:bidi="ar"/>
        </w:rPr>
        <w:t>GB18597</w:t>
      </w:r>
      <w:r>
        <w:rPr>
          <w:rFonts w:cs="Times New Roman"/>
          <w:kern w:val="2"/>
          <w:szCs w:val="20"/>
          <w:lang w:bidi="ar"/>
        </w:rPr>
        <w:t>、</w:t>
      </w:r>
      <w:r>
        <w:rPr>
          <w:rFonts w:cs="Times New Roman"/>
          <w:kern w:val="2"/>
          <w:szCs w:val="20"/>
          <w:lang w:bidi="ar"/>
        </w:rPr>
        <w:t>GB18598</w:t>
      </w:r>
      <w:r>
        <w:rPr>
          <w:rFonts w:cs="Times New Roman"/>
          <w:kern w:val="2"/>
          <w:szCs w:val="20"/>
          <w:lang w:bidi="ar"/>
        </w:rPr>
        <w:t>、</w:t>
      </w:r>
      <w:r>
        <w:rPr>
          <w:rFonts w:cs="Times New Roman"/>
          <w:kern w:val="2"/>
          <w:szCs w:val="20"/>
          <w:lang w:bidi="ar"/>
        </w:rPr>
        <w:t>GB18599</w:t>
      </w:r>
      <w:r>
        <w:rPr>
          <w:rFonts w:cs="Times New Roman"/>
          <w:kern w:val="2"/>
          <w:szCs w:val="20"/>
          <w:lang w:bidi="ar"/>
        </w:rPr>
        <w:t>、</w:t>
      </w:r>
      <w:r>
        <w:rPr>
          <w:rFonts w:cs="Times New Roman"/>
          <w:kern w:val="2"/>
          <w:szCs w:val="20"/>
          <w:lang w:bidi="ar"/>
        </w:rPr>
        <w:t>GB/T50934</w:t>
      </w:r>
      <w:r>
        <w:rPr>
          <w:rFonts w:cs="Times New Roman"/>
          <w:kern w:val="2"/>
          <w:szCs w:val="20"/>
          <w:lang w:bidi="ar"/>
        </w:rPr>
        <w:t>等。</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lang w:bidi="ar"/>
        </w:rPr>
        <w:t>②</w:t>
      </w:r>
      <w:r>
        <w:rPr>
          <w:rFonts w:cs="Times New Roman"/>
          <w:kern w:val="2"/>
          <w:szCs w:val="20"/>
          <w:lang w:bidi="ar"/>
        </w:rPr>
        <w:t>未颁布相关标准的行业，根据预测结果和场地包气带特征及其防污性能，提出防渗技术要求或根据建设项目场地天然包气带防污</w:t>
      </w:r>
      <w:r>
        <w:rPr>
          <w:rFonts w:cs="Times New Roman"/>
          <w:kern w:val="2"/>
          <w:szCs w:val="20"/>
          <w:lang w:bidi="ar"/>
        </w:rPr>
        <w:t>性能、污染控制难易程度和污染物特性，提出防渗技术要求。</w:t>
      </w:r>
    </w:p>
    <w:p w:rsidR="00C645C9" w:rsidRDefault="00F955D9">
      <w:pPr>
        <w:widowControl w:val="0"/>
        <w:adjustRightInd w:val="0"/>
        <w:snapToGrid w:val="0"/>
        <w:spacing w:line="360" w:lineRule="auto"/>
        <w:ind w:firstLineChars="200" w:firstLine="480"/>
        <w:jc w:val="both"/>
        <w:rPr>
          <w:rFonts w:cs="Times New Roman"/>
          <w:kern w:val="2"/>
          <w:szCs w:val="20"/>
          <w:lang w:bidi="ar"/>
        </w:rPr>
      </w:pPr>
      <w:r>
        <w:rPr>
          <w:rFonts w:cs="Times New Roman"/>
          <w:kern w:val="2"/>
          <w:szCs w:val="20"/>
        </w:rPr>
        <w:t>本工程不属于已颁布污染控制国家标准或防渗技术规范的行业，分区防控措施应根据《环境影响评价技术导则</w:t>
      </w:r>
      <w:r>
        <w:rPr>
          <w:rFonts w:cs="Times New Roman"/>
          <w:kern w:val="2"/>
          <w:szCs w:val="20"/>
        </w:rPr>
        <w:t xml:space="preserve"> </w:t>
      </w:r>
      <w:r>
        <w:rPr>
          <w:rFonts w:cs="Times New Roman"/>
          <w:kern w:val="2"/>
          <w:szCs w:val="20"/>
        </w:rPr>
        <w:t>地下水环境》（</w:t>
      </w:r>
      <w:r>
        <w:rPr>
          <w:rFonts w:cs="Times New Roman"/>
          <w:kern w:val="2"/>
          <w:szCs w:val="20"/>
        </w:rPr>
        <w:t>HJ 610-2016</w:t>
      </w:r>
      <w:r>
        <w:rPr>
          <w:rFonts w:cs="Times New Roman"/>
          <w:kern w:val="2"/>
          <w:szCs w:val="20"/>
        </w:rPr>
        <w:t>）中污染控制难易程度分级参照表、天然包气带防污性能分级参照表、地下水污染防渗分区参照表，提出防渗技术要求。</w:t>
      </w:r>
    </w:p>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t>表</w:t>
      </w:r>
      <w:r>
        <w:rPr>
          <w:rFonts w:eastAsia="黑体" w:cs="Times New Roman" w:hint="eastAsia"/>
          <w:bCs/>
          <w:sz w:val="21"/>
          <w:szCs w:val="21"/>
          <w:lang w:val="zh-CN"/>
        </w:rPr>
        <w:t>6.2</w:t>
      </w:r>
      <w:r>
        <w:rPr>
          <w:rFonts w:eastAsia="黑体" w:cs="Times New Roman"/>
          <w:bCs/>
          <w:sz w:val="21"/>
          <w:szCs w:val="21"/>
          <w:lang w:val="zh-CN"/>
        </w:rPr>
        <w:t>-</w:t>
      </w:r>
      <w:r>
        <w:rPr>
          <w:rFonts w:eastAsia="黑体" w:cs="Times New Roman" w:hint="eastAsia"/>
          <w:bCs/>
          <w:sz w:val="21"/>
          <w:szCs w:val="21"/>
        </w:rPr>
        <w:t xml:space="preserve">2   </w:t>
      </w:r>
      <w:r>
        <w:rPr>
          <w:rFonts w:eastAsia="黑体" w:cs="Times New Roman"/>
          <w:bCs/>
          <w:sz w:val="21"/>
          <w:szCs w:val="21"/>
          <w:lang w:val="zh-CN"/>
        </w:rPr>
        <w:t>污染控制难易程度分级参照表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6568"/>
      </w:tblGrid>
      <w:tr w:rsidR="00C645C9">
        <w:tc>
          <w:tcPr>
            <w:tcW w:w="1145" w:type="pct"/>
            <w:vAlign w:val="center"/>
          </w:tcPr>
          <w:p w:rsidR="00C645C9" w:rsidRDefault="00F955D9">
            <w:pPr>
              <w:adjustRightInd w:val="0"/>
              <w:snapToGrid w:val="0"/>
              <w:jc w:val="center"/>
              <w:rPr>
                <w:rFonts w:cs="Times New Roman"/>
                <w:sz w:val="21"/>
                <w:szCs w:val="21"/>
              </w:rPr>
            </w:pPr>
            <w:r>
              <w:rPr>
                <w:rFonts w:cs="Times New Roman"/>
                <w:sz w:val="21"/>
                <w:szCs w:val="21"/>
              </w:rPr>
              <w:t>污染控制难易程度</w:t>
            </w:r>
          </w:p>
        </w:tc>
        <w:tc>
          <w:tcPr>
            <w:tcW w:w="3854" w:type="pct"/>
            <w:vAlign w:val="center"/>
          </w:tcPr>
          <w:p w:rsidR="00C645C9" w:rsidRDefault="00F955D9">
            <w:pPr>
              <w:adjustRightInd w:val="0"/>
              <w:snapToGrid w:val="0"/>
              <w:jc w:val="center"/>
              <w:rPr>
                <w:rFonts w:cs="Times New Roman"/>
                <w:sz w:val="21"/>
                <w:szCs w:val="21"/>
              </w:rPr>
            </w:pPr>
            <w:r>
              <w:rPr>
                <w:rFonts w:cs="Times New Roman"/>
                <w:sz w:val="21"/>
                <w:szCs w:val="21"/>
              </w:rPr>
              <w:t>主要特征</w:t>
            </w:r>
          </w:p>
        </w:tc>
      </w:tr>
      <w:tr w:rsidR="00C645C9">
        <w:tc>
          <w:tcPr>
            <w:tcW w:w="1145" w:type="pct"/>
            <w:vAlign w:val="center"/>
          </w:tcPr>
          <w:p w:rsidR="00C645C9" w:rsidRDefault="00F955D9">
            <w:pPr>
              <w:adjustRightInd w:val="0"/>
              <w:snapToGrid w:val="0"/>
              <w:jc w:val="center"/>
              <w:rPr>
                <w:rFonts w:cs="Times New Roman"/>
                <w:sz w:val="21"/>
                <w:szCs w:val="21"/>
              </w:rPr>
            </w:pPr>
            <w:r>
              <w:rPr>
                <w:rFonts w:cs="Times New Roman"/>
                <w:sz w:val="21"/>
                <w:szCs w:val="21"/>
              </w:rPr>
              <w:t>难</w:t>
            </w:r>
          </w:p>
        </w:tc>
        <w:tc>
          <w:tcPr>
            <w:tcW w:w="3854" w:type="pct"/>
            <w:vAlign w:val="center"/>
          </w:tcPr>
          <w:p w:rsidR="00C645C9" w:rsidRDefault="00F955D9">
            <w:pPr>
              <w:adjustRightInd w:val="0"/>
              <w:snapToGrid w:val="0"/>
              <w:jc w:val="center"/>
              <w:rPr>
                <w:rFonts w:cs="Times New Roman"/>
                <w:sz w:val="21"/>
                <w:szCs w:val="21"/>
              </w:rPr>
            </w:pPr>
            <w:r>
              <w:rPr>
                <w:rFonts w:cs="Times New Roman"/>
                <w:sz w:val="21"/>
                <w:szCs w:val="21"/>
              </w:rPr>
              <w:t>对地下水环境有污染的物料或污染物</w:t>
            </w:r>
            <w:r>
              <w:rPr>
                <w:rFonts w:cs="Times New Roman" w:hint="eastAsia"/>
                <w:sz w:val="21"/>
                <w:szCs w:val="21"/>
              </w:rPr>
              <w:t>泄漏</w:t>
            </w:r>
            <w:r>
              <w:rPr>
                <w:rFonts w:cs="Times New Roman"/>
                <w:sz w:val="21"/>
                <w:szCs w:val="21"/>
              </w:rPr>
              <w:t>后，不能及时发现和处理</w:t>
            </w:r>
          </w:p>
        </w:tc>
      </w:tr>
      <w:tr w:rsidR="00C645C9">
        <w:tc>
          <w:tcPr>
            <w:tcW w:w="1145"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易</w:t>
            </w:r>
          </w:p>
        </w:tc>
        <w:tc>
          <w:tcPr>
            <w:tcW w:w="3854"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对地下水环境有污染的物料或污染物</w:t>
            </w:r>
            <w:r>
              <w:rPr>
                <w:rFonts w:cs="Times New Roman" w:hint="eastAsia"/>
                <w:sz w:val="21"/>
                <w:szCs w:val="21"/>
              </w:rPr>
              <w:t>泄漏</w:t>
            </w:r>
            <w:r>
              <w:rPr>
                <w:rFonts w:cs="Times New Roman"/>
                <w:sz w:val="21"/>
                <w:szCs w:val="21"/>
              </w:rPr>
              <w:t>后，可及时发现和处理</w:t>
            </w:r>
          </w:p>
        </w:tc>
      </w:tr>
    </w:tbl>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lastRenderedPageBreak/>
        <w:t>表</w:t>
      </w:r>
      <w:r>
        <w:rPr>
          <w:rFonts w:eastAsia="黑体" w:cs="Times New Roman"/>
          <w:bCs/>
          <w:sz w:val="21"/>
          <w:szCs w:val="21"/>
          <w:lang w:val="zh-CN"/>
        </w:rPr>
        <w:t>6.2-</w:t>
      </w:r>
      <w:r>
        <w:rPr>
          <w:rFonts w:eastAsia="黑体" w:cs="Times New Roman" w:hint="eastAsia"/>
          <w:bCs/>
          <w:sz w:val="21"/>
          <w:szCs w:val="21"/>
        </w:rPr>
        <w:t xml:space="preserve">3   </w:t>
      </w:r>
      <w:r>
        <w:rPr>
          <w:rFonts w:eastAsia="黑体" w:cs="Times New Roman"/>
          <w:bCs/>
          <w:sz w:val="21"/>
          <w:szCs w:val="21"/>
          <w:lang w:val="zh-CN"/>
        </w:rPr>
        <w:t>天然包气带防污性能分级参照表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8"/>
        <w:gridCol w:w="7831"/>
      </w:tblGrid>
      <w:tr w:rsidR="00C645C9">
        <w:trPr>
          <w:trHeight w:val="23"/>
        </w:trPr>
        <w:tc>
          <w:tcPr>
            <w:tcW w:w="404" w:type="pct"/>
            <w:vAlign w:val="center"/>
          </w:tcPr>
          <w:p w:rsidR="00C645C9" w:rsidRDefault="00F955D9">
            <w:pPr>
              <w:adjustRightInd w:val="0"/>
              <w:snapToGrid w:val="0"/>
              <w:jc w:val="center"/>
              <w:rPr>
                <w:rFonts w:cs="Times New Roman"/>
                <w:sz w:val="21"/>
                <w:szCs w:val="21"/>
              </w:rPr>
            </w:pPr>
            <w:r>
              <w:rPr>
                <w:rFonts w:cs="Times New Roman"/>
                <w:sz w:val="21"/>
                <w:szCs w:val="21"/>
              </w:rPr>
              <w:t>分级</w:t>
            </w:r>
          </w:p>
        </w:tc>
        <w:tc>
          <w:tcPr>
            <w:tcW w:w="4595" w:type="pct"/>
            <w:vAlign w:val="center"/>
          </w:tcPr>
          <w:p w:rsidR="00C645C9" w:rsidRDefault="00F955D9">
            <w:pPr>
              <w:adjustRightInd w:val="0"/>
              <w:snapToGrid w:val="0"/>
              <w:jc w:val="center"/>
              <w:rPr>
                <w:rFonts w:cs="Times New Roman"/>
                <w:sz w:val="21"/>
                <w:szCs w:val="21"/>
              </w:rPr>
            </w:pPr>
            <w:r>
              <w:rPr>
                <w:rFonts w:cs="Times New Roman"/>
                <w:sz w:val="21"/>
                <w:szCs w:val="21"/>
              </w:rPr>
              <w:t>包气带岩土的防污性能</w:t>
            </w:r>
          </w:p>
        </w:tc>
      </w:tr>
      <w:tr w:rsidR="00C645C9">
        <w:trPr>
          <w:trHeight w:val="23"/>
        </w:trPr>
        <w:tc>
          <w:tcPr>
            <w:tcW w:w="404" w:type="pct"/>
            <w:vAlign w:val="center"/>
          </w:tcPr>
          <w:p w:rsidR="00C645C9" w:rsidRDefault="00F955D9">
            <w:pPr>
              <w:adjustRightInd w:val="0"/>
              <w:snapToGrid w:val="0"/>
              <w:jc w:val="center"/>
              <w:rPr>
                <w:rFonts w:cs="Times New Roman"/>
                <w:sz w:val="21"/>
                <w:szCs w:val="21"/>
              </w:rPr>
            </w:pPr>
            <w:r>
              <w:rPr>
                <w:rFonts w:cs="Times New Roman"/>
                <w:sz w:val="21"/>
                <w:szCs w:val="21"/>
              </w:rPr>
              <w:t>强</w:t>
            </w:r>
          </w:p>
        </w:tc>
        <w:tc>
          <w:tcPr>
            <w:tcW w:w="4595" w:type="pct"/>
            <w:vAlign w:val="center"/>
          </w:tcPr>
          <w:p w:rsidR="00C645C9" w:rsidRDefault="00F955D9">
            <w:pPr>
              <w:adjustRightInd w:val="0"/>
              <w:snapToGrid w:val="0"/>
              <w:jc w:val="center"/>
              <w:rPr>
                <w:rFonts w:cs="Times New Roman"/>
                <w:sz w:val="21"/>
                <w:szCs w:val="21"/>
              </w:rPr>
            </w:pPr>
            <w:r>
              <w:rPr>
                <w:rFonts w:cs="Times New Roman"/>
                <w:sz w:val="21"/>
                <w:szCs w:val="21"/>
              </w:rPr>
              <w:t>岩（土）层单层厚度</w:t>
            </w:r>
            <w:r>
              <w:rPr>
                <w:rFonts w:cs="Times New Roman"/>
                <w:sz w:val="21"/>
                <w:szCs w:val="21"/>
              </w:rPr>
              <w:t>Mb≧1.0m</w:t>
            </w:r>
            <w:r>
              <w:rPr>
                <w:rFonts w:cs="Times New Roman"/>
                <w:sz w:val="21"/>
                <w:szCs w:val="21"/>
              </w:rPr>
              <w:t>，渗透系数</w:t>
            </w:r>
            <w:r>
              <w:rPr>
                <w:rFonts w:cs="Times New Roman"/>
                <w:sz w:val="21"/>
                <w:szCs w:val="21"/>
              </w:rPr>
              <w:t>K≦1×10</w:t>
            </w:r>
            <w:r>
              <w:rPr>
                <w:rFonts w:cs="Times New Roman"/>
                <w:sz w:val="21"/>
                <w:szCs w:val="21"/>
                <w:vertAlign w:val="superscript"/>
              </w:rPr>
              <w:t>-6</w:t>
            </w:r>
            <w:r>
              <w:rPr>
                <w:rFonts w:cs="Times New Roman"/>
                <w:sz w:val="21"/>
                <w:szCs w:val="21"/>
              </w:rPr>
              <w:t>cm/s</w:t>
            </w:r>
            <w:r>
              <w:rPr>
                <w:rFonts w:cs="Times New Roman"/>
                <w:sz w:val="21"/>
                <w:szCs w:val="21"/>
              </w:rPr>
              <w:t>，且分布连续、稳定</w:t>
            </w:r>
          </w:p>
        </w:tc>
      </w:tr>
      <w:tr w:rsidR="00C645C9">
        <w:trPr>
          <w:trHeight w:val="23"/>
        </w:trPr>
        <w:tc>
          <w:tcPr>
            <w:tcW w:w="404" w:type="pct"/>
            <w:vAlign w:val="center"/>
          </w:tcPr>
          <w:p w:rsidR="00C645C9" w:rsidRDefault="00F955D9">
            <w:pPr>
              <w:adjustRightInd w:val="0"/>
              <w:snapToGrid w:val="0"/>
              <w:jc w:val="center"/>
              <w:rPr>
                <w:rFonts w:cs="Times New Roman"/>
                <w:sz w:val="21"/>
                <w:szCs w:val="21"/>
              </w:rPr>
            </w:pPr>
            <w:r>
              <w:rPr>
                <w:rFonts w:cs="Times New Roman"/>
                <w:sz w:val="21"/>
                <w:szCs w:val="21"/>
              </w:rPr>
              <w:t>中</w:t>
            </w:r>
          </w:p>
        </w:tc>
        <w:tc>
          <w:tcPr>
            <w:tcW w:w="4595" w:type="pct"/>
            <w:vAlign w:val="center"/>
          </w:tcPr>
          <w:p w:rsidR="00C645C9" w:rsidRDefault="00F955D9">
            <w:pPr>
              <w:adjustRightInd w:val="0"/>
              <w:snapToGrid w:val="0"/>
              <w:jc w:val="center"/>
              <w:rPr>
                <w:rFonts w:cs="Times New Roman"/>
                <w:sz w:val="21"/>
                <w:szCs w:val="21"/>
              </w:rPr>
            </w:pPr>
            <w:r>
              <w:rPr>
                <w:rFonts w:cs="Times New Roman"/>
                <w:sz w:val="21"/>
                <w:szCs w:val="21"/>
              </w:rPr>
              <w:t>岩（土）层单层厚度</w:t>
            </w:r>
            <w:r>
              <w:rPr>
                <w:rFonts w:cs="Times New Roman"/>
                <w:sz w:val="21"/>
                <w:szCs w:val="21"/>
              </w:rPr>
              <w:t>0.5m≦Mb&lt;1.0m</w:t>
            </w:r>
            <w:r>
              <w:rPr>
                <w:rFonts w:cs="Times New Roman"/>
                <w:sz w:val="21"/>
                <w:szCs w:val="21"/>
              </w:rPr>
              <w:t>，渗透系数</w:t>
            </w:r>
            <w:r>
              <w:rPr>
                <w:rFonts w:cs="Times New Roman"/>
                <w:sz w:val="21"/>
                <w:szCs w:val="21"/>
              </w:rPr>
              <w:t>K≦1×10</w:t>
            </w:r>
            <w:r>
              <w:rPr>
                <w:rFonts w:cs="Times New Roman"/>
                <w:sz w:val="21"/>
                <w:szCs w:val="21"/>
                <w:vertAlign w:val="superscript"/>
              </w:rPr>
              <w:t>-6</w:t>
            </w:r>
            <w:r>
              <w:rPr>
                <w:rFonts w:cs="Times New Roman"/>
                <w:sz w:val="21"/>
                <w:szCs w:val="21"/>
              </w:rPr>
              <w:t>cm/s</w:t>
            </w:r>
            <w:r>
              <w:rPr>
                <w:rFonts w:cs="Times New Roman"/>
                <w:sz w:val="21"/>
                <w:szCs w:val="21"/>
              </w:rPr>
              <w:t>，且分布连续、稳定；</w:t>
            </w:r>
          </w:p>
          <w:p w:rsidR="00C645C9" w:rsidRDefault="00F955D9">
            <w:pPr>
              <w:adjustRightInd w:val="0"/>
              <w:snapToGrid w:val="0"/>
              <w:jc w:val="center"/>
              <w:rPr>
                <w:rFonts w:cs="Times New Roman"/>
                <w:sz w:val="21"/>
                <w:szCs w:val="21"/>
              </w:rPr>
            </w:pPr>
            <w:r>
              <w:rPr>
                <w:rFonts w:cs="Times New Roman"/>
                <w:sz w:val="21"/>
                <w:szCs w:val="21"/>
              </w:rPr>
              <w:t>岩（土）层单层厚度</w:t>
            </w:r>
            <w:r>
              <w:rPr>
                <w:rFonts w:cs="Times New Roman"/>
                <w:sz w:val="21"/>
                <w:szCs w:val="21"/>
              </w:rPr>
              <w:t>Mb≧1.0m</w:t>
            </w:r>
            <w:r>
              <w:rPr>
                <w:rFonts w:cs="Times New Roman"/>
                <w:sz w:val="21"/>
                <w:szCs w:val="21"/>
              </w:rPr>
              <w:t>，渗透系数</w:t>
            </w:r>
            <w:r>
              <w:rPr>
                <w:rFonts w:cs="Times New Roman"/>
                <w:sz w:val="21"/>
                <w:szCs w:val="21"/>
              </w:rPr>
              <w:t>1×10</w:t>
            </w:r>
            <w:r>
              <w:rPr>
                <w:rFonts w:cs="Times New Roman"/>
                <w:sz w:val="21"/>
                <w:szCs w:val="21"/>
                <w:vertAlign w:val="superscript"/>
              </w:rPr>
              <w:t>-6</w:t>
            </w:r>
            <w:r>
              <w:rPr>
                <w:rFonts w:cs="Times New Roman"/>
                <w:sz w:val="21"/>
                <w:szCs w:val="21"/>
              </w:rPr>
              <w:t>cm/s&lt;K≦1×10</w:t>
            </w:r>
            <w:r>
              <w:rPr>
                <w:rFonts w:cs="Times New Roman"/>
                <w:sz w:val="21"/>
                <w:szCs w:val="21"/>
                <w:vertAlign w:val="superscript"/>
              </w:rPr>
              <w:t>-4</w:t>
            </w:r>
            <w:r>
              <w:rPr>
                <w:rFonts w:cs="Times New Roman"/>
                <w:sz w:val="21"/>
                <w:szCs w:val="21"/>
              </w:rPr>
              <w:t>cm/s</w:t>
            </w:r>
            <w:r>
              <w:rPr>
                <w:rFonts w:cs="Times New Roman"/>
                <w:sz w:val="21"/>
                <w:szCs w:val="21"/>
              </w:rPr>
              <w:t>，且分布连续、稳定；</w:t>
            </w:r>
          </w:p>
        </w:tc>
      </w:tr>
      <w:tr w:rsidR="00C645C9">
        <w:trPr>
          <w:trHeight w:val="23"/>
        </w:trPr>
        <w:tc>
          <w:tcPr>
            <w:tcW w:w="404"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弱</w:t>
            </w:r>
          </w:p>
        </w:tc>
        <w:tc>
          <w:tcPr>
            <w:tcW w:w="4595"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岩（土）层不满足上述</w:t>
            </w:r>
            <w:r>
              <w:rPr>
                <w:rFonts w:cs="Times New Roman"/>
                <w:sz w:val="21"/>
                <w:szCs w:val="21"/>
              </w:rPr>
              <w:t>“</w:t>
            </w:r>
            <w:r>
              <w:rPr>
                <w:rFonts w:cs="Times New Roman"/>
                <w:sz w:val="21"/>
                <w:szCs w:val="21"/>
              </w:rPr>
              <w:t>强</w:t>
            </w:r>
            <w:r>
              <w:rPr>
                <w:rFonts w:cs="Times New Roman"/>
                <w:sz w:val="21"/>
                <w:szCs w:val="21"/>
              </w:rPr>
              <w:t>”</w:t>
            </w:r>
            <w:r>
              <w:rPr>
                <w:rFonts w:cs="Times New Roman"/>
                <w:sz w:val="21"/>
                <w:szCs w:val="21"/>
              </w:rPr>
              <w:t>和</w:t>
            </w:r>
            <w:r>
              <w:rPr>
                <w:rFonts w:cs="Times New Roman"/>
                <w:sz w:val="21"/>
                <w:szCs w:val="21"/>
              </w:rPr>
              <w:t>“</w:t>
            </w:r>
            <w:r>
              <w:rPr>
                <w:rFonts w:cs="Times New Roman"/>
                <w:sz w:val="21"/>
                <w:szCs w:val="21"/>
              </w:rPr>
              <w:t>中</w:t>
            </w:r>
            <w:r>
              <w:rPr>
                <w:rFonts w:cs="Times New Roman"/>
                <w:sz w:val="21"/>
                <w:szCs w:val="21"/>
              </w:rPr>
              <w:t>”</w:t>
            </w:r>
            <w:r>
              <w:rPr>
                <w:rFonts w:cs="Times New Roman"/>
                <w:sz w:val="21"/>
                <w:szCs w:val="21"/>
              </w:rPr>
              <w:t>条件</w:t>
            </w:r>
          </w:p>
        </w:tc>
      </w:tr>
    </w:tbl>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t>表</w:t>
      </w:r>
      <w:r>
        <w:rPr>
          <w:rFonts w:eastAsia="黑体" w:cs="Times New Roman"/>
          <w:bCs/>
          <w:sz w:val="21"/>
          <w:szCs w:val="21"/>
          <w:lang w:val="zh-CN"/>
        </w:rPr>
        <w:t>6.2-</w:t>
      </w:r>
      <w:r>
        <w:rPr>
          <w:rFonts w:eastAsia="黑体" w:cs="Times New Roman" w:hint="eastAsia"/>
          <w:bCs/>
          <w:sz w:val="21"/>
          <w:szCs w:val="21"/>
        </w:rPr>
        <w:t xml:space="preserve">4   </w:t>
      </w:r>
      <w:r>
        <w:rPr>
          <w:rFonts w:eastAsia="黑体" w:cs="Times New Roman"/>
          <w:bCs/>
          <w:sz w:val="21"/>
          <w:szCs w:val="21"/>
          <w:lang w:val="zh-CN"/>
        </w:rPr>
        <w:t>地下水污染防渗分区参照表</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10"/>
        <w:gridCol w:w="1430"/>
        <w:gridCol w:w="1366"/>
        <w:gridCol w:w="1758"/>
        <w:gridCol w:w="2655"/>
      </w:tblGrid>
      <w:tr w:rsidR="00C645C9">
        <w:tc>
          <w:tcPr>
            <w:tcW w:w="768" w:type="pct"/>
            <w:vAlign w:val="center"/>
          </w:tcPr>
          <w:p w:rsidR="00C645C9" w:rsidRDefault="00F955D9">
            <w:pPr>
              <w:adjustRightInd w:val="0"/>
              <w:snapToGrid w:val="0"/>
              <w:jc w:val="center"/>
              <w:rPr>
                <w:rFonts w:cs="Times New Roman"/>
                <w:sz w:val="21"/>
                <w:szCs w:val="21"/>
              </w:rPr>
            </w:pPr>
            <w:r>
              <w:rPr>
                <w:rFonts w:cs="Times New Roman"/>
                <w:sz w:val="21"/>
                <w:szCs w:val="21"/>
              </w:rPr>
              <w:t>防渗分区</w:t>
            </w:r>
          </w:p>
        </w:tc>
        <w:tc>
          <w:tcPr>
            <w:tcW w:w="839" w:type="pct"/>
            <w:vAlign w:val="center"/>
          </w:tcPr>
          <w:p w:rsidR="00C645C9" w:rsidRDefault="00F955D9">
            <w:pPr>
              <w:adjustRightInd w:val="0"/>
              <w:snapToGrid w:val="0"/>
              <w:jc w:val="center"/>
              <w:rPr>
                <w:rFonts w:cs="Times New Roman"/>
                <w:sz w:val="21"/>
                <w:szCs w:val="21"/>
              </w:rPr>
            </w:pPr>
            <w:r>
              <w:rPr>
                <w:rFonts w:cs="Times New Roman"/>
                <w:sz w:val="21"/>
                <w:szCs w:val="21"/>
              </w:rPr>
              <w:t>天然包气带防污性能</w:t>
            </w:r>
          </w:p>
        </w:tc>
        <w:tc>
          <w:tcPr>
            <w:tcW w:w="802" w:type="pct"/>
            <w:vAlign w:val="center"/>
          </w:tcPr>
          <w:p w:rsidR="00C645C9" w:rsidRDefault="00F955D9">
            <w:pPr>
              <w:adjustRightInd w:val="0"/>
              <w:snapToGrid w:val="0"/>
              <w:jc w:val="center"/>
              <w:rPr>
                <w:rFonts w:cs="Times New Roman"/>
                <w:sz w:val="21"/>
                <w:szCs w:val="21"/>
              </w:rPr>
            </w:pPr>
            <w:r>
              <w:rPr>
                <w:rFonts w:cs="Times New Roman"/>
                <w:sz w:val="21"/>
                <w:szCs w:val="21"/>
              </w:rPr>
              <w:t>污染控制难易程度</w:t>
            </w:r>
          </w:p>
        </w:tc>
        <w:tc>
          <w:tcPr>
            <w:tcW w:w="1032" w:type="pct"/>
            <w:vAlign w:val="center"/>
          </w:tcPr>
          <w:p w:rsidR="00C645C9" w:rsidRDefault="00F955D9">
            <w:pPr>
              <w:adjustRightInd w:val="0"/>
              <w:snapToGrid w:val="0"/>
              <w:jc w:val="center"/>
              <w:rPr>
                <w:rFonts w:cs="Times New Roman"/>
                <w:sz w:val="21"/>
                <w:szCs w:val="21"/>
              </w:rPr>
            </w:pPr>
            <w:r>
              <w:rPr>
                <w:rFonts w:cs="Times New Roman"/>
                <w:sz w:val="21"/>
                <w:szCs w:val="21"/>
              </w:rPr>
              <w:t>污染物类型</w:t>
            </w:r>
          </w:p>
        </w:tc>
        <w:tc>
          <w:tcPr>
            <w:tcW w:w="1557" w:type="pct"/>
            <w:vAlign w:val="center"/>
          </w:tcPr>
          <w:p w:rsidR="00C645C9" w:rsidRDefault="00F955D9">
            <w:pPr>
              <w:adjustRightInd w:val="0"/>
              <w:snapToGrid w:val="0"/>
              <w:jc w:val="center"/>
              <w:rPr>
                <w:rFonts w:cs="Times New Roman"/>
                <w:sz w:val="21"/>
                <w:szCs w:val="21"/>
              </w:rPr>
            </w:pPr>
            <w:r>
              <w:rPr>
                <w:rFonts w:cs="Times New Roman"/>
                <w:sz w:val="21"/>
                <w:szCs w:val="21"/>
              </w:rPr>
              <w:t>防渗技术要求</w:t>
            </w:r>
          </w:p>
        </w:tc>
      </w:tr>
      <w:tr w:rsidR="00C645C9">
        <w:tc>
          <w:tcPr>
            <w:tcW w:w="76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重点防渗区</w:t>
            </w:r>
          </w:p>
        </w:tc>
        <w:tc>
          <w:tcPr>
            <w:tcW w:w="839" w:type="pct"/>
            <w:vAlign w:val="center"/>
          </w:tcPr>
          <w:p w:rsidR="00C645C9" w:rsidRDefault="00F955D9">
            <w:pPr>
              <w:adjustRightInd w:val="0"/>
              <w:snapToGrid w:val="0"/>
              <w:jc w:val="center"/>
              <w:rPr>
                <w:rFonts w:cs="Times New Roman"/>
                <w:sz w:val="21"/>
                <w:szCs w:val="21"/>
              </w:rPr>
            </w:pPr>
            <w:r>
              <w:rPr>
                <w:rFonts w:cs="Times New Roman"/>
                <w:sz w:val="21"/>
                <w:szCs w:val="21"/>
              </w:rPr>
              <w:t>弱</w:t>
            </w:r>
          </w:p>
        </w:tc>
        <w:tc>
          <w:tcPr>
            <w:tcW w:w="802" w:type="pct"/>
            <w:vAlign w:val="center"/>
          </w:tcPr>
          <w:p w:rsidR="00C645C9" w:rsidRDefault="00F955D9">
            <w:pPr>
              <w:adjustRightInd w:val="0"/>
              <w:snapToGrid w:val="0"/>
              <w:jc w:val="center"/>
              <w:rPr>
                <w:rFonts w:cs="Times New Roman"/>
                <w:sz w:val="21"/>
                <w:szCs w:val="21"/>
              </w:rPr>
            </w:pPr>
            <w:r>
              <w:rPr>
                <w:rFonts w:cs="Times New Roman"/>
                <w:sz w:val="21"/>
                <w:szCs w:val="21"/>
              </w:rPr>
              <w:t>难</w:t>
            </w:r>
          </w:p>
        </w:tc>
        <w:tc>
          <w:tcPr>
            <w:tcW w:w="1032"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重金属、持久性有机污染物</w:t>
            </w:r>
          </w:p>
        </w:tc>
        <w:tc>
          <w:tcPr>
            <w:tcW w:w="1557"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等效黏土防渗层</w:t>
            </w:r>
            <w:r>
              <w:rPr>
                <w:rFonts w:cs="Times New Roman"/>
                <w:sz w:val="21"/>
                <w:szCs w:val="21"/>
              </w:rPr>
              <w:t>Mb≥6.0m</w:t>
            </w:r>
            <w:r>
              <w:rPr>
                <w:rFonts w:cs="Times New Roman"/>
                <w:sz w:val="21"/>
                <w:szCs w:val="21"/>
              </w:rPr>
              <w:t>，</w:t>
            </w:r>
            <w:r>
              <w:rPr>
                <w:rFonts w:cs="Times New Roman"/>
                <w:sz w:val="21"/>
                <w:szCs w:val="21"/>
              </w:rPr>
              <w:t>K≤1×10</w:t>
            </w:r>
            <w:r>
              <w:rPr>
                <w:rFonts w:cs="Times New Roman"/>
                <w:sz w:val="21"/>
                <w:szCs w:val="21"/>
                <w:vertAlign w:val="superscript"/>
              </w:rPr>
              <w:t>-7</w:t>
            </w:r>
            <w:r>
              <w:rPr>
                <w:rFonts w:cs="Times New Roman"/>
                <w:sz w:val="21"/>
                <w:szCs w:val="21"/>
              </w:rPr>
              <w:t>cm/s</w:t>
            </w:r>
            <w:r>
              <w:rPr>
                <w:rFonts w:cs="Times New Roman"/>
                <w:sz w:val="21"/>
                <w:szCs w:val="21"/>
              </w:rPr>
              <w:t>；或参照</w:t>
            </w:r>
            <w:r>
              <w:rPr>
                <w:rFonts w:cs="Times New Roman"/>
                <w:sz w:val="21"/>
                <w:szCs w:val="21"/>
              </w:rPr>
              <w:t>GB18598</w:t>
            </w:r>
            <w:r>
              <w:rPr>
                <w:rFonts w:cs="Times New Roman"/>
                <w:sz w:val="21"/>
                <w:szCs w:val="21"/>
              </w:rPr>
              <w:t>执行</w:t>
            </w:r>
          </w:p>
        </w:tc>
      </w:tr>
      <w:tr w:rsidR="00C645C9">
        <w:tc>
          <w:tcPr>
            <w:tcW w:w="768" w:type="pct"/>
            <w:vMerge/>
            <w:vAlign w:val="center"/>
          </w:tcPr>
          <w:p w:rsidR="00C645C9" w:rsidRDefault="00C645C9">
            <w:pPr>
              <w:adjustRightInd w:val="0"/>
              <w:snapToGrid w:val="0"/>
              <w:jc w:val="center"/>
              <w:rPr>
                <w:rFonts w:cs="Times New Roman"/>
                <w:sz w:val="21"/>
                <w:szCs w:val="21"/>
              </w:rPr>
            </w:pPr>
          </w:p>
        </w:tc>
        <w:tc>
          <w:tcPr>
            <w:tcW w:w="839" w:type="pct"/>
            <w:vAlign w:val="center"/>
          </w:tcPr>
          <w:p w:rsidR="00C645C9" w:rsidRDefault="00F955D9">
            <w:pPr>
              <w:adjustRightInd w:val="0"/>
              <w:snapToGrid w:val="0"/>
              <w:jc w:val="center"/>
              <w:rPr>
                <w:rFonts w:cs="Times New Roman"/>
                <w:sz w:val="21"/>
                <w:szCs w:val="21"/>
              </w:rPr>
            </w:pPr>
            <w:r>
              <w:rPr>
                <w:rFonts w:cs="Times New Roman"/>
                <w:sz w:val="21"/>
                <w:szCs w:val="21"/>
              </w:rPr>
              <w:t>中</w:t>
            </w:r>
            <w:r>
              <w:rPr>
                <w:rFonts w:cs="Times New Roman"/>
                <w:sz w:val="21"/>
                <w:szCs w:val="21"/>
              </w:rPr>
              <w:t>-</w:t>
            </w:r>
            <w:r>
              <w:rPr>
                <w:rFonts w:cs="Times New Roman"/>
                <w:sz w:val="21"/>
                <w:szCs w:val="21"/>
              </w:rPr>
              <w:t>强</w:t>
            </w:r>
          </w:p>
        </w:tc>
        <w:tc>
          <w:tcPr>
            <w:tcW w:w="802" w:type="pct"/>
            <w:vAlign w:val="center"/>
          </w:tcPr>
          <w:p w:rsidR="00C645C9" w:rsidRDefault="00F955D9">
            <w:pPr>
              <w:adjustRightInd w:val="0"/>
              <w:snapToGrid w:val="0"/>
              <w:jc w:val="center"/>
              <w:rPr>
                <w:rFonts w:cs="Times New Roman"/>
                <w:sz w:val="21"/>
                <w:szCs w:val="21"/>
              </w:rPr>
            </w:pPr>
            <w:r>
              <w:rPr>
                <w:rFonts w:cs="Times New Roman"/>
                <w:sz w:val="21"/>
                <w:szCs w:val="21"/>
              </w:rPr>
              <w:t>难</w:t>
            </w:r>
          </w:p>
        </w:tc>
        <w:tc>
          <w:tcPr>
            <w:tcW w:w="1032" w:type="pct"/>
            <w:vMerge/>
            <w:vAlign w:val="center"/>
          </w:tcPr>
          <w:p w:rsidR="00C645C9" w:rsidRDefault="00C645C9">
            <w:pPr>
              <w:adjustRightInd w:val="0"/>
              <w:snapToGrid w:val="0"/>
              <w:jc w:val="center"/>
              <w:rPr>
                <w:rFonts w:cs="Times New Roman"/>
                <w:sz w:val="21"/>
                <w:szCs w:val="21"/>
              </w:rPr>
            </w:pPr>
          </w:p>
        </w:tc>
        <w:tc>
          <w:tcPr>
            <w:tcW w:w="1557" w:type="pct"/>
            <w:vMerge/>
            <w:vAlign w:val="center"/>
          </w:tcPr>
          <w:p w:rsidR="00C645C9" w:rsidRDefault="00C645C9">
            <w:pPr>
              <w:adjustRightInd w:val="0"/>
              <w:snapToGrid w:val="0"/>
              <w:jc w:val="center"/>
              <w:rPr>
                <w:rFonts w:cs="Times New Roman"/>
                <w:sz w:val="21"/>
                <w:szCs w:val="21"/>
              </w:rPr>
            </w:pPr>
          </w:p>
        </w:tc>
      </w:tr>
      <w:tr w:rsidR="00C645C9">
        <w:trPr>
          <w:trHeight w:val="320"/>
        </w:trPr>
        <w:tc>
          <w:tcPr>
            <w:tcW w:w="768" w:type="pct"/>
            <w:vMerge/>
            <w:vAlign w:val="center"/>
          </w:tcPr>
          <w:p w:rsidR="00C645C9" w:rsidRDefault="00C645C9">
            <w:pPr>
              <w:adjustRightInd w:val="0"/>
              <w:snapToGrid w:val="0"/>
              <w:jc w:val="center"/>
              <w:rPr>
                <w:rFonts w:cs="Times New Roman"/>
                <w:sz w:val="21"/>
                <w:szCs w:val="21"/>
              </w:rPr>
            </w:pPr>
          </w:p>
        </w:tc>
        <w:tc>
          <w:tcPr>
            <w:tcW w:w="839" w:type="pct"/>
            <w:vAlign w:val="center"/>
          </w:tcPr>
          <w:p w:rsidR="00C645C9" w:rsidRDefault="00F955D9">
            <w:pPr>
              <w:adjustRightInd w:val="0"/>
              <w:snapToGrid w:val="0"/>
              <w:jc w:val="center"/>
              <w:rPr>
                <w:rFonts w:cs="Times New Roman"/>
                <w:sz w:val="21"/>
                <w:szCs w:val="21"/>
              </w:rPr>
            </w:pPr>
            <w:r>
              <w:rPr>
                <w:rFonts w:cs="Times New Roman"/>
                <w:sz w:val="21"/>
                <w:szCs w:val="21"/>
              </w:rPr>
              <w:t>弱</w:t>
            </w:r>
          </w:p>
        </w:tc>
        <w:tc>
          <w:tcPr>
            <w:tcW w:w="802" w:type="pct"/>
            <w:vAlign w:val="center"/>
          </w:tcPr>
          <w:p w:rsidR="00C645C9" w:rsidRDefault="00F955D9">
            <w:pPr>
              <w:adjustRightInd w:val="0"/>
              <w:snapToGrid w:val="0"/>
              <w:jc w:val="center"/>
              <w:rPr>
                <w:rFonts w:cs="Times New Roman"/>
                <w:sz w:val="21"/>
                <w:szCs w:val="21"/>
              </w:rPr>
            </w:pPr>
            <w:r>
              <w:rPr>
                <w:rFonts w:cs="Times New Roman"/>
                <w:sz w:val="21"/>
                <w:szCs w:val="21"/>
              </w:rPr>
              <w:t>易</w:t>
            </w:r>
          </w:p>
        </w:tc>
        <w:tc>
          <w:tcPr>
            <w:tcW w:w="1032" w:type="pct"/>
            <w:vMerge/>
            <w:vAlign w:val="center"/>
          </w:tcPr>
          <w:p w:rsidR="00C645C9" w:rsidRDefault="00C645C9">
            <w:pPr>
              <w:adjustRightInd w:val="0"/>
              <w:snapToGrid w:val="0"/>
              <w:jc w:val="center"/>
              <w:rPr>
                <w:rFonts w:cs="Times New Roman"/>
                <w:sz w:val="21"/>
                <w:szCs w:val="21"/>
              </w:rPr>
            </w:pPr>
          </w:p>
        </w:tc>
        <w:tc>
          <w:tcPr>
            <w:tcW w:w="1557" w:type="pct"/>
            <w:vMerge/>
            <w:vAlign w:val="center"/>
          </w:tcPr>
          <w:p w:rsidR="00C645C9" w:rsidRDefault="00C645C9">
            <w:pPr>
              <w:adjustRightInd w:val="0"/>
              <w:snapToGrid w:val="0"/>
              <w:jc w:val="center"/>
              <w:rPr>
                <w:rFonts w:cs="Times New Roman"/>
                <w:sz w:val="21"/>
                <w:szCs w:val="21"/>
              </w:rPr>
            </w:pPr>
          </w:p>
        </w:tc>
      </w:tr>
      <w:tr w:rsidR="00C645C9">
        <w:tc>
          <w:tcPr>
            <w:tcW w:w="768" w:type="pct"/>
            <w:vMerge w:val="restar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一般防渗区</w:t>
            </w:r>
          </w:p>
        </w:tc>
        <w:tc>
          <w:tcPr>
            <w:tcW w:w="839"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弱</w:t>
            </w:r>
          </w:p>
        </w:tc>
        <w:tc>
          <w:tcPr>
            <w:tcW w:w="802" w:type="pc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易</w:t>
            </w:r>
            <w:r>
              <w:rPr>
                <w:rFonts w:cs="Times New Roman"/>
                <w:sz w:val="21"/>
                <w:szCs w:val="21"/>
              </w:rPr>
              <w:t>-</w:t>
            </w:r>
            <w:r>
              <w:rPr>
                <w:rFonts w:cs="Times New Roman"/>
                <w:sz w:val="21"/>
                <w:szCs w:val="21"/>
              </w:rPr>
              <w:t>难</w:t>
            </w:r>
          </w:p>
        </w:tc>
        <w:tc>
          <w:tcPr>
            <w:tcW w:w="1032" w:type="pct"/>
            <w:vMerge w:val="restart"/>
            <w:shd w:val="clear" w:color="auto" w:fill="EEECE1"/>
            <w:vAlign w:val="center"/>
          </w:tcPr>
          <w:p w:rsidR="00C645C9" w:rsidRDefault="00F955D9">
            <w:pPr>
              <w:adjustRightInd w:val="0"/>
              <w:snapToGrid w:val="0"/>
              <w:jc w:val="center"/>
              <w:rPr>
                <w:rFonts w:cs="Times New Roman"/>
                <w:sz w:val="21"/>
                <w:szCs w:val="21"/>
              </w:rPr>
            </w:pPr>
            <w:r>
              <w:rPr>
                <w:rFonts w:cs="Times New Roman" w:hint="eastAsia"/>
                <w:sz w:val="21"/>
                <w:szCs w:val="21"/>
              </w:rPr>
              <w:t>其他</w:t>
            </w:r>
            <w:r>
              <w:rPr>
                <w:rFonts w:cs="Times New Roman"/>
                <w:sz w:val="21"/>
                <w:szCs w:val="21"/>
              </w:rPr>
              <w:t>类型</w:t>
            </w:r>
          </w:p>
        </w:tc>
        <w:tc>
          <w:tcPr>
            <w:tcW w:w="1557" w:type="pct"/>
            <w:vMerge w:val="restart"/>
            <w:shd w:val="clear" w:color="auto" w:fill="EEECE1"/>
            <w:vAlign w:val="center"/>
          </w:tcPr>
          <w:p w:rsidR="00C645C9" w:rsidRDefault="00F955D9">
            <w:pPr>
              <w:adjustRightInd w:val="0"/>
              <w:snapToGrid w:val="0"/>
              <w:jc w:val="center"/>
              <w:rPr>
                <w:rFonts w:cs="Times New Roman"/>
                <w:sz w:val="21"/>
                <w:szCs w:val="21"/>
              </w:rPr>
            </w:pPr>
            <w:r>
              <w:rPr>
                <w:rFonts w:cs="Times New Roman"/>
                <w:sz w:val="21"/>
                <w:szCs w:val="21"/>
              </w:rPr>
              <w:t>等效黏土防渗层</w:t>
            </w:r>
            <w:r>
              <w:rPr>
                <w:rFonts w:cs="Times New Roman"/>
                <w:sz w:val="21"/>
                <w:szCs w:val="21"/>
              </w:rPr>
              <w:t>Mb≥1.5m</w:t>
            </w:r>
            <w:r>
              <w:rPr>
                <w:rFonts w:cs="Times New Roman"/>
                <w:sz w:val="21"/>
                <w:szCs w:val="21"/>
              </w:rPr>
              <w:t>，</w:t>
            </w:r>
            <w:r>
              <w:rPr>
                <w:rFonts w:cs="Times New Roman"/>
                <w:sz w:val="21"/>
                <w:szCs w:val="21"/>
              </w:rPr>
              <w:t>K≤1×10</w:t>
            </w:r>
            <w:r>
              <w:rPr>
                <w:rFonts w:cs="Times New Roman"/>
                <w:sz w:val="21"/>
                <w:szCs w:val="21"/>
                <w:vertAlign w:val="superscript"/>
              </w:rPr>
              <w:t>-7</w:t>
            </w:r>
            <w:r>
              <w:rPr>
                <w:rFonts w:cs="Times New Roman"/>
                <w:sz w:val="21"/>
                <w:szCs w:val="21"/>
              </w:rPr>
              <w:t>cm/s</w:t>
            </w:r>
            <w:r>
              <w:rPr>
                <w:rFonts w:cs="Times New Roman"/>
                <w:sz w:val="21"/>
                <w:szCs w:val="21"/>
              </w:rPr>
              <w:t>，或参照</w:t>
            </w:r>
            <w:r>
              <w:rPr>
                <w:rFonts w:cs="Times New Roman"/>
                <w:sz w:val="21"/>
                <w:szCs w:val="21"/>
              </w:rPr>
              <w:t>GB16889</w:t>
            </w:r>
            <w:r>
              <w:rPr>
                <w:rFonts w:cs="Times New Roman"/>
                <w:sz w:val="21"/>
                <w:szCs w:val="21"/>
              </w:rPr>
              <w:t>执行</w:t>
            </w:r>
          </w:p>
        </w:tc>
      </w:tr>
      <w:tr w:rsidR="00C645C9">
        <w:tc>
          <w:tcPr>
            <w:tcW w:w="768" w:type="pct"/>
            <w:vMerge/>
            <w:shd w:val="clear" w:color="auto" w:fill="EEECE1"/>
            <w:vAlign w:val="center"/>
          </w:tcPr>
          <w:p w:rsidR="00C645C9" w:rsidRDefault="00C645C9">
            <w:pPr>
              <w:adjustRightInd w:val="0"/>
              <w:snapToGrid w:val="0"/>
              <w:jc w:val="center"/>
              <w:rPr>
                <w:rFonts w:cs="Times New Roman"/>
                <w:sz w:val="21"/>
                <w:szCs w:val="21"/>
              </w:rPr>
            </w:pPr>
          </w:p>
        </w:tc>
        <w:tc>
          <w:tcPr>
            <w:tcW w:w="839"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中</w:t>
            </w:r>
            <w:r>
              <w:rPr>
                <w:rFonts w:cs="Times New Roman"/>
                <w:sz w:val="21"/>
                <w:szCs w:val="21"/>
              </w:rPr>
              <w:t>-</w:t>
            </w:r>
            <w:r>
              <w:rPr>
                <w:rFonts w:cs="Times New Roman"/>
                <w:sz w:val="21"/>
                <w:szCs w:val="21"/>
              </w:rPr>
              <w:t>强</w:t>
            </w:r>
          </w:p>
        </w:tc>
        <w:tc>
          <w:tcPr>
            <w:tcW w:w="802"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难</w:t>
            </w:r>
          </w:p>
        </w:tc>
        <w:tc>
          <w:tcPr>
            <w:tcW w:w="1032" w:type="pct"/>
            <w:vMerge/>
            <w:shd w:val="clear" w:color="auto" w:fill="B8CCE4"/>
            <w:vAlign w:val="center"/>
          </w:tcPr>
          <w:p w:rsidR="00C645C9" w:rsidRDefault="00C645C9">
            <w:pPr>
              <w:adjustRightInd w:val="0"/>
              <w:snapToGrid w:val="0"/>
              <w:jc w:val="center"/>
              <w:rPr>
                <w:rFonts w:cs="Times New Roman"/>
                <w:sz w:val="21"/>
                <w:szCs w:val="21"/>
              </w:rPr>
            </w:pPr>
          </w:p>
        </w:tc>
        <w:tc>
          <w:tcPr>
            <w:tcW w:w="1557" w:type="pct"/>
            <w:vMerge/>
            <w:shd w:val="clear" w:color="auto" w:fill="EEECE1"/>
            <w:vAlign w:val="center"/>
          </w:tcPr>
          <w:p w:rsidR="00C645C9" w:rsidRDefault="00C645C9">
            <w:pPr>
              <w:adjustRightInd w:val="0"/>
              <w:snapToGrid w:val="0"/>
              <w:jc w:val="center"/>
              <w:rPr>
                <w:rFonts w:cs="Times New Roman"/>
                <w:sz w:val="21"/>
                <w:szCs w:val="21"/>
              </w:rPr>
            </w:pPr>
          </w:p>
        </w:tc>
      </w:tr>
      <w:tr w:rsidR="00C645C9">
        <w:tc>
          <w:tcPr>
            <w:tcW w:w="768" w:type="pct"/>
            <w:vMerge/>
            <w:shd w:val="clear" w:color="auto" w:fill="EEECE1"/>
            <w:vAlign w:val="center"/>
          </w:tcPr>
          <w:p w:rsidR="00C645C9" w:rsidRDefault="00C645C9">
            <w:pPr>
              <w:adjustRightInd w:val="0"/>
              <w:snapToGrid w:val="0"/>
              <w:jc w:val="center"/>
              <w:rPr>
                <w:rFonts w:cs="Times New Roman"/>
                <w:sz w:val="21"/>
                <w:szCs w:val="21"/>
              </w:rPr>
            </w:pPr>
          </w:p>
        </w:tc>
        <w:tc>
          <w:tcPr>
            <w:tcW w:w="839"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中</w:t>
            </w:r>
          </w:p>
        </w:tc>
        <w:tc>
          <w:tcPr>
            <w:tcW w:w="802"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易</w:t>
            </w:r>
          </w:p>
        </w:tc>
        <w:tc>
          <w:tcPr>
            <w:tcW w:w="1032" w:type="pct"/>
            <w:vMerge w:val="restar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重金属、持久性有机污染物</w:t>
            </w:r>
          </w:p>
        </w:tc>
        <w:tc>
          <w:tcPr>
            <w:tcW w:w="1557" w:type="pct"/>
            <w:vMerge/>
            <w:shd w:val="clear" w:color="auto" w:fill="EEECE1"/>
            <w:vAlign w:val="center"/>
          </w:tcPr>
          <w:p w:rsidR="00C645C9" w:rsidRDefault="00C645C9">
            <w:pPr>
              <w:adjustRightInd w:val="0"/>
              <w:snapToGrid w:val="0"/>
              <w:jc w:val="center"/>
              <w:rPr>
                <w:rFonts w:cs="Times New Roman"/>
                <w:sz w:val="21"/>
                <w:szCs w:val="21"/>
              </w:rPr>
            </w:pPr>
          </w:p>
        </w:tc>
      </w:tr>
      <w:tr w:rsidR="00C645C9">
        <w:tc>
          <w:tcPr>
            <w:tcW w:w="768" w:type="pct"/>
            <w:vMerge/>
            <w:shd w:val="clear" w:color="auto" w:fill="EEECE1"/>
            <w:vAlign w:val="center"/>
          </w:tcPr>
          <w:p w:rsidR="00C645C9" w:rsidRDefault="00C645C9">
            <w:pPr>
              <w:adjustRightInd w:val="0"/>
              <w:snapToGrid w:val="0"/>
              <w:jc w:val="center"/>
              <w:rPr>
                <w:rFonts w:cs="Times New Roman"/>
                <w:sz w:val="21"/>
                <w:szCs w:val="21"/>
              </w:rPr>
            </w:pPr>
          </w:p>
        </w:tc>
        <w:tc>
          <w:tcPr>
            <w:tcW w:w="839"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强</w:t>
            </w:r>
          </w:p>
        </w:tc>
        <w:tc>
          <w:tcPr>
            <w:tcW w:w="802" w:type="pct"/>
            <w:shd w:val="clear" w:color="auto" w:fill="auto"/>
            <w:vAlign w:val="center"/>
          </w:tcPr>
          <w:p w:rsidR="00C645C9" w:rsidRDefault="00F955D9">
            <w:pPr>
              <w:adjustRightInd w:val="0"/>
              <w:snapToGrid w:val="0"/>
              <w:jc w:val="center"/>
              <w:rPr>
                <w:rFonts w:cs="Times New Roman"/>
                <w:sz w:val="21"/>
                <w:szCs w:val="21"/>
              </w:rPr>
            </w:pPr>
            <w:r>
              <w:rPr>
                <w:rFonts w:cs="Times New Roman"/>
                <w:sz w:val="21"/>
                <w:szCs w:val="21"/>
              </w:rPr>
              <w:t>易</w:t>
            </w:r>
          </w:p>
        </w:tc>
        <w:tc>
          <w:tcPr>
            <w:tcW w:w="1032" w:type="pct"/>
            <w:vMerge/>
            <w:shd w:val="clear" w:color="auto" w:fill="auto"/>
            <w:vAlign w:val="center"/>
          </w:tcPr>
          <w:p w:rsidR="00C645C9" w:rsidRDefault="00C645C9">
            <w:pPr>
              <w:adjustRightInd w:val="0"/>
              <w:snapToGrid w:val="0"/>
              <w:jc w:val="center"/>
              <w:rPr>
                <w:rFonts w:cs="Times New Roman"/>
                <w:sz w:val="21"/>
                <w:szCs w:val="21"/>
              </w:rPr>
            </w:pPr>
          </w:p>
        </w:tc>
        <w:tc>
          <w:tcPr>
            <w:tcW w:w="1557" w:type="pct"/>
            <w:vMerge/>
            <w:shd w:val="clear" w:color="auto" w:fill="EEECE1"/>
            <w:vAlign w:val="center"/>
          </w:tcPr>
          <w:p w:rsidR="00C645C9" w:rsidRDefault="00C645C9">
            <w:pPr>
              <w:adjustRightInd w:val="0"/>
              <w:snapToGrid w:val="0"/>
              <w:jc w:val="center"/>
              <w:rPr>
                <w:rFonts w:cs="Times New Roman"/>
                <w:sz w:val="21"/>
                <w:szCs w:val="21"/>
              </w:rPr>
            </w:pPr>
          </w:p>
        </w:tc>
      </w:tr>
      <w:tr w:rsidR="00C645C9">
        <w:tc>
          <w:tcPr>
            <w:tcW w:w="768" w:type="pct"/>
            <w:vAlign w:val="center"/>
          </w:tcPr>
          <w:p w:rsidR="00C645C9" w:rsidRDefault="00F955D9">
            <w:pPr>
              <w:adjustRightInd w:val="0"/>
              <w:snapToGrid w:val="0"/>
              <w:jc w:val="center"/>
              <w:rPr>
                <w:rFonts w:cs="Times New Roman"/>
                <w:sz w:val="21"/>
                <w:szCs w:val="21"/>
              </w:rPr>
            </w:pPr>
            <w:r>
              <w:rPr>
                <w:rFonts w:cs="Times New Roman"/>
                <w:sz w:val="21"/>
                <w:szCs w:val="21"/>
              </w:rPr>
              <w:t>简单防渗区</w:t>
            </w:r>
          </w:p>
        </w:tc>
        <w:tc>
          <w:tcPr>
            <w:tcW w:w="839" w:type="pct"/>
            <w:vAlign w:val="center"/>
          </w:tcPr>
          <w:p w:rsidR="00C645C9" w:rsidRDefault="00F955D9">
            <w:pPr>
              <w:adjustRightInd w:val="0"/>
              <w:snapToGrid w:val="0"/>
              <w:jc w:val="center"/>
              <w:rPr>
                <w:rFonts w:cs="Times New Roman"/>
                <w:sz w:val="21"/>
                <w:szCs w:val="21"/>
              </w:rPr>
            </w:pPr>
            <w:r>
              <w:rPr>
                <w:rFonts w:cs="Times New Roman"/>
                <w:sz w:val="21"/>
                <w:szCs w:val="21"/>
              </w:rPr>
              <w:t>中</w:t>
            </w:r>
            <w:r>
              <w:rPr>
                <w:rFonts w:cs="Times New Roman"/>
                <w:sz w:val="21"/>
                <w:szCs w:val="21"/>
              </w:rPr>
              <w:t>-</w:t>
            </w:r>
            <w:r>
              <w:rPr>
                <w:rFonts w:cs="Times New Roman"/>
                <w:sz w:val="21"/>
                <w:szCs w:val="21"/>
              </w:rPr>
              <w:t>强</w:t>
            </w:r>
          </w:p>
        </w:tc>
        <w:tc>
          <w:tcPr>
            <w:tcW w:w="802" w:type="pct"/>
            <w:vAlign w:val="center"/>
          </w:tcPr>
          <w:p w:rsidR="00C645C9" w:rsidRDefault="00F955D9">
            <w:pPr>
              <w:adjustRightInd w:val="0"/>
              <w:snapToGrid w:val="0"/>
              <w:jc w:val="center"/>
              <w:rPr>
                <w:rFonts w:cs="Times New Roman"/>
                <w:sz w:val="21"/>
                <w:szCs w:val="21"/>
              </w:rPr>
            </w:pPr>
            <w:r>
              <w:rPr>
                <w:rFonts w:cs="Times New Roman"/>
                <w:sz w:val="21"/>
                <w:szCs w:val="21"/>
              </w:rPr>
              <w:t>易</w:t>
            </w:r>
          </w:p>
        </w:tc>
        <w:tc>
          <w:tcPr>
            <w:tcW w:w="103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其他</w:t>
            </w:r>
            <w:r>
              <w:rPr>
                <w:rFonts w:cs="Times New Roman"/>
                <w:sz w:val="21"/>
                <w:szCs w:val="21"/>
              </w:rPr>
              <w:t>类型</w:t>
            </w:r>
          </w:p>
        </w:tc>
        <w:tc>
          <w:tcPr>
            <w:tcW w:w="1557" w:type="pct"/>
            <w:vAlign w:val="center"/>
          </w:tcPr>
          <w:p w:rsidR="00C645C9" w:rsidRDefault="00F955D9">
            <w:pPr>
              <w:adjustRightInd w:val="0"/>
              <w:snapToGrid w:val="0"/>
              <w:jc w:val="center"/>
              <w:rPr>
                <w:rFonts w:cs="Times New Roman"/>
                <w:sz w:val="21"/>
                <w:szCs w:val="21"/>
              </w:rPr>
            </w:pPr>
            <w:r>
              <w:rPr>
                <w:rFonts w:cs="Times New Roman"/>
                <w:sz w:val="21"/>
                <w:szCs w:val="21"/>
              </w:rPr>
              <w:t>一般地面硬化</w:t>
            </w:r>
          </w:p>
        </w:tc>
      </w:tr>
    </w:tbl>
    <w:p w:rsidR="00C645C9" w:rsidRDefault="00F955D9">
      <w:pPr>
        <w:widowControl w:val="0"/>
        <w:spacing w:line="360" w:lineRule="auto"/>
        <w:ind w:firstLineChars="200" w:firstLine="480"/>
        <w:jc w:val="both"/>
        <w:rPr>
          <w:rFonts w:cs="Times New Roman"/>
          <w:kern w:val="2"/>
          <w:szCs w:val="20"/>
        </w:rPr>
      </w:pPr>
      <w:r>
        <w:rPr>
          <w:rFonts w:cs="Times New Roman"/>
          <w:kern w:val="2"/>
          <w:szCs w:val="20"/>
        </w:rPr>
        <w:t>根据《环境影响评价技术导则</w:t>
      </w:r>
      <w:r>
        <w:rPr>
          <w:rFonts w:cs="Times New Roman" w:hint="eastAsia"/>
          <w:kern w:val="2"/>
          <w:szCs w:val="20"/>
        </w:rPr>
        <w:t xml:space="preserve"> </w:t>
      </w:r>
      <w:r>
        <w:rPr>
          <w:rFonts w:cs="Times New Roman"/>
          <w:kern w:val="2"/>
          <w:szCs w:val="20"/>
        </w:rPr>
        <w:t>地下水环境》（</w:t>
      </w:r>
      <w:r>
        <w:rPr>
          <w:rFonts w:cs="Times New Roman"/>
          <w:kern w:val="2"/>
          <w:szCs w:val="20"/>
        </w:rPr>
        <w:t>HJ610-2016</w:t>
      </w:r>
      <w:r>
        <w:rPr>
          <w:rFonts w:cs="Times New Roman"/>
          <w:kern w:val="2"/>
          <w:szCs w:val="20"/>
        </w:rPr>
        <w:t>）中表</w:t>
      </w:r>
      <w:r>
        <w:rPr>
          <w:rFonts w:cs="Times New Roman"/>
          <w:kern w:val="2"/>
          <w:szCs w:val="20"/>
        </w:rPr>
        <w:t>6</w:t>
      </w:r>
      <w:r>
        <w:rPr>
          <w:rFonts w:cs="Times New Roman"/>
          <w:kern w:val="2"/>
          <w:szCs w:val="20"/>
        </w:rPr>
        <w:t>及前文分析，项目区内包气带防污性能为</w:t>
      </w:r>
      <w:r>
        <w:rPr>
          <w:rFonts w:cs="Times New Roman"/>
          <w:kern w:val="2"/>
          <w:szCs w:val="20"/>
        </w:rPr>
        <w:t>“</w:t>
      </w:r>
      <w:r>
        <w:rPr>
          <w:rFonts w:cs="Times New Roman"/>
          <w:kern w:val="2"/>
          <w:szCs w:val="20"/>
        </w:rPr>
        <w:t>弱</w:t>
      </w:r>
      <w:r>
        <w:rPr>
          <w:rFonts w:cs="Times New Roman"/>
          <w:kern w:val="2"/>
          <w:szCs w:val="20"/>
        </w:rPr>
        <w:t>”</w:t>
      </w:r>
      <w:r>
        <w:rPr>
          <w:rFonts w:cs="Times New Roman"/>
          <w:kern w:val="2"/>
          <w:szCs w:val="20"/>
        </w:rPr>
        <w:t>，</w:t>
      </w:r>
      <w:r>
        <w:rPr>
          <w:rFonts w:cs="Times New Roman" w:hint="eastAsia"/>
          <w:kern w:val="2"/>
          <w:szCs w:val="20"/>
        </w:rPr>
        <w:t>运营期油气处理过程中</w:t>
      </w:r>
      <w:r>
        <w:rPr>
          <w:rFonts w:cs="Times New Roman"/>
          <w:kern w:val="2"/>
          <w:szCs w:val="20"/>
        </w:rPr>
        <w:t>主要污染物为石油类及</w:t>
      </w:r>
      <w:r>
        <w:rPr>
          <w:rFonts w:cs="Times New Roman"/>
          <w:kern w:val="2"/>
          <w:szCs w:val="20"/>
        </w:rPr>
        <w:t>COD</w:t>
      </w:r>
      <w:r>
        <w:rPr>
          <w:rFonts w:cs="Times New Roman"/>
          <w:kern w:val="2"/>
          <w:szCs w:val="20"/>
        </w:rPr>
        <w:t>、</w:t>
      </w:r>
      <w:r>
        <w:rPr>
          <w:rFonts w:cs="Times New Roman"/>
          <w:kern w:val="2"/>
          <w:szCs w:val="20"/>
        </w:rPr>
        <w:t>氨氮</w:t>
      </w:r>
      <w:r>
        <w:rPr>
          <w:rFonts w:cs="Times New Roman"/>
          <w:kern w:val="2"/>
          <w:szCs w:val="20"/>
        </w:rPr>
        <w:t>等，不属于重金属和持久性有机物类，为</w:t>
      </w:r>
      <w:r>
        <w:rPr>
          <w:rFonts w:cs="Times New Roman"/>
          <w:kern w:val="2"/>
          <w:szCs w:val="20"/>
        </w:rPr>
        <w:t>“</w:t>
      </w:r>
      <w:r>
        <w:rPr>
          <w:rFonts w:cs="Times New Roman"/>
          <w:kern w:val="2"/>
          <w:szCs w:val="20"/>
        </w:rPr>
        <w:t>其他类型</w:t>
      </w:r>
      <w:r>
        <w:rPr>
          <w:rFonts w:cs="Times New Roman"/>
          <w:kern w:val="2"/>
          <w:szCs w:val="20"/>
        </w:rPr>
        <w:t>”</w:t>
      </w:r>
      <w:r>
        <w:rPr>
          <w:rFonts w:cs="Times New Roman" w:hint="eastAsia"/>
          <w:kern w:val="2"/>
          <w:szCs w:val="20"/>
        </w:rPr>
        <w:t>，</w:t>
      </w:r>
      <w:r>
        <w:rPr>
          <w:rFonts w:cs="Times New Roman"/>
          <w:kern w:val="2"/>
          <w:szCs w:val="20"/>
        </w:rPr>
        <w:t>故运营期将工程区域整体划分为一般防渗区</w:t>
      </w:r>
      <w:r>
        <w:rPr>
          <w:rFonts w:cs="Times New Roman"/>
          <w:kern w:val="2"/>
          <w:szCs w:val="20"/>
        </w:rPr>
        <w:t>。</w:t>
      </w:r>
      <w:r>
        <w:rPr>
          <w:rFonts w:cs="Times New Roman"/>
          <w:kern w:val="2"/>
          <w:szCs w:val="20"/>
        </w:rPr>
        <w:t>具体划分方案如下：</w:t>
      </w:r>
    </w:p>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t>表</w:t>
      </w:r>
      <w:r>
        <w:rPr>
          <w:rFonts w:eastAsia="黑体" w:cs="Times New Roman"/>
          <w:bCs/>
          <w:sz w:val="21"/>
          <w:szCs w:val="21"/>
          <w:lang w:val="zh-CN"/>
        </w:rPr>
        <w:t>6.2-</w:t>
      </w:r>
      <w:r>
        <w:rPr>
          <w:rFonts w:eastAsia="黑体" w:cs="Times New Roman" w:hint="eastAsia"/>
          <w:bCs/>
          <w:sz w:val="21"/>
          <w:szCs w:val="21"/>
        </w:rPr>
        <w:t xml:space="preserve">5   </w:t>
      </w:r>
      <w:r>
        <w:rPr>
          <w:rFonts w:eastAsia="黑体" w:cs="Times New Roman"/>
          <w:bCs/>
          <w:sz w:val="21"/>
          <w:szCs w:val="21"/>
          <w:lang w:val="zh-CN"/>
        </w:rPr>
        <w:t>项目污染防渗区划分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8"/>
        <w:gridCol w:w="2877"/>
        <w:gridCol w:w="4377"/>
      </w:tblGrid>
      <w:tr w:rsidR="00C645C9">
        <w:trPr>
          <w:jc w:val="center"/>
        </w:trPr>
        <w:tc>
          <w:tcPr>
            <w:tcW w:w="1268" w:type="dxa"/>
            <w:vAlign w:val="center"/>
          </w:tcPr>
          <w:p w:rsidR="00C645C9" w:rsidRDefault="00F955D9">
            <w:pPr>
              <w:adjustRightInd w:val="0"/>
              <w:snapToGrid w:val="0"/>
              <w:jc w:val="center"/>
              <w:rPr>
                <w:rFonts w:cs="Times New Roman"/>
                <w:sz w:val="21"/>
                <w:szCs w:val="21"/>
              </w:rPr>
            </w:pPr>
            <w:r>
              <w:rPr>
                <w:rFonts w:cs="Times New Roman"/>
                <w:sz w:val="21"/>
                <w:szCs w:val="21"/>
              </w:rPr>
              <w:t>类别</w:t>
            </w:r>
          </w:p>
        </w:tc>
        <w:tc>
          <w:tcPr>
            <w:tcW w:w="2877" w:type="dxa"/>
            <w:vAlign w:val="center"/>
          </w:tcPr>
          <w:p w:rsidR="00C645C9" w:rsidRDefault="00F955D9">
            <w:pPr>
              <w:adjustRightInd w:val="0"/>
              <w:snapToGrid w:val="0"/>
              <w:jc w:val="center"/>
              <w:rPr>
                <w:rFonts w:cs="Times New Roman"/>
                <w:sz w:val="21"/>
                <w:szCs w:val="21"/>
              </w:rPr>
            </w:pPr>
            <w:r>
              <w:rPr>
                <w:rFonts w:cs="Times New Roman"/>
                <w:sz w:val="21"/>
                <w:szCs w:val="21"/>
              </w:rPr>
              <w:t>项目涉及区域</w:t>
            </w:r>
          </w:p>
        </w:tc>
        <w:tc>
          <w:tcPr>
            <w:tcW w:w="4377" w:type="dxa"/>
            <w:vAlign w:val="center"/>
          </w:tcPr>
          <w:p w:rsidR="00C645C9" w:rsidRDefault="00F955D9">
            <w:pPr>
              <w:adjustRightInd w:val="0"/>
              <w:snapToGrid w:val="0"/>
              <w:jc w:val="center"/>
              <w:rPr>
                <w:rFonts w:cs="Times New Roman"/>
                <w:sz w:val="21"/>
                <w:szCs w:val="21"/>
              </w:rPr>
            </w:pPr>
            <w:r>
              <w:rPr>
                <w:rFonts w:cs="Times New Roman"/>
                <w:sz w:val="21"/>
                <w:szCs w:val="21"/>
              </w:rPr>
              <w:t>防渗要求</w:t>
            </w:r>
          </w:p>
        </w:tc>
      </w:tr>
      <w:tr w:rsidR="00C645C9">
        <w:trPr>
          <w:jc w:val="center"/>
        </w:trPr>
        <w:tc>
          <w:tcPr>
            <w:tcW w:w="1268" w:type="dxa"/>
            <w:vAlign w:val="center"/>
          </w:tcPr>
          <w:p w:rsidR="00C645C9" w:rsidRDefault="00F955D9">
            <w:pPr>
              <w:adjustRightInd w:val="0"/>
              <w:snapToGrid w:val="0"/>
              <w:jc w:val="center"/>
              <w:rPr>
                <w:rFonts w:cs="Times New Roman"/>
                <w:sz w:val="21"/>
                <w:szCs w:val="21"/>
              </w:rPr>
            </w:pPr>
            <w:r>
              <w:rPr>
                <w:rFonts w:cs="Times New Roman"/>
                <w:sz w:val="21"/>
                <w:szCs w:val="21"/>
              </w:rPr>
              <w:t>一般防渗区</w:t>
            </w:r>
          </w:p>
        </w:tc>
        <w:tc>
          <w:tcPr>
            <w:tcW w:w="2877" w:type="dxa"/>
            <w:vAlign w:val="center"/>
          </w:tcPr>
          <w:p w:rsidR="00C645C9" w:rsidRDefault="00F955D9">
            <w:pPr>
              <w:adjustRightInd w:val="0"/>
              <w:snapToGrid w:val="0"/>
              <w:jc w:val="center"/>
              <w:rPr>
                <w:rFonts w:cs="Times New Roman"/>
                <w:sz w:val="21"/>
                <w:szCs w:val="21"/>
              </w:rPr>
            </w:pPr>
            <w:r>
              <w:rPr>
                <w:rFonts w:cs="Times New Roman"/>
                <w:sz w:val="21"/>
                <w:szCs w:val="21"/>
              </w:rPr>
              <w:t>井口</w:t>
            </w:r>
            <w:r>
              <w:rPr>
                <w:rFonts w:cs="Times New Roman" w:hint="eastAsia"/>
                <w:sz w:val="21"/>
                <w:szCs w:val="21"/>
              </w:rPr>
              <w:t>装置区、试采设备区底部</w:t>
            </w:r>
          </w:p>
        </w:tc>
        <w:tc>
          <w:tcPr>
            <w:tcW w:w="4377" w:type="dxa"/>
            <w:vAlign w:val="center"/>
          </w:tcPr>
          <w:p w:rsidR="00C645C9" w:rsidRDefault="00F955D9">
            <w:pPr>
              <w:adjustRightInd w:val="0"/>
              <w:snapToGrid w:val="0"/>
              <w:jc w:val="center"/>
              <w:rPr>
                <w:rFonts w:cs="Times New Roman"/>
                <w:sz w:val="21"/>
                <w:szCs w:val="21"/>
              </w:rPr>
            </w:pPr>
            <w:r>
              <w:rPr>
                <w:rFonts w:cs="Times New Roman"/>
                <w:sz w:val="21"/>
                <w:szCs w:val="21"/>
              </w:rPr>
              <w:t>等效防渗性能不应低于</w:t>
            </w:r>
            <w:r>
              <w:rPr>
                <w:rFonts w:cs="Times New Roman"/>
                <w:sz w:val="21"/>
                <w:szCs w:val="21"/>
              </w:rPr>
              <w:t>1.5m</w:t>
            </w:r>
            <w:r>
              <w:rPr>
                <w:rFonts w:cs="Times New Roman"/>
                <w:sz w:val="21"/>
                <w:szCs w:val="21"/>
              </w:rPr>
              <w:t>厚渗透系数为</w:t>
            </w:r>
            <w:r>
              <w:rPr>
                <w:rFonts w:cs="Times New Roman"/>
                <w:sz w:val="21"/>
                <w:szCs w:val="21"/>
              </w:rPr>
              <w:t>1.0×10</w:t>
            </w:r>
            <w:r>
              <w:rPr>
                <w:rFonts w:cs="Times New Roman"/>
                <w:sz w:val="21"/>
                <w:szCs w:val="21"/>
                <w:vertAlign w:val="superscript"/>
              </w:rPr>
              <w:t>-7</w:t>
            </w:r>
            <w:r>
              <w:rPr>
                <w:rFonts w:cs="Times New Roman"/>
                <w:sz w:val="21"/>
                <w:szCs w:val="21"/>
              </w:rPr>
              <w:t>cm/s</w:t>
            </w:r>
            <w:r>
              <w:rPr>
                <w:rFonts w:cs="Times New Roman"/>
                <w:sz w:val="21"/>
                <w:szCs w:val="21"/>
              </w:rPr>
              <w:t>的黏土层的防渗性能</w:t>
            </w:r>
          </w:p>
        </w:tc>
      </w:tr>
    </w:tbl>
    <w:p w:rsidR="00C645C9" w:rsidRDefault="00F955D9">
      <w:pPr>
        <w:keepLines/>
        <w:adjustRightInd w:val="0"/>
        <w:snapToGrid w:val="0"/>
        <w:spacing w:line="360" w:lineRule="auto"/>
        <w:outlineLvl w:val="3"/>
        <w:rPr>
          <w:rFonts w:cs="Times New Roman"/>
          <w:b/>
        </w:rPr>
      </w:pPr>
      <w:r>
        <w:rPr>
          <w:rFonts w:cs="Times New Roman"/>
          <w:b/>
        </w:rPr>
        <w:t>6.2.2</w:t>
      </w:r>
      <w:r>
        <w:rPr>
          <w:rFonts w:cs="Times New Roman"/>
          <w:b/>
        </w:rPr>
        <w:t>.3</w:t>
      </w:r>
      <w:r>
        <w:rPr>
          <w:rFonts w:cs="Times New Roman"/>
          <w:b/>
        </w:rPr>
        <w:t>管道刺漏防范措施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hint="eastAsia"/>
          <w:kern w:val="2"/>
          <w:szCs w:val="20"/>
        </w:rPr>
        <w:t>1</w:t>
      </w:r>
      <w:r>
        <w:rPr>
          <w:rFonts w:cs="Times New Roman"/>
          <w:kern w:val="2"/>
          <w:szCs w:val="20"/>
        </w:rPr>
        <w:t>）在管道上方设置标志，以防附近的各类施工活动对管道的破坏。减轻管道的内外腐蚀，定期检测管道的内外腐蚀情况，并配备适当的管道抢修、灭火及人员抢救设备。</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hint="eastAsia"/>
          <w:kern w:val="2"/>
          <w:szCs w:val="20"/>
        </w:rPr>
        <w:t>2</w:t>
      </w:r>
      <w:r>
        <w:rPr>
          <w:rFonts w:cs="Times New Roman"/>
          <w:kern w:val="2"/>
          <w:szCs w:val="20"/>
        </w:rPr>
        <w:t>）定期对管线进行检查，对壁厚低于规定要求的管段应及时更换，消除爆管的隐患；按规定进行设备维修、保养，及时更换易损及老化部件，防止油气泄漏事故的发生，定期对管线进行巡视，应加强管线和</w:t>
      </w:r>
      <w:r>
        <w:rPr>
          <w:rFonts w:cs="Times New Roman" w:hint="eastAsia"/>
          <w:kern w:val="2"/>
          <w:szCs w:val="20"/>
        </w:rPr>
        <w:t>警示标志</w:t>
      </w:r>
      <w:r>
        <w:rPr>
          <w:rFonts w:cs="Times New Roman"/>
          <w:kern w:val="2"/>
          <w:szCs w:val="20"/>
        </w:rPr>
        <w:t>的管理工作，提高巡线的有效性，发现对管道安全有影响的行为，应及时制止、采取相应措施并向上级报告。利用管道的压力、流量监控系统，发现异常立即排查，</w:t>
      </w:r>
      <w:r>
        <w:rPr>
          <w:rFonts w:cs="Times New Roman" w:hint="eastAsia"/>
          <w:kern w:val="2"/>
          <w:szCs w:val="20"/>
        </w:rPr>
        <w:t>若</w:t>
      </w:r>
      <w:r>
        <w:rPr>
          <w:rFonts w:cs="Times New Roman"/>
          <w:kern w:val="2"/>
          <w:szCs w:val="20"/>
        </w:rPr>
        <w:t>出现问题，立即派人现场核</w:t>
      </w:r>
      <w:r>
        <w:rPr>
          <w:rFonts w:cs="Times New Roman"/>
          <w:kern w:val="2"/>
          <w:szCs w:val="20"/>
        </w:rPr>
        <w:t>查，如有</w:t>
      </w:r>
      <w:r>
        <w:rPr>
          <w:rFonts w:cs="Times New Roman" w:hint="eastAsia"/>
          <w:kern w:val="2"/>
          <w:szCs w:val="20"/>
        </w:rPr>
        <w:t>突发事件</w:t>
      </w:r>
      <w:r>
        <w:rPr>
          <w:rFonts w:cs="Times New Roman"/>
          <w:kern w:val="2"/>
          <w:szCs w:val="20"/>
        </w:rPr>
        <w:t>启动应急预案。</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hint="eastAsia"/>
          <w:kern w:val="2"/>
          <w:szCs w:val="20"/>
        </w:rPr>
        <w:t>3</w:t>
      </w:r>
      <w:r>
        <w:rPr>
          <w:rFonts w:cs="Times New Roman"/>
          <w:kern w:val="2"/>
          <w:szCs w:val="20"/>
        </w:rPr>
        <w:t>）一旦管道发生泄漏事故，井场内设置有流量控制仪及压力变送器，当检测到压力降速率超过设定值时，自动关闭阀门。</w:t>
      </w:r>
    </w:p>
    <w:p w:rsidR="00C645C9" w:rsidRDefault="00F955D9">
      <w:pPr>
        <w:keepLines/>
        <w:adjustRightInd w:val="0"/>
        <w:snapToGrid w:val="0"/>
        <w:spacing w:line="360" w:lineRule="auto"/>
        <w:outlineLvl w:val="3"/>
        <w:rPr>
          <w:rFonts w:cs="Times New Roman"/>
          <w:b/>
        </w:rPr>
      </w:pPr>
      <w:r>
        <w:rPr>
          <w:rFonts w:cs="Times New Roman"/>
          <w:b/>
        </w:rPr>
        <w:lastRenderedPageBreak/>
        <w:t>6.2.2</w:t>
      </w:r>
      <w:r>
        <w:rPr>
          <w:rFonts w:cs="Times New Roman"/>
          <w:b/>
        </w:rPr>
        <w:t>.4</w:t>
      </w:r>
      <w:r>
        <w:rPr>
          <w:rFonts w:cs="Times New Roman"/>
          <w:b/>
        </w:rPr>
        <w:t>地下水环境监测与管理</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根据本工程特点建立和完善区域地下水环境监测制度和环境管理体系，制定完善的监测计划，环境监测工作可委托当地有资质的环境监测机构承担。根据《环境影响评价技术导则</w:t>
      </w:r>
      <w:r>
        <w:rPr>
          <w:rFonts w:cs="Times New Roman"/>
          <w:kern w:val="2"/>
          <w:szCs w:val="20"/>
        </w:rPr>
        <w:t xml:space="preserve"> </w:t>
      </w:r>
      <w:r>
        <w:rPr>
          <w:rFonts w:cs="Times New Roman"/>
          <w:kern w:val="2"/>
          <w:szCs w:val="20"/>
        </w:rPr>
        <w:t>地下水环境》（</w:t>
      </w:r>
      <w:r>
        <w:rPr>
          <w:rFonts w:cs="Times New Roman"/>
          <w:kern w:val="2"/>
          <w:szCs w:val="20"/>
        </w:rPr>
        <w:t>HJ610-2016</w:t>
      </w:r>
      <w:r>
        <w:rPr>
          <w:rFonts w:cs="Times New Roman"/>
          <w:kern w:val="2"/>
          <w:szCs w:val="20"/>
        </w:rPr>
        <w:t>）、《环境影响评价技术导则</w:t>
      </w:r>
      <w:r>
        <w:rPr>
          <w:rFonts w:cs="Times New Roman"/>
          <w:kern w:val="2"/>
          <w:szCs w:val="20"/>
        </w:rPr>
        <w:t xml:space="preserve"> </w:t>
      </w:r>
      <w:r>
        <w:rPr>
          <w:rFonts w:cs="Times New Roman"/>
          <w:kern w:val="2"/>
          <w:szCs w:val="20"/>
        </w:rPr>
        <w:t>陆地石油天然气开发建设项目》</w:t>
      </w:r>
      <w:r>
        <w:rPr>
          <w:rFonts w:cs="Times New Roman" w:hint="eastAsia"/>
          <w:kern w:val="2"/>
          <w:szCs w:val="20"/>
        </w:rPr>
        <w:t>（</w:t>
      </w:r>
      <w:r>
        <w:rPr>
          <w:rFonts w:cs="Times New Roman"/>
          <w:kern w:val="2"/>
          <w:szCs w:val="20"/>
        </w:rPr>
        <w:t>HJ349-2023</w:t>
      </w:r>
      <w:r>
        <w:rPr>
          <w:rFonts w:cs="Times New Roman" w:hint="eastAsia"/>
          <w:kern w:val="2"/>
          <w:szCs w:val="20"/>
        </w:rPr>
        <w:t>）</w:t>
      </w:r>
      <w:r>
        <w:rPr>
          <w:rFonts w:cs="Times New Roman"/>
          <w:kern w:val="2"/>
          <w:szCs w:val="20"/>
        </w:rPr>
        <w:t>，结合工程区所在区域的水文地质条件，需在建设项目下游设置</w:t>
      </w:r>
      <w:r>
        <w:rPr>
          <w:rFonts w:cs="Times New Roman"/>
          <w:kern w:val="2"/>
          <w:szCs w:val="20"/>
        </w:rPr>
        <w:t>1</w:t>
      </w:r>
      <w:r>
        <w:rPr>
          <w:rFonts w:cs="Times New Roman"/>
          <w:kern w:val="2"/>
          <w:szCs w:val="20"/>
        </w:rPr>
        <w:t>个</w:t>
      </w:r>
      <w:r>
        <w:rPr>
          <w:rFonts w:cs="Times New Roman"/>
          <w:kern w:val="2"/>
          <w:szCs w:val="20"/>
        </w:rPr>
        <w:t>跟踪监测点</w:t>
      </w:r>
      <w:r>
        <w:rPr>
          <w:rFonts w:cs="Times New Roman"/>
          <w:kern w:val="2"/>
          <w:szCs w:val="20"/>
        </w:rPr>
        <w:t>。</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根据区域水文地质条件，</w:t>
      </w:r>
      <w:r>
        <w:rPr>
          <w:rFonts w:cs="Times New Roman"/>
          <w:kern w:val="2"/>
          <w:szCs w:val="20"/>
        </w:rPr>
        <w:t>结合</w:t>
      </w:r>
      <w:r>
        <w:rPr>
          <w:rFonts w:cs="Times New Roman"/>
          <w:kern w:val="2"/>
          <w:szCs w:val="20"/>
        </w:rPr>
        <w:t>《环境影响评价技术导则</w:t>
      </w:r>
      <w:r>
        <w:rPr>
          <w:rFonts w:cs="Times New Roman"/>
          <w:kern w:val="2"/>
          <w:szCs w:val="20"/>
        </w:rPr>
        <w:t xml:space="preserve"> </w:t>
      </w:r>
      <w:r>
        <w:rPr>
          <w:rFonts w:cs="Times New Roman"/>
          <w:kern w:val="2"/>
          <w:szCs w:val="20"/>
        </w:rPr>
        <w:t>地下水环境》（</w:t>
      </w:r>
      <w:r>
        <w:rPr>
          <w:rFonts w:cs="Times New Roman"/>
          <w:kern w:val="2"/>
          <w:szCs w:val="20"/>
        </w:rPr>
        <w:t>HJ610-2016</w:t>
      </w:r>
      <w:r>
        <w:rPr>
          <w:rFonts w:cs="Times New Roman"/>
          <w:kern w:val="2"/>
          <w:szCs w:val="20"/>
        </w:rPr>
        <w:t>）</w:t>
      </w:r>
      <w:r>
        <w:rPr>
          <w:rFonts w:cs="Times New Roman"/>
          <w:kern w:val="2"/>
          <w:szCs w:val="20"/>
        </w:rPr>
        <w:t>《排污单位自行监测技术指南</w:t>
      </w:r>
      <w:r>
        <w:rPr>
          <w:rFonts w:cs="Times New Roman"/>
          <w:kern w:val="2"/>
          <w:szCs w:val="20"/>
        </w:rPr>
        <w:t xml:space="preserve"> </w:t>
      </w:r>
      <w:r>
        <w:rPr>
          <w:rFonts w:cs="Times New Roman"/>
          <w:kern w:val="2"/>
          <w:szCs w:val="20"/>
        </w:rPr>
        <w:t>陆上石油天然气开采工业》（</w:t>
      </w:r>
      <w:r>
        <w:rPr>
          <w:rFonts w:cs="Times New Roman"/>
          <w:kern w:val="2"/>
          <w:szCs w:val="20"/>
        </w:rPr>
        <w:t>HJ 1248—2022</w:t>
      </w:r>
      <w:r>
        <w:rPr>
          <w:rFonts w:cs="Times New Roman"/>
          <w:kern w:val="2"/>
          <w:szCs w:val="20"/>
        </w:rPr>
        <w:t>），</w:t>
      </w:r>
      <w:r>
        <w:rPr>
          <w:rFonts w:cs="Times New Roman" w:hint="eastAsia"/>
          <w:kern w:val="2"/>
          <w:szCs w:val="20"/>
        </w:rPr>
        <w:t>本工程</w:t>
      </w:r>
      <w:r>
        <w:rPr>
          <w:rFonts w:cs="Times New Roman"/>
          <w:kern w:val="2"/>
          <w:szCs w:val="20"/>
        </w:rPr>
        <w:t>监测计划、孔深、监测井结构、监测层位、监</w:t>
      </w:r>
      <w:r>
        <w:rPr>
          <w:rFonts w:cs="Times New Roman"/>
          <w:snapToGrid w:val="0"/>
          <w:kern w:val="2"/>
          <w:szCs w:val="20"/>
        </w:rPr>
        <w:t>测项目、监测频率等详见表</w:t>
      </w:r>
      <w:r>
        <w:rPr>
          <w:rFonts w:cs="Times New Roman"/>
          <w:snapToGrid w:val="0"/>
          <w:kern w:val="2"/>
          <w:szCs w:val="20"/>
        </w:rPr>
        <w:t>6.2-</w:t>
      </w:r>
      <w:r>
        <w:rPr>
          <w:rFonts w:cs="Times New Roman" w:hint="eastAsia"/>
          <w:snapToGrid w:val="0"/>
          <w:kern w:val="2"/>
          <w:szCs w:val="20"/>
        </w:rPr>
        <w:t>6</w:t>
      </w:r>
      <w:r>
        <w:rPr>
          <w:rFonts w:cs="Times New Roman"/>
          <w:kern w:val="2"/>
          <w:szCs w:val="20"/>
        </w:rPr>
        <w:t>。</w:t>
      </w:r>
    </w:p>
    <w:p w:rsidR="00C645C9" w:rsidRDefault="00F955D9">
      <w:pPr>
        <w:widowControl w:val="0"/>
        <w:jc w:val="center"/>
        <w:rPr>
          <w:rFonts w:eastAsia="黑体" w:cs="Times New Roman"/>
          <w:bCs/>
          <w:sz w:val="21"/>
          <w:szCs w:val="21"/>
          <w:lang w:val="zh-CN"/>
        </w:rPr>
      </w:pPr>
      <w:r>
        <w:rPr>
          <w:rFonts w:eastAsia="黑体" w:cs="Times New Roman"/>
          <w:bCs/>
          <w:sz w:val="21"/>
          <w:szCs w:val="21"/>
          <w:lang w:val="zh-CN"/>
        </w:rPr>
        <w:t>表</w:t>
      </w:r>
      <w:r>
        <w:rPr>
          <w:rFonts w:eastAsia="黑体" w:cs="Times New Roman" w:hint="eastAsia"/>
          <w:bCs/>
          <w:sz w:val="21"/>
          <w:szCs w:val="21"/>
          <w:lang w:val="zh-CN"/>
        </w:rPr>
        <w:t>6.2</w:t>
      </w:r>
      <w:r>
        <w:rPr>
          <w:rFonts w:eastAsia="黑体" w:cs="Times New Roman"/>
          <w:bCs/>
          <w:sz w:val="21"/>
          <w:szCs w:val="21"/>
          <w:lang w:val="zh-CN"/>
        </w:rPr>
        <w:t>-</w:t>
      </w:r>
      <w:r>
        <w:rPr>
          <w:rFonts w:eastAsia="黑体" w:cs="Times New Roman" w:hint="eastAsia"/>
          <w:bCs/>
          <w:sz w:val="21"/>
          <w:szCs w:val="21"/>
        </w:rPr>
        <w:t>6</w:t>
      </w:r>
      <w:r>
        <w:rPr>
          <w:rFonts w:eastAsia="黑体" w:cs="Times New Roman"/>
          <w:bCs/>
          <w:sz w:val="21"/>
          <w:szCs w:val="21"/>
          <w:lang w:val="zh-CN"/>
        </w:rPr>
        <w:t xml:space="preserve">  </w:t>
      </w:r>
      <w:r>
        <w:rPr>
          <w:rFonts w:eastAsia="黑体" w:cs="Times New Roman"/>
          <w:bCs/>
          <w:sz w:val="21"/>
          <w:szCs w:val="21"/>
          <w:lang w:val="zh-CN"/>
        </w:rPr>
        <w:t>地下水监测点布控一览表</w:t>
      </w:r>
    </w:p>
    <w:tbl>
      <w:tblPr>
        <w:tblW w:w="8573"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282"/>
        <w:gridCol w:w="1143"/>
        <w:gridCol w:w="1108"/>
        <w:gridCol w:w="1361"/>
        <w:gridCol w:w="2970"/>
      </w:tblGrid>
      <w:tr w:rsidR="00C645C9">
        <w:trPr>
          <w:trHeight w:val="20"/>
        </w:trPr>
        <w:tc>
          <w:tcPr>
            <w:tcW w:w="709" w:type="dxa"/>
            <w:vAlign w:val="center"/>
          </w:tcPr>
          <w:p w:rsidR="00C645C9" w:rsidRDefault="00F955D9">
            <w:pPr>
              <w:adjustRightInd w:val="0"/>
              <w:snapToGrid w:val="0"/>
              <w:jc w:val="center"/>
              <w:rPr>
                <w:rFonts w:cs="Times New Roman"/>
                <w:sz w:val="21"/>
                <w:szCs w:val="21"/>
              </w:rPr>
            </w:pPr>
            <w:r>
              <w:rPr>
                <w:rFonts w:cs="Times New Roman"/>
                <w:sz w:val="21"/>
                <w:szCs w:val="21"/>
              </w:rPr>
              <w:t>孔号</w:t>
            </w:r>
          </w:p>
        </w:tc>
        <w:tc>
          <w:tcPr>
            <w:tcW w:w="1282" w:type="dxa"/>
            <w:vAlign w:val="center"/>
          </w:tcPr>
          <w:p w:rsidR="00C645C9" w:rsidRDefault="00F955D9">
            <w:pPr>
              <w:adjustRightInd w:val="0"/>
              <w:snapToGrid w:val="0"/>
              <w:jc w:val="center"/>
              <w:rPr>
                <w:rFonts w:cs="Times New Roman"/>
                <w:sz w:val="21"/>
                <w:szCs w:val="21"/>
              </w:rPr>
            </w:pPr>
            <w:r>
              <w:rPr>
                <w:rFonts w:cs="Times New Roman"/>
                <w:sz w:val="21"/>
                <w:szCs w:val="21"/>
              </w:rPr>
              <w:t>区位</w:t>
            </w:r>
          </w:p>
        </w:tc>
        <w:tc>
          <w:tcPr>
            <w:tcW w:w="1143" w:type="dxa"/>
            <w:vAlign w:val="center"/>
          </w:tcPr>
          <w:p w:rsidR="00C645C9" w:rsidRDefault="00F955D9">
            <w:pPr>
              <w:adjustRightInd w:val="0"/>
              <w:snapToGrid w:val="0"/>
              <w:jc w:val="center"/>
              <w:rPr>
                <w:rFonts w:cs="Times New Roman"/>
                <w:sz w:val="21"/>
                <w:szCs w:val="21"/>
              </w:rPr>
            </w:pPr>
            <w:r>
              <w:rPr>
                <w:rFonts w:cs="Times New Roman"/>
                <w:sz w:val="21"/>
                <w:szCs w:val="21"/>
              </w:rPr>
              <w:t>监测层位</w:t>
            </w:r>
          </w:p>
        </w:tc>
        <w:tc>
          <w:tcPr>
            <w:tcW w:w="1108" w:type="dxa"/>
            <w:vAlign w:val="center"/>
          </w:tcPr>
          <w:p w:rsidR="00C645C9" w:rsidRDefault="00F955D9">
            <w:pPr>
              <w:adjustRightInd w:val="0"/>
              <w:snapToGrid w:val="0"/>
              <w:jc w:val="center"/>
              <w:rPr>
                <w:rFonts w:cs="Times New Roman"/>
                <w:sz w:val="21"/>
                <w:szCs w:val="21"/>
              </w:rPr>
            </w:pPr>
            <w:r>
              <w:rPr>
                <w:rFonts w:cs="Times New Roman"/>
                <w:sz w:val="21"/>
                <w:szCs w:val="21"/>
              </w:rPr>
              <w:t>功能</w:t>
            </w:r>
          </w:p>
        </w:tc>
        <w:tc>
          <w:tcPr>
            <w:tcW w:w="1361" w:type="dxa"/>
            <w:vAlign w:val="center"/>
          </w:tcPr>
          <w:p w:rsidR="00C645C9" w:rsidRDefault="00F955D9">
            <w:pPr>
              <w:adjustRightInd w:val="0"/>
              <w:snapToGrid w:val="0"/>
              <w:jc w:val="center"/>
              <w:rPr>
                <w:rFonts w:cs="Times New Roman"/>
                <w:sz w:val="21"/>
                <w:szCs w:val="21"/>
              </w:rPr>
            </w:pPr>
            <w:r>
              <w:rPr>
                <w:rFonts w:cs="Times New Roman"/>
                <w:sz w:val="21"/>
                <w:szCs w:val="21"/>
              </w:rPr>
              <w:t>监测频率</w:t>
            </w:r>
          </w:p>
        </w:tc>
        <w:tc>
          <w:tcPr>
            <w:tcW w:w="2970" w:type="dxa"/>
            <w:vAlign w:val="center"/>
          </w:tcPr>
          <w:p w:rsidR="00C645C9" w:rsidRDefault="00F955D9">
            <w:pPr>
              <w:adjustRightInd w:val="0"/>
              <w:snapToGrid w:val="0"/>
              <w:jc w:val="center"/>
              <w:rPr>
                <w:rFonts w:cs="Times New Roman"/>
                <w:sz w:val="21"/>
                <w:szCs w:val="21"/>
              </w:rPr>
            </w:pPr>
            <w:r>
              <w:rPr>
                <w:rFonts w:cs="Times New Roman"/>
                <w:sz w:val="21"/>
                <w:szCs w:val="21"/>
              </w:rPr>
              <w:t>主要监测项目</w:t>
            </w:r>
          </w:p>
        </w:tc>
      </w:tr>
      <w:tr w:rsidR="00C645C9">
        <w:trPr>
          <w:trHeight w:val="20"/>
        </w:trPr>
        <w:tc>
          <w:tcPr>
            <w:tcW w:w="709" w:type="dxa"/>
            <w:vAlign w:val="center"/>
          </w:tcPr>
          <w:p w:rsidR="00C645C9" w:rsidRDefault="00F955D9">
            <w:pPr>
              <w:adjustRightInd w:val="0"/>
              <w:snapToGrid w:val="0"/>
              <w:jc w:val="center"/>
              <w:rPr>
                <w:rFonts w:cs="Times New Roman"/>
                <w:sz w:val="21"/>
                <w:szCs w:val="21"/>
              </w:rPr>
            </w:pPr>
            <w:r>
              <w:rPr>
                <w:rFonts w:cs="Times New Roman"/>
                <w:sz w:val="21"/>
                <w:szCs w:val="21"/>
              </w:rPr>
              <w:t>G1</w:t>
            </w:r>
          </w:p>
        </w:tc>
        <w:tc>
          <w:tcPr>
            <w:tcW w:w="1282" w:type="dxa"/>
            <w:vAlign w:val="center"/>
          </w:tcPr>
          <w:p w:rsidR="00C645C9" w:rsidRDefault="00F955D9">
            <w:pPr>
              <w:adjustRightInd w:val="0"/>
              <w:snapToGrid w:val="0"/>
              <w:jc w:val="center"/>
              <w:rPr>
                <w:rFonts w:cs="Times New Roman"/>
                <w:sz w:val="21"/>
                <w:szCs w:val="21"/>
              </w:rPr>
            </w:pPr>
            <w:r>
              <w:rPr>
                <w:rFonts w:cs="Times New Roman"/>
                <w:sz w:val="21"/>
                <w:szCs w:val="21"/>
              </w:rPr>
              <w:t>地下水下游</w:t>
            </w:r>
          </w:p>
        </w:tc>
        <w:tc>
          <w:tcPr>
            <w:tcW w:w="1143" w:type="dxa"/>
            <w:vAlign w:val="center"/>
          </w:tcPr>
          <w:p w:rsidR="00C645C9" w:rsidRDefault="00F955D9">
            <w:pPr>
              <w:adjustRightInd w:val="0"/>
              <w:snapToGrid w:val="0"/>
              <w:jc w:val="center"/>
              <w:rPr>
                <w:rFonts w:cs="Times New Roman"/>
                <w:sz w:val="21"/>
                <w:szCs w:val="21"/>
              </w:rPr>
            </w:pPr>
            <w:r>
              <w:rPr>
                <w:rFonts w:cs="Times New Roman"/>
                <w:sz w:val="21"/>
                <w:szCs w:val="21"/>
              </w:rPr>
              <w:t>孔隙潜水</w:t>
            </w:r>
            <w:r>
              <w:rPr>
                <w:rFonts w:cs="Times New Roman"/>
                <w:sz w:val="21"/>
                <w:szCs w:val="21"/>
              </w:rPr>
              <w:t>/</w:t>
            </w:r>
            <w:r>
              <w:rPr>
                <w:rFonts w:cs="Times New Roman"/>
                <w:sz w:val="21"/>
                <w:szCs w:val="21"/>
              </w:rPr>
              <w:t>单管单层</w:t>
            </w:r>
          </w:p>
        </w:tc>
        <w:tc>
          <w:tcPr>
            <w:tcW w:w="1108" w:type="dxa"/>
            <w:vAlign w:val="center"/>
          </w:tcPr>
          <w:p w:rsidR="00C645C9" w:rsidRDefault="00F955D9">
            <w:pPr>
              <w:adjustRightInd w:val="0"/>
              <w:snapToGrid w:val="0"/>
              <w:jc w:val="center"/>
              <w:rPr>
                <w:rFonts w:cs="Times New Roman"/>
                <w:sz w:val="21"/>
                <w:szCs w:val="21"/>
              </w:rPr>
            </w:pPr>
            <w:r>
              <w:rPr>
                <w:rFonts w:cs="Times New Roman"/>
                <w:sz w:val="21"/>
                <w:szCs w:val="21"/>
              </w:rPr>
              <w:t>地下水环境影响跟踪监测井</w:t>
            </w:r>
          </w:p>
        </w:tc>
        <w:tc>
          <w:tcPr>
            <w:tcW w:w="1361" w:type="dxa"/>
            <w:vAlign w:val="center"/>
          </w:tcPr>
          <w:p w:rsidR="00C645C9" w:rsidRDefault="00F955D9">
            <w:pPr>
              <w:adjustRightInd w:val="0"/>
              <w:snapToGrid w:val="0"/>
              <w:jc w:val="center"/>
              <w:rPr>
                <w:rFonts w:cs="Times New Roman"/>
                <w:sz w:val="21"/>
                <w:szCs w:val="21"/>
              </w:rPr>
            </w:pPr>
            <w:r>
              <w:rPr>
                <w:rFonts w:cs="Times New Roman"/>
                <w:sz w:val="21"/>
                <w:szCs w:val="21"/>
              </w:rPr>
              <w:t>每年采样</w:t>
            </w:r>
            <w:r>
              <w:rPr>
                <w:rFonts w:cs="Times New Roman"/>
                <w:sz w:val="21"/>
                <w:szCs w:val="21"/>
              </w:rPr>
              <w:t>2</w:t>
            </w:r>
            <w:r>
              <w:rPr>
                <w:rFonts w:cs="Times New Roman"/>
                <w:sz w:val="21"/>
                <w:szCs w:val="21"/>
              </w:rPr>
              <w:t>次。发生事故时加大取样频率。</w:t>
            </w:r>
          </w:p>
        </w:tc>
        <w:tc>
          <w:tcPr>
            <w:tcW w:w="2970" w:type="dxa"/>
            <w:vAlign w:val="center"/>
          </w:tcPr>
          <w:p w:rsidR="00C645C9" w:rsidRDefault="00F955D9">
            <w:pPr>
              <w:adjustRightInd w:val="0"/>
              <w:snapToGrid w:val="0"/>
              <w:jc w:val="center"/>
              <w:rPr>
                <w:rFonts w:cs="Times New Roman"/>
                <w:snapToGrid w:val="0"/>
                <w:spacing w:val="10"/>
                <w:sz w:val="21"/>
                <w:szCs w:val="21"/>
              </w:rPr>
            </w:pPr>
            <w:r>
              <w:rPr>
                <w:rFonts w:cs="Times New Roman"/>
                <w:sz w:val="21"/>
                <w:szCs w:val="21"/>
              </w:rPr>
              <w:t>水位埋深、</w:t>
            </w:r>
            <w:r>
              <w:rPr>
                <w:rFonts w:cs="Times New Roman"/>
                <w:sz w:val="21"/>
                <w:szCs w:val="21"/>
              </w:rPr>
              <w:t>pH</w:t>
            </w:r>
            <w:r>
              <w:rPr>
                <w:rFonts w:cs="Times New Roman"/>
                <w:sz w:val="21"/>
                <w:szCs w:val="21"/>
              </w:rPr>
              <w:t>值、挥发酚、耗氧量、氨氮、硫化物、氯化物、石油类、总硬度、溶解性总固体、</w:t>
            </w:r>
            <w:r>
              <w:rPr>
                <w:rFonts w:cs="Times New Roman"/>
                <w:spacing w:val="-10"/>
                <w:sz w:val="21"/>
                <w:szCs w:val="21"/>
              </w:rPr>
              <w:t>石油烃（</w:t>
            </w:r>
            <w:r>
              <w:rPr>
                <w:rFonts w:cs="Times New Roman"/>
                <w:spacing w:val="-10"/>
                <w:sz w:val="21"/>
                <w:szCs w:val="21"/>
              </w:rPr>
              <w:t>C</w:t>
            </w:r>
            <w:r>
              <w:rPr>
                <w:rFonts w:cs="Times New Roman"/>
                <w:spacing w:val="-10"/>
                <w:sz w:val="21"/>
                <w:szCs w:val="21"/>
                <w:vertAlign w:val="subscript"/>
              </w:rPr>
              <w:t>6</w:t>
            </w:r>
            <w:r>
              <w:rPr>
                <w:rFonts w:cs="Times New Roman"/>
                <w:spacing w:val="-10"/>
                <w:sz w:val="21"/>
                <w:szCs w:val="21"/>
              </w:rPr>
              <w:t>-C</w:t>
            </w:r>
            <w:r>
              <w:rPr>
                <w:rFonts w:cs="Times New Roman"/>
                <w:spacing w:val="-10"/>
                <w:sz w:val="21"/>
                <w:szCs w:val="21"/>
                <w:vertAlign w:val="subscript"/>
              </w:rPr>
              <w:t>9</w:t>
            </w:r>
            <w:r>
              <w:rPr>
                <w:rFonts w:cs="Times New Roman"/>
                <w:spacing w:val="-10"/>
                <w:sz w:val="21"/>
                <w:szCs w:val="21"/>
              </w:rPr>
              <w:t>）</w:t>
            </w:r>
            <w:r>
              <w:rPr>
                <w:rFonts w:cs="Times New Roman"/>
                <w:spacing w:val="-10"/>
                <w:sz w:val="21"/>
                <w:szCs w:val="21"/>
              </w:rPr>
              <w:t>、石油烃（</w:t>
            </w:r>
            <w:r>
              <w:rPr>
                <w:rFonts w:cs="Times New Roman"/>
                <w:spacing w:val="-10"/>
                <w:sz w:val="21"/>
                <w:szCs w:val="21"/>
              </w:rPr>
              <w:t>C</w:t>
            </w:r>
            <w:r>
              <w:rPr>
                <w:rFonts w:cs="Times New Roman"/>
                <w:spacing w:val="-10"/>
                <w:sz w:val="21"/>
                <w:szCs w:val="21"/>
                <w:vertAlign w:val="subscript"/>
              </w:rPr>
              <w:t>10</w:t>
            </w:r>
            <w:r>
              <w:rPr>
                <w:rFonts w:cs="Times New Roman"/>
                <w:spacing w:val="-10"/>
                <w:sz w:val="21"/>
                <w:szCs w:val="21"/>
              </w:rPr>
              <w:t>-C</w:t>
            </w:r>
            <w:r>
              <w:rPr>
                <w:rFonts w:cs="Times New Roman"/>
                <w:spacing w:val="-10"/>
                <w:sz w:val="21"/>
                <w:szCs w:val="21"/>
                <w:vertAlign w:val="subscript"/>
              </w:rPr>
              <w:t>40</w:t>
            </w:r>
            <w:r>
              <w:rPr>
                <w:rFonts w:cs="Times New Roman"/>
                <w:spacing w:val="-10"/>
                <w:sz w:val="21"/>
                <w:szCs w:val="21"/>
              </w:rPr>
              <w:t>）</w:t>
            </w:r>
            <w:r>
              <w:rPr>
                <w:rFonts w:cs="Times New Roman"/>
                <w:spacing w:val="-10"/>
                <w:sz w:val="21"/>
                <w:szCs w:val="21"/>
              </w:rPr>
              <w:t>、砷、六价铬</w:t>
            </w:r>
            <w:r>
              <w:rPr>
                <w:rFonts w:cs="Times New Roman"/>
                <w:sz w:val="21"/>
                <w:szCs w:val="21"/>
              </w:rPr>
              <w:t>等。</w:t>
            </w:r>
          </w:p>
        </w:tc>
      </w:tr>
    </w:tbl>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上述监测结果应按项目有关规定及时建立档案，并定期向</w:t>
      </w:r>
      <w:r>
        <w:rPr>
          <w:rFonts w:cs="Times New Roman" w:hint="eastAsia"/>
          <w:kern w:val="2"/>
          <w:szCs w:val="20"/>
        </w:rPr>
        <w:t>气田</w:t>
      </w:r>
      <w:r>
        <w:rPr>
          <w:rFonts w:cs="Times New Roman"/>
          <w:kern w:val="2"/>
          <w:szCs w:val="20"/>
        </w:rPr>
        <w:t>的</w:t>
      </w:r>
      <w:r>
        <w:rPr>
          <w:rFonts w:cs="Times New Roman"/>
          <w:kern w:val="2"/>
          <w:szCs w:val="20"/>
        </w:rPr>
        <w:t>管理区安全环保部门汇报，对于常规监测数据应该进行公开。如发现异常或发生事故，加密监测频次，改为每周监测一次，并分析污染原因，确定泄漏污染源，及时采取应急措施。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另外，井场设置现场检测仪表，并由</w:t>
      </w:r>
      <w:r>
        <w:rPr>
          <w:rFonts w:cs="Times New Roman"/>
          <w:kern w:val="2"/>
          <w:szCs w:val="20"/>
        </w:rPr>
        <w:t>RTU</w:t>
      </w:r>
      <w:r>
        <w:rPr>
          <w:rFonts w:cs="Times New Roman"/>
          <w:kern w:val="2"/>
          <w:szCs w:val="20"/>
        </w:rPr>
        <w:t>箱中的控制系统实现井场内的生产运行管理和控制，上传井场的重要生产运行数据，接收上位系统的控制指令，设置现场监控系统，随时通过监控系统观察井场内生产情况。</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为保证地下水监测工作</w:t>
      </w:r>
      <w:r>
        <w:rPr>
          <w:rFonts w:cs="Times New Roman" w:hint="eastAsia"/>
          <w:kern w:val="2"/>
          <w:szCs w:val="20"/>
        </w:rPr>
        <w:t>高效</w:t>
      </w:r>
      <w:r>
        <w:rPr>
          <w:rFonts w:cs="Times New Roman"/>
          <w:kern w:val="2"/>
          <w:szCs w:val="20"/>
        </w:rPr>
        <w:t>有序运行，须明确职责、制定相关规定进行管理；具体管理措施和技术措施如下：</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①</w:t>
      </w:r>
      <w:r>
        <w:rPr>
          <w:rFonts w:cs="Times New Roman"/>
          <w:kern w:val="2"/>
          <w:szCs w:val="20"/>
        </w:rPr>
        <w:t>管理措施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1</w:t>
      </w:r>
      <w:r>
        <w:rPr>
          <w:rFonts w:cs="Times New Roman"/>
          <w:kern w:val="2"/>
          <w:szCs w:val="20"/>
        </w:rPr>
        <w:t>）预防地下水污染的管理工作是生态环境管理部门的职责之一，油田公司环境保护管理部门应指派专人负责预防地下水污染的管理工作；</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2</w:t>
      </w:r>
      <w:r>
        <w:rPr>
          <w:rFonts w:cs="Times New Roman"/>
          <w:kern w:val="2"/>
          <w:szCs w:val="20"/>
        </w:rPr>
        <w:t>）建设单位应委托具有监测资质的单位按时、按质、按量完成地下水监测工作，并按要求分析整</w:t>
      </w:r>
      <w:r>
        <w:rPr>
          <w:rFonts w:cs="Times New Roman"/>
          <w:kern w:val="2"/>
          <w:szCs w:val="20"/>
        </w:rPr>
        <w:t>理原始资料、编写监测报告；</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3</w:t>
      </w:r>
      <w:r>
        <w:rPr>
          <w:rFonts w:cs="Times New Roman"/>
          <w:kern w:val="2"/>
          <w:szCs w:val="20"/>
        </w:rPr>
        <w:t>）建立与工程区环境管理系统相联系的地下水监测信息管理系统；</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lastRenderedPageBreak/>
        <w:t>4</w:t>
      </w:r>
      <w:r>
        <w:rPr>
          <w:rFonts w:cs="Times New Roman"/>
          <w:kern w:val="2"/>
          <w:szCs w:val="20"/>
        </w:rPr>
        <w:t>）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②</w:t>
      </w:r>
      <w:r>
        <w:rPr>
          <w:rFonts w:cs="Times New Roman"/>
          <w:kern w:val="2"/>
          <w:szCs w:val="20"/>
        </w:rPr>
        <w:t>技术措施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1</w:t>
      </w:r>
      <w:r>
        <w:rPr>
          <w:rFonts w:cs="Times New Roman"/>
          <w:kern w:val="2"/>
          <w:szCs w:val="20"/>
        </w:rPr>
        <w:t>）定期对法兰、阀门、管道等进行检查。</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2</w:t>
      </w:r>
      <w:r>
        <w:rPr>
          <w:rFonts w:cs="Times New Roman"/>
          <w:kern w:val="2"/>
          <w:szCs w:val="20"/>
        </w:rPr>
        <w:t>）在日常例行监测中，一旦发现地下水水质监测数据异常，应尽快核查数据，确保数据的正确性，并将核查过的监测数据通告相关部门，由专人负责对数据进行分析、核实，并密切关注</w:t>
      </w:r>
      <w:r>
        <w:rPr>
          <w:rFonts w:cs="Times New Roman"/>
          <w:kern w:val="2"/>
          <w:szCs w:val="20"/>
        </w:rPr>
        <w:t>生产设施的运行情况。具体内容如下：了解全井场、站场生产是否出现异常情况，出现异常情况的装置、原因；加大监测密度，如监测频率由每年</w:t>
      </w:r>
      <w:r>
        <w:rPr>
          <w:rFonts w:cs="Times New Roman"/>
          <w:kern w:val="2"/>
          <w:szCs w:val="20"/>
        </w:rPr>
        <w:t>1</w:t>
      </w:r>
      <w:r>
        <w:rPr>
          <w:rFonts w:cs="Times New Roman"/>
          <w:kern w:val="2"/>
          <w:szCs w:val="20"/>
        </w:rPr>
        <w:t>次临时加密为每天一次或更多，连续多天，分析变化动向。</w:t>
      </w:r>
    </w:p>
    <w:p w:rsidR="00C645C9" w:rsidRDefault="00F955D9">
      <w:pPr>
        <w:keepLines/>
        <w:adjustRightInd w:val="0"/>
        <w:snapToGrid w:val="0"/>
        <w:spacing w:line="360" w:lineRule="auto"/>
        <w:outlineLvl w:val="3"/>
        <w:rPr>
          <w:rFonts w:cs="Times New Roman"/>
          <w:b/>
        </w:rPr>
      </w:pPr>
      <w:r>
        <w:rPr>
          <w:rFonts w:cs="Times New Roman"/>
          <w:b/>
        </w:rPr>
        <w:t>6.2.2</w:t>
      </w:r>
      <w:r>
        <w:rPr>
          <w:rFonts w:cs="Times New Roman"/>
          <w:b/>
        </w:rPr>
        <w:t>.5</w:t>
      </w:r>
      <w:r>
        <w:rPr>
          <w:rFonts w:cs="Times New Roman"/>
          <w:b/>
        </w:rPr>
        <w:t>地下水污染应急预案及处理</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1</w:t>
      </w:r>
      <w:r>
        <w:rPr>
          <w:rFonts w:cs="Times New Roman"/>
          <w:kern w:val="2"/>
          <w:szCs w:val="20"/>
        </w:rPr>
        <w:t>）应急预案内容</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地下水应急预案的具体内容如下：</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①</w:t>
      </w:r>
      <w:r>
        <w:rPr>
          <w:rFonts w:cs="Times New Roman"/>
          <w:kern w:val="2"/>
          <w:szCs w:val="20"/>
        </w:rPr>
        <w:t>应急预案的日常协调和指挥机构；</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②</w:t>
      </w:r>
      <w:r>
        <w:rPr>
          <w:rFonts w:cs="Times New Roman"/>
          <w:kern w:val="2"/>
          <w:szCs w:val="20"/>
        </w:rPr>
        <w:t>各部门在应急预案中的职责和分工；</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③</w:t>
      </w:r>
      <w:r>
        <w:rPr>
          <w:rFonts w:cs="Times New Roman"/>
          <w:kern w:val="2"/>
          <w:szCs w:val="20"/>
        </w:rPr>
        <w:t>确定地下水环境保护目标和对目标采取的紧急处置措施，评估潜在污染可能性；</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④</w:t>
      </w:r>
      <w:r>
        <w:rPr>
          <w:rFonts w:cs="Times New Roman"/>
          <w:kern w:val="2"/>
          <w:szCs w:val="20"/>
        </w:rPr>
        <w:t>特大事故应急救援组织状况、人员和装备情况，平常的训练和演习。</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w:t>
      </w:r>
      <w:r>
        <w:rPr>
          <w:rFonts w:cs="Times New Roman"/>
          <w:kern w:val="2"/>
          <w:szCs w:val="20"/>
        </w:rPr>
        <w:t>2</w:t>
      </w:r>
      <w:r>
        <w:rPr>
          <w:rFonts w:cs="Times New Roman"/>
          <w:kern w:val="2"/>
          <w:szCs w:val="20"/>
        </w:rPr>
        <w:t>）污染事故处理</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在发现异常或者事故状态下，建议采取如下污染治理措施。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①</w:t>
      </w:r>
      <w:r>
        <w:rPr>
          <w:rFonts w:cs="Times New Roman"/>
          <w:kern w:val="2"/>
          <w:szCs w:val="20"/>
        </w:rPr>
        <w:t>如发现异常或发生事故，加密监测频次，改为每周监测一次，并分析污染原因，确定泄漏污染源，及时采取应急措施。</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②</w:t>
      </w:r>
      <w:r>
        <w:rPr>
          <w:rFonts w:cs="Times New Roman"/>
          <w:kern w:val="2"/>
          <w:szCs w:val="20"/>
        </w:rPr>
        <w:t>一旦发生地下水污染事故，应立即启动应急预案。</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③</w:t>
      </w:r>
      <w:r>
        <w:rPr>
          <w:rFonts w:cs="Times New Roman"/>
          <w:kern w:val="2"/>
          <w:szCs w:val="20"/>
        </w:rPr>
        <w:t>查明并切断污染源。</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④</w:t>
      </w:r>
      <w:r>
        <w:rPr>
          <w:rFonts w:cs="Times New Roman"/>
          <w:kern w:val="2"/>
          <w:szCs w:val="20"/>
        </w:rPr>
        <w:t>探明地下水污染深度、范围和污染程度。</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⑤</w:t>
      </w:r>
      <w:r>
        <w:rPr>
          <w:rFonts w:cs="Times New Roman"/>
          <w:kern w:val="2"/>
          <w:szCs w:val="20"/>
        </w:rPr>
        <w:t>依据探明的地下水污染情况，合理布置浅井，并进行试抽工作。</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⑥</w:t>
      </w:r>
      <w:r>
        <w:rPr>
          <w:rFonts w:cs="Times New Roman"/>
          <w:kern w:val="2"/>
          <w:szCs w:val="20"/>
        </w:rPr>
        <w:t>依据抽水设计方案进行施工，抽取被污染的地下水体，并依据各井孔出水情况进行调整。可采用阻断污染物向周边环境迁移扩散的技术，如泥浆墙、灌浆墙、土工膜阻断、板桩、原位土壤搅拌阻断、可渗</w:t>
      </w:r>
      <w:r>
        <w:rPr>
          <w:rFonts w:cs="Times New Roman"/>
          <w:kern w:val="2"/>
          <w:szCs w:val="20"/>
        </w:rPr>
        <w:t>透反应墙等，通过在污染源周围构筑低渗透屏障，来隔离污染物，同时操控地下水的流场。</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lastRenderedPageBreak/>
        <w:t>⑦</w:t>
      </w:r>
      <w:r>
        <w:rPr>
          <w:rFonts w:cs="Times New Roman"/>
          <w:kern w:val="2"/>
          <w:szCs w:val="20"/>
        </w:rPr>
        <w:t>将抽取的地下水进行集中收集处理，并送实验室进行化验分析。</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⑧</w:t>
      </w:r>
      <w:r>
        <w:rPr>
          <w:rFonts w:cs="Times New Roman"/>
          <w:kern w:val="2"/>
          <w:szCs w:val="20"/>
        </w:rPr>
        <w:t>当地下水中的特征污染物浓度满足地下水功能区划的标准后，逐步停止抽水，并进行土壤修复治理工作。</w:t>
      </w:r>
    </w:p>
    <w:p w:rsidR="00C645C9" w:rsidRDefault="00F955D9">
      <w:pPr>
        <w:widowControl w:val="0"/>
        <w:adjustRightInd w:val="0"/>
        <w:snapToGrid w:val="0"/>
        <w:spacing w:line="360" w:lineRule="auto"/>
        <w:ind w:firstLineChars="200" w:firstLine="480"/>
        <w:jc w:val="both"/>
        <w:rPr>
          <w:rFonts w:cs="Times New Roman"/>
          <w:kern w:val="2"/>
          <w:szCs w:val="20"/>
        </w:rPr>
      </w:pPr>
      <w:r>
        <w:rPr>
          <w:rFonts w:cs="Times New Roman"/>
          <w:kern w:val="2"/>
          <w:szCs w:val="20"/>
        </w:rPr>
        <w:t>⑨</w:t>
      </w:r>
      <w:r>
        <w:rPr>
          <w:rFonts w:cs="Times New Roman"/>
          <w:kern w:val="2"/>
          <w:szCs w:val="20"/>
        </w:rPr>
        <w:t>对事故后果进行评估，并制定防止类似事件发生的措施。</w:t>
      </w:r>
    </w:p>
    <w:p w:rsidR="00C645C9" w:rsidRDefault="00F955D9">
      <w:pPr>
        <w:widowControl w:val="0"/>
        <w:adjustRightInd w:val="0"/>
        <w:snapToGrid w:val="0"/>
        <w:spacing w:line="360" w:lineRule="auto"/>
        <w:ind w:firstLineChars="200" w:firstLine="480"/>
        <w:jc w:val="both"/>
        <w:rPr>
          <w:lang w:eastAsia="en-US"/>
        </w:rPr>
      </w:pPr>
      <w:r>
        <w:rPr>
          <w:rFonts w:cs="Times New Roman"/>
          <w:kern w:val="2"/>
          <w:szCs w:val="20"/>
        </w:rPr>
        <w:t>综上，本工程采取的地下水污染防治措施可行。</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523" w:history="1">
        <w:r>
          <w:rPr>
            <w:rFonts w:cs="Times New Roman" w:hint="eastAsia"/>
            <w:b/>
            <w:snapToGrid w:val="0"/>
            <w:sz w:val="28"/>
            <w:szCs w:val="21"/>
            <w:lang w:eastAsia="en-US"/>
          </w:rPr>
          <w:t>6.2.3</w:t>
        </w:r>
        <w:r>
          <w:rPr>
            <w:rFonts w:cs="Times New Roman" w:hint="eastAsia"/>
            <w:b/>
            <w:snapToGrid w:val="0"/>
            <w:sz w:val="28"/>
            <w:szCs w:val="21"/>
            <w:lang w:eastAsia="en-US"/>
          </w:rPr>
          <w:t>退役期</w:t>
        </w:r>
        <w:r>
          <w:rPr>
            <w:rFonts w:cs="Times New Roman" w:hint="eastAsia"/>
            <w:b/>
            <w:snapToGrid w:val="0"/>
            <w:sz w:val="28"/>
            <w:szCs w:val="21"/>
          </w:rPr>
          <w:t>地下</w:t>
        </w:r>
        <w:r>
          <w:rPr>
            <w:rFonts w:cs="Times New Roman" w:hint="eastAsia"/>
            <w:b/>
            <w:snapToGrid w:val="0"/>
            <w:sz w:val="28"/>
            <w:szCs w:val="21"/>
            <w:lang w:eastAsia="en-US"/>
          </w:rPr>
          <w:t>水环境保护措施</w:t>
        </w:r>
      </w:hyperlink>
    </w:p>
    <w:p w:rsidR="00C645C9" w:rsidRDefault="00F955D9">
      <w:pPr>
        <w:widowControl w:val="0"/>
        <w:adjustRightInd w:val="0"/>
        <w:snapToGrid w:val="0"/>
        <w:spacing w:line="360" w:lineRule="auto"/>
        <w:ind w:firstLineChars="200" w:firstLine="480"/>
        <w:jc w:val="both"/>
        <w:rPr>
          <w:rFonts w:cs="Times New Roman"/>
          <w:kern w:val="2"/>
          <w:szCs w:val="20"/>
          <w:lang w:val="zh-CN"/>
        </w:rPr>
      </w:pPr>
      <w:r>
        <w:rPr>
          <w:rFonts w:cs="Times New Roman"/>
          <w:kern w:val="2"/>
          <w:szCs w:val="20"/>
          <w:lang w:val="zh-CN"/>
        </w:rPr>
        <w:t>项目退役期拆除设备、清理站场时，施工时间较短，施工人员产生的生活污水量较少，依托施工区域周边生活设施处理，不外排，</w:t>
      </w:r>
      <w:r>
        <w:rPr>
          <w:rFonts w:cs="Times New Roman" w:hint="eastAsia"/>
          <w:kern w:val="2"/>
          <w:szCs w:val="20"/>
        </w:rPr>
        <w:t>采气</w:t>
      </w:r>
      <w:r>
        <w:rPr>
          <w:rFonts w:cs="Times New Roman"/>
          <w:kern w:val="2"/>
          <w:szCs w:val="20"/>
        </w:rPr>
        <w:t>设备拆除区域地面铺设</w:t>
      </w:r>
      <w:r>
        <w:rPr>
          <w:rFonts w:cs="Times New Roman"/>
          <w:kern w:val="2"/>
          <w:szCs w:val="20"/>
        </w:rPr>
        <w:t>HDPE</w:t>
      </w:r>
      <w:r>
        <w:rPr>
          <w:rFonts w:cs="Times New Roman"/>
          <w:kern w:val="2"/>
          <w:szCs w:val="20"/>
        </w:rPr>
        <w:t>防渗膜</w:t>
      </w:r>
      <w:r>
        <w:rPr>
          <w:rFonts w:cs="Times New Roman"/>
          <w:kern w:val="2"/>
          <w:szCs w:val="20"/>
        </w:rPr>
        <w:t>，</w:t>
      </w:r>
      <w:r>
        <w:rPr>
          <w:rFonts w:cs="Times New Roman" w:hint="eastAsia"/>
          <w:kern w:val="2"/>
          <w:szCs w:val="20"/>
        </w:rPr>
        <w:t>防止</w:t>
      </w:r>
      <w:r>
        <w:rPr>
          <w:rFonts w:cs="Times New Roman"/>
          <w:kern w:val="2"/>
          <w:szCs w:val="20"/>
        </w:rPr>
        <w:t>污油进入外环境，</w:t>
      </w:r>
      <w:r>
        <w:rPr>
          <w:rFonts w:cs="Times New Roman"/>
          <w:kern w:val="2"/>
          <w:szCs w:val="20"/>
          <w:lang w:val="zh-CN"/>
        </w:rPr>
        <w:t>对周围水环境影响较小。</w:t>
      </w:r>
    </w:p>
    <w:p w:rsidR="00C645C9" w:rsidRDefault="00F955D9">
      <w:pPr>
        <w:widowControl w:val="0"/>
        <w:adjustRightInd w:val="0"/>
        <w:snapToGrid w:val="0"/>
        <w:spacing w:line="360" w:lineRule="auto"/>
        <w:ind w:firstLineChars="200" w:firstLine="480"/>
        <w:jc w:val="both"/>
      </w:pPr>
      <w:r>
        <w:rPr>
          <w:rFonts w:cs="Times New Roman"/>
          <w:kern w:val="2"/>
          <w:szCs w:val="20"/>
          <w:lang w:val="zh-CN"/>
        </w:rPr>
        <w:t>油气井报废或退役后，按照《废弃井封井回填技术指南（试行）》（环办土壤函〔</w:t>
      </w:r>
      <w:r>
        <w:rPr>
          <w:rFonts w:cs="Times New Roman"/>
          <w:kern w:val="2"/>
          <w:szCs w:val="20"/>
          <w:lang w:val="zh-CN"/>
        </w:rPr>
        <w:t>2020</w:t>
      </w:r>
      <w:r>
        <w:rPr>
          <w:rFonts w:cs="Times New Roman"/>
          <w:kern w:val="2"/>
          <w:szCs w:val="20"/>
          <w:lang w:val="zh-CN"/>
        </w:rPr>
        <w:t>〕</w:t>
      </w:r>
      <w:r>
        <w:rPr>
          <w:rFonts w:cs="Times New Roman"/>
          <w:kern w:val="2"/>
          <w:szCs w:val="20"/>
          <w:lang w:val="zh-CN"/>
        </w:rPr>
        <w:t>72</w:t>
      </w:r>
      <w:r>
        <w:rPr>
          <w:rFonts w:cs="Times New Roman"/>
          <w:kern w:val="2"/>
          <w:szCs w:val="20"/>
          <w:lang w:val="zh-CN"/>
        </w:rPr>
        <w:t>号）、《废弃井封井处置规范》</w:t>
      </w:r>
      <w:r>
        <w:rPr>
          <w:rFonts w:cs="Times New Roman" w:hint="eastAsia"/>
          <w:kern w:val="2"/>
          <w:szCs w:val="20"/>
          <w:lang w:val="zh-CN"/>
        </w:rPr>
        <w:t>（</w:t>
      </w:r>
      <w:r>
        <w:rPr>
          <w:rFonts w:cs="Times New Roman"/>
          <w:kern w:val="2"/>
          <w:szCs w:val="20"/>
          <w:lang w:val="zh-CN"/>
        </w:rPr>
        <w:t>Q/SH0653-2015</w:t>
      </w:r>
      <w:r>
        <w:rPr>
          <w:rFonts w:cs="Times New Roman" w:hint="eastAsia"/>
          <w:kern w:val="2"/>
          <w:szCs w:val="20"/>
          <w:lang w:val="zh-CN"/>
        </w:rPr>
        <w:t>）</w:t>
      </w:r>
      <w:r>
        <w:rPr>
          <w:rFonts w:cs="Times New Roman"/>
          <w:kern w:val="2"/>
          <w:szCs w:val="20"/>
          <w:lang w:val="zh-CN"/>
        </w:rPr>
        <w:t>对完成</w:t>
      </w:r>
      <w:r>
        <w:rPr>
          <w:rFonts w:cs="Times New Roman" w:hint="eastAsia"/>
          <w:kern w:val="2"/>
          <w:szCs w:val="20"/>
          <w:lang w:val="zh-CN"/>
        </w:rPr>
        <w:t>采气</w:t>
      </w:r>
      <w:r>
        <w:rPr>
          <w:rFonts w:cs="Times New Roman"/>
          <w:kern w:val="2"/>
          <w:szCs w:val="20"/>
          <w:lang w:val="zh-CN"/>
        </w:rPr>
        <w:t>的废弃井封堵，保证对各类废弃井采取的固井、封井措施有效可行，防止发生油水窜层，污染地下水环境。</w:t>
      </w:r>
    </w:p>
    <w:p w:rsidR="00C645C9" w:rsidRDefault="00F955D9">
      <w:pPr>
        <w:widowControl w:val="0"/>
        <w:tabs>
          <w:tab w:val="left" w:pos="5695"/>
        </w:tabs>
        <w:adjustRightInd w:val="0"/>
        <w:snapToGrid w:val="0"/>
        <w:spacing w:line="360" w:lineRule="auto"/>
        <w:outlineLvl w:val="1"/>
        <w:rPr>
          <w:rFonts w:cs="Times New Roman"/>
          <w:b/>
          <w:snapToGrid w:val="0"/>
          <w:sz w:val="28"/>
          <w:szCs w:val="21"/>
          <w:lang w:eastAsia="en-US"/>
        </w:rPr>
      </w:pPr>
      <w:bookmarkStart w:id="1806" w:name="_Toc5538"/>
      <w:r>
        <w:rPr>
          <w:rFonts w:cs="Times New Roman" w:hint="eastAsia"/>
          <w:b/>
          <w:snapToGrid w:val="0"/>
          <w:sz w:val="28"/>
          <w:szCs w:val="21"/>
        </w:rPr>
        <w:t>6.3</w:t>
      </w:r>
      <w:r>
        <w:rPr>
          <w:rFonts w:cs="Times New Roman" w:hint="eastAsia"/>
          <w:b/>
          <w:snapToGrid w:val="0"/>
          <w:sz w:val="28"/>
          <w:szCs w:val="21"/>
        </w:rPr>
        <w:t>地表水环境保护</w:t>
      </w:r>
      <w:r>
        <w:rPr>
          <w:rFonts w:cs="Times New Roman" w:hint="eastAsia"/>
          <w:b/>
          <w:snapToGrid w:val="0"/>
          <w:sz w:val="28"/>
          <w:szCs w:val="21"/>
          <w:lang w:eastAsia="en-US"/>
        </w:rPr>
        <w:t>措施可行性论证</w:t>
      </w:r>
      <w:bookmarkEnd w:id="1806"/>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693" w:history="1">
        <w:r>
          <w:rPr>
            <w:rFonts w:cs="Times New Roman" w:hint="eastAsia"/>
            <w:b/>
            <w:snapToGrid w:val="0"/>
            <w:sz w:val="28"/>
            <w:szCs w:val="21"/>
            <w:lang w:eastAsia="en-US"/>
          </w:rPr>
          <w:t>6.</w:t>
        </w:r>
        <w:r>
          <w:rPr>
            <w:rFonts w:cs="Times New Roman" w:hint="eastAsia"/>
            <w:b/>
            <w:snapToGrid w:val="0"/>
            <w:sz w:val="28"/>
            <w:szCs w:val="21"/>
          </w:rPr>
          <w:t>3</w:t>
        </w:r>
        <w:r>
          <w:rPr>
            <w:rFonts w:cs="Times New Roman" w:hint="eastAsia"/>
            <w:b/>
            <w:snapToGrid w:val="0"/>
            <w:sz w:val="28"/>
            <w:szCs w:val="21"/>
            <w:lang w:eastAsia="en-US"/>
          </w:rPr>
          <w:t xml:space="preserve">.1 </w:t>
        </w:r>
        <w:r>
          <w:rPr>
            <w:rFonts w:cs="Times New Roman" w:hint="eastAsia"/>
            <w:b/>
            <w:snapToGrid w:val="0"/>
            <w:sz w:val="28"/>
            <w:szCs w:val="21"/>
            <w:lang w:eastAsia="en-US"/>
          </w:rPr>
          <w:t>施工期</w:t>
        </w:r>
        <w:r>
          <w:rPr>
            <w:rFonts w:cs="Times New Roman" w:hint="eastAsia"/>
            <w:b/>
            <w:snapToGrid w:val="0"/>
            <w:sz w:val="28"/>
            <w:szCs w:val="21"/>
          </w:rPr>
          <w:t>地表水</w:t>
        </w:r>
        <w:r>
          <w:rPr>
            <w:rFonts w:cs="Times New Roman" w:hint="eastAsia"/>
            <w:b/>
            <w:snapToGrid w:val="0"/>
            <w:sz w:val="28"/>
            <w:szCs w:val="21"/>
            <w:lang w:eastAsia="en-US"/>
          </w:rPr>
          <w:t>环境保护措施</w:t>
        </w:r>
      </w:hyperlink>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施工期产生的废水主要是钻井废水、酸化压裂废水</w:t>
      </w:r>
      <w:r>
        <w:rPr>
          <w:rFonts w:cs="Times New Roman" w:hint="eastAsia"/>
          <w:kern w:val="2"/>
        </w:rPr>
        <w:t>、</w:t>
      </w:r>
      <w:r>
        <w:rPr>
          <w:rFonts w:cs="Times New Roman"/>
          <w:kern w:val="2"/>
        </w:rPr>
        <w:t>管线试压废水及生活污水。</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w:t>
      </w:r>
      <w:r>
        <w:rPr>
          <w:rFonts w:cs="Times New Roman"/>
          <w:kern w:val="2"/>
        </w:rPr>
        <w:t>1</w:t>
      </w:r>
      <w:r>
        <w:rPr>
          <w:rFonts w:cs="Times New Roman"/>
          <w:kern w:val="2"/>
        </w:rPr>
        <w:t>）钻井废水</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①</w:t>
      </w:r>
      <w:r>
        <w:rPr>
          <w:rFonts w:cs="Times New Roman"/>
          <w:kern w:val="2"/>
        </w:rPr>
        <w:t>钻井过程采用无毒无害的水基钻井液。</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②</w:t>
      </w:r>
      <w:r>
        <w:rPr>
          <w:rFonts w:cs="Times New Roman"/>
          <w:kern w:val="2"/>
        </w:rPr>
        <w:t>钻井废水在井场固液分离，去向分两部分，溢流上清液排入井场泥浆罐中用于配制泥浆，循环使用，不外排。</w:t>
      </w:r>
    </w:p>
    <w:p w:rsidR="00C645C9" w:rsidRDefault="00F955D9">
      <w:pPr>
        <w:widowControl w:val="0"/>
        <w:adjustRightInd w:val="0"/>
        <w:snapToGrid w:val="0"/>
        <w:spacing w:line="360" w:lineRule="auto"/>
        <w:ind w:firstLine="482"/>
        <w:jc w:val="both"/>
        <w:rPr>
          <w:rFonts w:cs="Times New Roman"/>
          <w:kern w:val="2"/>
        </w:rPr>
      </w:pPr>
      <w:r>
        <w:rPr>
          <w:rFonts w:cs="Times New Roman"/>
          <w:kern w:val="2"/>
        </w:rPr>
        <w:t>③</w:t>
      </w:r>
      <w:r>
        <w:rPr>
          <w:rFonts w:cs="Times New Roman"/>
          <w:kern w:val="2"/>
        </w:rPr>
        <w:t>钻井过程中设备清洗、冷却等需消耗大量清水，采取有效节水措施，不仅节约了水资源，同时也减少了钻井废水的产生量，减少了废水存储设施的负担和后续处理的负荷，符合清洁生产的要求。因此，要在源头上节水降</w:t>
      </w:r>
      <w:r>
        <w:rPr>
          <w:rFonts w:cs="Times New Roman"/>
          <w:kern w:val="2"/>
        </w:rPr>
        <w:t>污，使钻井废水予以减量。</w:t>
      </w:r>
      <w:r>
        <w:rPr>
          <w:rFonts w:cs="Times New Roman"/>
          <w:kern w:val="2"/>
        </w:rPr>
        <w:t>钻井液循环使用过程中应严格操作程序，提高泥浆循环利用率，减少钻井液的</w:t>
      </w:r>
      <w:r>
        <w:rPr>
          <w:rFonts w:cs="Times New Roman"/>
          <w:kern w:val="2"/>
        </w:rPr>
        <w:t>“</w:t>
      </w:r>
      <w:r>
        <w:rPr>
          <w:rFonts w:cs="Times New Roman"/>
          <w:kern w:val="2"/>
        </w:rPr>
        <w:t>跑、冒、滴、漏</w:t>
      </w:r>
      <w:r>
        <w:rPr>
          <w:rFonts w:cs="Times New Roman"/>
          <w:kern w:val="2"/>
        </w:rPr>
        <w:t>”</w:t>
      </w:r>
      <w:r>
        <w:rPr>
          <w:rFonts w:cs="Times New Roman"/>
          <w:kern w:val="2"/>
        </w:rPr>
        <w:t>，减少废钻井液产生量。</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w:t>
      </w:r>
      <w:r>
        <w:rPr>
          <w:rFonts w:cs="Times New Roman"/>
          <w:kern w:val="2"/>
        </w:rPr>
        <w:t>2</w:t>
      </w:r>
      <w:r>
        <w:rPr>
          <w:rFonts w:cs="Times New Roman"/>
          <w:kern w:val="2"/>
        </w:rPr>
        <w:t>）试压废水</w:t>
      </w:r>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hint="eastAsia"/>
          <w:kern w:val="2"/>
        </w:rPr>
        <w:t>本工程</w:t>
      </w:r>
      <w:r>
        <w:rPr>
          <w:rFonts w:cs="Times New Roman"/>
          <w:kern w:val="2"/>
        </w:rPr>
        <w:t>管道试压以测试管道的强度和密闭性，试压介质为清洁水，管道试压用水重复利用。管道试压过程会产生一定量的试压废水，清管试压废水主要污染</w:t>
      </w:r>
      <w:r>
        <w:rPr>
          <w:rFonts w:cs="Times New Roman"/>
          <w:kern w:val="2"/>
        </w:rPr>
        <w:lastRenderedPageBreak/>
        <w:t>物为悬浮物。试压水由管道排出由罐收集后，进入下一段管道循环使用，试压废水水质相对简单，以悬浮物为主，试压结束沉淀后用于施工区域洒水降尘，不外排。因此，</w:t>
      </w:r>
      <w:r>
        <w:rPr>
          <w:rFonts w:cs="Times New Roman" w:hint="eastAsia"/>
          <w:kern w:val="2"/>
        </w:rPr>
        <w:t>本工程</w:t>
      </w:r>
      <w:r>
        <w:rPr>
          <w:rFonts w:cs="Times New Roman"/>
          <w:kern w:val="2"/>
        </w:rPr>
        <w:t>管道试压废水可得到妥善处置，不外排，污染防治措施可行。</w:t>
      </w:r>
    </w:p>
    <w:p w:rsidR="00C645C9" w:rsidRDefault="00F955D9">
      <w:pPr>
        <w:adjustRightInd w:val="0"/>
        <w:snapToGrid w:val="0"/>
        <w:spacing w:line="360" w:lineRule="auto"/>
        <w:ind w:firstLineChars="200" w:firstLine="480"/>
        <w:rPr>
          <w:rFonts w:cs="Times New Roman"/>
          <w:bCs/>
          <w:kern w:val="2"/>
        </w:rPr>
      </w:pPr>
      <w:bookmarkStart w:id="1807" w:name="OLE_LINK1500"/>
      <w:r>
        <w:rPr>
          <w:rFonts w:cs="Times New Roman"/>
          <w:bCs/>
          <w:kern w:val="2"/>
        </w:rPr>
        <w:t>（</w:t>
      </w:r>
      <w:r>
        <w:rPr>
          <w:rFonts w:cs="Times New Roman"/>
          <w:bCs/>
          <w:kern w:val="2"/>
        </w:rPr>
        <w:t>3</w:t>
      </w:r>
      <w:r>
        <w:rPr>
          <w:rFonts w:cs="Times New Roman"/>
          <w:bCs/>
          <w:kern w:val="2"/>
        </w:rPr>
        <w:t>）酸化压裂废水</w:t>
      </w:r>
    </w:p>
    <w:p w:rsidR="00C645C9" w:rsidRDefault="00F955D9">
      <w:pPr>
        <w:adjustRightInd w:val="0"/>
        <w:snapToGrid w:val="0"/>
        <w:spacing w:line="360" w:lineRule="auto"/>
        <w:ind w:firstLineChars="200" w:firstLine="480"/>
        <w:rPr>
          <w:rFonts w:cs="Times New Roman"/>
          <w:bCs/>
          <w:kern w:val="2"/>
        </w:rPr>
      </w:pPr>
      <w:r>
        <w:rPr>
          <w:rFonts w:cs="Times New Roman" w:hint="eastAsia"/>
          <w:bCs/>
          <w:kern w:val="2"/>
        </w:rPr>
        <w:t>本</w:t>
      </w:r>
      <w:r>
        <w:rPr>
          <w:rFonts w:cs="Times New Roman" w:hint="eastAsia"/>
          <w:bCs/>
          <w:kern w:val="2"/>
        </w:rPr>
        <w:t>工程产生的酸化压裂废水</w:t>
      </w:r>
      <w:r>
        <w:t>，采用专用废液收集罐收集后运至</w:t>
      </w:r>
      <w:r>
        <w:rPr>
          <w:rFonts w:hint="eastAsia"/>
        </w:rPr>
        <w:t>塔河油田绿色环保工作站</w:t>
      </w:r>
      <w:r>
        <w:t>处理。对于本工程产</w:t>
      </w:r>
      <w:r>
        <w:rPr>
          <w:rFonts w:hint="eastAsia"/>
        </w:rPr>
        <w:t>生的</w:t>
      </w:r>
      <w:r>
        <w:t>危险废物由专用运输车辆进行运输、转移，并严格按照《危险废物转移联单管理办法》，实施危险废物转移联单管理制度</w:t>
      </w:r>
      <w:r>
        <w:rPr>
          <w:rFonts w:hint="eastAsia"/>
        </w:rPr>
        <w:t>。</w:t>
      </w:r>
    </w:p>
    <w:p w:rsidR="00C645C9" w:rsidRDefault="00F955D9">
      <w:pPr>
        <w:adjustRightInd w:val="0"/>
        <w:snapToGrid w:val="0"/>
        <w:spacing w:line="360" w:lineRule="auto"/>
        <w:ind w:firstLineChars="200" w:firstLine="480"/>
        <w:rPr>
          <w:rFonts w:cs="Times New Roman"/>
          <w:bCs/>
          <w:kern w:val="2"/>
        </w:rPr>
      </w:pPr>
      <w:r>
        <w:rPr>
          <w:rFonts w:cs="Times New Roman"/>
          <w:bCs/>
          <w:kern w:val="2"/>
        </w:rPr>
        <w:t>（</w:t>
      </w:r>
      <w:r>
        <w:rPr>
          <w:rFonts w:cs="Times New Roman" w:hint="eastAsia"/>
          <w:bCs/>
          <w:kern w:val="2"/>
        </w:rPr>
        <w:t>4</w:t>
      </w:r>
      <w:r>
        <w:rPr>
          <w:rFonts w:cs="Times New Roman"/>
          <w:bCs/>
          <w:kern w:val="2"/>
        </w:rPr>
        <w:t>）生活污水</w:t>
      </w:r>
    </w:p>
    <w:p w:rsidR="00C645C9" w:rsidRDefault="00F955D9">
      <w:pPr>
        <w:adjustRightInd w:val="0"/>
        <w:snapToGrid w:val="0"/>
        <w:spacing w:line="360" w:lineRule="auto"/>
        <w:ind w:firstLine="482"/>
        <w:rPr>
          <w:rFonts w:cs="Times New Roman"/>
          <w:bCs/>
          <w:kern w:val="2"/>
        </w:rPr>
      </w:pPr>
      <w:r>
        <w:rPr>
          <w:rFonts w:cs="Times New Roman" w:hint="eastAsia"/>
          <w:bCs/>
          <w:kern w:val="2"/>
        </w:rPr>
        <w:t>本工</w:t>
      </w:r>
      <w:bookmarkEnd w:id="1807"/>
      <w:r>
        <w:rPr>
          <w:rFonts w:cs="Times New Roman" w:hint="eastAsia"/>
          <w:bCs/>
          <w:kern w:val="2"/>
        </w:rPr>
        <w:t>程</w:t>
      </w:r>
      <w:r>
        <w:rPr>
          <w:rFonts w:cs="Times New Roman"/>
        </w:rPr>
        <w:t>生活污水经井场一体化污水处理装置处理后，水质达到《农村生活污水处理排放标准》（</w:t>
      </w:r>
      <w:r>
        <w:rPr>
          <w:rFonts w:cs="Times New Roman"/>
        </w:rPr>
        <w:t>DB65 4275-2019</w:t>
      </w:r>
      <w:r>
        <w:rPr>
          <w:rFonts w:cs="Times New Roman"/>
        </w:rPr>
        <w:t>）表二的</w:t>
      </w:r>
      <w:r>
        <w:rPr>
          <w:rFonts w:cs="Times New Roman"/>
        </w:rPr>
        <w:t>B</w:t>
      </w:r>
      <w:r>
        <w:rPr>
          <w:rFonts w:cs="Times New Roman"/>
        </w:rPr>
        <w:t>级标准、《农田灌溉水质标准》（</w:t>
      </w:r>
      <w:r>
        <w:rPr>
          <w:rFonts w:cs="Times New Roman"/>
        </w:rPr>
        <w:t>GB 5084-2021</w:t>
      </w:r>
      <w:r>
        <w:rPr>
          <w:rFonts w:cs="Times New Roman"/>
        </w:rPr>
        <w:t>）表一旱地作物标准后用于井场及道路降尘</w:t>
      </w:r>
      <w:r>
        <w:rPr>
          <w:rFonts w:cs="Times New Roman"/>
          <w:bCs/>
          <w:kern w:val="2"/>
        </w:rPr>
        <w:t>。</w:t>
      </w:r>
    </w:p>
    <w:p w:rsidR="00C645C9" w:rsidRDefault="00F955D9">
      <w:pPr>
        <w:widowControl w:val="0"/>
        <w:adjustRightInd w:val="0"/>
        <w:snapToGrid w:val="0"/>
        <w:spacing w:line="360" w:lineRule="auto"/>
        <w:ind w:firstLineChars="200" w:firstLine="480"/>
        <w:jc w:val="both"/>
        <w:rPr>
          <w:lang w:eastAsia="en-US"/>
        </w:rPr>
      </w:pPr>
      <w:r>
        <w:rPr>
          <w:rFonts w:hAnsi="宋体" w:hint="eastAsia"/>
          <w:kern w:val="2"/>
          <w:szCs w:val="20"/>
        </w:rPr>
        <w:t>综上所述，通过采取以上各种废水处理及防治措施，</w:t>
      </w:r>
      <w:r>
        <w:rPr>
          <w:rFonts w:hAnsi="宋体" w:hint="eastAsia"/>
          <w:kern w:val="2"/>
          <w:szCs w:val="20"/>
        </w:rPr>
        <w:t>本工程</w:t>
      </w:r>
      <w:r>
        <w:rPr>
          <w:rFonts w:hAnsi="宋体" w:hint="eastAsia"/>
          <w:kern w:val="2"/>
          <w:szCs w:val="20"/>
        </w:rPr>
        <w:t>施工期产生的各类废水均可以得到有效处置，施工期的废水污染防治措施合理可行。</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150" w:history="1">
        <w:r>
          <w:rPr>
            <w:rFonts w:cs="Times New Roman" w:hint="eastAsia"/>
            <w:b/>
            <w:snapToGrid w:val="0"/>
            <w:sz w:val="28"/>
            <w:szCs w:val="21"/>
            <w:lang w:eastAsia="en-US"/>
          </w:rPr>
          <w:t>6.</w:t>
        </w:r>
        <w:r>
          <w:rPr>
            <w:rFonts w:cs="Times New Roman" w:hint="eastAsia"/>
            <w:b/>
            <w:snapToGrid w:val="0"/>
            <w:sz w:val="28"/>
            <w:szCs w:val="21"/>
          </w:rPr>
          <w:t>3</w:t>
        </w:r>
        <w:r>
          <w:rPr>
            <w:rFonts w:cs="Times New Roman" w:hint="eastAsia"/>
            <w:b/>
            <w:snapToGrid w:val="0"/>
            <w:sz w:val="28"/>
            <w:szCs w:val="21"/>
            <w:lang w:eastAsia="en-US"/>
          </w:rPr>
          <w:t>.2</w:t>
        </w:r>
        <w:r>
          <w:rPr>
            <w:rFonts w:cs="Times New Roman" w:hint="eastAsia"/>
            <w:b/>
            <w:snapToGrid w:val="0"/>
            <w:sz w:val="28"/>
            <w:szCs w:val="21"/>
            <w:lang w:eastAsia="en-US"/>
          </w:rPr>
          <w:t>运营期</w:t>
        </w:r>
        <w:r>
          <w:rPr>
            <w:rFonts w:cs="Times New Roman" w:hint="eastAsia"/>
            <w:b/>
            <w:snapToGrid w:val="0"/>
            <w:sz w:val="28"/>
            <w:szCs w:val="21"/>
          </w:rPr>
          <w:t>地表水</w:t>
        </w:r>
        <w:r>
          <w:rPr>
            <w:rFonts w:cs="Times New Roman" w:hint="eastAsia"/>
            <w:b/>
            <w:snapToGrid w:val="0"/>
            <w:sz w:val="28"/>
            <w:szCs w:val="21"/>
            <w:lang w:eastAsia="en-US"/>
          </w:rPr>
          <w:t>环境保护措施</w:t>
        </w:r>
      </w:hyperlink>
    </w:p>
    <w:p w:rsidR="00C645C9" w:rsidRDefault="00F955D9">
      <w:pPr>
        <w:widowControl w:val="0"/>
        <w:adjustRightInd w:val="0"/>
        <w:snapToGrid w:val="0"/>
        <w:spacing w:line="360" w:lineRule="auto"/>
        <w:ind w:firstLineChars="200" w:firstLine="480"/>
        <w:jc w:val="both"/>
        <w:rPr>
          <w:rFonts w:cs="Times New Roman"/>
          <w:kern w:val="2"/>
        </w:rPr>
      </w:pPr>
      <w:r>
        <w:rPr>
          <w:rFonts w:cs="Times New Roman"/>
          <w:kern w:val="2"/>
        </w:rPr>
        <w:t>根据工程分析，本工程建成后无新增定员，不新增生活污水，井场生产废水</w:t>
      </w:r>
      <w:r>
        <w:rPr>
          <w:rFonts w:cs="Times New Roman" w:hint="eastAsia"/>
          <w:kern w:val="2"/>
        </w:rPr>
        <w:t>、</w:t>
      </w:r>
      <w:r>
        <w:rPr>
          <w:rFonts w:cs="Times New Roman"/>
          <w:kern w:val="2"/>
        </w:rPr>
        <w:t>采出</w:t>
      </w:r>
      <w:r>
        <w:rPr>
          <w:rFonts w:cs="Times New Roman" w:hint="eastAsia"/>
          <w:kern w:val="2"/>
        </w:rPr>
        <w:t>水</w:t>
      </w:r>
      <w:r>
        <w:rPr>
          <w:rFonts w:cs="Times New Roman"/>
          <w:kern w:val="2"/>
        </w:rPr>
        <w:t>、井下作业废水依托塔河油田绿色环保工作站污水处理系统处理达标后综合利用。</w:t>
      </w:r>
    </w:p>
    <w:p w:rsidR="00C645C9" w:rsidRDefault="00F955D9">
      <w:pPr>
        <w:widowControl w:val="0"/>
        <w:adjustRightInd w:val="0"/>
        <w:snapToGrid w:val="0"/>
        <w:spacing w:line="360" w:lineRule="auto"/>
        <w:ind w:firstLineChars="200" w:firstLine="480"/>
        <w:jc w:val="both"/>
        <w:rPr>
          <w:lang w:eastAsia="en-US"/>
        </w:rPr>
      </w:pPr>
      <w:r>
        <w:rPr>
          <w:rFonts w:cs="Times New Roman"/>
          <w:kern w:val="2"/>
        </w:rPr>
        <w:t>在正常状况下，本工程在设计、施工和运行时，严把质量验收关，</w:t>
      </w:r>
      <w:r>
        <w:rPr>
          <w:rFonts w:cs="Times New Roman" w:hint="eastAsia"/>
          <w:kern w:val="2"/>
        </w:rPr>
        <w:t>杜绝</w:t>
      </w:r>
      <w:r>
        <w:rPr>
          <w:rFonts w:cs="Times New Roman"/>
          <w:kern w:val="2"/>
        </w:rPr>
        <w:t>因管道材质、制管、防腐涂层、焊接缺陷及运行失误而造成管线泄漏。在生产运行过程中，强化监控手段，定期检查检验，检漏控漏，杜绝长期事故性排放点源的存在；在非正常状况下，应及时采取水污染应急控制措施。</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523" w:history="1">
        <w:r>
          <w:rPr>
            <w:rFonts w:cs="Times New Roman" w:hint="eastAsia"/>
            <w:b/>
            <w:snapToGrid w:val="0"/>
            <w:sz w:val="28"/>
            <w:szCs w:val="21"/>
            <w:lang w:eastAsia="en-US"/>
          </w:rPr>
          <w:t>6.</w:t>
        </w:r>
        <w:r>
          <w:rPr>
            <w:rFonts w:cs="Times New Roman" w:hint="eastAsia"/>
            <w:b/>
            <w:snapToGrid w:val="0"/>
            <w:sz w:val="28"/>
            <w:szCs w:val="21"/>
          </w:rPr>
          <w:t>3</w:t>
        </w:r>
        <w:r>
          <w:rPr>
            <w:rFonts w:cs="Times New Roman" w:hint="eastAsia"/>
            <w:b/>
            <w:snapToGrid w:val="0"/>
            <w:sz w:val="28"/>
            <w:szCs w:val="21"/>
            <w:lang w:eastAsia="en-US"/>
          </w:rPr>
          <w:t>.3</w:t>
        </w:r>
        <w:r>
          <w:rPr>
            <w:rFonts w:cs="Times New Roman" w:hint="eastAsia"/>
            <w:b/>
            <w:snapToGrid w:val="0"/>
            <w:sz w:val="28"/>
            <w:szCs w:val="21"/>
            <w:lang w:eastAsia="en-US"/>
          </w:rPr>
          <w:t>退役期</w:t>
        </w:r>
        <w:r>
          <w:rPr>
            <w:rFonts w:cs="Times New Roman" w:hint="eastAsia"/>
            <w:b/>
            <w:snapToGrid w:val="0"/>
            <w:sz w:val="28"/>
            <w:szCs w:val="21"/>
          </w:rPr>
          <w:t>地表水</w:t>
        </w:r>
        <w:r>
          <w:rPr>
            <w:rFonts w:cs="Times New Roman" w:hint="eastAsia"/>
            <w:b/>
            <w:snapToGrid w:val="0"/>
            <w:sz w:val="28"/>
            <w:szCs w:val="21"/>
            <w:lang w:eastAsia="en-US"/>
          </w:rPr>
          <w:t>环境保护措施</w:t>
        </w:r>
      </w:hyperlink>
    </w:p>
    <w:p w:rsidR="00C645C9" w:rsidRDefault="00F955D9">
      <w:pPr>
        <w:pStyle w:val="WPSOffice2"/>
        <w:tabs>
          <w:tab w:val="right" w:leader="dot" w:pos="8959"/>
        </w:tabs>
        <w:adjustRightInd w:val="0"/>
        <w:snapToGrid w:val="0"/>
        <w:spacing w:line="360" w:lineRule="auto"/>
        <w:ind w:leftChars="0" w:left="0" w:firstLineChars="200" w:firstLine="500"/>
      </w:pPr>
      <w:r>
        <w:rPr>
          <w:rFonts w:hint="eastAsia"/>
          <w:spacing w:val="5"/>
          <w:kern w:val="2"/>
          <w:sz w:val="24"/>
          <w:szCs w:val="24"/>
        </w:rPr>
        <w:t>本工程</w:t>
      </w:r>
      <w:r>
        <w:rPr>
          <w:spacing w:val="5"/>
          <w:kern w:val="2"/>
          <w:sz w:val="24"/>
          <w:szCs w:val="24"/>
          <w:lang w:val="zh-CN"/>
        </w:rPr>
        <w:t>退役期拆除设备、清理站场时，施工时间较短，施工人员产生的生活污水量较少，依托施工区域周边生活设施处理，不外排。</w:t>
      </w:r>
    </w:p>
    <w:p w:rsidR="00C645C9" w:rsidRDefault="00F955D9">
      <w:pPr>
        <w:widowControl w:val="0"/>
        <w:tabs>
          <w:tab w:val="left" w:pos="5695"/>
        </w:tabs>
        <w:adjustRightInd w:val="0"/>
        <w:snapToGrid w:val="0"/>
        <w:spacing w:line="360" w:lineRule="auto"/>
        <w:outlineLvl w:val="1"/>
        <w:rPr>
          <w:rFonts w:cs="Times New Roman"/>
          <w:b/>
          <w:snapToGrid w:val="0"/>
          <w:sz w:val="28"/>
          <w:szCs w:val="21"/>
        </w:rPr>
      </w:pPr>
      <w:bookmarkStart w:id="1808" w:name="_Toc12005"/>
      <w:r>
        <w:rPr>
          <w:rFonts w:cs="Times New Roman" w:hint="eastAsia"/>
          <w:b/>
          <w:snapToGrid w:val="0"/>
          <w:sz w:val="28"/>
          <w:szCs w:val="21"/>
        </w:rPr>
        <w:t>6.4</w:t>
      </w:r>
      <w:r>
        <w:rPr>
          <w:rFonts w:cs="Times New Roman" w:hint="eastAsia"/>
          <w:b/>
          <w:snapToGrid w:val="0"/>
          <w:sz w:val="28"/>
          <w:szCs w:val="21"/>
        </w:rPr>
        <w:t>土壤环境保护措施可行性论证</w:t>
      </w:r>
      <w:bookmarkEnd w:id="1808"/>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693" w:history="1">
        <w:r>
          <w:rPr>
            <w:rFonts w:cs="Times New Roman" w:hint="eastAsia"/>
            <w:b/>
            <w:snapToGrid w:val="0"/>
            <w:sz w:val="28"/>
            <w:szCs w:val="21"/>
            <w:lang w:eastAsia="en-US"/>
          </w:rPr>
          <w:t>6.</w:t>
        </w:r>
        <w:r>
          <w:rPr>
            <w:rFonts w:cs="Times New Roman" w:hint="eastAsia"/>
            <w:b/>
            <w:snapToGrid w:val="0"/>
            <w:sz w:val="28"/>
            <w:szCs w:val="21"/>
          </w:rPr>
          <w:t>4</w:t>
        </w:r>
        <w:r>
          <w:rPr>
            <w:rFonts w:cs="Times New Roman" w:hint="eastAsia"/>
            <w:b/>
            <w:snapToGrid w:val="0"/>
            <w:sz w:val="28"/>
            <w:szCs w:val="21"/>
            <w:lang w:eastAsia="en-US"/>
          </w:rPr>
          <w:t xml:space="preserve">.1 </w:t>
        </w:r>
        <w:r>
          <w:rPr>
            <w:rFonts w:cs="Times New Roman" w:hint="eastAsia"/>
            <w:b/>
            <w:snapToGrid w:val="0"/>
            <w:sz w:val="28"/>
            <w:szCs w:val="21"/>
            <w:lang w:eastAsia="en-US"/>
          </w:rPr>
          <w:t>施工期</w:t>
        </w:r>
        <w:r>
          <w:rPr>
            <w:rFonts w:cs="Times New Roman" w:hint="eastAsia"/>
            <w:b/>
            <w:snapToGrid w:val="0"/>
            <w:sz w:val="28"/>
            <w:szCs w:val="21"/>
          </w:rPr>
          <w:t>土壤</w:t>
        </w:r>
        <w:r>
          <w:rPr>
            <w:rFonts w:cs="Times New Roman" w:hint="eastAsia"/>
            <w:b/>
            <w:snapToGrid w:val="0"/>
            <w:sz w:val="28"/>
            <w:szCs w:val="21"/>
            <w:lang w:eastAsia="en-US"/>
          </w:rPr>
          <w:t>环境保护措施</w:t>
        </w:r>
      </w:hyperlink>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1</w:t>
      </w:r>
      <w:r>
        <w:rPr>
          <w:rFonts w:cs="Times New Roman"/>
          <w:sz w:val="24"/>
        </w:rPr>
        <w:t>）严格控制施工期占地面积，按设计及规划的施工范围进行施工作业，减少土壤扰动。</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lastRenderedPageBreak/>
        <w:t>（</w:t>
      </w:r>
      <w:r>
        <w:rPr>
          <w:rFonts w:cs="Times New Roman"/>
          <w:sz w:val="24"/>
        </w:rPr>
        <w:t>2</w:t>
      </w:r>
      <w:r>
        <w:rPr>
          <w:rFonts w:cs="Times New Roman"/>
          <w:sz w:val="24"/>
        </w:rPr>
        <w:t>）施工机械及运输车辆应按规定的道路行驶，减少对土壤的碾压，减少碾压造成的土壤紧实度增加及养分流失。</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3</w:t>
      </w:r>
      <w:r>
        <w:rPr>
          <w:rFonts w:cs="Times New Roman"/>
          <w:sz w:val="24"/>
        </w:rPr>
        <w:t>）施工产生的建筑垃圾不得随意抛洒，应集中收集并及时清运，防止污染物进入土壤环境造成污染。</w:t>
      </w:r>
    </w:p>
    <w:p w:rsidR="00C645C9" w:rsidRDefault="00F955D9">
      <w:pPr>
        <w:adjustRightInd w:val="0"/>
        <w:snapToGrid w:val="0"/>
        <w:spacing w:line="360" w:lineRule="auto"/>
        <w:ind w:firstLineChars="200" w:firstLine="480"/>
        <w:rPr>
          <w:rFonts w:cs="Times New Roman"/>
        </w:rPr>
      </w:pPr>
      <w:r>
        <w:rPr>
          <w:rFonts w:cs="Times New Roman" w:hint="eastAsia"/>
          <w:szCs w:val="20"/>
        </w:rPr>
        <w:t>（</w:t>
      </w:r>
      <w:r>
        <w:rPr>
          <w:rFonts w:cs="Times New Roman" w:hint="eastAsia"/>
          <w:szCs w:val="20"/>
        </w:rPr>
        <w:t>4</w:t>
      </w:r>
      <w:r>
        <w:rPr>
          <w:rFonts w:cs="Times New Roman" w:hint="eastAsia"/>
          <w:szCs w:val="20"/>
        </w:rPr>
        <w:t>）</w:t>
      </w:r>
      <w:r>
        <w:rPr>
          <w:rFonts w:hint="eastAsia"/>
          <w:kern w:val="2"/>
        </w:rPr>
        <w:t>施工</w:t>
      </w:r>
      <w:r>
        <w:rPr>
          <w:rFonts w:hint="eastAsia"/>
          <w:kern w:val="2"/>
        </w:rPr>
        <w:t>过程</w:t>
      </w:r>
      <w:r>
        <w:rPr>
          <w:rFonts w:hint="eastAsia"/>
          <w:kern w:val="2"/>
        </w:rPr>
        <w:t>中，</w:t>
      </w:r>
      <w:r>
        <w:rPr>
          <w:rFonts w:hint="eastAsia"/>
          <w:kern w:val="2"/>
        </w:rPr>
        <w:t>严禁</w:t>
      </w:r>
      <w:r>
        <w:rPr>
          <w:rFonts w:hint="eastAsia"/>
          <w:kern w:val="2"/>
        </w:rPr>
        <w:t>对</w:t>
      </w:r>
      <w:r>
        <w:rPr>
          <w:rFonts w:hint="eastAsia"/>
          <w:kern w:val="2"/>
        </w:rPr>
        <w:t>本工程周围分布的</w:t>
      </w:r>
      <w:r>
        <w:rPr>
          <w:rFonts w:cs="Times New Roman" w:hint="eastAsia"/>
          <w:szCs w:val="20"/>
        </w:rPr>
        <w:t>永久基本农田</w:t>
      </w:r>
      <w:r>
        <w:rPr>
          <w:rFonts w:hint="eastAsia"/>
          <w:kern w:val="2"/>
        </w:rPr>
        <w:t>进行人为扰动</w:t>
      </w:r>
      <w:r>
        <w:rPr>
          <w:rFonts w:hint="eastAsia"/>
          <w:kern w:val="2"/>
        </w:rPr>
        <w:t>。</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hint="eastAsia"/>
          <w:sz w:val="24"/>
        </w:rPr>
        <w:t>5</w:t>
      </w:r>
      <w:r>
        <w:rPr>
          <w:rFonts w:cs="Times New Roman"/>
          <w:sz w:val="24"/>
        </w:rPr>
        <w:t>）工程区需要严格采取各项水土流失防治措施，施工完毕后通过对临时占地进行平整。</w:t>
      </w:r>
    </w:p>
    <w:p w:rsidR="00C645C9" w:rsidRDefault="00F955D9">
      <w:pPr>
        <w:pStyle w:val="11"/>
        <w:adjustRightInd w:val="0"/>
        <w:snapToGrid w:val="0"/>
        <w:spacing w:line="360" w:lineRule="auto"/>
        <w:ind w:firstLineChars="200" w:firstLine="480"/>
        <w:rPr>
          <w:b w:val="0"/>
          <w:sz w:val="24"/>
          <w:szCs w:val="24"/>
        </w:rPr>
      </w:pPr>
      <w:r>
        <w:rPr>
          <w:b w:val="0"/>
          <w:sz w:val="24"/>
          <w:szCs w:val="24"/>
        </w:rPr>
        <w:t>综上，本工程施工期采取的土壤污染防治措施可行</w:t>
      </w:r>
      <w:r>
        <w:rPr>
          <w:rFonts w:hint="eastAsia"/>
          <w:b w:val="0"/>
          <w:sz w:val="24"/>
          <w:szCs w:val="24"/>
        </w:rPr>
        <w:t>。</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150" w:history="1">
        <w:r>
          <w:rPr>
            <w:rFonts w:cs="Times New Roman" w:hint="eastAsia"/>
            <w:b/>
            <w:snapToGrid w:val="0"/>
            <w:sz w:val="28"/>
            <w:szCs w:val="21"/>
            <w:lang w:eastAsia="en-US"/>
          </w:rPr>
          <w:t>6.</w:t>
        </w:r>
        <w:r>
          <w:rPr>
            <w:rFonts w:cs="Times New Roman" w:hint="eastAsia"/>
            <w:b/>
            <w:snapToGrid w:val="0"/>
            <w:sz w:val="28"/>
            <w:szCs w:val="21"/>
          </w:rPr>
          <w:t>4</w:t>
        </w:r>
        <w:r>
          <w:rPr>
            <w:rFonts w:cs="Times New Roman" w:hint="eastAsia"/>
            <w:b/>
            <w:snapToGrid w:val="0"/>
            <w:sz w:val="28"/>
            <w:szCs w:val="21"/>
            <w:lang w:eastAsia="en-US"/>
          </w:rPr>
          <w:t>.2</w:t>
        </w:r>
        <w:r>
          <w:rPr>
            <w:rFonts w:cs="Times New Roman" w:hint="eastAsia"/>
            <w:b/>
            <w:snapToGrid w:val="0"/>
            <w:sz w:val="28"/>
            <w:szCs w:val="21"/>
            <w:lang w:eastAsia="en-US"/>
          </w:rPr>
          <w:t>运营期</w:t>
        </w:r>
        <w:r>
          <w:rPr>
            <w:rFonts w:cs="Times New Roman" w:hint="eastAsia"/>
            <w:b/>
            <w:snapToGrid w:val="0"/>
            <w:sz w:val="28"/>
            <w:szCs w:val="21"/>
          </w:rPr>
          <w:t>土壤</w:t>
        </w:r>
        <w:r>
          <w:rPr>
            <w:rFonts w:cs="Times New Roman" w:hint="eastAsia"/>
            <w:b/>
            <w:snapToGrid w:val="0"/>
            <w:sz w:val="28"/>
            <w:szCs w:val="21"/>
            <w:lang w:eastAsia="en-US"/>
          </w:rPr>
          <w:t>环境保护措施</w:t>
        </w:r>
      </w:hyperlink>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1</w:t>
      </w:r>
      <w:r>
        <w:rPr>
          <w:rFonts w:cs="Times New Roman"/>
          <w:sz w:val="24"/>
        </w:rPr>
        <w:t>）源头控制</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从生产过程入手，在工艺、设备、拉油储罐等方面尽可能地采取泄漏控制措施，从源头最大限度降低</w:t>
      </w:r>
      <w:r>
        <w:rPr>
          <w:rFonts w:cs="Times New Roman" w:hint="eastAsia"/>
          <w:sz w:val="24"/>
        </w:rPr>
        <w:t>凝析油</w:t>
      </w:r>
      <w:r>
        <w:rPr>
          <w:rFonts w:cs="Times New Roman"/>
          <w:sz w:val="24"/>
        </w:rPr>
        <w:t>和</w:t>
      </w:r>
      <w:bookmarkStart w:id="1809" w:name="OLE_LINK674"/>
      <w:r>
        <w:rPr>
          <w:rFonts w:cs="Times New Roman"/>
          <w:sz w:val="24"/>
        </w:rPr>
        <w:t>井下作业废水</w:t>
      </w:r>
      <w:bookmarkEnd w:id="1809"/>
      <w:r>
        <w:rPr>
          <w:rFonts w:cs="Times New Roman"/>
          <w:sz w:val="24"/>
        </w:rPr>
        <w:t>泄漏的可能性和泄漏量，使</w:t>
      </w:r>
      <w:r>
        <w:rPr>
          <w:rFonts w:cs="Times New Roman" w:hint="eastAsia"/>
          <w:sz w:val="24"/>
        </w:rPr>
        <w:t>本工程所在区域</w:t>
      </w:r>
      <w:r>
        <w:rPr>
          <w:rFonts w:cs="Times New Roman"/>
          <w:sz w:val="24"/>
        </w:rPr>
        <w:t>污染物对土壤的影响降至最低，一旦出现泄漏等即可由区域内的各种配套措施进行收集、处置</w:t>
      </w:r>
      <w:r>
        <w:rPr>
          <w:rFonts w:cs="Times New Roman"/>
          <w:sz w:val="24"/>
        </w:rPr>
        <w:t>。</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fldChar w:fldCharType="begin"/>
      </w:r>
      <w:r>
        <w:rPr>
          <w:rFonts w:cs="Times New Roman"/>
          <w:sz w:val="24"/>
        </w:rPr>
        <w:instrText xml:space="preserve"> = 1 \* GB3 \* MERGEFORMAT </w:instrText>
      </w:r>
      <w:r>
        <w:rPr>
          <w:rFonts w:cs="Times New Roman"/>
          <w:sz w:val="24"/>
        </w:rPr>
        <w:fldChar w:fldCharType="separate"/>
      </w:r>
      <w:r>
        <w:rPr>
          <w:rFonts w:cs="Times New Roman"/>
          <w:sz w:val="24"/>
        </w:rPr>
        <w:t>①</w:t>
      </w:r>
      <w:r>
        <w:rPr>
          <w:rFonts w:cs="Times New Roman"/>
          <w:sz w:val="24"/>
        </w:rPr>
        <w:fldChar w:fldCharType="end"/>
      </w:r>
      <w:r>
        <w:rPr>
          <w:rFonts w:cs="Times New Roman"/>
          <w:sz w:val="24"/>
        </w:rPr>
        <w:t>井下作业废水经专用储液罐收集后拉运至塔河油田绿色环保工作站处理。</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fldChar w:fldCharType="begin"/>
      </w:r>
      <w:r>
        <w:rPr>
          <w:rFonts w:cs="Times New Roman"/>
          <w:sz w:val="24"/>
        </w:rPr>
        <w:instrText xml:space="preserve"> = 2 \* GB3 \* MERGEFORMAT </w:instrText>
      </w:r>
      <w:r>
        <w:rPr>
          <w:rFonts w:cs="Times New Roman"/>
          <w:sz w:val="24"/>
        </w:rPr>
        <w:fldChar w:fldCharType="separate"/>
      </w:r>
      <w:r>
        <w:rPr>
          <w:rFonts w:cs="Times New Roman"/>
          <w:sz w:val="24"/>
        </w:rPr>
        <w:t>②</w:t>
      </w:r>
      <w:r>
        <w:rPr>
          <w:rFonts w:cs="Times New Roman"/>
          <w:sz w:val="24"/>
        </w:rPr>
        <w:fldChar w:fldCharType="end"/>
      </w:r>
      <w:r>
        <w:rPr>
          <w:rFonts w:cs="Times New Roman"/>
          <w:sz w:val="24"/>
        </w:rPr>
        <w:t>加强日常巡检监管工作</w:t>
      </w:r>
      <w:r>
        <w:rPr>
          <w:rFonts w:cs="Times New Roman" w:hint="eastAsia"/>
          <w:sz w:val="24"/>
        </w:rPr>
        <w:t>，</w:t>
      </w:r>
      <w:r>
        <w:rPr>
          <w:rFonts w:cs="Times New Roman"/>
          <w:sz w:val="24"/>
        </w:rPr>
        <w:t>定期对井场的设备、阀门及拉油储罐进行检查，一旦发现异常，及时采取措施，防止凝析油</w:t>
      </w:r>
      <w:r>
        <w:rPr>
          <w:rFonts w:cs="Times New Roman"/>
          <w:sz w:val="24"/>
        </w:rPr>
        <w:t>“</w:t>
      </w:r>
      <w:r>
        <w:rPr>
          <w:rFonts w:cs="Times New Roman"/>
          <w:sz w:val="24"/>
        </w:rPr>
        <w:t>跑、冒、滴、漏</w:t>
      </w:r>
      <w:r>
        <w:rPr>
          <w:rFonts w:cs="Times New Roman"/>
          <w:sz w:val="24"/>
        </w:rPr>
        <w:t>”</w:t>
      </w:r>
      <w:r>
        <w:rPr>
          <w:rFonts w:cs="Times New Roman"/>
          <w:sz w:val="24"/>
        </w:rPr>
        <w:t>的发生。拉油储罐区下方地</w:t>
      </w:r>
      <w:r>
        <w:rPr>
          <w:rFonts w:cs="Times New Roman"/>
          <w:sz w:val="24"/>
        </w:rPr>
        <w:t>面防渗，防渗系数</w:t>
      </w:r>
      <w:r>
        <w:rPr>
          <w:rFonts w:cs="Times New Roman"/>
          <w:sz w:val="24"/>
        </w:rPr>
        <w:t>≤10</w:t>
      </w:r>
      <w:r>
        <w:rPr>
          <w:rFonts w:cs="Times New Roman"/>
          <w:sz w:val="24"/>
          <w:vertAlign w:val="superscript"/>
        </w:rPr>
        <w:t>-7</w:t>
      </w:r>
      <w:r>
        <w:rPr>
          <w:rFonts w:cs="Times New Roman"/>
          <w:sz w:val="24"/>
        </w:rPr>
        <w:t>cm/s</w:t>
      </w:r>
      <w:r>
        <w:rPr>
          <w:rFonts w:cs="Times New Roman"/>
          <w:sz w:val="24"/>
        </w:rPr>
        <w:t>。</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fldChar w:fldCharType="begin"/>
      </w:r>
      <w:r>
        <w:rPr>
          <w:rFonts w:cs="Times New Roman"/>
          <w:sz w:val="24"/>
        </w:rPr>
        <w:instrText xml:space="preserve"> = 3 \* GB3 \* MERGEFORMAT </w:instrText>
      </w:r>
      <w:r>
        <w:rPr>
          <w:rFonts w:cs="Times New Roman"/>
          <w:sz w:val="24"/>
        </w:rPr>
        <w:fldChar w:fldCharType="separate"/>
      </w:r>
      <w:r>
        <w:rPr>
          <w:rFonts w:cs="Times New Roman"/>
          <w:sz w:val="24"/>
        </w:rPr>
        <w:t>③</w:t>
      </w:r>
      <w:r>
        <w:rPr>
          <w:rFonts w:cs="Times New Roman"/>
          <w:sz w:val="24"/>
        </w:rPr>
        <w:fldChar w:fldCharType="end"/>
      </w:r>
      <w:r>
        <w:rPr>
          <w:rFonts w:cs="Times New Roman"/>
          <w:sz w:val="24"/>
        </w:rPr>
        <w:t>加强法兰、阀门连接处腐蚀情况记录管理，避免因老化、腐蚀导致泄漏情况发生。</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fldChar w:fldCharType="begin"/>
      </w:r>
      <w:r>
        <w:rPr>
          <w:rFonts w:cs="Times New Roman"/>
          <w:sz w:val="24"/>
        </w:rPr>
        <w:instrText xml:space="preserve"> = 4 \* GB3 \* MERGEFORMAT </w:instrText>
      </w:r>
      <w:r>
        <w:rPr>
          <w:rFonts w:cs="Times New Roman"/>
          <w:sz w:val="24"/>
        </w:rPr>
        <w:fldChar w:fldCharType="separate"/>
      </w:r>
      <w:r>
        <w:rPr>
          <w:rFonts w:cs="Times New Roman"/>
          <w:sz w:val="24"/>
        </w:rPr>
        <w:t>④</w:t>
      </w:r>
      <w:r>
        <w:rPr>
          <w:rFonts w:cs="Times New Roman"/>
          <w:sz w:val="24"/>
        </w:rPr>
        <w:fldChar w:fldCharType="end"/>
      </w:r>
      <w:r>
        <w:rPr>
          <w:rFonts w:cs="Times New Roman"/>
          <w:sz w:val="24"/>
        </w:rPr>
        <w:t>发生泄漏事故时应及时清理落地油，受污染的土壤应交由</w:t>
      </w:r>
      <w:r>
        <w:rPr>
          <w:rFonts w:cs="Times New Roman"/>
          <w:sz w:val="24"/>
        </w:rPr>
        <w:t>持有危险废物经营许可</w:t>
      </w:r>
      <w:r>
        <w:rPr>
          <w:rFonts w:cs="Times New Roman"/>
          <w:sz w:val="24"/>
        </w:rPr>
        <w:t>证的</w:t>
      </w:r>
      <w:r>
        <w:rPr>
          <w:rFonts w:cs="Times New Roman"/>
          <w:sz w:val="24"/>
        </w:rPr>
        <w:t>单位负责接收、转运和处置，降低对土壤环境质量的影响程度。</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2</w:t>
      </w:r>
      <w:r>
        <w:rPr>
          <w:rFonts w:cs="Times New Roman"/>
          <w:sz w:val="24"/>
        </w:rPr>
        <w:t>）过程防控措施</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巡检车辆严格按照油田巡检路线行驶，不得因乱碾乱压破坏土壤结构。严格执行地下水章节分区防控措施要求。防渗措施的设计，使用年限不应低于本</w:t>
      </w:r>
      <w:r>
        <w:rPr>
          <w:rFonts w:cs="Times New Roman"/>
          <w:sz w:val="24"/>
        </w:rPr>
        <w:t>工程</w:t>
      </w:r>
      <w:r>
        <w:rPr>
          <w:rFonts w:cs="Times New Roman"/>
          <w:sz w:val="24"/>
        </w:rPr>
        <w:t>主体工程的设计使用年限。</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3</w:t>
      </w:r>
      <w:r>
        <w:rPr>
          <w:rFonts w:cs="Times New Roman"/>
          <w:sz w:val="24"/>
        </w:rPr>
        <w:t>）跟踪监测</w:t>
      </w:r>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根据《</w:t>
      </w:r>
      <w:bookmarkStart w:id="1810" w:name="OLE_LINK675"/>
      <w:r>
        <w:rPr>
          <w:rFonts w:cs="Times New Roman"/>
          <w:sz w:val="24"/>
        </w:rPr>
        <w:t>环境影响评价技术导则</w:t>
      </w:r>
      <w:bookmarkEnd w:id="1810"/>
      <w:r>
        <w:rPr>
          <w:rFonts w:cs="Times New Roman"/>
          <w:sz w:val="24"/>
        </w:rPr>
        <w:t xml:space="preserve"> </w:t>
      </w:r>
      <w:bookmarkStart w:id="1811" w:name="OLE_LINK676"/>
      <w:r>
        <w:rPr>
          <w:rFonts w:cs="Times New Roman"/>
          <w:sz w:val="24"/>
        </w:rPr>
        <w:t>土壤环境</w:t>
      </w:r>
      <w:r>
        <w:rPr>
          <w:rFonts w:cs="Times New Roman"/>
          <w:sz w:val="24"/>
        </w:rPr>
        <w:t>（</w:t>
      </w:r>
      <w:r>
        <w:rPr>
          <w:rFonts w:cs="Times New Roman"/>
          <w:sz w:val="24"/>
        </w:rPr>
        <w:t>试行</w:t>
      </w:r>
      <w:r>
        <w:rPr>
          <w:rFonts w:cs="Times New Roman"/>
          <w:sz w:val="24"/>
        </w:rPr>
        <w:t>）</w:t>
      </w:r>
      <w:bookmarkEnd w:id="1811"/>
      <w:r>
        <w:rPr>
          <w:rFonts w:cs="Times New Roman"/>
          <w:sz w:val="24"/>
        </w:rPr>
        <w:t>》</w:t>
      </w:r>
      <w:r>
        <w:rPr>
          <w:rFonts w:cs="Times New Roman"/>
          <w:sz w:val="24"/>
        </w:rPr>
        <w:t>（</w:t>
      </w:r>
      <w:r>
        <w:rPr>
          <w:rFonts w:cs="Times New Roman"/>
          <w:sz w:val="24"/>
        </w:rPr>
        <w:t>HJ964-2018</w:t>
      </w:r>
      <w:r>
        <w:rPr>
          <w:rFonts w:cs="Times New Roman"/>
          <w:sz w:val="24"/>
        </w:rPr>
        <w:t>）</w:t>
      </w:r>
      <w:r>
        <w:rPr>
          <w:rFonts w:cs="Times New Roman"/>
          <w:sz w:val="24"/>
        </w:rPr>
        <w:t>土壤</w:t>
      </w:r>
      <w:r>
        <w:rPr>
          <w:rFonts w:cs="Times New Roman" w:hint="eastAsia"/>
          <w:sz w:val="24"/>
        </w:rPr>
        <w:t>二</w:t>
      </w:r>
      <w:r>
        <w:rPr>
          <w:rFonts w:cs="Times New Roman"/>
          <w:sz w:val="24"/>
        </w:rPr>
        <w:t>级评价的跟踪监测要求，制定跟踪监测计划，本</w:t>
      </w:r>
      <w:r>
        <w:rPr>
          <w:rFonts w:cs="Times New Roman"/>
          <w:sz w:val="24"/>
        </w:rPr>
        <w:t>工程必要时开展跟踪监测工作</w:t>
      </w:r>
      <w:r>
        <w:rPr>
          <w:rFonts w:cs="Times New Roman"/>
          <w:sz w:val="24"/>
        </w:rPr>
        <w:t>，</w:t>
      </w:r>
      <w:r>
        <w:rPr>
          <w:rFonts w:cs="Times New Roman"/>
          <w:sz w:val="24"/>
        </w:rPr>
        <w:lastRenderedPageBreak/>
        <w:t>根据工程特点及土壤环境敏感目标情况。当发生事故</w:t>
      </w:r>
      <w:r>
        <w:rPr>
          <w:rFonts w:cs="Times New Roman" w:hint="eastAsia"/>
          <w:sz w:val="24"/>
        </w:rPr>
        <w:t>泄漏</w:t>
      </w:r>
      <w:r>
        <w:rPr>
          <w:rFonts w:cs="Times New Roman"/>
          <w:sz w:val="24"/>
        </w:rPr>
        <w:t>时应加强监测点位和监测频次。</w:t>
      </w:r>
    </w:p>
    <w:p w:rsidR="00C645C9" w:rsidRDefault="00F955D9">
      <w:pPr>
        <w:pStyle w:val="afff3"/>
        <w:adjustRightInd w:val="0"/>
        <w:snapToGrid w:val="0"/>
        <w:spacing w:beforeLines="0" w:before="0" w:afterLines="0" w:after="0" w:line="360" w:lineRule="auto"/>
        <w:ind w:firstLine="480"/>
        <w:rPr>
          <w:rFonts w:cs="Times New Roman"/>
          <w:sz w:val="24"/>
          <w:lang w:eastAsia="en-US"/>
        </w:rPr>
      </w:pPr>
      <w:r>
        <w:rPr>
          <w:rFonts w:cs="Times New Roman"/>
          <w:sz w:val="24"/>
        </w:rPr>
        <w:t>综上所述，正常情况下，本</w:t>
      </w:r>
      <w:r>
        <w:rPr>
          <w:rFonts w:cs="Times New Roman"/>
          <w:sz w:val="24"/>
        </w:rPr>
        <w:t>工程</w:t>
      </w:r>
      <w:r>
        <w:rPr>
          <w:rFonts w:cs="Times New Roman"/>
          <w:sz w:val="24"/>
        </w:rPr>
        <w:t>不会污染土壤环境</w:t>
      </w:r>
      <w:r>
        <w:rPr>
          <w:rFonts w:cs="Times New Roman" w:hint="eastAsia"/>
          <w:sz w:val="24"/>
        </w:rPr>
        <w:t>。</w:t>
      </w:r>
      <w:r>
        <w:rPr>
          <w:rFonts w:cs="Times New Roman"/>
          <w:sz w:val="24"/>
        </w:rPr>
        <w:t>非正常情况下，</w:t>
      </w:r>
      <w:r>
        <w:rPr>
          <w:rFonts w:cs="Times New Roman"/>
          <w:sz w:val="24"/>
        </w:rPr>
        <w:t>按照环境风险章节具体内容采取措施，</w:t>
      </w:r>
      <w:r>
        <w:rPr>
          <w:rFonts w:cs="Times New Roman"/>
          <w:sz w:val="24"/>
        </w:rPr>
        <w:t>采取有效措施后可减轻对土壤环境的影响。在做好源头控制、过程防控等措施的前提下，可避免工程实施对土壤环境产生污染影响。</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3523" w:history="1">
        <w:r>
          <w:rPr>
            <w:rFonts w:cs="Times New Roman" w:hint="eastAsia"/>
            <w:b/>
            <w:snapToGrid w:val="0"/>
            <w:sz w:val="28"/>
            <w:szCs w:val="21"/>
            <w:lang w:eastAsia="en-US"/>
          </w:rPr>
          <w:t>6.</w:t>
        </w:r>
        <w:r>
          <w:rPr>
            <w:rFonts w:cs="Times New Roman" w:hint="eastAsia"/>
            <w:b/>
            <w:snapToGrid w:val="0"/>
            <w:sz w:val="28"/>
            <w:szCs w:val="21"/>
          </w:rPr>
          <w:t>4</w:t>
        </w:r>
        <w:r>
          <w:rPr>
            <w:rFonts w:cs="Times New Roman" w:hint="eastAsia"/>
            <w:b/>
            <w:snapToGrid w:val="0"/>
            <w:sz w:val="28"/>
            <w:szCs w:val="21"/>
            <w:lang w:eastAsia="en-US"/>
          </w:rPr>
          <w:t>.3</w:t>
        </w:r>
        <w:r>
          <w:rPr>
            <w:rFonts w:cs="Times New Roman" w:hint="eastAsia"/>
            <w:b/>
            <w:snapToGrid w:val="0"/>
            <w:sz w:val="28"/>
            <w:szCs w:val="21"/>
            <w:lang w:eastAsia="en-US"/>
          </w:rPr>
          <w:t>退役期</w:t>
        </w:r>
        <w:r>
          <w:rPr>
            <w:rFonts w:cs="Times New Roman" w:hint="eastAsia"/>
            <w:b/>
            <w:snapToGrid w:val="0"/>
            <w:sz w:val="28"/>
            <w:szCs w:val="21"/>
          </w:rPr>
          <w:t>土壤</w:t>
        </w:r>
        <w:r>
          <w:rPr>
            <w:rFonts w:cs="Times New Roman" w:hint="eastAsia"/>
            <w:b/>
            <w:snapToGrid w:val="0"/>
            <w:sz w:val="28"/>
            <w:szCs w:val="21"/>
            <w:lang w:eastAsia="en-US"/>
          </w:rPr>
          <w:t>环境保护措施</w:t>
        </w:r>
      </w:hyperlink>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w:t>
      </w:r>
      <w:r>
        <w:rPr>
          <w:b w:val="0"/>
          <w:kern w:val="0"/>
          <w:sz w:val="24"/>
          <w:szCs w:val="24"/>
        </w:rPr>
        <w:t>1</w:t>
      </w:r>
      <w:r>
        <w:rPr>
          <w:b w:val="0"/>
          <w:kern w:val="0"/>
          <w:sz w:val="24"/>
          <w:szCs w:val="24"/>
        </w:rPr>
        <w:t>）地面设施拆除、井场清理等工作中会产生废弃建筑残渣，应集中清理收集。废弃建筑残渣外运至生态环境部门指定建筑垃圾填埋场填埋处理，不得遗留在场地内影响土壤环境质量。</w:t>
      </w:r>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w:t>
      </w:r>
      <w:r>
        <w:rPr>
          <w:b w:val="0"/>
          <w:kern w:val="0"/>
          <w:sz w:val="24"/>
          <w:szCs w:val="24"/>
        </w:rPr>
        <w:t>2</w:t>
      </w:r>
      <w:r>
        <w:rPr>
          <w:b w:val="0"/>
          <w:kern w:val="0"/>
          <w:sz w:val="24"/>
          <w:szCs w:val="24"/>
        </w:rPr>
        <w:t>）参照《</w:t>
      </w:r>
      <w:bookmarkStart w:id="1812" w:name="OLE_LINK678"/>
      <w:bookmarkStart w:id="1813" w:name="OLE_LINK677"/>
      <w:r>
        <w:rPr>
          <w:b w:val="0"/>
          <w:kern w:val="0"/>
          <w:sz w:val="24"/>
          <w:szCs w:val="24"/>
        </w:rPr>
        <w:t>废弃井封井回填技术指南</w:t>
      </w:r>
      <w:bookmarkEnd w:id="1812"/>
      <w:bookmarkEnd w:id="1813"/>
      <w:r>
        <w:rPr>
          <w:b w:val="0"/>
          <w:kern w:val="0"/>
          <w:sz w:val="24"/>
          <w:szCs w:val="24"/>
        </w:rPr>
        <w:t>（试行）》（环办土壤函〔</w:t>
      </w:r>
      <w:r>
        <w:rPr>
          <w:b w:val="0"/>
          <w:kern w:val="0"/>
          <w:sz w:val="24"/>
          <w:szCs w:val="24"/>
        </w:rPr>
        <w:t>2020</w:t>
      </w:r>
      <w:r>
        <w:rPr>
          <w:b w:val="0"/>
          <w:kern w:val="0"/>
          <w:sz w:val="24"/>
          <w:szCs w:val="24"/>
        </w:rPr>
        <w:t>〕</w:t>
      </w:r>
      <w:r>
        <w:rPr>
          <w:b w:val="0"/>
          <w:kern w:val="0"/>
          <w:sz w:val="24"/>
          <w:szCs w:val="24"/>
        </w:rPr>
        <w:t>72</w:t>
      </w:r>
      <w:r>
        <w:rPr>
          <w:b w:val="0"/>
          <w:kern w:val="0"/>
          <w:sz w:val="24"/>
          <w:szCs w:val="24"/>
        </w:rPr>
        <w:t>号）对完成采油的废弃井封堵，拆除井口装置，最后清理场地，清除各种固体废弃物，不得遗留在场地内影响土壤环境质量。</w:t>
      </w:r>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w:t>
      </w:r>
      <w:r>
        <w:rPr>
          <w:b w:val="0"/>
          <w:kern w:val="0"/>
          <w:sz w:val="24"/>
          <w:szCs w:val="24"/>
        </w:rPr>
        <w:t>3</w:t>
      </w:r>
      <w:r>
        <w:rPr>
          <w:b w:val="0"/>
          <w:kern w:val="0"/>
          <w:sz w:val="24"/>
          <w:szCs w:val="24"/>
        </w:rPr>
        <w:t>）运输过程中运输车辆均加盖篷布，以防止行驶过程中固体废物的散落，</w:t>
      </w:r>
      <w:r>
        <w:rPr>
          <w:rFonts w:hint="eastAsia"/>
          <w:b w:val="0"/>
          <w:kern w:val="0"/>
          <w:sz w:val="24"/>
          <w:szCs w:val="24"/>
        </w:rPr>
        <w:t>影响</w:t>
      </w:r>
      <w:r>
        <w:rPr>
          <w:b w:val="0"/>
          <w:kern w:val="0"/>
          <w:sz w:val="24"/>
          <w:szCs w:val="24"/>
        </w:rPr>
        <w:t>土壤环境</w:t>
      </w:r>
      <w:r>
        <w:rPr>
          <w:rFonts w:hint="eastAsia"/>
          <w:b w:val="0"/>
          <w:kern w:val="0"/>
          <w:sz w:val="24"/>
          <w:szCs w:val="24"/>
        </w:rPr>
        <w:t>。</w:t>
      </w:r>
    </w:p>
    <w:p w:rsidR="00C645C9" w:rsidRDefault="00F955D9">
      <w:pPr>
        <w:widowControl w:val="0"/>
        <w:tabs>
          <w:tab w:val="left" w:pos="5695"/>
        </w:tabs>
        <w:adjustRightInd w:val="0"/>
        <w:snapToGrid w:val="0"/>
        <w:spacing w:line="360" w:lineRule="auto"/>
        <w:outlineLvl w:val="1"/>
        <w:rPr>
          <w:rFonts w:cs="Times New Roman"/>
          <w:b/>
          <w:snapToGrid w:val="0"/>
          <w:sz w:val="28"/>
          <w:szCs w:val="21"/>
        </w:rPr>
      </w:pPr>
      <w:bookmarkStart w:id="1814" w:name="_Toc24632"/>
      <w:r>
        <w:rPr>
          <w:rFonts w:cs="Times New Roman" w:hint="eastAsia"/>
          <w:b/>
          <w:snapToGrid w:val="0"/>
          <w:sz w:val="28"/>
          <w:szCs w:val="21"/>
        </w:rPr>
        <w:t>6.5</w:t>
      </w:r>
      <w:hyperlink w:anchor="_Toc24745" w:history="1">
        <w:r>
          <w:rPr>
            <w:rFonts w:cs="Times New Roman" w:hint="eastAsia"/>
            <w:b/>
            <w:snapToGrid w:val="0"/>
            <w:sz w:val="28"/>
            <w:szCs w:val="21"/>
          </w:rPr>
          <w:t>大气环境保护措施可行性论证</w:t>
        </w:r>
      </w:hyperlink>
      <w:bookmarkEnd w:id="1814"/>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27255" w:history="1">
        <w:r>
          <w:rPr>
            <w:rFonts w:cs="Times New Roman" w:hint="eastAsia"/>
            <w:b/>
            <w:snapToGrid w:val="0"/>
            <w:sz w:val="28"/>
            <w:szCs w:val="21"/>
            <w:lang w:eastAsia="en-US"/>
          </w:rPr>
          <w:t>6.</w:t>
        </w:r>
        <w:r>
          <w:rPr>
            <w:rFonts w:cs="Times New Roman" w:hint="eastAsia"/>
            <w:b/>
            <w:snapToGrid w:val="0"/>
            <w:sz w:val="28"/>
            <w:szCs w:val="21"/>
          </w:rPr>
          <w:t>5</w:t>
        </w:r>
        <w:r>
          <w:rPr>
            <w:rFonts w:cs="Times New Roman" w:hint="eastAsia"/>
            <w:b/>
            <w:snapToGrid w:val="0"/>
            <w:sz w:val="28"/>
            <w:szCs w:val="21"/>
            <w:lang w:eastAsia="en-US"/>
          </w:rPr>
          <w:t>.1</w:t>
        </w:r>
        <w:r>
          <w:rPr>
            <w:rFonts w:cs="Times New Roman" w:hint="eastAsia"/>
            <w:b/>
            <w:snapToGrid w:val="0"/>
            <w:sz w:val="28"/>
            <w:szCs w:val="21"/>
            <w:lang w:eastAsia="en-US"/>
          </w:rPr>
          <w:t>施工期</w:t>
        </w:r>
        <w:r>
          <w:rPr>
            <w:rFonts w:cs="Times New Roman" w:hint="eastAsia"/>
            <w:b/>
            <w:snapToGrid w:val="0"/>
            <w:sz w:val="28"/>
            <w:szCs w:val="21"/>
          </w:rPr>
          <w:t>大气环境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施工期主要废气污染为</w:t>
      </w:r>
      <w:bookmarkStart w:id="1815" w:name="OLE_LINK1236"/>
      <w:r>
        <w:rPr>
          <w:rFonts w:cs="Times New Roman"/>
          <w:spacing w:val="4"/>
          <w:kern w:val="24"/>
        </w:rPr>
        <w:t>钻井废气</w:t>
      </w:r>
      <w:bookmarkEnd w:id="1815"/>
      <w:r>
        <w:rPr>
          <w:rFonts w:cs="Times New Roman" w:hint="eastAsia"/>
          <w:spacing w:val="4"/>
          <w:kern w:val="24"/>
        </w:rPr>
        <w:t>、</w:t>
      </w:r>
      <w:r>
        <w:rPr>
          <w:rFonts w:cs="Times New Roman"/>
          <w:spacing w:val="4"/>
          <w:kern w:val="24"/>
        </w:rPr>
        <w:t>施工扬尘、焊接废气</w:t>
      </w:r>
      <w:r>
        <w:rPr>
          <w:rFonts w:cs="Times New Roman" w:hint="eastAsia"/>
          <w:spacing w:val="4"/>
          <w:kern w:val="24"/>
        </w:rPr>
        <w:t>以及</w:t>
      </w:r>
      <w:r>
        <w:rPr>
          <w:rFonts w:cs="Times New Roman"/>
          <w:spacing w:val="4"/>
          <w:kern w:val="24"/>
        </w:rPr>
        <w:t>施工机械及运输车辆排放的废气。</w:t>
      </w:r>
    </w:p>
    <w:p w:rsidR="00C645C9" w:rsidRDefault="00F955D9">
      <w:pPr>
        <w:adjustRightInd w:val="0"/>
        <w:snapToGrid w:val="0"/>
        <w:spacing w:line="360" w:lineRule="auto"/>
        <w:ind w:firstLineChars="200" w:firstLine="496"/>
        <w:rPr>
          <w:rFonts w:cs="Times New Roman"/>
          <w:spacing w:val="4"/>
          <w:kern w:val="24"/>
        </w:rPr>
      </w:pPr>
      <w:bookmarkStart w:id="1816" w:name="OLE_LINK1235"/>
      <w:r>
        <w:rPr>
          <w:rFonts w:cs="Times New Roman"/>
          <w:spacing w:val="4"/>
          <w:kern w:val="24"/>
        </w:rPr>
        <w:t>（</w:t>
      </w:r>
      <w:r>
        <w:rPr>
          <w:rFonts w:cs="Times New Roman"/>
          <w:spacing w:val="4"/>
          <w:kern w:val="24"/>
        </w:rPr>
        <w:t>1</w:t>
      </w:r>
      <w:r>
        <w:rPr>
          <w:rFonts w:cs="Times New Roman"/>
          <w:spacing w:val="4"/>
          <w:kern w:val="24"/>
        </w:rPr>
        <w:t>）钻井废气防治措施</w:t>
      </w:r>
    </w:p>
    <w:p w:rsidR="00C645C9" w:rsidRDefault="00F955D9">
      <w:pPr>
        <w:adjustRightInd w:val="0"/>
        <w:snapToGrid w:val="0"/>
        <w:spacing w:line="360" w:lineRule="auto"/>
        <w:ind w:firstLineChars="200" w:firstLine="496"/>
        <w:rPr>
          <w:rFonts w:cs="Times New Roman"/>
          <w:lang w:bidi="ar"/>
        </w:rPr>
      </w:pPr>
      <w:r>
        <w:rPr>
          <w:rFonts w:cs="Times New Roman"/>
          <w:spacing w:val="4"/>
          <w:kern w:val="24"/>
        </w:rPr>
        <w:t>①</w:t>
      </w:r>
      <w:r>
        <w:rPr>
          <w:rFonts w:cs="Times New Roman"/>
          <w:spacing w:val="4"/>
          <w:kern w:val="24"/>
        </w:rPr>
        <w:t>施工前期加强设备的检修和维护，保证设备正常稳定运行，燃用合格的燃料</w:t>
      </w:r>
      <w:r>
        <w:rPr>
          <w:rFonts w:cs="Times New Roman" w:hint="eastAsia"/>
          <w:spacing w:val="4"/>
          <w:kern w:val="24"/>
        </w:rPr>
        <w:t>，</w:t>
      </w:r>
      <w:r>
        <w:rPr>
          <w:rFonts w:cs="Times New Roman"/>
          <w:spacing w:val="4"/>
          <w:kern w:val="24"/>
        </w:rPr>
        <w:t>使用环保检验合格的柴油发电机</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②</w:t>
      </w:r>
      <w:r>
        <w:rPr>
          <w:rFonts w:cs="Times New Roman"/>
          <w:lang w:bidi="ar"/>
        </w:rPr>
        <w:t>用电优先由区域现有供电系统提供，柴油发电机作为备用电源。</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hint="eastAsia"/>
          <w:spacing w:val="4"/>
          <w:kern w:val="24"/>
        </w:rPr>
        <w:t>2</w:t>
      </w:r>
      <w:r>
        <w:rPr>
          <w:rFonts w:cs="Times New Roman"/>
          <w:spacing w:val="4"/>
          <w:kern w:val="24"/>
        </w:rPr>
        <w:t>）施工扬尘防治措施</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①</w:t>
      </w:r>
      <w:r>
        <w:rPr>
          <w:rFonts w:cs="Times New Roman"/>
          <w:spacing w:val="4"/>
          <w:kern w:val="24"/>
        </w:rPr>
        <w:t>避免在大风季节施工，尽可能缩短施工时间，提高施工效率，减少裸地暴露时间</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②合理规划、选择最短的运输路线，充分利用油田现有公路网络，禁止随意开辟道路，运输车辆应以中、低速行驶，减少车辆行驶动力起尘。</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lastRenderedPageBreak/>
        <w:t>③</w:t>
      </w:r>
      <w:r>
        <w:rPr>
          <w:rFonts w:cs="Times New Roman"/>
          <w:spacing w:val="4"/>
          <w:kern w:val="24"/>
        </w:rPr>
        <w:t>开挖等过程，应</w:t>
      </w:r>
      <w:bookmarkEnd w:id="1816"/>
      <w:r>
        <w:rPr>
          <w:rFonts w:cs="Times New Roman"/>
          <w:spacing w:val="4"/>
          <w:kern w:val="24"/>
        </w:rPr>
        <w:t>洒水使作业面保持一定的湿度；对施工场地内松散、干涸的表土，经常洒水防止扬尘</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④</w:t>
      </w:r>
      <w:r>
        <w:rPr>
          <w:rFonts w:cs="Times New Roman"/>
          <w:spacing w:val="4"/>
          <w:kern w:val="24"/>
        </w:rPr>
        <w:t>加强回填土方堆放场的管理，采取土方表面压实、定期喷水、覆盖等措施；不需要的泥土、建筑材料弃渣应及时运走</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⑤</w:t>
      </w:r>
      <w:r>
        <w:rPr>
          <w:rFonts w:cs="Times New Roman"/>
          <w:spacing w:val="4"/>
          <w:kern w:val="24"/>
        </w:rPr>
        <w:t>施工前对现有</w:t>
      </w:r>
      <w:r>
        <w:rPr>
          <w:rFonts w:cs="Times New Roman" w:hint="eastAsia"/>
          <w:spacing w:val="4"/>
          <w:kern w:val="24"/>
        </w:rPr>
        <w:t>进场</w:t>
      </w:r>
      <w:r>
        <w:rPr>
          <w:rFonts w:cs="Times New Roman"/>
          <w:spacing w:val="4"/>
          <w:kern w:val="24"/>
        </w:rPr>
        <w:t>应限制车速，减少行驶产生的扬尘</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⑥</w:t>
      </w:r>
      <w:r>
        <w:rPr>
          <w:rFonts w:cs="Times New Roman"/>
          <w:spacing w:val="4"/>
          <w:kern w:val="24"/>
        </w:rPr>
        <w:t>加强运输管理，如散货车不得超高超载、使用有盖的运输车辆，以免车辆颠簸物料洒出；水泥使用密封罐装运输车，装卸应有除尘装置，防止扬尘污染；化学物质的运输要防止泄漏；坚持文明装卸</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⑦</w:t>
      </w:r>
      <w:r>
        <w:rPr>
          <w:rFonts w:cs="Times New Roman"/>
          <w:spacing w:val="4"/>
          <w:kern w:val="24"/>
        </w:rPr>
        <w:t>施工单位必须加强施工区域的管理。建筑材料的堆场应定点定位；根据风速，采取相应的防尘措施，对散料堆场采用</w:t>
      </w:r>
      <w:r>
        <w:rPr>
          <w:rFonts w:cs="Times New Roman" w:hint="eastAsia"/>
          <w:spacing w:val="4"/>
          <w:kern w:val="24"/>
        </w:rPr>
        <w:t>篷布</w:t>
      </w:r>
      <w:r>
        <w:rPr>
          <w:rFonts w:cs="Times New Roman"/>
          <w:spacing w:val="4"/>
          <w:kern w:val="24"/>
        </w:rPr>
        <w:t>遮盖散料堆</w:t>
      </w:r>
      <w:r>
        <w:rPr>
          <w:rFonts w:cs="Times New Roman" w:hint="eastAsia"/>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⑧</w:t>
      </w:r>
      <w:r>
        <w:rPr>
          <w:rFonts w:cs="Times New Roman"/>
          <w:spacing w:val="4"/>
          <w:kern w:val="24"/>
        </w:rPr>
        <w:t>合理安排施工计划，根据平面布局，可以对厂址局部提前</w:t>
      </w:r>
      <w:r>
        <w:rPr>
          <w:rFonts w:cs="Times New Roman"/>
          <w:spacing w:val="4"/>
          <w:kern w:val="24"/>
        </w:rPr>
        <w:t>进行绿化，改善生态景观，减轻扬尘环境影响。</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⑨加强施工场地环境管理，提倡文明施工，积极推进绿色施工，严防人为扬尘污染。</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hint="eastAsia"/>
          <w:spacing w:val="4"/>
          <w:kern w:val="24"/>
        </w:rPr>
        <w:t>3</w:t>
      </w:r>
      <w:r>
        <w:rPr>
          <w:rFonts w:cs="Times New Roman"/>
          <w:spacing w:val="4"/>
          <w:kern w:val="24"/>
        </w:rPr>
        <w:t>）焊接废气防治措施</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①</w:t>
      </w:r>
      <w:r>
        <w:rPr>
          <w:rFonts w:cs="Times New Roman"/>
          <w:spacing w:val="4"/>
          <w:kern w:val="24"/>
        </w:rPr>
        <w:t>在焊接作业时使用无毒低尘焊条，减少有害废气排放。</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②</w:t>
      </w:r>
      <w:bookmarkStart w:id="1817" w:name="OLE_LINK1237"/>
      <w:r>
        <w:rPr>
          <w:rFonts w:cs="Times New Roman"/>
          <w:spacing w:val="4"/>
          <w:kern w:val="24"/>
        </w:rPr>
        <w:t>施工前期加强设备的检修和维护，保证设备正常稳定运行，</w:t>
      </w:r>
      <w:r>
        <w:rPr>
          <w:rFonts w:cs="Times New Roman" w:hint="eastAsia"/>
          <w:spacing w:val="4"/>
          <w:kern w:val="24"/>
        </w:rPr>
        <w:t>使用</w:t>
      </w:r>
      <w:r>
        <w:rPr>
          <w:rFonts w:cs="Times New Roman"/>
          <w:spacing w:val="4"/>
          <w:kern w:val="24"/>
        </w:rPr>
        <w:t>合格的燃料</w:t>
      </w:r>
      <w:bookmarkEnd w:id="1817"/>
      <w:r>
        <w:rPr>
          <w:rFonts w:cs="Times New Roman" w:hint="eastAsia"/>
          <w:spacing w:val="4"/>
          <w:kern w:val="24"/>
        </w:rPr>
        <w:t>和</w:t>
      </w:r>
      <w:r>
        <w:rPr>
          <w:rFonts w:cs="Times New Roman"/>
          <w:spacing w:val="4"/>
          <w:kern w:val="24"/>
        </w:rPr>
        <w:t>设备，从而从源头减少设备及焊接废气对环境的影响。</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hint="eastAsia"/>
          <w:spacing w:val="4"/>
          <w:kern w:val="24"/>
        </w:rPr>
        <w:t>4</w:t>
      </w:r>
      <w:r>
        <w:rPr>
          <w:rFonts w:cs="Times New Roman"/>
          <w:spacing w:val="4"/>
          <w:kern w:val="24"/>
        </w:rPr>
        <w:t>）施工机械及运输车辆排放的废气</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①</w:t>
      </w:r>
      <w:r>
        <w:rPr>
          <w:rFonts w:cs="Times New Roman"/>
          <w:spacing w:val="4"/>
          <w:kern w:val="24"/>
        </w:rPr>
        <w:t>加强对施工</w:t>
      </w:r>
      <w:r>
        <w:rPr>
          <w:rFonts w:cs="Times New Roman" w:hint="eastAsia"/>
          <w:spacing w:val="4"/>
          <w:kern w:val="24"/>
        </w:rPr>
        <w:t>机械、</w:t>
      </w:r>
      <w:r>
        <w:rPr>
          <w:rFonts w:cs="Times New Roman"/>
          <w:spacing w:val="4"/>
          <w:kern w:val="24"/>
        </w:rPr>
        <w:t>车辆的检修和</w:t>
      </w:r>
      <w:r>
        <w:rPr>
          <w:rFonts w:cs="Times New Roman" w:hint="eastAsia"/>
          <w:spacing w:val="4"/>
          <w:kern w:val="24"/>
        </w:rPr>
        <w:t>保养</w:t>
      </w:r>
      <w:r>
        <w:rPr>
          <w:rFonts w:cs="Times New Roman"/>
          <w:spacing w:val="4"/>
          <w:kern w:val="24"/>
        </w:rPr>
        <w:t>，严禁使用超期服役和尾气超标的车辆</w:t>
      </w:r>
      <w:r>
        <w:rPr>
          <w:rFonts w:cs="Times New Roman" w:hint="eastAsia"/>
          <w:spacing w:val="4"/>
          <w:kern w:val="24"/>
        </w:rPr>
        <w:t>，禁止以柴油为燃料的施工机械超负荷工作，减少烟尘和尾气的排放</w:t>
      </w:r>
      <w:r>
        <w:rPr>
          <w:rFonts w:cs="Times New Roman"/>
          <w:spacing w:val="4"/>
          <w:kern w:val="24"/>
        </w:rPr>
        <w:t>。</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②</w:t>
      </w:r>
      <w:r>
        <w:rPr>
          <w:rFonts w:cs="Times New Roman"/>
          <w:spacing w:val="4"/>
          <w:kern w:val="24"/>
        </w:rPr>
        <w:t>对施工期间进出施工现场车流量进行合理安排，防止施工现场车流量过大。</w:t>
      </w:r>
    </w:p>
    <w:p w:rsidR="00C645C9" w:rsidRDefault="00F955D9">
      <w:pPr>
        <w:adjustRightInd w:val="0"/>
        <w:snapToGrid w:val="0"/>
        <w:spacing w:line="360" w:lineRule="auto"/>
        <w:ind w:firstLineChars="200" w:firstLine="496"/>
        <w:rPr>
          <w:rFonts w:cs="Times New Roman"/>
          <w:spacing w:val="4"/>
          <w:kern w:val="24"/>
          <w:lang w:eastAsia="en-US"/>
        </w:rPr>
      </w:pPr>
      <w:r>
        <w:rPr>
          <w:rFonts w:cs="Times New Roman"/>
          <w:spacing w:val="4"/>
          <w:kern w:val="24"/>
        </w:rPr>
        <w:t>③</w:t>
      </w:r>
      <w:r>
        <w:rPr>
          <w:rFonts w:cs="Times New Roman"/>
          <w:spacing w:val="4"/>
          <w:kern w:val="24"/>
        </w:rPr>
        <w:t>尽可能使用耗油低，排气小的施工车辆，选用优质燃油。</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8090" w:history="1">
        <w:r>
          <w:rPr>
            <w:rFonts w:cs="Times New Roman" w:hint="eastAsia"/>
            <w:b/>
            <w:snapToGrid w:val="0"/>
            <w:sz w:val="28"/>
            <w:szCs w:val="21"/>
            <w:lang w:eastAsia="en-US"/>
          </w:rPr>
          <w:t>6.</w:t>
        </w:r>
        <w:r>
          <w:rPr>
            <w:rFonts w:cs="Times New Roman" w:hint="eastAsia"/>
            <w:b/>
            <w:snapToGrid w:val="0"/>
            <w:sz w:val="28"/>
            <w:szCs w:val="21"/>
          </w:rPr>
          <w:t>5</w:t>
        </w:r>
        <w:r>
          <w:rPr>
            <w:rFonts w:cs="Times New Roman" w:hint="eastAsia"/>
            <w:b/>
            <w:snapToGrid w:val="0"/>
            <w:sz w:val="28"/>
            <w:szCs w:val="21"/>
            <w:lang w:eastAsia="en-US"/>
          </w:rPr>
          <w:t>.2</w:t>
        </w:r>
        <w:r>
          <w:rPr>
            <w:rFonts w:cs="Times New Roman" w:hint="eastAsia"/>
            <w:b/>
            <w:snapToGrid w:val="0"/>
            <w:sz w:val="28"/>
            <w:szCs w:val="21"/>
            <w:lang w:eastAsia="en-US"/>
          </w:rPr>
          <w:t>运营期</w:t>
        </w:r>
        <w:r>
          <w:rPr>
            <w:rFonts w:cs="Times New Roman" w:hint="eastAsia"/>
            <w:b/>
            <w:snapToGrid w:val="0"/>
            <w:sz w:val="28"/>
            <w:szCs w:val="21"/>
          </w:rPr>
          <w:t>大气环境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本工程运营期的废气排放源主要为加热炉、井场无组织废气排放及温室气体排</w:t>
      </w:r>
      <w:r>
        <w:rPr>
          <w:rFonts w:cs="Times New Roman"/>
          <w:spacing w:val="4"/>
          <w:kern w:val="24"/>
        </w:rPr>
        <w:t>放等。无组织排放的污染物主要为站场、井口、管线接口、阀门等处产生的无组织挥发烃类和硫化氢；温室气体的污染物主要为井场开采过程中产生的甲烷逃逸。针对以上污染源，油田采取以下大气污染治理措施：</w:t>
      </w:r>
    </w:p>
    <w:p w:rsidR="00C645C9" w:rsidRDefault="00F955D9">
      <w:pPr>
        <w:widowControl w:val="0"/>
        <w:adjustRightInd w:val="0"/>
        <w:snapToGrid w:val="0"/>
        <w:spacing w:line="360" w:lineRule="auto"/>
        <w:ind w:firstLineChars="200" w:firstLine="496"/>
        <w:rPr>
          <w:rFonts w:cs="Times New Roman"/>
          <w:spacing w:val="4"/>
          <w:kern w:val="24"/>
        </w:rPr>
      </w:pPr>
      <w:bookmarkStart w:id="1818" w:name="_Hlk97158992"/>
      <w:r>
        <w:rPr>
          <w:rFonts w:cs="Times New Roman"/>
          <w:spacing w:val="4"/>
          <w:kern w:val="24"/>
        </w:rPr>
        <w:t>（</w:t>
      </w:r>
      <w:r>
        <w:rPr>
          <w:rFonts w:cs="Times New Roman"/>
          <w:spacing w:val="4"/>
          <w:kern w:val="24"/>
        </w:rPr>
        <w:t>1</w:t>
      </w:r>
      <w:r>
        <w:rPr>
          <w:rFonts w:cs="Times New Roman"/>
          <w:spacing w:val="4"/>
          <w:kern w:val="24"/>
        </w:rPr>
        <w:t>）</w:t>
      </w:r>
      <w:r>
        <w:rPr>
          <w:rFonts w:cs="Times New Roman"/>
        </w:rPr>
        <w:t>加热炉用气均用净化后天然气作为燃料，从而减少有害物质的排放</w:t>
      </w:r>
      <w:r>
        <w:rPr>
          <w:rFonts w:cs="Times New Roman"/>
        </w:rPr>
        <w:t>。</w:t>
      </w:r>
    </w:p>
    <w:p w:rsidR="00C645C9" w:rsidRDefault="00F955D9">
      <w:pPr>
        <w:widowControl w:val="0"/>
        <w:adjustRightInd w:val="0"/>
        <w:snapToGrid w:val="0"/>
        <w:spacing w:line="360" w:lineRule="auto"/>
        <w:ind w:firstLineChars="200" w:firstLine="496"/>
        <w:rPr>
          <w:rFonts w:eastAsia="新宋体" w:cs="Times New Roman"/>
          <w:spacing w:val="4"/>
          <w:kern w:val="24"/>
        </w:rPr>
      </w:pPr>
      <w:r>
        <w:rPr>
          <w:rFonts w:eastAsia="新宋体" w:cs="Times New Roman"/>
          <w:spacing w:val="4"/>
          <w:kern w:val="24"/>
        </w:rPr>
        <w:lastRenderedPageBreak/>
        <w:t>（</w:t>
      </w:r>
      <w:r>
        <w:rPr>
          <w:rFonts w:eastAsia="新宋体" w:cs="Times New Roman"/>
          <w:spacing w:val="4"/>
          <w:kern w:val="24"/>
        </w:rPr>
        <w:t>2</w:t>
      </w:r>
      <w:r>
        <w:rPr>
          <w:rFonts w:eastAsia="新宋体" w:cs="Times New Roman"/>
          <w:spacing w:val="4"/>
          <w:kern w:val="24"/>
        </w:rPr>
        <w:t>）加热炉烟气中烟尘、</w:t>
      </w:r>
      <w:r>
        <w:rPr>
          <w:rFonts w:eastAsia="新宋体" w:cs="Times New Roman"/>
          <w:spacing w:val="4"/>
          <w:kern w:val="24"/>
        </w:rPr>
        <w:t>NOx</w:t>
      </w:r>
      <w:r>
        <w:rPr>
          <w:rFonts w:eastAsia="新宋体" w:cs="Times New Roman"/>
          <w:spacing w:val="4"/>
          <w:kern w:val="24"/>
        </w:rPr>
        <w:t>、</w:t>
      </w:r>
      <w:r>
        <w:rPr>
          <w:rFonts w:eastAsia="新宋体" w:cs="Times New Roman"/>
          <w:spacing w:val="4"/>
          <w:kern w:val="24"/>
        </w:rPr>
        <w:t>SO</w:t>
      </w:r>
      <w:r>
        <w:rPr>
          <w:rFonts w:eastAsia="新宋体" w:cs="Times New Roman"/>
          <w:spacing w:val="4"/>
          <w:kern w:val="24"/>
          <w:vertAlign w:val="subscript"/>
        </w:rPr>
        <w:t>2</w:t>
      </w:r>
      <w:r>
        <w:rPr>
          <w:rFonts w:eastAsia="新宋体" w:cs="Times New Roman"/>
          <w:spacing w:val="4"/>
          <w:kern w:val="24"/>
        </w:rPr>
        <w:t>排放浓度满足《锅炉大气污染物排放标准》（</w:t>
      </w:r>
      <w:r>
        <w:rPr>
          <w:rFonts w:eastAsia="新宋体" w:cs="Times New Roman"/>
          <w:spacing w:val="4"/>
          <w:kern w:val="24"/>
        </w:rPr>
        <w:t>GB13271-2014</w:t>
      </w:r>
      <w:r>
        <w:rPr>
          <w:rFonts w:eastAsia="新宋体" w:cs="Times New Roman"/>
          <w:spacing w:val="4"/>
          <w:kern w:val="24"/>
        </w:rPr>
        <w:t>）中新建燃气锅炉大气污染物排放浓度限值要求，烟气最终通过</w:t>
      </w:r>
      <w:r>
        <w:rPr>
          <w:rFonts w:eastAsia="新宋体" w:cs="Times New Roman"/>
          <w:spacing w:val="4"/>
          <w:kern w:val="24"/>
        </w:rPr>
        <w:t>8m</w:t>
      </w:r>
      <w:r>
        <w:rPr>
          <w:rFonts w:eastAsia="新宋体" w:cs="Times New Roman"/>
          <w:spacing w:val="4"/>
          <w:kern w:val="24"/>
        </w:rPr>
        <w:t>高排气筒排放。</w:t>
      </w:r>
    </w:p>
    <w:p w:rsidR="00C645C9" w:rsidRDefault="00F955D9">
      <w:pPr>
        <w:widowControl w:val="0"/>
        <w:adjustRightInd w:val="0"/>
        <w:snapToGrid w:val="0"/>
        <w:spacing w:line="360" w:lineRule="auto"/>
        <w:ind w:firstLineChars="200" w:firstLine="480"/>
        <w:rPr>
          <w:rFonts w:eastAsia="新宋体" w:cs="Times New Roman"/>
          <w:kern w:val="2"/>
        </w:rPr>
      </w:pPr>
      <w:r>
        <w:rPr>
          <w:rFonts w:eastAsia="新宋体" w:cs="Times New Roman"/>
          <w:kern w:val="2"/>
        </w:rPr>
        <w:t>（</w:t>
      </w:r>
      <w:r>
        <w:rPr>
          <w:rFonts w:eastAsia="新宋体" w:cs="Times New Roman"/>
          <w:kern w:val="2"/>
        </w:rPr>
        <w:t>3</w:t>
      </w:r>
      <w:r>
        <w:rPr>
          <w:rFonts w:eastAsia="新宋体" w:cs="Times New Roman"/>
          <w:kern w:val="2"/>
        </w:rPr>
        <w:t>）本</w:t>
      </w:r>
      <w:r>
        <w:rPr>
          <w:rFonts w:eastAsia="新宋体" w:cs="Times New Roman" w:hint="eastAsia"/>
          <w:kern w:val="2"/>
        </w:rPr>
        <w:t>工程</w:t>
      </w:r>
      <w:r>
        <w:rPr>
          <w:rFonts w:eastAsia="新宋体" w:cs="Times New Roman"/>
          <w:kern w:val="2"/>
        </w:rPr>
        <w:t>新增加热炉需按照《</w:t>
      </w:r>
      <w:bookmarkStart w:id="1819" w:name="OLE_LINK1238"/>
      <w:r>
        <w:rPr>
          <w:rFonts w:eastAsia="新宋体" w:cs="Times New Roman"/>
          <w:kern w:val="2"/>
        </w:rPr>
        <w:t>固定污染源排污许可分类管理名录</w:t>
      </w:r>
      <w:bookmarkEnd w:id="1819"/>
      <w:r>
        <w:rPr>
          <w:rFonts w:eastAsia="新宋体" w:cs="Times New Roman" w:hint="eastAsia"/>
          <w:kern w:val="2"/>
        </w:rPr>
        <w:t>（</w:t>
      </w:r>
      <w:r>
        <w:rPr>
          <w:rFonts w:eastAsia="新宋体" w:cs="Times New Roman" w:hint="eastAsia"/>
          <w:kern w:val="2"/>
        </w:rPr>
        <w:t>2019</w:t>
      </w:r>
      <w:r>
        <w:rPr>
          <w:rFonts w:eastAsia="新宋体" w:cs="Times New Roman" w:hint="eastAsia"/>
          <w:kern w:val="2"/>
        </w:rPr>
        <w:t>版）</w:t>
      </w:r>
      <w:r>
        <w:rPr>
          <w:rFonts w:eastAsia="新宋体" w:cs="Times New Roman"/>
          <w:kern w:val="2"/>
        </w:rPr>
        <w:t>》</w:t>
      </w:r>
      <w:r>
        <w:rPr>
          <w:rFonts w:eastAsia="新宋体" w:cs="Times New Roman" w:hint="eastAsia"/>
          <w:kern w:val="2"/>
        </w:rPr>
        <w:t>（生态环境部令第</w:t>
      </w:r>
      <w:r>
        <w:rPr>
          <w:rFonts w:eastAsia="新宋体" w:cs="Times New Roman" w:hint="eastAsia"/>
          <w:kern w:val="2"/>
        </w:rPr>
        <w:t>11</w:t>
      </w:r>
      <w:r>
        <w:rPr>
          <w:rFonts w:eastAsia="新宋体" w:cs="Times New Roman" w:hint="eastAsia"/>
          <w:kern w:val="2"/>
        </w:rPr>
        <w:t>号）</w:t>
      </w:r>
      <w:r>
        <w:rPr>
          <w:rFonts w:eastAsia="新宋体" w:cs="Times New Roman"/>
          <w:kern w:val="2"/>
        </w:rPr>
        <w:t>及《</w:t>
      </w:r>
      <w:bookmarkStart w:id="1820" w:name="OLE_LINK1502"/>
      <w:r>
        <w:rPr>
          <w:rFonts w:eastAsia="新宋体" w:cs="Times New Roman"/>
          <w:kern w:val="2"/>
        </w:rPr>
        <w:t>排污许可证申请与核发技术规范</w:t>
      </w:r>
      <w:r>
        <w:rPr>
          <w:rFonts w:eastAsia="新宋体" w:cs="Times New Roman"/>
          <w:kern w:val="2"/>
        </w:rPr>
        <w:t xml:space="preserve"> </w:t>
      </w:r>
      <w:r>
        <w:rPr>
          <w:rFonts w:eastAsia="新宋体" w:cs="Times New Roman"/>
          <w:kern w:val="2"/>
        </w:rPr>
        <w:t>锅炉</w:t>
      </w:r>
      <w:bookmarkEnd w:id="1820"/>
      <w:r>
        <w:rPr>
          <w:rFonts w:eastAsia="新宋体" w:cs="Times New Roman"/>
          <w:kern w:val="2"/>
        </w:rPr>
        <w:t>》（</w:t>
      </w:r>
      <w:r>
        <w:rPr>
          <w:rFonts w:eastAsia="新宋体" w:cs="Times New Roman"/>
          <w:kern w:val="2"/>
        </w:rPr>
        <w:t>HJ953-2019</w:t>
      </w:r>
      <w:r>
        <w:rPr>
          <w:rFonts w:eastAsia="新宋体" w:cs="Times New Roman"/>
          <w:kern w:val="2"/>
        </w:rPr>
        <w:t>）等相关要求，进行排污许可文件的申请，并进行例行监测等。</w:t>
      </w:r>
    </w:p>
    <w:p w:rsidR="00C645C9" w:rsidRDefault="00F955D9">
      <w:pPr>
        <w:widowControl w:val="0"/>
        <w:adjustRightInd w:val="0"/>
        <w:snapToGrid w:val="0"/>
        <w:spacing w:line="360" w:lineRule="auto"/>
        <w:ind w:firstLineChars="200" w:firstLine="480"/>
        <w:rPr>
          <w:rFonts w:eastAsia="新宋体" w:cs="Times New Roman"/>
          <w:kern w:val="2"/>
        </w:rPr>
      </w:pPr>
      <w:r>
        <w:rPr>
          <w:rFonts w:eastAsia="新宋体" w:cs="Times New Roman"/>
          <w:kern w:val="2"/>
        </w:rPr>
        <w:t>（</w:t>
      </w:r>
      <w:r>
        <w:rPr>
          <w:rFonts w:eastAsia="新宋体" w:cs="Times New Roman"/>
          <w:kern w:val="2"/>
        </w:rPr>
        <w:t>4</w:t>
      </w:r>
      <w:r>
        <w:rPr>
          <w:rFonts w:eastAsia="新宋体" w:cs="Times New Roman"/>
          <w:kern w:val="2"/>
        </w:rPr>
        <w:t>）</w:t>
      </w:r>
      <w:r>
        <w:rPr>
          <w:rFonts w:eastAsia="新宋体" w:cs="Times New Roman"/>
          <w:kern w:val="2"/>
        </w:rPr>
        <w:t>选用质量可靠的设备、仪表、阀门等；定期对井场的设备、阀门等检查、检修，以防止跑、冒、漏现象的发生</w:t>
      </w:r>
      <w:r>
        <w:rPr>
          <w:rFonts w:eastAsia="新宋体" w:cs="Times New Roman"/>
          <w:bCs/>
        </w:rPr>
        <w:t>。</w:t>
      </w:r>
    </w:p>
    <w:p w:rsidR="00C645C9" w:rsidRDefault="00F955D9">
      <w:pPr>
        <w:widowControl w:val="0"/>
        <w:adjustRightInd w:val="0"/>
        <w:snapToGrid w:val="0"/>
        <w:spacing w:line="360" w:lineRule="auto"/>
        <w:ind w:firstLineChars="200" w:firstLine="480"/>
        <w:rPr>
          <w:rFonts w:eastAsia="新宋体" w:cs="Times New Roman"/>
        </w:rPr>
      </w:pPr>
      <w:r>
        <w:rPr>
          <w:rFonts w:eastAsia="新宋体" w:cs="Times New Roman"/>
        </w:rPr>
        <w:t>（</w:t>
      </w:r>
      <w:r>
        <w:rPr>
          <w:rFonts w:eastAsia="新宋体" w:cs="Times New Roman"/>
        </w:rPr>
        <w:t>5</w:t>
      </w:r>
      <w:r>
        <w:rPr>
          <w:rFonts w:eastAsia="新宋体" w:cs="Times New Roman"/>
        </w:rPr>
        <w:t>）大气</w:t>
      </w:r>
      <w:r>
        <w:rPr>
          <w:rFonts w:eastAsia="新宋体" w:cs="Times New Roman"/>
          <w:bCs/>
        </w:rPr>
        <w:t>敏感目标保护</w:t>
      </w:r>
      <w:r>
        <w:rPr>
          <w:rFonts w:eastAsia="新宋体" w:cs="Times New Roman"/>
          <w:bCs/>
        </w:rPr>
        <w:t>措施：</w:t>
      </w:r>
      <w:r>
        <w:rPr>
          <w:rFonts w:eastAsia="新宋体" w:cs="Times New Roman"/>
          <w:bCs/>
        </w:rPr>
        <w:t>科学规划运输路线，尽量避开村庄等敏感区域，减少运输过程中的扬尘和尾气对敏感目标的影响；</w:t>
      </w:r>
      <w:r>
        <w:rPr>
          <w:rFonts w:eastAsia="新宋体" w:cs="Times New Roman"/>
        </w:rPr>
        <w:t>大风天暂停作业，减少</w:t>
      </w:r>
      <w:r>
        <w:rPr>
          <w:rFonts w:eastAsia="新宋体" w:cs="Times New Roman"/>
          <w:bCs/>
        </w:rPr>
        <w:t>运输</w:t>
      </w:r>
      <w:r>
        <w:rPr>
          <w:rFonts w:eastAsia="新宋体" w:cs="Times New Roman"/>
        </w:rPr>
        <w:t>产生的扬尘和</w:t>
      </w:r>
      <w:r>
        <w:rPr>
          <w:rFonts w:eastAsia="新宋体" w:cs="Times New Roman"/>
        </w:rPr>
        <w:t>VOCs</w:t>
      </w:r>
      <w:r>
        <w:rPr>
          <w:rFonts w:eastAsia="新宋体" w:cs="Times New Roman"/>
        </w:rPr>
        <w:t>扩散对周围村庄等敏感目标的影响；尽量避开早晚高峰（</w:t>
      </w:r>
      <w:r>
        <w:rPr>
          <w:rFonts w:eastAsia="新宋体" w:cs="Times New Roman"/>
        </w:rPr>
        <w:t>7:00~10:00</w:t>
      </w:r>
      <w:r>
        <w:rPr>
          <w:rFonts w:eastAsia="新宋体" w:cs="Times New Roman"/>
        </w:rPr>
        <w:t>、</w:t>
      </w:r>
      <w:r>
        <w:rPr>
          <w:rFonts w:eastAsia="新宋体" w:cs="Times New Roman"/>
        </w:rPr>
        <w:t>18:00~21:00</w:t>
      </w:r>
      <w:r>
        <w:rPr>
          <w:rFonts w:eastAsia="新宋体" w:cs="Times New Roman"/>
        </w:rPr>
        <w:t>）进行拉油装车工作，避免逆温天气污染物积聚对周围村庄等敏感目标的影响</w:t>
      </w:r>
      <w:r>
        <w:rPr>
          <w:rFonts w:eastAsia="新宋体" w:cs="Times New Roman"/>
          <w:bCs/>
        </w:rPr>
        <w:t>。</w:t>
      </w:r>
    </w:p>
    <w:p w:rsidR="00C645C9" w:rsidRDefault="00F955D9">
      <w:pPr>
        <w:widowControl w:val="0"/>
        <w:adjustRightInd w:val="0"/>
        <w:snapToGrid w:val="0"/>
        <w:spacing w:line="360" w:lineRule="auto"/>
        <w:ind w:firstLineChars="200" w:firstLine="480"/>
        <w:rPr>
          <w:rFonts w:eastAsia="新宋体" w:cs="Times New Roman"/>
          <w:bCs/>
        </w:rPr>
      </w:pPr>
      <w:r>
        <w:rPr>
          <w:rFonts w:eastAsia="新宋体" w:cs="Times New Roman"/>
          <w:kern w:val="2"/>
        </w:rPr>
        <w:t>（</w:t>
      </w:r>
      <w:r>
        <w:rPr>
          <w:rFonts w:eastAsia="新宋体" w:cs="Times New Roman"/>
          <w:kern w:val="2"/>
        </w:rPr>
        <w:t>6</w:t>
      </w:r>
      <w:r>
        <w:rPr>
          <w:rFonts w:eastAsia="新宋体" w:cs="Times New Roman"/>
          <w:kern w:val="2"/>
        </w:rPr>
        <w:t>）</w:t>
      </w:r>
      <w:r>
        <w:rPr>
          <w:rFonts w:eastAsia="新宋体" w:cs="Times New Roman" w:hint="eastAsia"/>
          <w:bCs/>
        </w:rPr>
        <w:t>凝析</w:t>
      </w:r>
      <w:r>
        <w:rPr>
          <w:rFonts w:eastAsia="新宋体" w:cs="Times New Roman"/>
          <w:bCs/>
        </w:rPr>
        <w:t>油装车挥发性有机物控制措施：</w:t>
      </w:r>
      <w:r>
        <w:rPr>
          <w:rFonts w:eastAsia="新宋体" w:cs="Times New Roman"/>
          <w:kern w:val="2"/>
        </w:rPr>
        <w:t>凝析油装车采用</w:t>
      </w:r>
      <w:r>
        <w:rPr>
          <w:rFonts w:eastAsia="新宋体" w:cs="Times New Roman"/>
        </w:rPr>
        <w:t>密闭装车鹤管</w:t>
      </w:r>
      <w:r>
        <w:rPr>
          <w:rFonts w:eastAsia="新宋体" w:cs="Times New Roman"/>
          <w:kern w:val="2"/>
        </w:rPr>
        <w:t>方式</w:t>
      </w:r>
      <w:bookmarkEnd w:id="1818"/>
      <w:r>
        <w:rPr>
          <w:rFonts w:eastAsia="新宋体" w:cs="Times New Roman"/>
          <w:kern w:val="2"/>
        </w:rPr>
        <w:t>，</w:t>
      </w:r>
      <w:r>
        <w:rPr>
          <w:rFonts w:eastAsia="新宋体" w:cs="Times New Roman"/>
          <w:bCs/>
        </w:rPr>
        <w:t>按照</w:t>
      </w:r>
      <w:r>
        <w:rPr>
          <w:rFonts w:eastAsia="新宋体" w:cs="Times New Roman"/>
          <w:bCs/>
        </w:rPr>
        <w:t>《</w:t>
      </w:r>
      <w:r>
        <w:rPr>
          <w:rFonts w:eastAsia="新宋体" w:cs="Times New Roman"/>
        </w:rPr>
        <w:t>挥发性有机物无组织排放控制标准》（</w:t>
      </w:r>
      <w:r>
        <w:rPr>
          <w:rFonts w:eastAsia="新宋体" w:cs="Times New Roman"/>
        </w:rPr>
        <w:t>GB37822-2019</w:t>
      </w:r>
      <w:r>
        <w:rPr>
          <w:rFonts w:eastAsia="新宋体" w:cs="Times New Roman"/>
        </w:rPr>
        <w:t>）</w:t>
      </w:r>
      <w:r>
        <w:rPr>
          <w:rFonts w:eastAsia="新宋体" w:cs="Times New Roman"/>
          <w:bCs/>
        </w:rPr>
        <w:t>要求，装车</w:t>
      </w:r>
      <w:r>
        <w:rPr>
          <w:rFonts w:eastAsia="新宋体" w:cs="Times New Roman"/>
          <w:bCs/>
        </w:rPr>
        <w:t>建议</w:t>
      </w:r>
      <w:r>
        <w:rPr>
          <w:rFonts w:eastAsia="新宋体" w:cs="Times New Roman"/>
          <w:bCs/>
        </w:rPr>
        <w:t>采用底部装载方式。</w:t>
      </w:r>
    </w:p>
    <w:p w:rsidR="00C645C9" w:rsidRDefault="00F955D9">
      <w:pPr>
        <w:widowControl w:val="0"/>
        <w:adjustRightInd w:val="0"/>
        <w:snapToGrid w:val="0"/>
        <w:spacing w:line="360" w:lineRule="auto"/>
        <w:ind w:firstLineChars="200" w:firstLine="480"/>
        <w:rPr>
          <w:rFonts w:eastAsia="新宋体" w:cs="Times New Roman"/>
        </w:rPr>
      </w:pPr>
      <w:r>
        <w:rPr>
          <w:rFonts w:eastAsia="新宋体" w:cs="Times New Roman"/>
        </w:rPr>
        <w:t>（</w:t>
      </w:r>
      <w:r>
        <w:rPr>
          <w:rFonts w:eastAsia="新宋体" w:cs="Times New Roman"/>
        </w:rPr>
        <w:t>7</w:t>
      </w:r>
      <w:r>
        <w:rPr>
          <w:rFonts w:eastAsia="新宋体" w:cs="Times New Roman"/>
        </w:rPr>
        <w:t>）</w:t>
      </w:r>
      <w:r>
        <w:rPr>
          <w:rFonts w:eastAsia="新宋体" w:cs="Times New Roman"/>
          <w:kern w:val="2"/>
        </w:rPr>
        <w:t>储油罐挥发性有机物控制措施：井场储油罐为多功能储集器，单罐容积</w:t>
      </w:r>
      <w:r>
        <w:rPr>
          <w:rFonts w:eastAsia="新宋体" w:cs="Times New Roman" w:hint="eastAsia"/>
          <w:kern w:val="2"/>
        </w:rPr>
        <w:t>8</w:t>
      </w:r>
      <w:r>
        <w:rPr>
          <w:rFonts w:eastAsia="新宋体" w:cs="Times New Roman"/>
          <w:kern w:val="2"/>
        </w:rPr>
        <w:t>0m</w:t>
      </w:r>
      <w:r>
        <w:rPr>
          <w:rFonts w:eastAsia="新宋体" w:cs="Times New Roman"/>
          <w:kern w:val="2"/>
          <w:vertAlign w:val="superscript"/>
        </w:rPr>
        <w:t>3</w:t>
      </w:r>
      <w:r>
        <w:rPr>
          <w:rFonts w:eastAsia="新宋体" w:cs="Times New Roman"/>
          <w:kern w:val="2"/>
        </w:rPr>
        <w:t>，采取储罐罐体保温，减少罐内温差的变化，从而大大地降低了气体的蒸发损耗，罐体外表使用浅色涂层，来控制和减少无组织挥发性有机物排放。罐体应保持完好，除计量、检查、维护等正常活动外，不应有孔洞及缝隙。</w:t>
      </w:r>
    </w:p>
    <w:p w:rsidR="00C645C9" w:rsidRDefault="00F955D9">
      <w:pPr>
        <w:widowControl w:val="0"/>
        <w:adjustRightInd w:val="0"/>
        <w:snapToGrid w:val="0"/>
        <w:spacing w:line="360" w:lineRule="auto"/>
        <w:ind w:firstLineChars="200" w:firstLine="480"/>
        <w:rPr>
          <w:rFonts w:eastAsia="新宋体" w:cs="Times New Roman"/>
        </w:rPr>
      </w:pPr>
      <w:r>
        <w:rPr>
          <w:rFonts w:eastAsia="新宋体" w:cs="Times New Roman"/>
        </w:rPr>
        <w:t>（</w:t>
      </w:r>
      <w:r>
        <w:rPr>
          <w:rFonts w:eastAsia="新宋体" w:cs="Times New Roman"/>
        </w:rPr>
        <w:t>8</w:t>
      </w:r>
      <w:r>
        <w:rPr>
          <w:rFonts w:eastAsia="新宋体" w:cs="Times New Roman"/>
        </w:rPr>
        <w:t>）</w:t>
      </w:r>
      <w:r>
        <w:rPr>
          <w:rFonts w:eastAsia="新宋体" w:cs="Times New Roman"/>
          <w:bCs/>
        </w:rPr>
        <w:t>应加强对密封点的巡检，</w:t>
      </w:r>
      <w:r>
        <w:rPr>
          <w:rFonts w:eastAsia="新宋体" w:cs="Times New Roman"/>
        </w:rPr>
        <w:t>井场需按照实际生产需要设置可燃气体探测器</w:t>
      </w:r>
      <w:r>
        <w:rPr>
          <w:rFonts w:eastAsia="新宋体" w:cs="Times New Roman"/>
        </w:rPr>
        <w:t>。</w:t>
      </w:r>
    </w:p>
    <w:p w:rsidR="00C645C9" w:rsidRDefault="00F955D9">
      <w:pPr>
        <w:pStyle w:val="YJ"/>
        <w:widowControl w:val="0"/>
        <w:adjustRightInd w:val="0"/>
        <w:snapToGrid w:val="0"/>
        <w:spacing w:line="360" w:lineRule="auto"/>
        <w:ind w:firstLine="480"/>
        <w:rPr>
          <w:rFonts w:ascii="Times New Roman" w:eastAsia="新宋体" w:hAnsi="Times New Roman"/>
          <w:bCs/>
          <w:kern w:val="2"/>
        </w:rPr>
      </w:pPr>
      <w:r>
        <w:rPr>
          <w:rFonts w:ascii="Times New Roman" w:eastAsia="新宋体" w:hAnsi="Times New Roman"/>
          <w:bCs/>
        </w:rPr>
        <w:t>（</w:t>
      </w:r>
      <w:r>
        <w:rPr>
          <w:rFonts w:ascii="Times New Roman" w:eastAsia="新宋体" w:hAnsi="Times New Roman"/>
          <w:bCs/>
        </w:rPr>
        <w:t>9</w:t>
      </w:r>
      <w:r>
        <w:rPr>
          <w:rFonts w:ascii="Times New Roman" w:eastAsia="新宋体" w:hAnsi="Times New Roman"/>
          <w:bCs/>
        </w:rPr>
        <w:t>）挥发性有机物泄漏风险防范要求</w:t>
      </w:r>
      <w:r>
        <w:rPr>
          <w:rFonts w:ascii="Times New Roman" w:eastAsia="新宋体" w:hAnsi="Times New Roman"/>
          <w:bCs/>
        </w:rPr>
        <w:t>：</w:t>
      </w:r>
      <w:r>
        <w:rPr>
          <w:rFonts w:ascii="Times New Roman" w:eastAsia="新宋体" w:hAnsi="Times New Roman"/>
          <w:bCs/>
          <w:kern w:val="2"/>
        </w:rPr>
        <w:t>在事故状态下，采用拉油方式，应保证放空火炬自动点火装置工作正常，能够及时将产生的</w:t>
      </w:r>
      <w:r>
        <w:rPr>
          <w:rFonts w:ascii="Times New Roman" w:eastAsia="新宋体" w:hAnsi="Times New Roman" w:hint="eastAsia"/>
          <w:bCs/>
          <w:kern w:val="2"/>
        </w:rPr>
        <w:t>天然</w:t>
      </w:r>
      <w:r>
        <w:rPr>
          <w:rFonts w:ascii="Times New Roman" w:eastAsia="新宋体" w:hAnsi="Times New Roman"/>
          <w:bCs/>
          <w:kern w:val="2"/>
        </w:rPr>
        <w:t>气点火放散，减少非正常工况下燃料不充分燃烧。</w:t>
      </w:r>
    </w:p>
    <w:p w:rsidR="00C645C9" w:rsidRDefault="00F955D9">
      <w:pPr>
        <w:widowControl w:val="0"/>
        <w:adjustRightInd w:val="0"/>
        <w:snapToGrid w:val="0"/>
        <w:spacing w:line="360" w:lineRule="auto"/>
        <w:ind w:firstLineChars="200" w:firstLine="480"/>
        <w:rPr>
          <w:rFonts w:eastAsia="新宋体" w:cs="Times New Roman"/>
        </w:rPr>
      </w:pPr>
      <w:r>
        <w:rPr>
          <w:rFonts w:eastAsia="新宋体" w:cs="Times New Roman"/>
        </w:rPr>
        <w:t>（</w:t>
      </w:r>
      <w:r>
        <w:rPr>
          <w:rFonts w:eastAsia="新宋体" w:cs="Times New Roman"/>
        </w:rPr>
        <w:t>10</w:t>
      </w:r>
      <w:r>
        <w:rPr>
          <w:rFonts w:eastAsia="新宋体" w:cs="Times New Roman"/>
        </w:rPr>
        <w:t>）</w:t>
      </w:r>
      <w:r>
        <w:rPr>
          <w:rFonts w:eastAsia="新宋体" w:cs="Times New Roman"/>
        </w:rPr>
        <w:t>在日常生产过程中，加强非甲烷总烃</w:t>
      </w:r>
      <w:r>
        <w:rPr>
          <w:rFonts w:eastAsia="新宋体" w:cs="Times New Roman"/>
        </w:rPr>
        <w:t>、</w:t>
      </w:r>
      <w:r>
        <w:rPr>
          <w:rFonts w:eastAsia="新宋体" w:cs="Times New Roman"/>
        </w:rPr>
        <w:t>硫化氢</w:t>
      </w:r>
      <w:r>
        <w:rPr>
          <w:rFonts w:eastAsia="新宋体" w:cs="Times New Roman"/>
        </w:rPr>
        <w:t>无组织排放例行监测，对</w:t>
      </w:r>
      <w:r>
        <w:rPr>
          <w:rFonts w:eastAsia="新宋体" w:cs="Times New Roman" w:hint="eastAsia"/>
        </w:rPr>
        <w:t>井</w:t>
      </w:r>
      <w:r>
        <w:rPr>
          <w:rFonts w:eastAsia="新宋体" w:cs="Times New Roman"/>
        </w:rPr>
        <w:t>场厂界非甲烷总烃每年监测一次，确保满足《陆上石油天然气开采工业大气污染物排放标准》（</w:t>
      </w:r>
      <w:r>
        <w:rPr>
          <w:rFonts w:eastAsia="新宋体" w:cs="Times New Roman"/>
        </w:rPr>
        <w:t>GB39728-2020</w:t>
      </w:r>
      <w:r>
        <w:rPr>
          <w:rFonts w:eastAsia="新宋体" w:cs="Times New Roman"/>
        </w:rPr>
        <w:t>）企业边界污染物控制要求</w:t>
      </w:r>
      <w:r>
        <w:rPr>
          <w:rFonts w:eastAsia="新宋体" w:cs="Times New Roman"/>
        </w:rPr>
        <w:t>、《挥发性有机物无组织排放控制标准》（</w:t>
      </w:r>
      <w:r>
        <w:rPr>
          <w:rFonts w:eastAsia="新宋体" w:cs="Times New Roman"/>
        </w:rPr>
        <w:t>GB37822-2019</w:t>
      </w:r>
      <w:r>
        <w:rPr>
          <w:rFonts w:eastAsia="新宋体" w:cs="Times New Roman"/>
        </w:rPr>
        <w:t>）厂区内</w:t>
      </w:r>
      <w:r>
        <w:rPr>
          <w:rFonts w:eastAsia="新宋体" w:cs="Times New Roman"/>
        </w:rPr>
        <w:t>VOCs</w:t>
      </w:r>
      <w:r>
        <w:rPr>
          <w:rFonts w:eastAsia="新宋体" w:cs="Times New Roman"/>
        </w:rPr>
        <w:t>无组织排放限制</w:t>
      </w:r>
      <w:r>
        <w:rPr>
          <w:rFonts w:eastAsia="新宋体" w:cs="Times New Roman"/>
        </w:rPr>
        <w:t>和</w:t>
      </w:r>
      <w:r>
        <w:rPr>
          <w:rFonts w:eastAsia="新宋体" w:cs="Times New Roman"/>
        </w:rPr>
        <w:t>《恶臭污染物排放标准》</w:t>
      </w:r>
      <w:r>
        <w:rPr>
          <w:rFonts w:eastAsia="新宋体" w:cs="Times New Roman"/>
        </w:rPr>
        <w:t>（</w:t>
      </w:r>
      <w:r>
        <w:rPr>
          <w:rFonts w:eastAsia="新宋体" w:cs="Times New Roman"/>
        </w:rPr>
        <w:t>GB14554-93</w:t>
      </w:r>
      <w:r>
        <w:rPr>
          <w:rFonts w:eastAsia="新宋体" w:cs="Times New Roman"/>
        </w:rPr>
        <w:t>）</w:t>
      </w:r>
      <w:r>
        <w:rPr>
          <w:rFonts w:eastAsia="新宋体" w:cs="Times New Roman"/>
        </w:rPr>
        <w:t>表</w:t>
      </w:r>
      <w:r>
        <w:rPr>
          <w:rFonts w:eastAsia="新宋体" w:cs="Times New Roman"/>
        </w:rPr>
        <w:t>1</w:t>
      </w:r>
      <w:r>
        <w:rPr>
          <w:rFonts w:eastAsia="新宋体" w:cs="Times New Roman"/>
        </w:rPr>
        <w:t>新扩改建厂界二级标准值。</w:t>
      </w:r>
      <w:r>
        <w:rPr>
          <w:rFonts w:eastAsia="新宋体" w:cs="Times New Roman"/>
        </w:rPr>
        <w:t>对</w:t>
      </w:r>
      <w:r>
        <w:rPr>
          <w:rFonts w:eastAsia="新宋体" w:cs="Times New Roman"/>
        </w:rPr>
        <w:t>距离</w:t>
      </w:r>
      <w:r>
        <w:rPr>
          <w:rFonts w:eastAsia="新宋体" w:cs="Times New Roman"/>
        </w:rPr>
        <w:t>较</w:t>
      </w:r>
      <w:r>
        <w:rPr>
          <w:rFonts w:eastAsia="新宋体" w:cs="Times New Roman"/>
        </w:rPr>
        <w:lastRenderedPageBreak/>
        <w:t>近</w:t>
      </w:r>
      <w:r>
        <w:rPr>
          <w:rFonts w:eastAsia="新宋体" w:cs="Times New Roman"/>
        </w:rPr>
        <w:t>的其兰村</w:t>
      </w:r>
      <w:r>
        <w:rPr>
          <w:rFonts w:eastAsia="新宋体" w:cs="Times New Roman"/>
        </w:rPr>
        <w:t>，</w:t>
      </w:r>
      <w:r>
        <w:rPr>
          <w:rFonts w:eastAsia="新宋体" w:cs="Times New Roman"/>
        </w:rPr>
        <w:t>建议开展跟踪</w:t>
      </w:r>
      <w:r>
        <w:rPr>
          <w:rFonts w:eastAsia="新宋体" w:cs="Times New Roman"/>
        </w:rPr>
        <w:t>监测</w:t>
      </w:r>
      <w:r>
        <w:rPr>
          <w:rFonts w:eastAsia="新宋体" w:cs="Times New Roman"/>
        </w:rPr>
        <w:t>。</w:t>
      </w:r>
    </w:p>
    <w:p w:rsidR="00C645C9" w:rsidRDefault="00F955D9">
      <w:pPr>
        <w:widowControl w:val="0"/>
        <w:adjustRightInd w:val="0"/>
        <w:snapToGrid w:val="0"/>
        <w:spacing w:line="360" w:lineRule="auto"/>
        <w:ind w:firstLineChars="200" w:firstLine="480"/>
        <w:rPr>
          <w:rFonts w:cs="Times New Roman"/>
        </w:rPr>
      </w:pPr>
      <w:r>
        <w:rPr>
          <w:rFonts w:cs="Times New Roman"/>
        </w:rPr>
        <w:t>（</w:t>
      </w:r>
      <w:r>
        <w:rPr>
          <w:rFonts w:cs="Times New Roman"/>
        </w:rPr>
        <w:t>11</w:t>
      </w:r>
      <w:r>
        <w:rPr>
          <w:rFonts w:cs="Times New Roman"/>
        </w:rPr>
        <w:t>）</w:t>
      </w:r>
      <w:r>
        <w:rPr>
          <w:rFonts w:cs="Times New Roman"/>
        </w:rPr>
        <w:t>温室气体管控：</w:t>
      </w:r>
      <w:r>
        <w:rPr>
          <w:rFonts w:cs="Times New Roman"/>
        </w:rPr>
        <w:t>①</w:t>
      </w:r>
      <w:r>
        <w:rPr>
          <w:rFonts w:cs="Times New Roman"/>
        </w:rPr>
        <w:t>进一步开展节能减排工作，加强质量控制和技术研发，降低抽油机井工作能耗；</w:t>
      </w:r>
      <w:r>
        <w:rPr>
          <w:rFonts w:cs="Times New Roman"/>
        </w:rPr>
        <w:t>②</w:t>
      </w:r>
      <w:r>
        <w:rPr>
          <w:rFonts w:cs="Times New Roman"/>
        </w:rPr>
        <w:t>大力推广应用零散天然气回收和电力系统无功补偿级新能源利用等开采技术，开发清洁能源替代现有能源；</w:t>
      </w:r>
      <w:r>
        <w:rPr>
          <w:rFonts w:cs="Times New Roman"/>
        </w:rPr>
        <w:t>③</w:t>
      </w:r>
      <w:r>
        <w:rPr>
          <w:rFonts w:cs="Times New Roman"/>
        </w:rPr>
        <w:t>选用质量可靠的设备、仪表、阀门等</w:t>
      </w:r>
      <w:r>
        <w:rPr>
          <w:rFonts w:cs="Times New Roman"/>
        </w:rPr>
        <w:t>；</w:t>
      </w:r>
      <w:r>
        <w:rPr>
          <w:rFonts w:cs="Times New Roman"/>
        </w:rPr>
        <w:t>④</w:t>
      </w:r>
      <w:r>
        <w:rPr>
          <w:rFonts w:cs="Times New Roman"/>
        </w:rPr>
        <w:t>加强对</w:t>
      </w:r>
      <w:r>
        <w:rPr>
          <w:rFonts w:cs="Times New Roman"/>
        </w:rPr>
        <w:t>储罐及</w:t>
      </w:r>
      <w:r>
        <w:rPr>
          <w:rFonts w:cs="Times New Roman"/>
        </w:rPr>
        <w:t>密封点的巡检，一旦发生泄漏立即切断控制阀，并</w:t>
      </w:r>
      <w:r>
        <w:rPr>
          <w:rFonts w:cs="Times New Roman"/>
        </w:rPr>
        <w:t>尽快</w:t>
      </w:r>
      <w:r>
        <w:rPr>
          <w:rFonts w:cs="Times New Roman"/>
        </w:rPr>
        <w:t>完成修复；</w:t>
      </w:r>
      <w:r>
        <w:rPr>
          <w:rFonts w:cs="Times New Roman"/>
        </w:rPr>
        <w:t>⑤</w:t>
      </w:r>
      <w:r>
        <w:rPr>
          <w:rFonts w:cs="Times New Roman"/>
        </w:rPr>
        <w:t>加强</w:t>
      </w:r>
      <w:r>
        <w:rPr>
          <w:rFonts w:cs="Times New Roman"/>
        </w:rPr>
        <w:t>油井</w:t>
      </w:r>
      <w:r>
        <w:rPr>
          <w:rFonts w:cs="Times New Roman"/>
        </w:rPr>
        <w:t>生产管理，减少</w:t>
      </w:r>
      <w:r>
        <w:rPr>
          <w:rFonts w:cs="Times New Roman"/>
        </w:rPr>
        <w:t>温室气体</w:t>
      </w:r>
      <w:r>
        <w:rPr>
          <w:rFonts w:cs="Times New Roman"/>
        </w:rPr>
        <w:t>的跑、冒，做好</w:t>
      </w:r>
      <w:r>
        <w:rPr>
          <w:rFonts w:cs="Times New Roman"/>
        </w:rPr>
        <w:t>油井</w:t>
      </w:r>
      <w:r>
        <w:rPr>
          <w:rFonts w:cs="Times New Roman"/>
        </w:rPr>
        <w:t>的压力监测，并准备应急措施</w:t>
      </w:r>
      <w:r>
        <w:rPr>
          <w:rFonts w:cs="Times New Roman"/>
        </w:rPr>
        <w:t>，</w:t>
      </w:r>
      <w:r>
        <w:rPr>
          <w:rFonts w:cs="Times New Roman"/>
        </w:rPr>
        <w:t>从而减少温室气体排放。</w:t>
      </w:r>
    </w:p>
    <w:p w:rsidR="00C645C9" w:rsidRDefault="00F955D9">
      <w:pPr>
        <w:adjustRightInd w:val="0"/>
        <w:snapToGrid w:val="0"/>
        <w:spacing w:line="360" w:lineRule="auto"/>
        <w:ind w:firstLineChars="200" w:firstLine="480"/>
        <w:rPr>
          <w:lang w:eastAsia="en-US"/>
        </w:rPr>
      </w:pPr>
      <w:r>
        <w:rPr>
          <w:rFonts w:cs="Times New Roman"/>
        </w:rPr>
        <w:t>综上，</w:t>
      </w:r>
      <w:r>
        <w:rPr>
          <w:rFonts w:cs="Times New Roman"/>
        </w:rPr>
        <w:t>本工程</w:t>
      </w:r>
      <w:r>
        <w:rPr>
          <w:rFonts w:cs="Times New Roman"/>
        </w:rPr>
        <w:t>采取的废气污染防治措施可行</w:t>
      </w:r>
      <w:r>
        <w:rPr>
          <w:rFonts w:cs="Times New Roman"/>
        </w:rPr>
        <w:t>。</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24095" w:history="1">
        <w:r>
          <w:rPr>
            <w:rFonts w:cs="Times New Roman" w:hint="eastAsia"/>
            <w:b/>
            <w:snapToGrid w:val="0"/>
            <w:sz w:val="28"/>
            <w:szCs w:val="21"/>
            <w:lang w:eastAsia="en-US"/>
          </w:rPr>
          <w:t>6.</w:t>
        </w:r>
        <w:r>
          <w:rPr>
            <w:rFonts w:cs="Times New Roman" w:hint="eastAsia"/>
            <w:b/>
            <w:snapToGrid w:val="0"/>
            <w:sz w:val="28"/>
            <w:szCs w:val="21"/>
          </w:rPr>
          <w:t>5</w:t>
        </w:r>
        <w:r>
          <w:rPr>
            <w:rFonts w:cs="Times New Roman" w:hint="eastAsia"/>
            <w:b/>
            <w:snapToGrid w:val="0"/>
            <w:sz w:val="28"/>
            <w:szCs w:val="21"/>
            <w:lang w:eastAsia="en-US"/>
          </w:rPr>
          <w:t>.3</w:t>
        </w:r>
        <w:r>
          <w:rPr>
            <w:rFonts w:cs="Times New Roman" w:hint="eastAsia"/>
            <w:b/>
            <w:snapToGrid w:val="0"/>
            <w:sz w:val="28"/>
            <w:szCs w:val="21"/>
            <w:lang w:eastAsia="en-US"/>
          </w:rPr>
          <w:t>退役期</w:t>
        </w:r>
        <w:r>
          <w:rPr>
            <w:rFonts w:cs="Times New Roman" w:hint="eastAsia"/>
            <w:b/>
            <w:snapToGrid w:val="0"/>
            <w:sz w:val="28"/>
            <w:szCs w:val="21"/>
          </w:rPr>
          <w:t>大气环境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）运输车辆使用符合国家标准的油品。</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2</w:t>
      </w:r>
      <w:r>
        <w:rPr>
          <w:rFonts w:cs="Times New Roman"/>
          <w:spacing w:val="4"/>
          <w:kern w:val="24"/>
        </w:rPr>
        <w:t>）在闭井施工操作中应做到文明施工，防止水泥等的洒落与飘散；尽量避开大风天气进行作业。</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3</w:t>
      </w:r>
      <w:r>
        <w:rPr>
          <w:rFonts w:cs="Times New Roman"/>
          <w:spacing w:val="4"/>
          <w:kern w:val="24"/>
        </w:rPr>
        <w:t>）</w:t>
      </w:r>
      <w:r>
        <w:rPr>
          <w:rFonts w:cs="Times New Roman" w:hint="eastAsia"/>
          <w:spacing w:val="4"/>
          <w:kern w:val="24"/>
        </w:rPr>
        <w:t>退役期</w:t>
      </w:r>
      <w:r>
        <w:rPr>
          <w:rFonts w:cs="Times New Roman"/>
          <w:spacing w:val="4"/>
          <w:kern w:val="24"/>
        </w:rPr>
        <w:t>封井施工过程中，应加强</w:t>
      </w:r>
      <w:r>
        <w:rPr>
          <w:rFonts w:cs="Times New Roman" w:hint="eastAsia"/>
          <w:spacing w:val="4"/>
          <w:kern w:val="24"/>
        </w:rPr>
        <w:t>施工质量管理，避免出现封井不严等非正常工况的烃类泄漏。</w:t>
      </w:r>
    </w:p>
    <w:bookmarkStart w:id="1821" w:name="_Toc29516"/>
    <w:p w:rsidR="00C645C9" w:rsidRDefault="00F955D9">
      <w:pPr>
        <w:widowControl w:val="0"/>
        <w:tabs>
          <w:tab w:val="left" w:pos="5695"/>
        </w:tabs>
        <w:adjustRightInd w:val="0"/>
        <w:snapToGrid w:val="0"/>
        <w:spacing w:line="360" w:lineRule="auto"/>
        <w:outlineLvl w:val="1"/>
        <w:rPr>
          <w:rFonts w:cs="Times New Roman"/>
          <w:b/>
          <w:snapToGrid w:val="0"/>
          <w:sz w:val="28"/>
          <w:szCs w:val="21"/>
        </w:rPr>
      </w:pPr>
      <w:r>
        <w:rPr>
          <w:rFonts w:cs="Times New Roman"/>
          <w:b/>
          <w:snapToGrid w:val="0"/>
          <w:sz w:val="28"/>
          <w:szCs w:val="21"/>
        </w:rPr>
        <w:fldChar w:fldCharType="begin"/>
      </w:r>
      <w:r>
        <w:rPr>
          <w:rFonts w:cs="Times New Roman"/>
          <w:b/>
          <w:snapToGrid w:val="0"/>
          <w:sz w:val="28"/>
          <w:szCs w:val="21"/>
        </w:rPr>
        <w:instrText xml:space="preserve"> HYPERLINK \l _Toc32429 </w:instrText>
      </w:r>
      <w:r>
        <w:rPr>
          <w:rFonts w:cs="Times New Roman"/>
          <w:b/>
          <w:snapToGrid w:val="0"/>
          <w:sz w:val="28"/>
          <w:szCs w:val="21"/>
        </w:rPr>
        <w:fldChar w:fldCharType="separate"/>
      </w:r>
      <w:r>
        <w:rPr>
          <w:rFonts w:cs="Times New Roman" w:hint="eastAsia"/>
          <w:b/>
          <w:snapToGrid w:val="0"/>
          <w:sz w:val="28"/>
          <w:szCs w:val="21"/>
        </w:rPr>
        <w:t>6.6</w:t>
      </w:r>
      <w:r>
        <w:rPr>
          <w:rFonts w:cs="Times New Roman" w:hint="eastAsia"/>
          <w:b/>
          <w:snapToGrid w:val="0"/>
          <w:sz w:val="28"/>
          <w:szCs w:val="21"/>
        </w:rPr>
        <w:t>声环境保护措施可行性论证</w:t>
      </w:r>
      <w:r>
        <w:rPr>
          <w:rFonts w:cs="Times New Roman"/>
          <w:b/>
          <w:snapToGrid w:val="0"/>
          <w:sz w:val="28"/>
          <w:szCs w:val="21"/>
        </w:rPr>
        <w:fldChar w:fldCharType="end"/>
      </w:r>
      <w:bookmarkEnd w:id="1821"/>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5999" w:history="1">
        <w:r>
          <w:rPr>
            <w:rFonts w:cs="Times New Roman" w:hint="eastAsia"/>
            <w:b/>
            <w:snapToGrid w:val="0"/>
            <w:sz w:val="28"/>
            <w:szCs w:val="21"/>
            <w:lang w:eastAsia="en-US"/>
          </w:rPr>
          <w:t>6.</w:t>
        </w:r>
        <w:r>
          <w:rPr>
            <w:rFonts w:cs="Times New Roman" w:hint="eastAsia"/>
            <w:b/>
            <w:snapToGrid w:val="0"/>
            <w:sz w:val="28"/>
            <w:szCs w:val="21"/>
          </w:rPr>
          <w:t>6</w:t>
        </w:r>
        <w:r>
          <w:rPr>
            <w:rFonts w:cs="Times New Roman" w:hint="eastAsia"/>
            <w:b/>
            <w:snapToGrid w:val="0"/>
            <w:sz w:val="28"/>
            <w:szCs w:val="21"/>
            <w:lang w:eastAsia="en-US"/>
          </w:rPr>
          <w:t>.1</w:t>
        </w:r>
        <w:r>
          <w:rPr>
            <w:rFonts w:cs="Times New Roman" w:hint="eastAsia"/>
            <w:b/>
            <w:snapToGrid w:val="0"/>
            <w:sz w:val="28"/>
            <w:szCs w:val="21"/>
            <w:lang w:eastAsia="en-US"/>
          </w:rPr>
          <w:t>施工期</w:t>
        </w:r>
        <w:r>
          <w:rPr>
            <w:rFonts w:cs="Times New Roman" w:hint="eastAsia"/>
            <w:b/>
            <w:snapToGrid w:val="0"/>
            <w:sz w:val="28"/>
            <w:szCs w:val="21"/>
          </w:rPr>
          <w:t>声环境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本工程施工期噪声源主要是各类施工机械和运输车辆。为最大限度避免和减轻施工及运输噪声对周围声环境的不利影响，本评价对施工期噪声控制提出以下要求和建议：</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）施工单位可合理安排施工时间，避免长时间使用高噪声设备，使</w:t>
      </w:r>
      <w:r>
        <w:rPr>
          <w:rFonts w:cs="Times New Roman" w:hint="eastAsia"/>
          <w:spacing w:val="4"/>
          <w:kern w:val="24"/>
        </w:rPr>
        <w:t>本工程</w:t>
      </w:r>
      <w:r>
        <w:rPr>
          <w:rFonts w:cs="Times New Roman"/>
          <w:spacing w:val="4"/>
          <w:kern w:val="24"/>
        </w:rPr>
        <w:t>在施工期造成的噪声污染降到最低。</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2</w:t>
      </w:r>
      <w:r>
        <w:rPr>
          <w:rFonts w:cs="Times New Roman"/>
          <w:spacing w:val="4"/>
          <w:kern w:val="24"/>
        </w:rPr>
        <w:t>）施工设备选型时，在满足施工需要的前提下，尽可能选取噪声低、振动小、能耗小的先进设备。</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3</w:t>
      </w:r>
      <w:r>
        <w:rPr>
          <w:rFonts w:cs="Times New Roman"/>
          <w:spacing w:val="4"/>
          <w:kern w:val="24"/>
        </w:rPr>
        <w:t>）加强施工机械的维护保养，避免由于设备性能差而使机械噪声增大的现象发生。</w:t>
      </w:r>
    </w:p>
    <w:p w:rsidR="00C645C9" w:rsidRDefault="00F955D9">
      <w:pPr>
        <w:adjustRightInd w:val="0"/>
        <w:snapToGrid w:val="0"/>
        <w:spacing w:line="360" w:lineRule="auto"/>
        <w:ind w:firstLineChars="200" w:firstLine="496"/>
        <w:rPr>
          <w:rFonts w:cs="Times New Roman"/>
          <w:spacing w:val="4"/>
          <w:kern w:val="24"/>
        </w:rPr>
      </w:pPr>
      <w:r>
        <w:rPr>
          <w:rFonts w:cs="Times New Roman" w:hint="eastAsia"/>
          <w:spacing w:val="4"/>
          <w:kern w:val="24"/>
        </w:rPr>
        <w:t>（</w:t>
      </w:r>
      <w:r>
        <w:rPr>
          <w:rFonts w:cs="Times New Roman"/>
          <w:spacing w:val="4"/>
          <w:kern w:val="24"/>
        </w:rPr>
        <w:t>4</w:t>
      </w:r>
      <w:r>
        <w:rPr>
          <w:rFonts w:cs="Times New Roman" w:hint="eastAsia"/>
          <w:spacing w:val="4"/>
          <w:kern w:val="24"/>
        </w:rPr>
        <w:t>）运输车辆进出工地时应低速行驶，少鸣笛或不鸣笛。</w:t>
      </w:r>
      <w:r>
        <w:rPr>
          <w:rFonts w:cs="Times New Roman" w:hint="eastAsia"/>
          <w:spacing w:val="4"/>
          <w:kern w:val="24"/>
        </w:rPr>
        <w:t xml:space="preserve"> </w:t>
      </w:r>
    </w:p>
    <w:p w:rsidR="00C645C9" w:rsidRDefault="00F955D9">
      <w:pPr>
        <w:adjustRightInd w:val="0"/>
        <w:snapToGrid w:val="0"/>
        <w:spacing w:line="360" w:lineRule="auto"/>
        <w:ind w:firstLineChars="200" w:firstLine="496"/>
        <w:rPr>
          <w:rFonts w:cs="Times New Roman"/>
          <w:spacing w:val="4"/>
          <w:kern w:val="24"/>
          <w:lang w:eastAsia="en-US"/>
        </w:rPr>
      </w:pPr>
      <w:r>
        <w:rPr>
          <w:rFonts w:cs="Times New Roman" w:hint="eastAsia"/>
          <w:spacing w:val="4"/>
          <w:kern w:val="24"/>
        </w:rPr>
        <w:t>综上，本工程施工期采取的噪声防治措施可行。</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23239" w:history="1">
        <w:r>
          <w:rPr>
            <w:rFonts w:cs="Times New Roman" w:hint="eastAsia"/>
            <w:b/>
            <w:snapToGrid w:val="0"/>
            <w:sz w:val="28"/>
            <w:szCs w:val="21"/>
            <w:lang w:eastAsia="en-US"/>
          </w:rPr>
          <w:t>6.</w:t>
        </w:r>
        <w:r>
          <w:rPr>
            <w:rFonts w:cs="Times New Roman" w:hint="eastAsia"/>
            <w:b/>
            <w:snapToGrid w:val="0"/>
            <w:sz w:val="28"/>
            <w:szCs w:val="21"/>
          </w:rPr>
          <w:t>6</w:t>
        </w:r>
        <w:r>
          <w:rPr>
            <w:rFonts w:cs="Times New Roman" w:hint="eastAsia"/>
            <w:b/>
            <w:snapToGrid w:val="0"/>
            <w:sz w:val="28"/>
            <w:szCs w:val="21"/>
            <w:lang w:eastAsia="en-US"/>
          </w:rPr>
          <w:t>.2</w:t>
        </w:r>
        <w:r>
          <w:rPr>
            <w:rFonts w:cs="Times New Roman" w:hint="eastAsia"/>
            <w:b/>
            <w:snapToGrid w:val="0"/>
            <w:sz w:val="28"/>
            <w:szCs w:val="21"/>
            <w:lang w:eastAsia="en-US"/>
          </w:rPr>
          <w:t>运营期</w:t>
        </w:r>
        <w:r>
          <w:rPr>
            <w:rFonts w:cs="Times New Roman" w:hint="eastAsia"/>
            <w:b/>
            <w:snapToGrid w:val="0"/>
            <w:sz w:val="28"/>
            <w:szCs w:val="21"/>
          </w:rPr>
          <w:t>声环境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lastRenderedPageBreak/>
        <w:t>（</w:t>
      </w:r>
      <w:r>
        <w:rPr>
          <w:rFonts w:cs="Times New Roman"/>
          <w:spacing w:val="4"/>
          <w:kern w:val="24"/>
        </w:rPr>
        <w:t>1</w:t>
      </w:r>
      <w:r>
        <w:rPr>
          <w:rFonts w:cs="Times New Roman"/>
          <w:spacing w:val="4"/>
          <w:kern w:val="24"/>
        </w:rPr>
        <w:t>）对声源强度较大的设备进行减噪处理，根据各种设备类型所产生噪声的特性，采用不同的控制手段。</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2</w:t>
      </w:r>
      <w:r>
        <w:rPr>
          <w:rFonts w:cs="Times New Roman"/>
          <w:spacing w:val="4"/>
          <w:kern w:val="24"/>
        </w:rPr>
        <w:t>）提高工艺过程自动化水平，尽量减少操作人员在噪声源的停留时间。设备采用巡检的方式，由操作人员定期对装置区进行检查，尽量减少人员与噪声的接触时间。</w:t>
      </w:r>
    </w:p>
    <w:p w:rsidR="00C645C9" w:rsidRDefault="00F955D9">
      <w:pPr>
        <w:adjustRightInd w:val="0"/>
        <w:snapToGrid w:val="0"/>
        <w:spacing w:line="360" w:lineRule="auto"/>
        <w:ind w:firstLineChars="200" w:firstLine="496"/>
        <w:rPr>
          <w:rFonts w:cs="Times New Roman"/>
          <w:spacing w:val="4"/>
          <w:kern w:val="24"/>
          <w:lang w:eastAsia="en-US"/>
        </w:rPr>
      </w:pPr>
      <w:r>
        <w:rPr>
          <w:rFonts w:cs="Times New Roman" w:hint="eastAsia"/>
          <w:spacing w:val="4"/>
          <w:kern w:val="24"/>
        </w:rPr>
        <w:t>本工程</w:t>
      </w:r>
      <w:r>
        <w:rPr>
          <w:rFonts w:cs="Times New Roman"/>
          <w:spacing w:val="4"/>
          <w:kern w:val="24"/>
        </w:rPr>
        <w:t>采取的噪声污染防治措施可行。</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3803" w:history="1">
        <w:r>
          <w:rPr>
            <w:rFonts w:cs="Times New Roman" w:hint="eastAsia"/>
            <w:b/>
            <w:snapToGrid w:val="0"/>
            <w:sz w:val="28"/>
            <w:szCs w:val="21"/>
            <w:lang w:eastAsia="en-US"/>
          </w:rPr>
          <w:t>6.</w:t>
        </w:r>
        <w:r>
          <w:rPr>
            <w:rFonts w:cs="Times New Roman" w:hint="eastAsia"/>
            <w:b/>
            <w:snapToGrid w:val="0"/>
            <w:sz w:val="28"/>
            <w:szCs w:val="21"/>
          </w:rPr>
          <w:t>6</w:t>
        </w:r>
        <w:r>
          <w:rPr>
            <w:rFonts w:cs="Times New Roman" w:hint="eastAsia"/>
            <w:b/>
            <w:snapToGrid w:val="0"/>
            <w:sz w:val="28"/>
            <w:szCs w:val="21"/>
            <w:lang w:eastAsia="en-US"/>
          </w:rPr>
          <w:t>.3</w:t>
        </w:r>
        <w:r>
          <w:rPr>
            <w:rFonts w:cs="Times New Roman" w:hint="eastAsia"/>
            <w:b/>
            <w:snapToGrid w:val="0"/>
            <w:sz w:val="28"/>
            <w:szCs w:val="21"/>
            <w:lang w:eastAsia="en-US"/>
          </w:rPr>
          <w:t>退役期</w:t>
        </w:r>
        <w:r>
          <w:rPr>
            <w:rFonts w:cs="Times New Roman" w:hint="eastAsia"/>
            <w:b/>
            <w:snapToGrid w:val="0"/>
            <w:sz w:val="28"/>
            <w:szCs w:val="21"/>
          </w:rPr>
          <w:t>声环境</w:t>
        </w:r>
        <w:r>
          <w:rPr>
            <w:rFonts w:cs="Times New Roman" w:hint="eastAsia"/>
            <w:b/>
            <w:snapToGrid w:val="0"/>
            <w:sz w:val="28"/>
            <w:szCs w:val="21"/>
            <w:lang w:eastAsia="en-US"/>
          </w:rPr>
          <w:t>保护措施</w:t>
        </w:r>
      </w:hyperlink>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1</w:t>
      </w:r>
      <w:r>
        <w:rPr>
          <w:rFonts w:cs="Times New Roman"/>
          <w:spacing w:val="4"/>
          <w:kern w:val="24"/>
        </w:rPr>
        <w:t>）选用低噪声机械和车辆。</w:t>
      </w:r>
      <w:r>
        <w:rPr>
          <w:rFonts w:cs="Times New Roman"/>
          <w:spacing w:val="4"/>
          <w:kern w:val="24"/>
        </w:rPr>
        <w:t xml:space="preserve"> </w:t>
      </w:r>
    </w:p>
    <w:p w:rsidR="00C645C9" w:rsidRDefault="00F955D9">
      <w:pPr>
        <w:adjustRightInd w:val="0"/>
        <w:snapToGrid w:val="0"/>
        <w:spacing w:line="360" w:lineRule="auto"/>
        <w:ind w:firstLineChars="200" w:firstLine="496"/>
        <w:rPr>
          <w:rFonts w:cs="Times New Roman"/>
          <w:spacing w:val="4"/>
          <w:kern w:val="24"/>
        </w:rPr>
      </w:pPr>
      <w:r>
        <w:rPr>
          <w:rFonts w:cs="Times New Roman"/>
          <w:spacing w:val="4"/>
          <w:kern w:val="24"/>
        </w:rPr>
        <w:t>（</w:t>
      </w:r>
      <w:r>
        <w:rPr>
          <w:rFonts w:cs="Times New Roman"/>
          <w:spacing w:val="4"/>
          <w:kern w:val="24"/>
        </w:rPr>
        <w:t>2</w:t>
      </w:r>
      <w:r>
        <w:rPr>
          <w:rFonts w:cs="Times New Roman"/>
          <w:spacing w:val="4"/>
          <w:kern w:val="24"/>
        </w:rPr>
        <w:t>）加强设备检查维修，保证其正常运行。</w:t>
      </w:r>
      <w:r>
        <w:rPr>
          <w:rFonts w:cs="Times New Roman"/>
          <w:spacing w:val="4"/>
          <w:kern w:val="24"/>
        </w:rPr>
        <w:t xml:space="preserve"> </w:t>
      </w:r>
    </w:p>
    <w:p w:rsidR="00C645C9" w:rsidRDefault="00F955D9">
      <w:pPr>
        <w:adjustRightInd w:val="0"/>
        <w:snapToGrid w:val="0"/>
        <w:spacing w:line="360" w:lineRule="auto"/>
        <w:ind w:firstLineChars="200" w:firstLine="496"/>
      </w:pPr>
      <w:r>
        <w:rPr>
          <w:rFonts w:cs="Times New Roman"/>
          <w:spacing w:val="4"/>
          <w:kern w:val="24"/>
        </w:rPr>
        <w:t>（</w:t>
      </w:r>
      <w:r>
        <w:rPr>
          <w:rFonts w:cs="Times New Roman"/>
          <w:spacing w:val="4"/>
          <w:kern w:val="24"/>
        </w:rPr>
        <w:t>3</w:t>
      </w:r>
      <w:r>
        <w:rPr>
          <w:rFonts w:cs="Times New Roman"/>
          <w:spacing w:val="4"/>
          <w:kern w:val="24"/>
        </w:rPr>
        <w:t>）加强运输车辆管理，合理规划运输路线，禁止运输车辆随意高声鸣笛。</w:t>
      </w:r>
    </w:p>
    <w:bookmarkStart w:id="1822" w:name="_Toc25056"/>
    <w:bookmarkStart w:id="1823" w:name="OLE_LINK969"/>
    <w:p w:rsidR="00C645C9" w:rsidRDefault="00F955D9">
      <w:pPr>
        <w:widowControl w:val="0"/>
        <w:tabs>
          <w:tab w:val="left" w:pos="5695"/>
        </w:tabs>
        <w:adjustRightInd w:val="0"/>
        <w:snapToGrid w:val="0"/>
        <w:spacing w:line="360" w:lineRule="auto"/>
        <w:outlineLvl w:val="1"/>
        <w:rPr>
          <w:rFonts w:cs="Times New Roman"/>
          <w:b/>
          <w:snapToGrid w:val="0"/>
          <w:sz w:val="28"/>
          <w:szCs w:val="21"/>
        </w:rPr>
      </w:pPr>
      <w:r>
        <w:rPr>
          <w:rFonts w:cs="Times New Roman"/>
          <w:b/>
          <w:snapToGrid w:val="0"/>
          <w:sz w:val="28"/>
          <w:szCs w:val="21"/>
        </w:rPr>
        <w:fldChar w:fldCharType="begin"/>
      </w:r>
      <w:r>
        <w:rPr>
          <w:rFonts w:cs="Times New Roman"/>
          <w:b/>
          <w:snapToGrid w:val="0"/>
          <w:sz w:val="28"/>
          <w:szCs w:val="21"/>
        </w:rPr>
        <w:instrText xml:space="preserve"> HYPERLINK \l _Toc24103 </w:instrText>
      </w:r>
      <w:r>
        <w:rPr>
          <w:rFonts w:cs="Times New Roman"/>
          <w:b/>
          <w:snapToGrid w:val="0"/>
          <w:sz w:val="28"/>
          <w:szCs w:val="21"/>
        </w:rPr>
        <w:fldChar w:fldCharType="separate"/>
      </w:r>
      <w:r>
        <w:rPr>
          <w:rFonts w:cs="Times New Roman" w:hint="eastAsia"/>
          <w:b/>
          <w:snapToGrid w:val="0"/>
          <w:sz w:val="28"/>
          <w:szCs w:val="21"/>
        </w:rPr>
        <w:t>6.7</w:t>
      </w:r>
      <w:bookmarkStart w:id="1824" w:name="OLE_LINK679"/>
      <w:r>
        <w:rPr>
          <w:rFonts w:cs="Times New Roman" w:hint="eastAsia"/>
          <w:b/>
          <w:snapToGrid w:val="0"/>
          <w:sz w:val="28"/>
          <w:szCs w:val="21"/>
        </w:rPr>
        <w:t>固体废物</w:t>
      </w:r>
      <w:bookmarkEnd w:id="1824"/>
      <w:r>
        <w:rPr>
          <w:rFonts w:cs="Times New Roman" w:hint="eastAsia"/>
          <w:b/>
          <w:snapToGrid w:val="0"/>
          <w:sz w:val="28"/>
          <w:szCs w:val="21"/>
        </w:rPr>
        <w:t>处理措施可行性论证</w:t>
      </w:r>
      <w:r>
        <w:rPr>
          <w:rFonts w:cs="Times New Roman"/>
          <w:b/>
          <w:snapToGrid w:val="0"/>
          <w:sz w:val="28"/>
          <w:szCs w:val="21"/>
        </w:rPr>
        <w:fldChar w:fldCharType="end"/>
      </w:r>
      <w:bookmarkEnd w:id="1822"/>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22106" w:history="1">
        <w:r>
          <w:rPr>
            <w:rFonts w:cs="Times New Roman" w:hint="eastAsia"/>
            <w:b/>
            <w:snapToGrid w:val="0"/>
            <w:sz w:val="28"/>
            <w:szCs w:val="21"/>
            <w:lang w:eastAsia="en-US"/>
          </w:rPr>
          <w:t>6.</w:t>
        </w:r>
        <w:r>
          <w:rPr>
            <w:rFonts w:cs="Times New Roman" w:hint="eastAsia"/>
            <w:b/>
            <w:snapToGrid w:val="0"/>
            <w:sz w:val="28"/>
            <w:szCs w:val="21"/>
          </w:rPr>
          <w:t>7</w:t>
        </w:r>
        <w:r>
          <w:rPr>
            <w:rFonts w:cs="Times New Roman" w:hint="eastAsia"/>
            <w:b/>
            <w:snapToGrid w:val="0"/>
            <w:sz w:val="28"/>
            <w:szCs w:val="21"/>
            <w:lang w:eastAsia="en-US"/>
          </w:rPr>
          <w:t>.1</w:t>
        </w:r>
        <w:r>
          <w:rPr>
            <w:rFonts w:cs="Times New Roman" w:hint="eastAsia"/>
            <w:b/>
            <w:snapToGrid w:val="0"/>
            <w:sz w:val="28"/>
            <w:szCs w:val="21"/>
            <w:lang w:eastAsia="en-US"/>
          </w:rPr>
          <w:t>施工期固体废物</w:t>
        </w:r>
        <w:r>
          <w:rPr>
            <w:rFonts w:cs="Times New Roman" w:hint="eastAsia"/>
            <w:b/>
            <w:snapToGrid w:val="0"/>
            <w:sz w:val="28"/>
            <w:szCs w:val="21"/>
          </w:rPr>
          <w:t>污染防治措施</w:t>
        </w:r>
      </w:hyperlink>
    </w:p>
    <w:p w:rsidR="00C645C9" w:rsidRDefault="00F955D9">
      <w:pPr>
        <w:adjustRightInd w:val="0"/>
        <w:snapToGrid w:val="0"/>
        <w:spacing w:line="360" w:lineRule="auto"/>
        <w:ind w:firstLineChars="200" w:firstLine="480"/>
        <w:jc w:val="both"/>
        <w:rPr>
          <w:rFonts w:cs="Times New Roman"/>
          <w:kern w:val="2"/>
          <w:szCs w:val="32"/>
        </w:rPr>
      </w:pPr>
      <w:r>
        <w:rPr>
          <w:rFonts w:cs="Times New Roman"/>
          <w:kern w:val="2"/>
          <w:szCs w:val="32"/>
        </w:rPr>
        <w:t>本工程施工期产生的固体废物主要</w:t>
      </w:r>
      <w:r>
        <w:rPr>
          <w:rFonts w:cs="Times New Roman" w:hint="eastAsia"/>
          <w:kern w:val="2"/>
          <w:szCs w:val="32"/>
        </w:rPr>
        <w:t>包括</w:t>
      </w:r>
      <w:r>
        <w:rPr>
          <w:rFonts w:cs="Times New Roman"/>
          <w:kern w:val="2"/>
          <w:szCs w:val="32"/>
        </w:rPr>
        <w:t>钻井泥浆</w:t>
      </w:r>
      <w:r>
        <w:rPr>
          <w:rFonts w:cs="Times New Roman" w:hint="eastAsia"/>
          <w:kern w:val="2"/>
          <w:szCs w:val="32"/>
        </w:rPr>
        <w:t>、钻井岩屑、落地油、废润滑油、</w:t>
      </w:r>
      <w:r>
        <w:rPr>
          <w:rFonts w:cs="Times New Roman"/>
          <w:kern w:val="2"/>
          <w:szCs w:val="32"/>
        </w:rPr>
        <w:t>生活垃圾</w:t>
      </w:r>
      <w:r>
        <w:rPr>
          <w:rFonts w:cs="Times New Roman"/>
          <w:kern w:val="2"/>
          <w:szCs w:val="32"/>
        </w:rPr>
        <w:t>、施工废料</w:t>
      </w:r>
      <w:r>
        <w:rPr>
          <w:rFonts w:cs="Times New Roman"/>
          <w:kern w:val="2"/>
          <w:szCs w:val="32"/>
        </w:rPr>
        <w:t>和</w:t>
      </w:r>
      <w:bookmarkStart w:id="1825" w:name="OLE_LINK706"/>
      <w:r>
        <w:rPr>
          <w:rFonts w:cs="Times New Roman"/>
          <w:kern w:val="2"/>
          <w:szCs w:val="32"/>
        </w:rPr>
        <w:t>土石方</w:t>
      </w:r>
      <w:bookmarkEnd w:id="1825"/>
      <w:r>
        <w:rPr>
          <w:rFonts w:cs="Times New Roman"/>
          <w:kern w:val="2"/>
          <w:szCs w:val="32"/>
        </w:rPr>
        <w:t>。</w:t>
      </w:r>
    </w:p>
    <w:p w:rsidR="00C645C9" w:rsidRDefault="00F955D9">
      <w:pPr>
        <w:pStyle w:val="af0"/>
        <w:widowControl w:val="0"/>
        <w:adjustRightInd w:val="0"/>
        <w:snapToGrid w:val="0"/>
        <w:spacing w:line="360" w:lineRule="auto"/>
        <w:ind w:firstLineChars="200" w:firstLine="480"/>
        <w:jc w:val="both"/>
        <w:rPr>
          <w:rFonts w:cs="Times New Roman"/>
        </w:rPr>
      </w:pPr>
      <w:r>
        <w:rPr>
          <w:rFonts w:cs="Times New Roman" w:hint="eastAsia"/>
        </w:rPr>
        <w:t>（</w:t>
      </w:r>
      <w:r>
        <w:rPr>
          <w:rFonts w:cs="Times New Roman" w:hint="eastAsia"/>
        </w:rPr>
        <w:t>1</w:t>
      </w:r>
      <w:r>
        <w:rPr>
          <w:rFonts w:cs="Times New Roman" w:hint="eastAsia"/>
        </w:rPr>
        <w:t>）</w:t>
      </w:r>
      <w:r>
        <w:rPr>
          <w:rFonts w:cs="Times New Roman"/>
        </w:rPr>
        <w:t>本工程</w:t>
      </w:r>
      <w:r>
        <w:rPr>
          <w:rFonts w:cs="Times New Roman"/>
          <w:spacing w:val="5"/>
          <w:kern w:val="2"/>
        </w:rPr>
        <w:t>钻井泥浆</w:t>
      </w:r>
      <w:r>
        <w:rPr>
          <w:rFonts w:cs="Times New Roman"/>
        </w:rPr>
        <w:t>在井口采用</w:t>
      </w:r>
      <w:r>
        <w:rPr>
          <w:rFonts w:cs="Times New Roman"/>
        </w:rPr>
        <w:t>“</w:t>
      </w:r>
      <w:r>
        <w:rPr>
          <w:rFonts w:cs="Times New Roman"/>
        </w:rPr>
        <w:t>振动筛</w:t>
      </w:r>
      <w:r>
        <w:rPr>
          <w:rFonts w:cs="Times New Roman"/>
        </w:rPr>
        <w:t>+</w:t>
      </w:r>
      <w:r>
        <w:rPr>
          <w:rFonts w:cs="Times New Roman"/>
        </w:rPr>
        <w:t>除砂器</w:t>
      </w:r>
      <w:r>
        <w:rPr>
          <w:rFonts w:cs="Times New Roman"/>
        </w:rPr>
        <w:t>+</w:t>
      </w:r>
      <w:r>
        <w:rPr>
          <w:rFonts w:cs="Times New Roman"/>
        </w:rPr>
        <w:t>处理器</w:t>
      </w:r>
      <w:r>
        <w:rPr>
          <w:rFonts w:cs="Times New Roman"/>
        </w:rPr>
        <w:t>+</w:t>
      </w:r>
      <w:r>
        <w:rPr>
          <w:rFonts w:cs="Times New Roman"/>
        </w:rPr>
        <w:t>离心分离机</w:t>
      </w:r>
      <w:r>
        <w:rPr>
          <w:rFonts w:cs="Times New Roman"/>
        </w:rPr>
        <w:t>”</w:t>
      </w:r>
      <w:r>
        <w:rPr>
          <w:rFonts w:cs="Times New Roman"/>
        </w:rPr>
        <w:t>分离岩屑后，进入泥浆罐循环使用。工程泥浆使用过程中根据地层情况循环使用，泥浆钻井结束后回收。</w:t>
      </w:r>
    </w:p>
    <w:p w:rsidR="00C645C9" w:rsidRDefault="00F955D9">
      <w:pPr>
        <w:pStyle w:val="a5"/>
        <w:snapToGrid w:val="0"/>
        <w:ind w:firstLineChars="200" w:firstLine="500"/>
        <w:jc w:val="both"/>
        <w:rPr>
          <w:rFonts w:ascii="Times New Roman" w:hAnsi="Times New Roman" w:cs="Times New Roman"/>
        </w:rPr>
      </w:pPr>
      <w:r>
        <w:rPr>
          <w:rFonts w:ascii="Times New Roman" w:hAnsi="Times New Roman" w:cs="Times New Roman" w:hint="eastAsia"/>
          <w:sz w:val="25"/>
          <w:szCs w:val="25"/>
        </w:rPr>
        <w:t>（</w:t>
      </w:r>
      <w:r>
        <w:rPr>
          <w:rFonts w:ascii="Times New Roman" w:hAnsi="Times New Roman" w:cs="Times New Roman" w:hint="eastAsia"/>
          <w:sz w:val="25"/>
          <w:szCs w:val="25"/>
        </w:rPr>
        <w:t>2</w:t>
      </w:r>
      <w:r>
        <w:rPr>
          <w:rFonts w:ascii="Times New Roman" w:hAnsi="Times New Roman" w:cs="Times New Roman" w:hint="eastAsia"/>
          <w:sz w:val="25"/>
          <w:szCs w:val="25"/>
        </w:rPr>
        <w:t>）</w:t>
      </w:r>
      <w:r>
        <w:rPr>
          <w:rFonts w:ascii="Times New Roman" w:hAnsi="Times New Roman" w:cs="Times New Roman"/>
        </w:rPr>
        <w:t>本工程</w:t>
      </w:r>
      <w:r>
        <w:rPr>
          <w:rFonts w:ascii="Times New Roman" w:hAnsi="Times New Roman" w:cs="Times New Roman"/>
        </w:rPr>
        <w:t>钻井期内产生的</w:t>
      </w:r>
      <w:r>
        <w:rPr>
          <w:rFonts w:ascii="Times New Roman" w:hAnsi="Times New Roman" w:cs="Times New Roman"/>
          <w:kern w:val="2"/>
        </w:rPr>
        <w:t>钻井岩屑</w:t>
      </w:r>
      <w:r>
        <w:rPr>
          <w:rFonts w:ascii="Times New Roman" w:hAnsi="Times New Roman" w:cs="Times New Roman" w:hint="eastAsia"/>
        </w:rPr>
        <w:t>，</w:t>
      </w:r>
      <w:r>
        <w:rPr>
          <w:rFonts w:ascii="Times New Roman" w:hAnsi="Times New Roman" w:cs="Times New Roman"/>
        </w:rPr>
        <w:t>根据目前西北油田分公司钻井工程的要求，钻井采用泥浆不落地系统，</w:t>
      </w:r>
      <w:r>
        <w:rPr>
          <w:rFonts w:ascii="Times New Roman" w:hAnsi="Times New Roman" w:cs="Times New Roman"/>
        </w:rPr>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ascii="Times New Roman" w:hAnsi="Times New Roman" w:cs="Times New Roman"/>
        </w:rPr>
        <w:t xml:space="preserve">DB65/T </w:t>
      </w:r>
      <w:r>
        <w:rPr>
          <w:rFonts w:ascii="Times New Roman" w:hAnsi="Times New Roman" w:cs="Times New Roman"/>
        </w:rPr>
        <w:t>3997-2017</w:t>
      </w:r>
      <w:r>
        <w:rPr>
          <w:rFonts w:ascii="Times New Roman" w:hAnsi="Times New Roman" w:cs="Times New Roman"/>
        </w:rPr>
        <w:t>）中综合利用污染物限值要求，同时石油烃满足《土壤环境质量</w:t>
      </w:r>
      <w:r>
        <w:rPr>
          <w:rFonts w:ascii="Times New Roman" w:hAnsi="Times New Roman" w:cs="Times New Roman"/>
        </w:rPr>
        <w:t xml:space="preserve"> </w:t>
      </w:r>
      <w:r>
        <w:rPr>
          <w:rFonts w:ascii="Times New Roman" w:hAnsi="Times New Roman" w:cs="Times New Roman"/>
        </w:rPr>
        <w:t>建设用地土壤污染风险管控标准（试行）》（</w:t>
      </w:r>
      <w:r>
        <w:rPr>
          <w:rFonts w:ascii="Times New Roman" w:hAnsi="Times New Roman" w:cs="Times New Roman"/>
        </w:rPr>
        <w:t>GB36600-2018</w:t>
      </w:r>
      <w:r>
        <w:rPr>
          <w:rFonts w:ascii="Times New Roman" w:hAnsi="Times New Roman" w:cs="Times New Roman"/>
        </w:rPr>
        <w:t>）中表</w:t>
      </w:r>
      <w:r>
        <w:rPr>
          <w:rFonts w:ascii="Times New Roman" w:hAnsi="Times New Roman" w:cs="Times New Roman"/>
        </w:rPr>
        <w:t>2</w:t>
      </w:r>
      <w:r>
        <w:rPr>
          <w:rFonts w:ascii="Times New Roman" w:hAnsi="Times New Roman" w:cs="Times New Roman"/>
        </w:rPr>
        <w:t>第二类用地风险筛选值后，可用于铺垫油区内的井场等；磺化水基泥浆在现场进行固液分离，分离后的液体用于钻井液配备，固相拉运至塔河油田绿色环保工作站的含油污泥处理系统处置。油基泥浆采用油基泥浆不落地系统在井场进行固液分离，液相回用于钻井，固相使用专用罐收集后，拉运至塔河油田绿色环保工作站的含油污泥处理系统处置</w:t>
      </w:r>
      <w:r>
        <w:rPr>
          <w:rFonts w:ascii="Times New Roman" w:hAnsi="Times New Roman" w:cs="Times New Roman"/>
        </w:rPr>
        <w:t>。</w:t>
      </w:r>
    </w:p>
    <w:p w:rsidR="00C645C9" w:rsidRDefault="00F955D9">
      <w:pPr>
        <w:pStyle w:val="affff4"/>
        <w:adjustRightInd w:val="0"/>
        <w:ind w:firstLine="480"/>
        <w:rPr>
          <w:rFonts w:cs="Times New Roman"/>
          <w:sz w:val="24"/>
          <w:szCs w:val="24"/>
        </w:rPr>
      </w:pPr>
      <w:r>
        <w:rPr>
          <w:rFonts w:hint="eastAsia"/>
          <w:kern w:val="2"/>
          <w:sz w:val="24"/>
          <w:szCs w:val="24"/>
        </w:rPr>
        <w:lastRenderedPageBreak/>
        <w:t>（</w:t>
      </w:r>
      <w:r>
        <w:rPr>
          <w:rFonts w:hint="eastAsia"/>
          <w:kern w:val="2"/>
          <w:sz w:val="24"/>
          <w:szCs w:val="24"/>
        </w:rPr>
        <w:t>3</w:t>
      </w:r>
      <w:r>
        <w:rPr>
          <w:rFonts w:hint="eastAsia"/>
          <w:kern w:val="2"/>
          <w:sz w:val="24"/>
          <w:szCs w:val="24"/>
        </w:rPr>
        <w:t>）</w:t>
      </w:r>
      <w:bookmarkStart w:id="1826" w:name="OLE_LINK905"/>
      <w:r>
        <w:rPr>
          <w:rFonts w:hint="eastAsia"/>
          <w:kern w:val="2"/>
          <w:sz w:val="24"/>
          <w:szCs w:val="24"/>
        </w:rPr>
        <w:t>本工程产生的</w:t>
      </w:r>
      <w:bookmarkEnd w:id="1826"/>
      <w:r>
        <w:rPr>
          <w:rFonts w:cs="Times New Roman"/>
          <w:sz w:val="24"/>
          <w:szCs w:val="24"/>
        </w:rPr>
        <w:t>落地油不在施工站场储存，直接在作业施工</w:t>
      </w:r>
      <w:r>
        <w:rPr>
          <w:rFonts w:cs="Times New Roman"/>
          <w:sz w:val="24"/>
          <w:szCs w:val="24"/>
        </w:rPr>
        <w:t>现场由施工人员回收至罐车内，罐车采用密闭的专用罐车，统一由塔河油田绿色环保</w:t>
      </w:r>
      <w:r>
        <w:rPr>
          <w:rFonts w:cs="Times New Roman" w:hint="eastAsia"/>
          <w:sz w:val="24"/>
          <w:szCs w:val="24"/>
        </w:rPr>
        <w:t>工作</w:t>
      </w:r>
      <w:r>
        <w:rPr>
          <w:rFonts w:cs="Times New Roman"/>
          <w:sz w:val="24"/>
          <w:szCs w:val="24"/>
        </w:rPr>
        <w:t>站进行无害化处理。</w:t>
      </w:r>
    </w:p>
    <w:p w:rsidR="00C645C9" w:rsidRDefault="00F955D9">
      <w:pPr>
        <w:pStyle w:val="a5"/>
        <w:snapToGrid w:val="0"/>
        <w:ind w:firstLineChars="200"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）本工程产生的</w:t>
      </w:r>
      <w:r>
        <w:rPr>
          <w:rFonts w:ascii="Times New Roman" w:hAnsi="Times New Roman" w:cs="Times New Roman" w:hint="eastAsia"/>
        </w:rPr>
        <w:t>废润滑油</w:t>
      </w:r>
      <w:r>
        <w:rPr>
          <w:rFonts w:ascii="Times New Roman" w:hAnsi="Times New Roman" w:cs="Times New Roman"/>
        </w:rPr>
        <w:t>，</w:t>
      </w:r>
      <w:r>
        <w:rPr>
          <w:rFonts w:ascii="Times New Roman" w:hAnsi="Times New Roman" w:cs="Times New Roman" w:hint="eastAsia"/>
        </w:rPr>
        <w:t>收集后委托持有危险废物经营许可证的单位利用处置</w:t>
      </w:r>
      <w:r>
        <w:rPr>
          <w:rFonts w:ascii="Times New Roman" w:hAnsi="Times New Roman" w:cs="Times New Roman"/>
        </w:rPr>
        <w:t>。</w:t>
      </w:r>
    </w:p>
    <w:p w:rsidR="00C645C9" w:rsidRDefault="00F955D9">
      <w:pPr>
        <w:pStyle w:val="aff"/>
        <w:adjustRightInd w:val="0"/>
        <w:snapToGrid w:val="0"/>
        <w:ind w:firstLineChars="200" w:firstLine="480"/>
        <w:rPr>
          <w:rFonts w:cs="Times New Roman"/>
          <w:color w:val="auto"/>
        </w:rPr>
      </w:pPr>
      <w:r>
        <w:rPr>
          <w:rFonts w:cs="Times New Roman" w:hint="eastAsia"/>
          <w:color w:val="auto"/>
        </w:rPr>
        <w:t>（</w:t>
      </w:r>
      <w:r>
        <w:rPr>
          <w:rFonts w:cs="Times New Roman" w:hint="eastAsia"/>
          <w:color w:val="auto"/>
        </w:rPr>
        <w:t>5</w:t>
      </w:r>
      <w:r>
        <w:rPr>
          <w:rFonts w:cs="Times New Roman" w:hint="eastAsia"/>
          <w:color w:val="auto"/>
        </w:rPr>
        <w:t>）</w:t>
      </w:r>
      <w:r>
        <w:rPr>
          <w:rFonts w:cs="Times New Roman"/>
          <w:color w:val="auto"/>
        </w:rPr>
        <w:t>本工程施工期</w:t>
      </w:r>
      <w:r>
        <w:rPr>
          <w:rFonts w:cs="Times New Roman" w:hint="eastAsia"/>
          <w:color w:val="auto"/>
        </w:rPr>
        <w:t>产生的</w:t>
      </w:r>
      <w:r>
        <w:rPr>
          <w:rFonts w:cs="Times New Roman"/>
          <w:color w:val="auto"/>
        </w:rPr>
        <w:t>生活垃圾集中收集后，委托库车绿能环保科技有限公司清运处置</w:t>
      </w:r>
      <w:r>
        <w:rPr>
          <w:rFonts w:cs="Times New Roman"/>
          <w:color w:val="auto"/>
        </w:rPr>
        <w:t>。</w:t>
      </w:r>
    </w:p>
    <w:p w:rsidR="00C645C9" w:rsidRDefault="00F955D9">
      <w:pPr>
        <w:widowControl w:val="0"/>
        <w:adjustRightInd w:val="0"/>
        <w:snapToGrid w:val="0"/>
        <w:spacing w:line="360" w:lineRule="auto"/>
        <w:ind w:firstLineChars="200" w:firstLine="500"/>
        <w:rPr>
          <w:rFonts w:cs="Times New Roman"/>
        </w:rPr>
      </w:pPr>
      <w:r>
        <w:rPr>
          <w:rFonts w:cs="Times New Roman" w:hint="eastAsia"/>
          <w:sz w:val="25"/>
          <w:szCs w:val="25"/>
        </w:rPr>
        <w:t>（</w:t>
      </w:r>
      <w:r>
        <w:rPr>
          <w:rFonts w:cs="Times New Roman" w:hint="eastAsia"/>
          <w:sz w:val="25"/>
          <w:szCs w:val="25"/>
        </w:rPr>
        <w:t>6</w:t>
      </w:r>
      <w:r>
        <w:rPr>
          <w:rFonts w:cs="Times New Roman" w:hint="eastAsia"/>
          <w:sz w:val="25"/>
          <w:szCs w:val="25"/>
        </w:rPr>
        <w:t>）</w:t>
      </w:r>
      <w:r>
        <w:rPr>
          <w:rFonts w:cs="Times New Roman" w:hint="eastAsia"/>
          <w:sz w:val="25"/>
          <w:szCs w:val="25"/>
        </w:rPr>
        <w:t>本工程产生的</w:t>
      </w:r>
      <w:r>
        <w:rPr>
          <w:rFonts w:cs="Times New Roman"/>
        </w:rPr>
        <w:t>施工废料首先考虑回收利用，不可回收利用部分由库车绿能环保科技有限公司拉运至库车经济开发区工业固废填埋场合规处置。</w:t>
      </w:r>
    </w:p>
    <w:p w:rsidR="00C645C9" w:rsidRDefault="00F955D9" w:rsidP="005718BB">
      <w:pPr>
        <w:pStyle w:val="23"/>
        <w:widowControl w:val="0"/>
        <w:adjustRightInd w:val="0"/>
        <w:snapToGrid w:val="0"/>
        <w:spacing w:after="0" w:line="360" w:lineRule="auto"/>
        <w:ind w:firstLine="500"/>
        <w:rPr>
          <w:rFonts w:ascii="Times New Roman" w:hAnsi="Times New Roman"/>
          <w:szCs w:val="24"/>
        </w:rPr>
      </w:pPr>
      <w:r>
        <w:rPr>
          <w:rFonts w:ascii="Times New Roman" w:hAnsi="Times New Roman" w:hint="eastAsia"/>
          <w:kern w:val="2"/>
          <w:sz w:val="25"/>
          <w:szCs w:val="25"/>
        </w:rPr>
        <w:t>（</w:t>
      </w:r>
      <w:r>
        <w:rPr>
          <w:rFonts w:ascii="Times New Roman" w:hAnsi="Times New Roman" w:hint="eastAsia"/>
          <w:kern w:val="2"/>
          <w:sz w:val="25"/>
          <w:szCs w:val="25"/>
        </w:rPr>
        <w:t>7</w:t>
      </w:r>
      <w:r>
        <w:rPr>
          <w:rFonts w:ascii="Times New Roman" w:hAnsi="Times New Roman" w:hint="eastAsia"/>
          <w:kern w:val="2"/>
          <w:sz w:val="25"/>
          <w:szCs w:val="25"/>
        </w:rPr>
        <w:t>）</w:t>
      </w:r>
      <w:r>
        <w:rPr>
          <w:rFonts w:ascii="Times New Roman" w:hAnsi="Times New Roman"/>
        </w:rPr>
        <w:t>本</w:t>
      </w:r>
      <w:r>
        <w:rPr>
          <w:rFonts w:ascii="Times New Roman" w:hAnsi="Times New Roman"/>
        </w:rPr>
        <w:t>工程</w:t>
      </w:r>
      <w:r>
        <w:rPr>
          <w:rFonts w:ascii="Times New Roman" w:hAnsi="Times New Roman"/>
          <w:szCs w:val="24"/>
        </w:rPr>
        <w:t>施工土石方</w:t>
      </w:r>
      <w:r>
        <w:rPr>
          <w:rFonts w:ascii="Times New Roman" w:hAnsi="Times New Roman"/>
          <w:szCs w:val="24"/>
        </w:rPr>
        <w:t>全部用于</w:t>
      </w:r>
      <w:r>
        <w:rPr>
          <w:rFonts w:ascii="Times New Roman" w:hAnsi="Times New Roman" w:hint="eastAsia"/>
          <w:szCs w:val="24"/>
        </w:rPr>
        <w:t>井</w:t>
      </w:r>
      <w:r>
        <w:rPr>
          <w:rFonts w:ascii="Times New Roman" w:hAnsi="Times New Roman"/>
          <w:szCs w:val="24"/>
        </w:rPr>
        <w:t>场回填</w:t>
      </w:r>
      <w:r>
        <w:rPr>
          <w:rFonts w:ascii="Times New Roman" w:hAnsi="Times New Roman" w:hint="eastAsia"/>
          <w:szCs w:val="24"/>
        </w:rPr>
        <w:t>，</w:t>
      </w:r>
      <w:r>
        <w:rPr>
          <w:rFonts w:ascii="Times New Roman" w:hAnsi="Times New Roman"/>
          <w:szCs w:val="24"/>
        </w:rPr>
        <w:t>场地平整</w:t>
      </w:r>
      <w:r>
        <w:rPr>
          <w:rFonts w:ascii="Times New Roman" w:hAnsi="Times New Roman" w:hint="eastAsia"/>
          <w:szCs w:val="24"/>
        </w:rPr>
        <w:t>。</w:t>
      </w:r>
    </w:p>
    <w:p w:rsidR="00C645C9" w:rsidRDefault="00F955D9">
      <w:pPr>
        <w:pStyle w:val="23"/>
        <w:widowControl w:val="0"/>
        <w:adjustRightInd w:val="0"/>
        <w:snapToGrid w:val="0"/>
        <w:spacing w:after="0" w:line="360" w:lineRule="auto"/>
        <w:ind w:firstLine="480"/>
        <w:rPr>
          <w:rFonts w:ascii="Times New Roman" w:hAnsi="Times New Roman"/>
        </w:rPr>
      </w:pPr>
      <w:r>
        <w:rPr>
          <w:rFonts w:ascii="Times New Roman" w:hAnsi="Times New Roman"/>
        </w:rPr>
        <w:t>综上，本工程施工期固体废物全部妥善处置，不外排。施工期采取的固体废物污染防治措施可行</w:t>
      </w:r>
      <w:r>
        <w:rPr>
          <w:rFonts w:ascii="Times New Roman" w:hAnsi="Times New Roman" w:hint="eastAsia"/>
        </w:rPr>
        <w:t>。</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6498" w:history="1">
        <w:r>
          <w:rPr>
            <w:rFonts w:cs="Times New Roman" w:hint="eastAsia"/>
            <w:b/>
            <w:snapToGrid w:val="0"/>
            <w:sz w:val="28"/>
            <w:szCs w:val="21"/>
            <w:lang w:eastAsia="en-US"/>
          </w:rPr>
          <w:t>6.</w:t>
        </w:r>
        <w:bookmarkStart w:id="1827" w:name="OLE_LINK680"/>
        <w:r>
          <w:rPr>
            <w:rFonts w:cs="Times New Roman" w:hint="eastAsia"/>
            <w:b/>
            <w:snapToGrid w:val="0"/>
            <w:sz w:val="28"/>
            <w:szCs w:val="21"/>
          </w:rPr>
          <w:t>7</w:t>
        </w:r>
        <w:r>
          <w:rPr>
            <w:rFonts w:cs="Times New Roman" w:hint="eastAsia"/>
            <w:b/>
            <w:snapToGrid w:val="0"/>
            <w:sz w:val="28"/>
            <w:szCs w:val="21"/>
            <w:lang w:eastAsia="en-US"/>
          </w:rPr>
          <w:t>.2</w:t>
        </w:r>
        <w:bookmarkEnd w:id="1827"/>
        <w:r>
          <w:rPr>
            <w:rFonts w:cs="Times New Roman" w:hint="eastAsia"/>
            <w:b/>
            <w:snapToGrid w:val="0"/>
            <w:sz w:val="28"/>
            <w:szCs w:val="21"/>
            <w:lang w:eastAsia="en-US"/>
          </w:rPr>
          <w:t>运营期固体废物</w:t>
        </w:r>
        <w:r>
          <w:rPr>
            <w:rFonts w:cs="Times New Roman" w:hint="eastAsia"/>
            <w:b/>
            <w:snapToGrid w:val="0"/>
            <w:sz w:val="28"/>
            <w:szCs w:val="21"/>
          </w:rPr>
          <w:t>污染防治措施</w:t>
        </w:r>
      </w:hyperlink>
    </w:p>
    <w:p w:rsidR="00C645C9" w:rsidRDefault="00F955D9">
      <w:pPr>
        <w:adjustRightInd w:val="0"/>
        <w:snapToGrid w:val="0"/>
        <w:spacing w:line="360" w:lineRule="auto"/>
        <w:outlineLvl w:val="3"/>
        <w:rPr>
          <w:rFonts w:cs="Times New Roman"/>
          <w:b/>
          <w:bCs/>
        </w:rPr>
      </w:pPr>
      <w:r>
        <w:rPr>
          <w:rFonts w:cs="Times New Roman"/>
          <w:b/>
          <w:bCs/>
        </w:rPr>
        <w:t xml:space="preserve">6.7.2.1 </w:t>
      </w:r>
      <w:r>
        <w:rPr>
          <w:rFonts w:cs="Times New Roman"/>
          <w:b/>
          <w:bCs/>
        </w:rPr>
        <w:t>固体废物产生及处置情况</w:t>
      </w:r>
    </w:p>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rPr>
        <w:t>1</w:t>
      </w:r>
      <w:r>
        <w:rPr>
          <w:rFonts w:cs="Times New Roman"/>
        </w:rPr>
        <w:t>）</w:t>
      </w:r>
      <w:r>
        <w:rPr>
          <w:rFonts w:cs="Times New Roman"/>
        </w:rPr>
        <w:t>危险废物</w:t>
      </w:r>
    </w:p>
    <w:p w:rsidR="00C645C9" w:rsidRDefault="00F955D9">
      <w:pPr>
        <w:adjustRightInd w:val="0"/>
        <w:snapToGrid w:val="0"/>
        <w:spacing w:line="360" w:lineRule="auto"/>
        <w:ind w:firstLineChars="200" w:firstLine="480"/>
        <w:rPr>
          <w:rFonts w:cs="Times New Roman"/>
          <w:snapToGrid w:val="0"/>
          <w:spacing w:val="4"/>
          <w:szCs w:val="22"/>
        </w:rPr>
      </w:pPr>
      <w:r>
        <w:rPr>
          <w:rFonts w:cs="Times New Roman"/>
        </w:rPr>
        <w:t>根据《</w:t>
      </w:r>
      <w:bookmarkStart w:id="1828" w:name="OLE_LINK681"/>
      <w:r>
        <w:rPr>
          <w:rFonts w:cs="Times New Roman"/>
        </w:rPr>
        <w:t>国家危险废物名录</w:t>
      </w:r>
      <w:bookmarkEnd w:id="1828"/>
      <w:r>
        <w:rPr>
          <w:rFonts w:cs="Times New Roman"/>
        </w:rPr>
        <w:t>（</w:t>
      </w:r>
      <w:r>
        <w:rPr>
          <w:rFonts w:cs="Times New Roman"/>
        </w:rPr>
        <w:t>202</w:t>
      </w:r>
      <w:r>
        <w:rPr>
          <w:rFonts w:cs="Times New Roman"/>
        </w:rPr>
        <w:t>5</w:t>
      </w:r>
      <w:r>
        <w:rPr>
          <w:rFonts w:cs="Times New Roman"/>
        </w:rPr>
        <w:t>年版</w:t>
      </w:r>
      <w:r>
        <w:rPr>
          <w:rFonts w:cs="Times New Roman"/>
        </w:rPr>
        <w:t>）</w:t>
      </w:r>
      <w:r>
        <w:rPr>
          <w:rFonts w:cs="Times New Roman"/>
        </w:rPr>
        <w:t>》</w:t>
      </w:r>
      <w:bookmarkStart w:id="1829" w:name="OLE_LINK688"/>
      <w:r>
        <w:rPr>
          <w:rFonts w:cs="Times New Roman"/>
        </w:rPr>
        <w:t>（</w:t>
      </w:r>
      <w:bookmarkStart w:id="1830" w:name="OLE_LINK683"/>
      <w:r>
        <w:rPr>
          <w:rFonts w:cs="Times New Roman"/>
        </w:rPr>
        <w:t>生态环境部令第</w:t>
      </w:r>
      <w:bookmarkStart w:id="1831" w:name="OLE_LINK682"/>
      <w:r>
        <w:rPr>
          <w:rFonts w:cs="Times New Roman"/>
        </w:rPr>
        <w:t>36</w:t>
      </w:r>
      <w:r>
        <w:rPr>
          <w:rFonts w:cs="Times New Roman"/>
        </w:rPr>
        <w:t>号</w:t>
      </w:r>
      <w:bookmarkEnd w:id="1830"/>
      <w:bookmarkEnd w:id="1831"/>
      <w:r>
        <w:rPr>
          <w:rFonts w:cs="Times New Roman"/>
        </w:rPr>
        <w:t>）</w:t>
      </w:r>
      <w:bookmarkEnd w:id="1829"/>
      <w:r>
        <w:rPr>
          <w:rFonts w:cs="Times New Roman"/>
        </w:rPr>
        <w:t>，</w:t>
      </w:r>
      <w:r>
        <w:rPr>
          <w:rFonts w:cs="Times New Roman"/>
          <w:snapToGrid w:val="0"/>
          <w:spacing w:val="4"/>
          <w:szCs w:val="22"/>
        </w:rPr>
        <w:t>本</w:t>
      </w:r>
      <w:r>
        <w:rPr>
          <w:rFonts w:cs="Times New Roman"/>
          <w:snapToGrid w:val="0"/>
          <w:spacing w:val="4"/>
          <w:szCs w:val="22"/>
        </w:rPr>
        <w:t>工程</w:t>
      </w:r>
      <w:r>
        <w:rPr>
          <w:rFonts w:cs="Times New Roman"/>
          <w:snapToGrid w:val="0"/>
          <w:spacing w:val="4"/>
          <w:szCs w:val="22"/>
        </w:rPr>
        <w:t>运营期产生的危险废物主要有落地油、</w:t>
      </w:r>
      <w:bookmarkStart w:id="1832" w:name="OLE_LINK694"/>
      <w:r>
        <w:rPr>
          <w:rFonts w:cs="Times New Roman"/>
          <w:snapToGrid w:val="0"/>
          <w:spacing w:val="4"/>
          <w:szCs w:val="22"/>
        </w:rPr>
        <w:t>废防渗材料</w:t>
      </w:r>
      <w:r>
        <w:rPr>
          <w:rFonts w:cs="Times New Roman" w:hint="eastAsia"/>
          <w:snapToGrid w:val="0"/>
          <w:spacing w:val="4"/>
          <w:szCs w:val="22"/>
        </w:rPr>
        <w:t>、</w:t>
      </w:r>
      <w:r>
        <w:rPr>
          <w:rFonts w:cs="Times New Roman"/>
          <w:snapToGrid w:val="0"/>
          <w:spacing w:val="4"/>
          <w:szCs w:val="22"/>
        </w:rPr>
        <w:t>清罐底泥</w:t>
      </w:r>
      <w:r>
        <w:rPr>
          <w:rFonts w:cs="Times New Roman" w:hint="eastAsia"/>
          <w:snapToGrid w:val="0"/>
          <w:spacing w:val="4"/>
          <w:szCs w:val="22"/>
        </w:rPr>
        <w:t>和</w:t>
      </w:r>
      <w:r>
        <w:rPr>
          <w:rFonts w:cs="Times New Roman"/>
          <w:snapToGrid w:val="0"/>
          <w:spacing w:val="4"/>
          <w:szCs w:val="22"/>
        </w:rPr>
        <w:t>废润滑油</w:t>
      </w:r>
      <w:bookmarkEnd w:id="1832"/>
      <w:r>
        <w:rPr>
          <w:rFonts w:cs="Times New Roman"/>
          <w:snapToGrid w:val="0"/>
          <w:spacing w:val="4"/>
          <w:szCs w:val="22"/>
        </w:rPr>
        <w:t>。</w:t>
      </w:r>
    </w:p>
    <w:p w:rsidR="00C645C9" w:rsidRDefault="00F955D9">
      <w:pPr>
        <w:adjustRightInd w:val="0"/>
        <w:snapToGrid w:val="0"/>
        <w:spacing w:line="360" w:lineRule="auto"/>
        <w:ind w:firstLineChars="200" w:firstLine="480"/>
        <w:rPr>
          <w:rFonts w:cs="Times New Roman"/>
          <w:b/>
        </w:rPr>
      </w:pPr>
      <w:r>
        <w:rPr>
          <w:rFonts w:cs="Times New Roman"/>
        </w:rPr>
        <w:t>本</w:t>
      </w:r>
      <w:r>
        <w:rPr>
          <w:rFonts w:cs="Times New Roman"/>
        </w:rPr>
        <w:t>工程</w:t>
      </w:r>
      <w:r>
        <w:rPr>
          <w:rFonts w:cs="Times New Roman"/>
        </w:rPr>
        <w:t>危险废物产生情况及危险特性见表</w:t>
      </w:r>
      <w:r>
        <w:rPr>
          <w:rFonts w:cs="Times New Roman"/>
        </w:rPr>
        <w:t>6.</w:t>
      </w:r>
      <w:r>
        <w:rPr>
          <w:rFonts w:cs="Times New Roman" w:hint="eastAsia"/>
        </w:rPr>
        <w:t>7</w:t>
      </w:r>
      <w:r>
        <w:rPr>
          <w:rFonts w:cs="Times New Roman"/>
        </w:rPr>
        <w:t>-</w:t>
      </w:r>
      <w:r>
        <w:rPr>
          <w:rFonts w:cs="Times New Roman" w:hint="eastAsia"/>
        </w:rPr>
        <w:t>1</w:t>
      </w:r>
      <w:r>
        <w:rPr>
          <w:rFonts w:cs="Times New Roman"/>
        </w:rPr>
        <w:t>。</w:t>
      </w:r>
    </w:p>
    <w:p w:rsidR="00C645C9" w:rsidRDefault="00C645C9">
      <w:pPr>
        <w:widowControl w:val="0"/>
        <w:adjustRightInd w:val="0"/>
        <w:snapToGrid w:val="0"/>
        <w:ind w:left="-40" w:firstLine="482"/>
        <w:jc w:val="center"/>
        <w:rPr>
          <w:rFonts w:eastAsia="黑体" w:cs="Times New Roman"/>
          <w:sz w:val="21"/>
        </w:rPr>
      </w:pPr>
    </w:p>
    <w:p w:rsidR="00C645C9" w:rsidRDefault="00F955D9">
      <w:pPr>
        <w:widowControl w:val="0"/>
        <w:adjustRightInd w:val="0"/>
        <w:snapToGrid w:val="0"/>
        <w:ind w:left="-40" w:firstLine="482"/>
        <w:jc w:val="center"/>
        <w:rPr>
          <w:rFonts w:eastAsia="黑体" w:cs="Times New Roman"/>
          <w:sz w:val="21"/>
        </w:rPr>
      </w:pPr>
      <w:r>
        <w:rPr>
          <w:rFonts w:eastAsia="黑体" w:cs="Times New Roman"/>
          <w:sz w:val="21"/>
        </w:rPr>
        <w:t>表</w:t>
      </w:r>
      <w:r>
        <w:rPr>
          <w:rFonts w:eastAsia="黑体" w:cs="Times New Roman"/>
          <w:sz w:val="21"/>
        </w:rPr>
        <w:t>6.</w:t>
      </w:r>
      <w:r>
        <w:rPr>
          <w:rFonts w:eastAsia="黑体" w:cs="Times New Roman" w:hint="eastAsia"/>
          <w:sz w:val="21"/>
        </w:rPr>
        <w:t>7</w:t>
      </w:r>
      <w:r>
        <w:rPr>
          <w:rFonts w:eastAsia="黑体" w:cs="Times New Roman"/>
          <w:sz w:val="21"/>
        </w:rPr>
        <w:t>-</w:t>
      </w:r>
      <w:r>
        <w:rPr>
          <w:rFonts w:eastAsia="黑体" w:cs="Times New Roman" w:hint="eastAsia"/>
          <w:sz w:val="21"/>
        </w:rPr>
        <w:t>1</w:t>
      </w:r>
      <w:r>
        <w:rPr>
          <w:rFonts w:eastAsia="黑体" w:cs="Times New Roman"/>
          <w:sz w:val="21"/>
        </w:rPr>
        <w:t xml:space="preserve">   </w:t>
      </w:r>
      <w:r>
        <w:rPr>
          <w:rFonts w:eastAsia="黑体" w:cs="Times New Roman"/>
          <w:sz w:val="21"/>
        </w:rPr>
        <w:t>危险废物情况一览表</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
        <w:gridCol w:w="917"/>
        <w:gridCol w:w="676"/>
        <w:gridCol w:w="749"/>
        <w:gridCol w:w="860"/>
        <w:gridCol w:w="929"/>
        <w:gridCol w:w="671"/>
        <w:gridCol w:w="703"/>
        <w:gridCol w:w="542"/>
        <w:gridCol w:w="532"/>
        <w:gridCol w:w="1407"/>
      </w:tblGrid>
      <w:tr w:rsidR="00C645C9">
        <w:trPr>
          <w:trHeight w:val="862"/>
          <w:tblHeader/>
          <w:jc w:val="center"/>
        </w:trPr>
        <w:tc>
          <w:tcPr>
            <w:tcW w:w="170" w:type="pct"/>
            <w:vAlign w:val="center"/>
          </w:tcPr>
          <w:p w:rsidR="00C645C9" w:rsidRDefault="00F955D9">
            <w:pPr>
              <w:pStyle w:val="afa"/>
              <w:shd w:val="clear" w:color="auto" w:fill="auto"/>
              <w:rPr>
                <w:szCs w:val="21"/>
              </w:rPr>
            </w:pPr>
            <w:r>
              <w:rPr>
                <w:szCs w:val="21"/>
              </w:rPr>
              <w:t>序号</w:t>
            </w:r>
          </w:p>
        </w:tc>
        <w:tc>
          <w:tcPr>
            <w:tcW w:w="553" w:type="pct"/>
            <w:vAlign w:val="center"/>
          </w:tcPr>
          <w:p w:rsidR="00C645C9" w:rsidRDefault="00F955D9">
            <w:pPr>
              <w:pStyle w:val="afa"/>
              <w:shd w:val="clear" w:color="auto" w:fill="auto"/>
              <w:rPr>
                <w:szCs w:val="21"/>
              </w:rPr>
            </w:pPr>
            <w:r>
              <w:rPr>
                <w:szCs w:val="21"/>
              </w:rPr>
              <w:t>危险废物名称</w:t>
            </w:r>
          </w:p>
        </w:tc>
        <w:tc>
          <w:tcPr>
            <w:tcW w:w="409" w:type="pct"/>
            <w:vAlign w:val="center"/>
          </w:tcPr>
          <w:p w:rsidR="00C645C9" w:rsidRDefault="00F955D9">
            <w:pPr>
              <w:pStyle w:val="afa"/>
              <w:shd w:val="clear" w:color="auto" w:fill="auto"/>
              <w:rPr>
                <w:szCs w:val="21"/>
              </w:rPr>
            </w:pPr>
            <w:r>
              <w:rPr>
                <w:szCs w:val="21"/>
              </w:rPr>
              <w:t>废物</w:t>
            </w:r>
          </w:p>
          <w:p w:rsidR="00C645C9" w:rsidRDefault="00F955D9">
            <w:pPr>
              <w:pStyle w:val="afa"/>
              <w:shd w:val="clear" w:color="auto" w:fill="auto"/>
              <w:rPr>
                <w:szCs w:val="21"/>
              </w:rPr>
            </w:pPr>
            <w:r>
              <w:rPr>
                <w:szCs w:val="21"/>
              </w:rPr>
              <w:t>类别</w:t>
            </w:r>
          </w:p>
        </w:tc>
        <w:tc>
          <w:tcPr>
            <w:tcW w:w="452" w:type="pct"/>
            <w:vAlign w:val="center"/>
          </w:tcPr>
          <w:p w:rsidR="00C645C9" w:rsidRDefault="00F955D9">
            <w:pPr>
              <w:pStyle w:val="afa"/>
              <w:shd w:val="clear" w:color="auto" w:fill="auto"/>
              <w:rPr>
                <w:szCs w:val="21"/>
              </w:rPr>
            </w:pPr>
            <w:r>
              <w:rPr>
                <w:szCs w:val="21"/>
              </w:rPr>
              <w:t>废物</w:t>
            </w:r>
          </w:p>
          <w:p w:rsidR="00C645C9" w:rsidRDefault="00F955D9">
            <w:pPr>
              <w:pStyle w:val="afa"/>
              <w:shd w:val="clear" w:color="auto" w:fill="auto"/>
              <w:rPr>
                <w:szCs w:val="21"/>
              </w:rPr>
            </w:pPr>
            <w:r>
              <w:rPr>
                <w:szCs w:val="21"/>
              </w:rPr>
              <w:t>代码</w:t>
            </w:r>
          </w:p>
        </w:tc>
        <w:tc>
          <w:tcPr>
            <w:tcW w:w="519" w:type="pct"/>
            <w:vAlign w:val="center"/>
          </w:tcPr>
          <w:p w:rsidR="00C645C9" w:rsidRDefault="00F955D9">
            <w:pPr>
              <w:pStyle w:val="afa"/>
              <w:shd w:val="clear" w:color="auto" w:fill="auto"/>
              <w:rPr>
                <w:szCs w:val="21"/>
              </w:rPr>
            </w:pPr>
            <w:r>
              <w:rPr>
                <w:szCs w:val="21"/>
              </w:rPr>
              <w:t>产生量</w:t>
            </w:r>
          </w:p>
          <w:p w:rsidR="00C645C9" w:rsidRDefault="00F955D9">
            <w:pPr>
              <w:pStyle w:val="afa"/>
              <w:shd w:val="clear" w:color="auto" w:fill="auto"/>
              <w:rPr>
                <w:szCs w:val="21"/>
              </w:rPr>
            </w:pPr>
            <w:r>
              <w:rPr>
                <w:szCs w:val="21"/>
              </w:rPr>
              <w:t>（</w:t>
            </w:r>
            <w:r>
              <w:rPr>
                <w:szCs w:val="21"/>
              </w:rPr>
              <w:t>t/a</w:t>
            </w:r>
            <w:r>
              <w:rPr>
                <w:szCs w:val="21"/>
              </w:rPr>
              <w:t>）</w:t>
            </w:r>
          </w:p>
        </w:tc>
        <w:tc>
          <w:tcPr>
            <w:tcW w:w="561" w:type="pct"/>
            <w:vAlign w:val="center"/>
          </w:tcPr>
          <w:p w:rsidR="00C645C9" w:rsidRDefault="00F955D9">
            <w:pPr>
              <w:pStyle w:val="afa"/>
              <w:shd w:val="clear" w:color="auto" w:fill="auto"/>
              <w:rPr>
                <w:szCs w:val="21"/>
              </w:rPr>
            </w:pPr>
            <w:r>
              <w:rPr>
                <w:szCs w:val="21"/>
              </w:rPr>
              <w:t>产生</w:t>
            </w:r>
          </w:p>
          <w:p w:rsidR="00C645C9" w:rsidRDefault="00F955D9">
            <w:pPr>
              <w:pStyle w:val="afa"/>
              <w:shd w:val="clear" w:color="auto" w:fill="auto"/>
              <w:rPr>
                <w:szCs w:val="21"/>
              </w:rPr>
            </w:pPr>
            <w:r>
              <w:rPr>
                <w:rFonts w:hint="eastAsia"/>
                <w:szCs w:val="21"/>
              </w:rPr>
              <w:t>环节</w:t>
            </w:r>
          </w:p>
        </w:tc>
        <w:tc>
          <w:tcPr>
            <w:tcW w:w="406" w:type="pct"/>
            <w:vAlign w:val="center"/>
          </w:tcPr>
          <w:p w:rsidR="00C645C9" w:rsidRDefault="00F955D9">
            <w:pPr>
              <w:pStyle w:val="afa"/>
              <w:shd w:val="clear" w:color="auto" w:fill="auto"/>
              <w:rPr>
                <w:szCs w:val="21"/>
              </w:rPr>
            </w:pPr>
            <w:r>
              <w:rPr>
                <w:rFonts w:hint="eastAsia"/>
                <w:szCs w:val="21"/>
              </w:rPr>
              <w:t>外观性状</w:t>
            </w:r>
          </w:p>
        </w:tc>
        <w:tc>
          <w:tcPr>
            <w:tcW w:w="424" w:type="pct"/>
            <w:vAlign w:val="center"/>
          </w:tcPr>
          <w:p w:rsidR="00C645C9" w:rsidRDefault="00F955D9">
            <w:pPr>
              <w:pStyle w:val="afa"/>
              <w:shd w:val="clear" w:color="auto" w:fill="auto"/>
              <w:rPr>
                <w:szCs w:val="21"/>
              </w:rPr>
            </w:pPr>
            <w:r>
              <w:rPr>
                <w:rFonts w:hint="eastAsia"/>
                <w:szCs w:val="21"/>
              </w:rPr>
              <w:t>特征污染物</w:t>
            </w:r>
          </w:p>
        </w:tc>
        <w:tc>
          <w:tcPr>
            <w:tcW w:w="328" w:type="pct"/>
            <w:vAlign w:val="center"/>
          </w:tcPr>
          <w:p w:rsidR="00C645C9" w:rsidRDefault="00F955D9">
            <w:pPr>
              <w:pStyle w:val="afa"/>
              <w:shd w:val="clear" w:color="auto" w:fill="auto"/>
              <w:rPr>
                <w:szCs w:val="21"/>
              </w:rPr>
            </w:pPr>
            <w:r>
              <w:rPr>
                <w:rFonts w:hint="eastAsia"/>
                <w:szCs w:val="21"/>
              </w:rPr>
              <w:t>产生规律</w:t>
            </w:r>
          </w:p>
        </w:tc>
        <w:tc>
          <w:tcPr>
            <w:tcW w:w="322" w:type="pct"/>
            <w:vAlign w:val="center"/>
          </w:tcPr>
          <w:p w:rsidR="00C645C9" w:rsidRDefault="00F955D9">
            <w:pPr>
              <w:pStyle w:val="afa"/>
              <w:shd w:val="clear" w:color="auto" w:fill="auto"/>
              <w:rPr>
                <w:szCs w:val="21"/>
              </w:rPr>
            </w:pPr>
            <w:r>
              <w:rPr>
                <w:szCs w:val="21"/>
              </w:rPr>
              <w:t>危废</w:t>
            </w:r>
          </w:p>
          <w:p w:rsidR="00C645C9" w:rsidRDefault="00F955D9">
            <w:pPr>
              <w:pStyle w:val="afa"/>
              <w:shd w:val="clear" w:color="auto" w:fill="auto"/>
              <w:rPr>
                <w:szCs w:val="21"/>
              </w:rPr>
            </w:pPr>
            <w:r>
              <w:rPr>
                <w:szCs w:val="21"/>
              </w:rPr>
              <w:t>特性</w:t>
            </w:r>
          </w:p>
        </w:tc>
        <w:tc>
          <w:tcPr>
            <w:tcW w:w="850" w:type="pct"/>
            <w:vAlign w:val="center"/>
          </w:tcPr>
          <w:p w:rsidR="00C645C9" w:rsidRDefault="00F955D9">
            <w:pPr>
              <w:pStyle w:val="afa"/>
              <w:shd w:val="clear" w:color="auto" w:fill="auto"/>
              <w:rPr>
                <w:szCs w:val="21"/>
              </w:rPr>
            </w:pPr>
            <w:r>
              <w:rPr>
                <w:szCs w:val="21"/>
              </w:rPr>
              <w:t>污染防治措施</w:t>
            </w:r>
          </w:p>
        </w:tc>
      </w:tr>
      <w:tr w:rsidR="00C645C9">
        <w:trPr>
          <w:trHeight w:val="1410"/>
          <w:jc w:val="center"/>
        </w:trPr>
        <w:tc>
          <w:tcPr>
            <w:tcW w:w="170" w:type="pct"/>
            <w:vAlign w:val="center"/>
          </w:tcPr>
          <w:p w:rsidR="00C645C9" w:rsidRDefault="00F955D9">
            <w:pPr>
              <w:pStyle w:val="afa"/>
              <w:shd w:val="clear" w:color="auto" w:fill="auto"/>
              <w:rPr>
                <w:szCs w:val="21"/>
              </w:rPr>
            </w:pPr>
            <w:bookmarkStart w:id="1833" w:name="OLE_LINK1513" w:colFirst="1" w:colLast="1"/>
            <w:bookmarkStart w:id="1834" w:name="OLE_LINK1512" w:colFirst="1" w:colLast="1"/>
            <w:r>
              <w:rPr>
                <w:szCs w:val="21"/>
              </w:rPr>
              <w:t>1</w:t>
            </w:r>
          </w:p>
        </w:tc>
        <w:tc>
          <w:tcPr>
            <w:tcW w:w="553" w:type="pct"/>
            <w:vAlign w:val="center"/>
          </w:tcPr>
          <w:p w:rsidR="00C645C9" w:rsidRDefault="00F955D9">
            <w:pPr>
              <w:pStyle w:val="afa"/>
              <w:shd w:val="clear" w:color="auto" w:fill="auto"/>
              <w:rPr>
                <w:szCs w:val="21"/>
              </w:rPr>
            </w:pPr>
            <w:bookmarkStart w:id="1835" w:name="OLE_LINK693"/>
            <w:r>
              <w:rPr>
                <w:szCs w:val="21"/>
              </w:rPr>
              <w:t>落地油</w:t>
            </w:r>
            <w:bookmarkEnd w:id="1835"/>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r>
              <w:rPr>
                <w:szCs w:val="21"/>
              </w:rPr>
              <w:t>071-001-08</w:t>
            </w:r>
          </w:p>
        </w:tc>
        <w:tc>
          <w:tcPr>
            <w:tcW w:w="519" w:type="pct"/>
            <w:vAlign w:val="center"/>
          </w:tcPr>
          <w:p w:rsidR="00C645C9" w:rsidRDefault="00F955D9">
            <w:pPr>
              <w:pStyle w:val="afa"/>
              <w:shd w:val="clear" w:color="auto" w:fill="auto"/>
              <w:rPr>
                <w:szCs w:val="21"/>
              </w:rPr>
            </w:pPr>
            <w:r>
              <w:rPr>
                <w:szCs w:val="21"/>
              </w:rPr>
              <w:t>0.1</w:t>
            </w:r>
          </w:p>
        </w:tc>
        <w:tc>
          <w:tcPr>
            <w:tcW w:w="561" w:type="pct"/>
            <w:vAlign w:val="center"/>
          </w:tcPr>
          <w:p w:rsidR="00C645C9" w:rsidRDefault="00F955D9">
            <w:pPr>
              <w:pStyle w:val="afa"/>
              <w:shd w:val="clear" w:color="auto" w:fill="auto"/>
              <w:rPr>
                <w:szCs w:val="21"/>
              </w:rPr>
            </w:pPr>
            <w:bookmarkStart w:id="1836" w:name="OLE_LINK1515"/>
            <w:r>
              <w:rPr>
                <w:szCs w:val="21"/>
              </w:rPr>
              <w:t>井下作业</w:t>
            </w:r>
            <w:r>
              <w:rPr>
                <w:rFonts w:hint="eastAsia"/>
                <w:szCs w:val="21"/>
              </w:rPr>
              <w:t>、</w:t>
            </w:r>
            <w:r>
              <w:rPr>
                <w:rFonts w:hint="eastAsia"/>
                <w:szCs w:val="21"/>
              </w:rPr>
              <w:t>油气</w:t>
            </w:r>
            <w:r>
              <w:rPr>
                <w:szCs w:val="21"/>
              </w:rPr>
              <w:t>处理</w:t>
            </w:r>
            <w:bookmarkEnd w:id="1836"/>
          </w:p>
        </w:tc>
        <w:tc>
          <w:tcPr>
            <w:tcW w:w="406" w:type="pct"/>
            <w:vAlign w:val="center"/>
          </w:tcPr>
          <w:p w:rsidR="00C645C9" w:rsidRDefault="00F955D9">
            <w:pPr>
              <w:pStyle w:val="afa"/>
              <w:shd w:val="clear" w:color="auto" w:fill="auto"/>
              <w:rPr>
                <w:szCs w:val="21"/>
              </w:rPr>
            </w:pPr>
            <w:r>
              <w:rPr>
                <w:rFonts w:hint="eastAsia"/>
                <w:szCs w:val="21"/>
              </w:rPr>
              <w:t>半固体、固体</w:t>
            </w:r>
          </w:p>
        </w:tc>
        <w:tc>
          <w:tcPr>
            <w:tcW w:w="424" w:type="pct"/>
            <w:vAlign w:val="center"/>
          </w:tcPr>
          <w:p w:rsidR="00C645C9" w:rsidRDefault="00F955D9">
            <w:pPr>
              <w:pStyle w:val="afa"/>
              <w:shd w:val="clear" w:color="auto" w:fill="auto"/>
              <w:rPr>
                <w:szCs w:val="21"/>
              </w:rPr>
            </w:pPr>
            <w:r>
              <w:rPr>
                <w:rFonts w:hint="eastAsia"/>
                <w:szCs w:val="21"/>
              </w:rPr>
              <w:t>废矿</w:t>
            </w:r>
          </w:p>
          <w:p w:rsidR="00C645C9" w:rsidRDefault="00F955D9">
            <w:pPr>
              <w:pStyle w:val="afa"/>
              <w:shd w:val="clear" w:color="auto" w:fill="auto"/>
              <w:rPr>
                <w:szCs w:val="21"/>
              </w:rPr>
            </w:pPr>
            <w:r>
              <w:rPr>
                <w:rFonts w:hint="eastAsia"/>
                <w:szCs w:val="21"/>
              </w:rPr>
              <w:t>物油</w:t>
            </w:r>
          </w:p>
        </w:tc>
        <w:tc>
          <w:tcPr>
            <w:tcW w:w="328" w:type="pct"/>
            <w:vAlign w:val="center"/>
          </w:tcPr>
          <w:p w:rsidR="00C645C9" w:rsidRDefault="00F955D9">
            <w:pPr>
              <w:pStyle w:val="afa"/>
              <w:shd w:val="clear" w:color="auto" w:fill="auto"/>
              <w:rPr>
                <w:szCs w:val="21"/>
              </w:rPr>
            </w:pPr>
            <w:r>
              <w:rPr>
                <w:szCs w:val="21"/>
              </w:rPr>
              <w:t>间歇</w:t>
            </w:r>
            <w:r>
              <w:rPr>
                <w:rFonts w:hint="eastAsia"/>
                <w:szCs w:val="21"/>
              </w:rPr>
              <w:t>产生</w:t>
            </w:r>
          </w:p>
        </w:tc>
        <w:tc>
          <w:tcPr>
            <w:tcW w:w="322" w:type="pct"/>
            <w:vAlign w:val="center"/>
          </w:tcPr>
          <w:p w:rsidR="00C645C9" w:rsidRDefault="00F955D9">
            <w:pPr>
              <w:pStyle w:val="afa"/>
              <w:shd w:val="clear" w:color="auto" w:fill="auto"/>
              <w:rPr>
                <w:szCs w:val="21"/>
              </w:rPr>
            </w:pPr>
            <w:r>
              <w:rPr>
                <w:szCs w:val="21"/>
              </w:rPr>
              <w:t>T</w:t>
            </w:r>
            <w:r>
              <w:rPr>
                <w:szCs w:val="21"/>
              </w:rPr>
              <w:t>，</w:t>
            </w:r>
            <w:r>
              <w:rPr>
                <w:szCs w:val="21"/>
              </w:rPr>
              <w:t>I</w:t>
            </w:r>
          </w:p>
        </w:tc>
        <w:tc>
          <w:tcPr>
            <w:tcW w:w="850" w:type="pct"/>
            <w:vAlign w:val="center"/>
          </w:tcPr>
          <w:p w:rsidR="00C645C9" w:rsidRDefault="00F955D9">
            <w:pPr>
              <w:pStyle w:val="afa"/>
              <w:shd w:val="clear" w:color="auto" w:fill="auto"/>
              <w:jc w:val="both"/>
              <w:rPr>
                <w:szCs w:val="21"/>
              </w:rPr>
            </w:pPr>
            <w:r>
              <w:rPr>
                <w:szCs w:val="21"/>
              </w:rPr>
              <w:t>由塔河油田绿色环保站处理</w:t>
            </w:r>
            <w:r>
              <w:rPr>
                <w:szCs w:val="21"/>
              </w:rPr>
              <w:t>。</w:t>
            </w:r>
          </w:p>
        </w:tc>
      </w:tr>
      <w:tr w:rsidR="00C645C9">
        <w:trPr>
          <w:trHeight w:val="571"/>
          <w:jc w:val="center"/>
        </w:trPr>
        <w:tc>
          <w:tcPr>
            <w:tcW w:w="170" w:type="pct"/>
            <w:vAlign w:val="center"/>
          </w:tcPr>
          <w:p w:rsidR="00C645C9" w:rsidRDefault="00F955D9">
            <w:pPr>
              <w:pStyle w:val="afa"/>
              <w:shd w:val="clear" w:color="auto" w:fill="auto"/>
              <w:rPr>
                <w:szCs w:val="21"/>
              </w:rPr>
            </w:pPr>
            <w:r>
              <w:rPr>
                <w:szCs w:val="21"/>
              </w:rPr>
              <w:t>2</w:t>
            </w:r>
          </w:p>
        </w:tc>
        <w:tc>
          <w:tcPr>
            <w:tcW w:w="553" w:type="pct"/>
            <w:vAlign w:val="center"/>
          </w:tcPr>
          <w:p w:rsidR="00C645C9" w:rsidRDefault="00F955D9">
            <w:pPr>
              <w:pStyle w:val="afa"/>
              <w:shd w:val="clear" w:color="auto" w:fill="auto"/>
              <w:rPr>
                <w:szCs w:val="21"/>
              </w:rPr>
            </w:pPr>
            <w:r>
              <w:rPr>
                <w:szCs w:val="21"/>
              </w:rPr>
              <w:t>清罐底泥</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r>
              <w:rPr>
                <w:szCs w:val="21"/>
              </w:rPr>
              <w:t>071-001-08</w:t>
            </w:r>
          </w:p>
        </w:tc>
        <w:tc>
          <w:tcPr>
            <w:tcW w:w="519" w:type="pct"/>
            <w:vAlign w:val="center"/>
          </w:tcPr>
          <w:p w:rsidR="00C645C9" w:rsidRDefault="00F955D9">
            <w:pPr>
              <w:pStyle w:val="afa"/>
              <w:shd w:val="clear" w:color="auto" w:fill="auto"/>
              <w:rPr>
                <w:szCs w:val="21"/>
              </w:rPr>
            </w:pPr>
            <w:r>
              <w:t>0.</w:t>
            </w:r>
            <w:r>
              <w:rPr>
                <w:rFonts w:hint="eastAsia"/>
              </w:rPr>
              <w:t>1</w:t>
            </w:r>
          </w:p>
        </w:tc>
        <w:tc>
          <w:tcPr>
            <w:tcW w:w="561" w:type="pct"/>
            <w:vAlign w:val="center"/>
          </w:tcPr>
          <w:p w:rsidR="00C645C9" w:rsidRDefault="00F955D9">
            <w:pPr>
              <w:pStyle w:val="afa"/>
              <w:shd w:val="clear" w:color="auto" w:fill="auto"/>
              <w:rPr>
                <w:szCs w:val="21"/>
              </w:rPr>
            </w:pPr>
            <w:bookmarkStart w:id="1837" w:name="OLE_LINK1516"/>
            <w:r>
              <w:rPr>
                <w:szCs w:val="21"/>
              </w:rPr>
              <w:t>井场储罐</w:t>
            </w:r>
            <w:bookmarkEnd w:id="1837"/>
          </w:p>
        </w:tc>
        <w:tc>
          <w:tcPr>
            <w:tcW w:w="406" w:type="pct"/>
            <w:vAlign w:val="center"/>
          </w:tcPr>
          <w:p w:rsidR="00C645C9" w:rsidRDefault="00F955D9">
            <w:pPr>
              <w:pStyle w:val="afa"/>
              <w:shd w:val="clear" w:color="auto" w:fill="auto"/>
              <w:rPr>
                <w:szCs w:val="21"/>
              </w:rPr>
            </w:pPr>
            <w:r>
              <w:rPr>
                <w:rFonts w:hint="eastAsia"/>
                <w:szCs w:val="21"/>
              </w:rPr>
              <w:t>半固体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pStyle w:val="afa"/>
              <w:shd w:val="clear" w:color="auto" w:fill="auto"/>
              <w:rPr>
                <w:szCs w:val="21"/>
              </w:rPr>
            </w:pPr>
            <w:r>
              <w:rPr>
                <w:szCs w:val="21"/>
              </w:rPr>
              <w:t>T</w:t>
            </w:r>
            <w:r>
              <w:rPr>
                <w:szCs w:val="21"/>
              </w:rPr>
              <w:t>，</w:t>
            </w:r>
            <w:r>
              <w:rPr>
                <w:szCs w:val="21"/>
              </w:rPr>
              <w:t>I</w:t>
            </w:r>
          </w:p>
        </w:tc>
        <w:tc>
          <w:tcPr>
            <w:tcW w:w="850" w:type="pct"/>
            <w:vAlign w:val="center"/>
          </w:tcPr>
          <w:p w:rsidR="00C645C9" w:rsidRDefault="00F955D9">
            <w:pPr>
              <w:pStyle w:val="afa"/>
              <w:shd w:val="clear" w:color="auto" w:fill="auto"/>
              <w:jc w:val="both"/>
              <w:rPr>
                <w:szCs w:val="21"/>
              </w:rPr>
            </w:pPr>
            <w:bookmarkStart w:id="1838" w:name="OLE_LINK684"/>
            <w:r>
              <w:t>委托持有危险废物经营许可证的</w:t>
            </w:r>
            <w:r>
              <w:rPr>
                <w:rFonts w:hint="eastAsia"/>
              </w:rPr>
              <w:t>单位利用处置</w:t>
            </w:r>
            <w:bookmarkEnd w:id="1838"/>
            <w:r>
              <w:rPr>
                <w:rFonts w:hint="eastAsia"/>
              </w:rPr>
              <w:t>。</w:t>
            </w:r>
          </w:p>
        </w:tc>
      </w:tr>
      <w:bookmarkEnd w:id="1833"/>
      <w:tr w:rsidR="00C645C9">
        <w:trPr>
          <w:trHeight w:val="1433"/>
          <w:jc w:val="center"/>
        </w:trPr>
        <w:tc>
          <w:tcPr>
            <w:tcW w:w="170" w:type="pct"/>
            <w:vAlign w:val="center"/>
          </w:tcPr>
          <w:p w:rsidR="00C645C9" w:rsidRDefault="00F955D9">
            <w:pPr>
              <w:pStyle w:val="afa"/>
              <w:shd w:val="clear" w:color="auto" w:fill="auto"/>
              <w:rPr>
                <w:szCs w:val="21"/>
              </w:rPr>
            </w:pPr>
            <w:r>
              <w:rPr>
                <w:szCs w:val="21"/>
              </w:rPr>
              <w:t>3</w:t>
            </w:r>
          </w:p>
        </w:tc>
        <w:tc>
          <w:tcPr>
            <w:tcW w:w="553" w:type="pct"/>
            <w:vAlign w:val="center"/>
          </w:tcPr>
          <w:p w:rsidR="00C645C9" w:rsidRDefault="00F955D9">
            <w:pPr>
              <w:pStyle w:val="afa"/>
              <w:shd w:val="clear" w:color="auto" w:fill="auto"/>
              <w:rPr>
                <w:kern w:val="0"/>
                <w:szCs w:val="21"/>
              </w:rPr>
            </w:pPr>
            <w:bookmarkStart w:id="1839" w:name="OLE_LINK1514"/>
            <w:r>
              <w:rPr>
                <w:kern w:val="0"/>
                <w:szCs w:val="21"/>
              </w:rPr>
              <w:t>废防渗</w:t>
            </w:r>
          </w:p>
          <w:p w:rsidR="00C645C9" w:rsidRDefault="00F955D9">
            <w:pPr>
              <w:pStyle w:val="afa"/>
              <w:shd w:val="clear" w:color="auto" w:fill="auto"/>
              <w:rPr>
                <w:kern w:val="0"/>
                <w:szCs w:val="21"/>
              </w:rPr>
            </w:pPr>
            <w:r>
              <w:rPr>
                <w:kern w:val="0"/>
                <w:szCs w:val="21"/>
              </w:rPr>
              <w:t>材料</w:t>
            </w:r>
            <w:bookmarkEnd w:id="1839"/>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napToGrid w:val="0"/>
                <w:kern w:val="0"/>
                <w:szCs w:val="21"/>
              </w:rPr>
            </w:pPr>
            <w:r>
              <w:rPr>
                <w:szCs w:val="21"/>
              </w:rPr>
              <w:t>900-249-08</w:t>
            </w:r>
          </w:p>
        </w:tc>
        <w:tc>
          <w:tcPr>
            <w:tcW w:w="519" w:type="pct"/>
            <w:vAlign w:val="center"/>
          </w:tcPr>
          <w:p w:rsidR="00C645C9" w:rsidRDefault="00F955D9">
            <w:pPr>
              <w:pStyle w:val="afa"/>
              <w:shd w:val="clear" w:color="auto" w:fill="auto"/>
              <w:rPr>
                <w:szCs w:val="21"/>
              </w:rPr>
            </w:pPr>
            <w:r>
              <w:t>0.25</w:t>
            </w:r>
          </w:p>
        </w:tc>
        <w:tc>
          <w:tcPr>
            <w:tcW w:w="561" w:type="pct"/>
            <w:vAlign w:val="center"/>
          </w:tcPr>
          <w:p w:rsidR="00C645C9" w:rsidRDefault="00F955D9">
            <w:pPr>
              <w:pStyle w:val="afa"/>
              <w:shd w:val="clear" w:color="auto" w:fill="auto"/>
              <w:rPr>
                <w:szCs w:val="21"/>
              </w:rPr>
            </w:pPr>
            <w:bookmarkStart w:id="1840" w:name="OLE_LINK1517"/>
            <w:r>
              <w:rPr>
                <w:rFonts w:hint="eastAsia"/>
                <w:szCs w:val="21"/>
              </w:rPr>
              <w:t>场地清理环节</w:t>
            </w:r>
            <w:bookmarkEnd w:id="1840"/>
          </w:p>
        </w:tc>
        <w:tc>
          <w:tcPr>
            <w:tcW w:w="406" w:type="pct"/>
            <w:vAlign w:val="center"/>
          </w:tcPr>
          <w:p w:rsidR="00C645C9" w:rsidRDefault="00F955D9">
            <w:pPr>
              <w:pStyle w:val="afa"/>
              <w:shd w:val="clear" w:color="auto" w:fill="auto"/>
              <w:rPr>
                <w:snapToGrid w:val="0"/>
                <w:kern w:val="0"/>
                <w:szCs w:val="21"/>
              </w:rPr>
            </w:pPr>
            <w:r>
              <w:rPr>
                <w:szCs w:val="21"/>
              </w:rPr>
              <w:t>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napToGrid w:val="0"/>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napToGrid w:val="0"/>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adjustRightInd w:val="0"/>
              <w:snapToGrid w:val="0"/>
              <w:rPr>
                <w:rFonts w:cs="Times New Roman"/>
                <w:snapToGrid w:val="0"/>
                <w:sz w:val="21"/>
                <w:szCs w:val="21"/>
              </w:rPr>
            </w:pPr>
            <w:r>
              <w:rPr>
                <w:rFonts w:cs="Times New Roman"/>
                <w:sz w:val="21"/>
                <w:szCs w:val="21"/>
              </w:rPr>
              <w:t>T</w:t>
            </w:r>
            <w:r>
              <w:rPr>
                <w:rFonts w:cs="Times New Roman"/>
                <w:sz w:val="21"/>
                <w:szCs w:val="21"/>
              </w:rPr>
              <w:t>，</w:t>
            </w:r>
            <w:r>
              <w:rPr>
                <w:rFonts w:cs="Times New Roman"/>
                <w:sz w:val="21"/>
                <w:szCs w:val="21"/>
              </w:rPr>
              <w:t>I</w:t>
            </w:r>
          </w:p>
        </w:tc>
        <w:tc>
          <w:tcPr>
            <w:tcW w:w="850" w:type="pct"/>
            <w:vAlign w:val="center"/>
          </w:tcPr>
          <w:p w:rsidR="00C645C9" w:rsidRDefault="00F955D9">
            <w:pPr>
              <w:pStyle w:val="afa"/>
              <w:shd w:val="clear" w:color="auto" w:fill="auto"/>
              <w:jc w:val="both"/>
              <w:rPr>
                <w:szCs w:val="21"/>
              </w:rPr>
            </w:pPr>
            <w:r>
              <w:t>委托持有危险废物经营许可证的</w:t>
            </w:r>
            <w:r>
              <w:rPr>
                <w:rFonts w:hint="eastAsia"/>
              </w:rPr>
              <w:t>单位利用处置</w:t>
            </w:r>
            <w:r>
              <w:rPr>
                <w:szCs w:val="21"/>
              </w:rPr>
              <w:t>。</w:t>
            </w:r>
          </w:p>
        </w:tc>
      </w:tr>
      <w:tr w:rsidR="00C645C9">
        <w:trPr>
          <w:trHeight w:val="1433"/>
          <w:jc w:val="center"/>
        </w:trPr>
        <w:tc>
          <w:tcPr>
            <w:tcW w:w="170" w:type="pct"/>
            <w:vAlign w:val="center"/>
          </w:tcPr>
          <w:p w:rsidR="00C645C9" w:rsidRDefault="00F955D9">
            <w:pPr>
              <w:pStyle w:val="afa"/>
              <w:shd w:val="clear" w:color="auto" w:fill="auto"/>
              <w:rPr>
                <w:szCs w:val="21"/>
              </w:rPr>
            </w:pPr>
            <w:r>
              <w:rPr>
                <w:rFonts w:hint="eastAsia"/>
                <w:szCs w:val="21"/>
              </w:rPr>
              <w:lastRenderedPageBreak/>
              <w:t>4</w:t>
            </w:r>
          </w:p>
        </w:tc>
        <w:tc>
          <w:tcPr>
            <w:tcW w:w="553" w:type="pct"/>
            <w:vAlign w:val="center"/>
          </w:tcPr>
          <w:p w:rsidR="00C645C9" w:rsidRDefault="00F955D9">
            <w:pPr>
              <w:pStyle w:val="afa"/>
              <w:shd w:val="clear" w:color="auto" w:fill="auto"/>
              <w:rPr>
                <w:kern w:val="0"/>
                <w:szCs w:val="21"/>
              </w:rPr>
            </w:pPr>
            <w:r>
              <w:rPr>
                <w:kern w:val="0"/>
                <w:szCs w:val="21"/>
              </w:rPr>
              <w:t>废润滑油</w:t>
            </w:r>
          </w:p>
        </w:tc>
        <w:tc>
          <w:tcPr>
            <w:tcW w:w="409" w:type="pct"/>
            <w:vAlign w:val="center"/>
          </w:tcPr>
          <w:p w:rsidR="00C645C9" w:rsidRDefault="00F955D9">
            <w:pPr>
              <w:pStyle w:val="afa"/>
              <w:shd w:val="clear" w:color="auto" w:fill="auto"/>
              <w:rPr>
                <w:szCs w:val="21"/>
              </w:rPr>
            </w:pPr>
            <w:r>
              <w:rPr>
                <w:szCs w:val="21"/>
              </w:rPr>
              <w:t>HW08</w:t>
            </w:r>
          </w:p>
        </w:tc>
        <w:tc>
          <w:tcPr>
            <w:tcW w:w="452" w:type="pct"/>
            <w:vAlign w:val="center"/>
          </w:tcPr>
          <w:p w:rsidR="00C645C9" w:rsidRDefault="00F955D9">
            <w:pPr>
              <w:pStyle w:val="afa"/>
              <w:shd w:val="clear" w:color="auto" w:fill="auto"/>
              <w:rPr>
                <w:szCs w:val="21"/>
              </w:rPr>
            </w:pPr>
            <w:r>
              <w:rPr>
                <w:szCs w:val="21"/>
              </w:rPr>
              <w:t>900-214-08</w:t>
            </w:r>
          </w:p>
        </w:tc>
        <w:tc>
          <w:tcPr>
            <w:tcW w:w="519" w:type="pct"/>
            <w:vAlign w:val="center"/>
          </w:tcPr>
          <w:p w:rsidR="00C645C9" w:rsidRDefault="00F955D9">
            <w:pPr>
              <w:pStyle w:val="afa"/>
              <w:shd w:val="clear" w:color="auto" w:fill="auto"/>
            </w:pPr>
            <w:r>
              <w:rPr>
                <w:rFonts w:hint="eastAsia"/>
              </w:rPr>
              <w:t>0.5</w:t>
            </w:r>
          </w:p>
        </w:tc>
        <w:tc>
          <w:tcPr>
            <w:tcW w:w="561" w:type="pct"/>
            <w:vAlign w:val="center"/>
          </w:tcPr>
          <w:p w:rsidR="00C645C9" w:rsidRDefault="00F955D9">
            <w:pPr>
              <w:pStyle w:val="afa"/>
              <w:shd w:val="clear" w:color="auto" w:fill="auto"/>
              <w:rPr>
                <w:szCs w:val="21"/>
              </w:rPr>
            </w:pPr>
            <w:bookmarkStart w:id="1841" w:name="OLE_LINK1518"/>
            <w:r>
              <w:rPr>
                <w:szCs w:val="21"/>
              </w:rPr>
              <w:t>井场</w:t>
            </w:r>
            <w:bookmarkEnd w:id="1841"/>
          </w:p>
        </w:tc>
        <w:tc>
          <w:tcPr>
            <w:tcW w:w="406" w:type="pct"/>
            <w:vAlign w:val="center"/>
          </w:tcPr>
          <w:p w:rsidR="00C645C9" w:rsidRDefault="00F955D9">
            <w:pPr>
              <w:pStyle w:val="afa"/>
              <w:shd w:val="clear" w:color="auto" w:fill="auto"/>
              <w:rPr>
                <w:szCs w:val="21"/>
              </w:rPr>
            </w:pPr>
            <w:r>
              <w:rPr>
                <w:szCs w:val="21"/>
              </w:rPr>
              <w:t>固体</w:t>
            </w:r>
          </w:p>
        </w:tc>
        <w:tc>
          <w:tcPr>
            <w:tcW w:w="42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废矿</w:t>
            </w:r>
          </w:p>
          <w:p w:rsidR="00C645C9" w:rsidRDefault="00F955D9">
            <w:pPr>
              <w:adjustRightInd w:val="0"/>
              <w:snapToGrid w:val="0"/>
              <w:jc w:val="center"/>
              <w:rPr>
                <w:rFonts w:cs="Times New Roman"/>
                <w:snapToGrid w:val="0"/>
                <w:sz w:val="21"/>
                <w:szCs w:val="21"/>
              </w:rPr>
            </w:pPr>
            <w:r>
              <w:rPr>
                <w:rFonts w:cs="Times New Roman" w:hint="eastAsia"/>
                <w:sz w:val="21"/>
                <w:szCs w:val="21"/>
              </w:rPr>
              <w:t>物油</w:t>
            </w:r>
          </w:p>
        </w:tc>
        <w:tc>
          <w:tcPr>
            <w:tcW w:w="328" w:type="pct"/>
            <w:vAlign w:val="center"/>
          </w:tcPr>
          <w:p w:rsidR="00C645C9" w:rsidRDefault="00F955D9">
            <w:pPr>
              <w:adjustRightInd w:val="0"/>
              <w:snapToGrid w:val="0"/>
              <w:jc w:val="center"/>
              <w:rPr>
                <w:rFonts w:cs="Times New Roman"/>
                <w:sz w:val="21"/>
                <w:szCs w:val="21"/>
              </w:rPr>
            </w:pPr>
            <w:r>
              <w:rPr>
                <w:rFonts w:cs="Times New Roman"/>
                <w:sz w:val="21"/>
                <w:szCs w:val="21"/>
              </w:rPr>
              <w:t>间歇</w:t>
            </w:r>
            <w:r>
              <w:rPr>
                <w:rFonts w:cs="Times New Roman" w:hint="eastAsia"/>
                <w:sz w:val="21"/>
                <w:szCs w:val="21"/>
              </w:rPr>
              <w:t>产生</w:t>
            </w:r>
          </w:p>
        </w:tc>
        <w:tc>
          <w:tcPr>
            <w:tcW w:w="322" w:type="pct"/>
            <w:vAlign w:val="center"/>
          </w:tcPr>
          <w:p w:rsidR="00C645C9" w:rsidRDefault="00F955D9">
            <w:pPr>
              <w:adjustRightInd w:val="0"/>
              <w:snapToGrid w:val="0"/>
              <w:rPr>
                <w:rFonts w:cs="Times New Roman"/>
                <w:snapToGrid w:val="0"/>
                <w:sz w:val="21"/>
                <w:szCs w:val="21"/>
              </w:rPr>
            </w:pPr>
            <w:r>
              <w:rPr>
                <w:rFonts w:cs="Times New Roman"/>
                <w:sz w:val="21"/>
                <w:szCs w:val="21"/>
              </w:rPr>
              <w:t>T</w:t>
            </w:r>
            <w:r>
              <w:rPr>
                <w:rFonts w:cs="Times New Roman"/>
                <w:sz w:val="21"/>
                <w:szCs w:val="21"/>
              </w:rPr>
              <w:t>，</w:t>
            </w:r>
            <w:r>
              <w:rPr>
                <w:rFonts w:cs="Times New Roman"/>
                <w:sz w:val="21"/>
                <w:szCs w:val="21"/>
              </w:rPr>
              <w:t>I</w:t>
            </w:r>
          </w:p>
        </w:tc>
        <w:tc>
          <w:tcPr>
            <w:tcW w:w="850" w:type="pct"/>
            <w:vAlign w:val="center"/>
          </w:tcPr>
          <w:p w:rsidR="00C645C9" w:rsidRDefault="00F955D9">
            <w:pPr>
              <w:pStyle w:val="afa"/>
              <w:shd w:val="clear" w:color="auto" w:fill="auto"/>
              <w:jc w:val="both"/>
            </w:pPr>
            <w:r>
              <w:t>委托持有危险废物经营许可证的</w:t>
            </w:r>
            <w:r>
              <w:rPr>
                <w:rFonts w:hint="eastAsia"/>
              </w:rPr>
              <w:t>单位利用处置</w:t>
            </w:r>
            <w:r>
              <w:rPr>
                <w:szCs w:val="21"/>
              </w:rPr>
              <w:t>。</w:t>
            </w:r>
          </w:p>
        </w:tc>
      </w:tr>
    </w:tbl>
    <w:p w:rsidR="00C645C9" w:rsidRDefault="00F955D9">
      <w:pPr>
        <w:widowControl w:val="0"/>
        <w:adjustRightInd w:val="0"/>
        <w:snapToGrid w:val="0"/>
        <w:spacing w:line="360" w:lineRule="auto"/>
        <w:ind w:firstLineChars="200" w:firstLine="480"/>
        <w:rPr>
          <w:rFonts w:cs="Times New Roman"/>
        </w:rPr>
      </w:pPr>
      <w:bookmarkStart w:id="1842" w:name="_Hlk76402360"/>
      <w:bookmarkEnd w:id="1834"/>
      <w:r>
        <w:rPr>
          <w:rFonts w:cs="Times New Roman"/>
        </w:rPr>
        <w:t>（</w:t>
      </w:r>
      <w:r>
        <w:rPr>
          <w:rFonts w:cs="Times New Roman"/>
        </w:rPr>
        <w:t>2</w:t>
      </w:r>
      <w:r>
        <w:rPr>
          <w:rFonts w:cs="Times New Roman"/>
        </w:rPr>
        <w:t>）</w:t>
      </w:r>
      <w:r>
        <w:rPr>
          <w:rFonts w:cs="Times New Roman"/>
        </w:rPr>
        <w:t>生活垃圾</w:t>
      </w:r>
    </w:p>
    <w:p w:rsidR="00C645C9" w:rsidRDefault="00F955D9">
      <w:pPr>
        <w:widowControl w:val="0"/>
        <w:adjustRightInd w:val="0"/>
        <w:snapToGrid w:val="0"/>
        <w:spacing w:line="360" w:lineRule="auto"/>
        <w:ind w:firstLineChars="200" w:firstLine="496"/>
        <w:rPr>
          <w:rFonts w:cs="Times New Roman"/>
        </w:rPr>
      </w:pPr>
      <w:bookmarkStart w:id="1843" w:name="_Hlk77960415"/>
      <w:r>
        <w:rPr>
          <w:rFonts w:cs="Times New Roman"/>
          <w:snapToGrid w:val="0"/>
          <w:spacing w:val="4"/>
          <w:szCs w:val="22"/>
        </w:rPr>
        <w:t>运营期工作人员由</w:t>
      </w:r>
      <w:bookmarkStart w:id="1844" w:name="OLE_LINK690"/>
      <w:r>
        <w:rPr>
          <w:rFonts w:cs="Times New Roman"/>
          <w:kern w:val="2"/>
          <w:szCs w:val="20"/>
          <w:lang w:bidi="ar"/>
        </w:rPr>
        <w:t>雅克拉采气厂</w:t>
      </w:r>
      <w:bookmarkEnd w:id="1844"/>
      <w:r>
        <w:rPr>
          <w:rFonts w:cs="Times New Roman"/>
          <w:kern w:val="2"/>
          <w:szCs w:val="20"/>
          <w:lang w:bidi="ar"/>
        </w:rPr>
        <w:t>内部调剂解决</w:t>
      </w:r>
      <w:r>
        <w:rPr>
          <w:rFonts w:cs="Times New Roman"/>
        </w:rPr>
        <w:t>，故不新增生活垃圾</w:t>
      </w:r>
      <w:r>
        <w:rPr>
          <w:rFonts w:cs="Times New Roman"/>
          <w:snapToGrid w:val="0"/>
          <w:spacing w:val="4"/>
          <w:szCs w:val="22"/>
        </w:rPr>
        <w:t>。</w:t>
      </w:r>
    </w:p>
    <w:bookmarkEnd w:id="1823"/>
    <w:bookmarkEnd w:id="1843"/>
    <w:p w:rsidR="00C645C9" w:rsidRDefault="00F955D9">
      <w:pPr>
        <w:keepLines/>
        <w:widowControl w:val="0"/>
        <w:adjustRightInd w:val="0"/>
        <w:snapToGrid w:val="0"/>
        <w:spacing w:line="360" w:lineRule="auto"/>
        <w:outlineLvl w:val="3"/>
        <w:rPr>
          <w:rFonts w:cs="Times New Roman"/>
          <w:b/>
        </w:rPr>
      </w:pPr>
      <w:r>
        <w:rPr>
          <w:rFonts w:cs="Times New Roman"/>
          <w:b/>
          <w:bCs/>
        </w:rPr>
        <w:t>6.</w:t>
      </w:r>
      <w:r>
        <w:rPr>
          <w:rFonts w:cs="Times New Roman" w:hint="eastAsia"/>
          <w:b/>
          <w:bCs/>
        </w:rPr>
        <w:t>7</w:t>
      </w:r>
      <w:r>
        <w:rPr>
          <w:rFonts w:cs="Times New Roman"/>
          <w:b/>
          <w:bCs/>
        </w:rPr>
        <w:t>.</w:t>
      </w:r>
      <w:r>
        <w:rPr>
          <w:rFonts w:cs="Times New Roman" w:hint="eastAsia"/>
          <w:b/>
          <w:bCs/>
        </w:rPr>
        <w:t>2</w:t>
      </w:r>
      <w:r>
        <w:rPr>
          <w:rFonts w:cs="Times New Roman"/>
          <w:b/>
          <w:bCs/>
        </w:rPr>
        <w:t>.2</w:t>
      </w:r>
      <w:r>
        <w:rPr>
          <w:rFonts w:cs="Times New Roman"/>
          <w:b/>
          <w:bCs/>
        </w:rPr>
        <w:t>危险废物处置措</w:t>
      </w:r>
      <w:r>
        <w:rPr>
          <w:rFonts w:cs="Times New Roman"/>
          <w:b/>
        </w:rPr>
        <w:t>施可行性分析</w:t>
      </w:r>
    </w:p>
    <w:bookmarkEnd w:id="1842"/>
    <w:p w:rsidR="00C645C9" w:rsidRDefault="00F955D9">
      <w:pPr>
        <w:widowControl w:val="0"/>
        <w:adjustRightInd w:val="0"/>
        <w:snapToGrid w:val="0"/>
        <w:spacing w:line="360" w:lineRule="auto"/>
        <w:ind w:firstLineChars="200" w:firstLine="480"/>
        <w:jc w:val="both"/>
        <w:rPr>
          <w:rFonts w:cs="Times New Roman"/>
        </w:rPr>
      </w:pPr>
      <w:r>
        <w:rPr>
          <w:rFonts w:cs="Times New Roman"/>
        </w:rPr>
        <w:t>本</w:t>
      </w:r>
      <w:r>
        <w:rPr>
          <w:rFonts w:cs="Times New Roman"/>
        </w:rPr>
        <w:t>工程</w:t>
      </w:r>
      <w:r>
        <w:rPr>
          <w:rFonts w:cs="Times New Roman"/>
        </w:rPr>
        <w:t>产生的危险废物不在施工</w:t>
      </w:r>
      <w:r>
        <w:rPr>
          <w:rFonts w:cs="Times New Roman" w:hint="eastAsia"/>
        </w:rPr>
        <w:t>井</w:t>
      </w:r>
      <w:r>
        <w:rPr>
          <w:rFonts w:cs="Times New Roman"/>
        </w:rPr>
        <w:t>场储存，</w:t>
      </w:r>
      <w:r>
        <w:rPr>
          <w:rFonts w:cs="Times New Roman"/>
        </w:rPr>
        <w:t>直接在作业施工现场由施工人员回收至罐车内，罐车采用密闭的专用罐车，落地油由塔河油田绿色环保站进行无害化处理</w:t>
      </w:r>
      <w:r>
        <w:rPr>
          <w:rFonts w:cs="Times New Roman" w:hint="eastAsia"/>
        </w:rPr>
        <w:t>；</w:t>
      </w:r>
      <w:r>
        <w:rPr>
          <w:rFonts w:cs="Times New Roman"/>
          <w:snapToGrid w:val="0"/>
          <w:spacing w:val="4"/>
          <w:szCs w:val="22"/>
        </w:rPr>
        <w:t>废防渗材料</w:t>
      </w:r>
      <w:r>
        <w:rPr>
          <w:rFonts w:cs="Times New Roman" w:hint="eastAsia"/>
          <w:snapToGrid w:val="0"/>
          <w:spacing w:val="4"/>
          <w:szCs w:val="22"/>
        </w:rPr>
        <w:t>、</w:t>
      </w:r>
      <w:r>
        <w:rPr>
          <w:rFonts w:cs="Times New Roman"/>
          <w:snapToGrid w:val="0"/>
          <w:spacing w:val="4"/>
          <w:szCs w:val="22"/>
        </w:rPr>
        <w:t>清罐底泥</w:t>
      </w:r>
      <w:r>
        <w:rPr>
          <w:rFonts w:cs="Times New Roman" w:hint="eastAsia"/>
          <w:snapToGrid w:val="0"/>
          <w:spacing w:val="4"/>
          <w:szCs w:val="22"/>
        </w:rPr>
        <w:t>和</w:t>
      </w:r>
      <w:r>
        <w:rPr>
          <w:rFonts w:cs="Times New Roman"/>
          <w:snapToGrid w:val="0"/>
          <w:spacing w:val="4"/>
          <w:szCs w:val="22"/>
        </w:rPr>
        <w:t>废润滑油</w:t>
      </w:r>
      <w:r>
        <w:rPr>
          <w:rFonts w:cs="Times New Roman" w:hint="eastAsia"/>
        </w:rPr>
        <w:t>由</w:t>
      </w:r>
      <w:r>
        <w:rPr>
          <w:rFonts w:cs="Times New Roman"/>
        </w:rPr>
        <w:t>持有危险废物经营许可证的</w:t>
      </w:r>
      <w:r>
        <w:rPr>
          <w:rFonts w:cs="Times New Roman" w:hint="eastAsia"/>
        </w:rPr>
        <w:t>单位利用处置</w:t>
      </w:r>
      <w:r>
        <w:rPr>
          <w:rFonts w:cs="Times New Roman"/>
        </w:rPr>
        <w:t>，严格按照《</w:t>
      </w:r>
      <w:bookmarkStart w:id="1845" w:name="OLE_LINK685"/>
      <w:r>
        <w:rPr>
          <w:rFonts w:cs="Times New Roman"/>
        </w:rPr>
        <w:t>危险废物贮存污染控制标准</w:t>
      </w:r>
      <w:bookmarkEnd w:id="1845"/>
      <w:r>
        <w:rPr>
          <w:rFonts w:cs="Times New Roman"/>
        </w:rPr>
        <w:t>》</w:t>
      </w:r>
      <w:r>
        <w:rPr>
          <w:rFonts w:cs="Times New Roman"/>
        </w:rPr>
        <w:t>（</w:t>
      </w:r>
      <w:r>
        <w:rPr>
          <w:rFonts w:cs="Times New Roman"/>
        </w:rPr>
        <w:t>GB18597-2023</w:t>
      </w:r>
      <w:r>
        <w:rPr>
          <w:rFonts w:cs="Times New Roman"/>
        </w:rPr>
        <w:t>）、</w:t>
      </w:r>
      <w:r>
        <w:rPr>
          <w:rFonts w:cs="Times New Roman"/>
        </w:rPr>
        <w:t>《</w:t>
      </w:r>
      <w:bookmarkStart w:id="1846" w:name="OLE_LINK686"/>
      <w:r>
        <w:rPr>
          <w:rFonts w:cs="Times New Roman"/>
        </w:rPr>
        <w:t>危险废物收集</w:t>
      </w:r>
      <w:r>
        <w:rPr>
          <w:rFonts w:cs="Times New Roman"/>
        </w:rPr>
        <w:t xml:space="preserve"> </w:t>
      </w:r>
      <w:r>
        <w:rPr>
          <w:rFonts w:cs="Times New Roman"/>
        </w:rPr>
        <w:t>贮存</w:t>
      </w:r>
      <w:r>
        <w:rPr>
          <w:rFonts w:cs="Times New Roman"/>
        </w:rPr>
        <w:t xml:space="preserve"> </w:t>
      </w:r>
      <w:r>
        <w:rPr>
          <w:rFonts w:cs="Times New Roman"/>
        </w:rPr>
        <w:t>运输技术规范</w:t>
      </w:r>
      <w:bookmarkEnd w:id="1846"/>
      <w:r>
        <w:rPr>
          <w:rFonts w:cs="Times New Roman"/>
        </w:rPr>
        <w:t>》</w:t>
      </w:r>
      <w:r>
        <w:rPr>
          <w:rFonts w:cs="Times New Roman"/>
        </w:rPr>
        <w:t>（</w:t>
      </w:r>
      <w:r>
        <w:rPr>
          <w:rFonts w:cs="Times New Roman"/>
        </w:rPr>
        <w:t>HJ2025-2012</w:t>
      </w:r>
      <w:r>
        <w:rPr>
          <w:rFonts w:cs="Times New Roman"/>
        </w:rPr>
        <w:t>）</w:t>
      </w:r>
      <w:r>
        <w:rPr>
          <w:rFonts w:cs="Times New Roman"/>
        </w:rPr>
        <w:t>和《</w:t>
      </w:r>
      <w:bookmarkStart w:id="1847" w:name="OLE_LINK687"/>
      <w:r>
        <w:rPr>
          <w:rFonts w:cs="Times New Roman"/>
        </w:rPr>
        <w:t>危险废物转移管理办法</w:t>
      </w:r>
      <w:bookmarkEnd w:id="1847"/>
      <w:r>
        <w:rPr>
          <w:rFonts w:cs="Times New Roman"/>
        </w:rPr>
        <w:t>》</w:t>
      </w:r>
      <w:bookmarkStart w:id="1848" w:name="OLE_LINK689"/>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bookmarkEnd w:id="1848"/>
      <w:r>
        <w:rPr>
          <w:rFonts w:cs="Times New Roman"/>
        </w:rPr>
        <w:t>中的相关要求收集、贮存、运输。</w:t>
      </w:r>
      <w:r>
        <w:rPr>
          <w:rFonts w:cs="Times New Roman"/>
        </w:rPr>
        <w:t xml:space="preserve"> </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1</w:t>
      </w:r>
      <w:r>
        <w:rPr>
          <w:rFonts w:cs="Times New Roman"/>
        </w:rPr>
        <w:t>）</w:t>
      </w:r>
      <w:r>
        <w:rPr>
          <w:rFonts w:cs="Times New Roman"/>
        </w:rPr>
        <w:t>危险废物收集措施及可行性分析</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本</w:t>
      </w:r>
      <w:r>
        <w:rPr>
          <w:rFonts w:cs="Times New Roman"/>
        </w:rPr>
        <w:t>工程</w:t>
      </w:r>
      <w:r>
        <w:rPr>
          <w:rFonts w:cs="Times New Roman"/>
        </w:rPr>
        <w:t>建成运行后，</w:t>
      </w:r>
      <w:r>
        <w:rPr>
          <w:rFonts w:cs="Times New Roman"/>
          <w:kern w:val="2"/>
          <w:szCs w:val="20"/>
          <w:lang w:bidi="ar"/>
        </w:rPr>
        <w:t>雅克拉采气厂</w:t>
      </w:r>
      <w:r>
        <w:rPr>
          <w:rFonts w:cs="Times New Roman"/>
        </w:rPr>
        <w:t>应按照《</w:t>
      </w:r>
      <w:r>
        <w:rPr>
          <w:rFonts w:cs="Times New Roman"/>
        </w:rPr>
        <w:t>危险废物收集</w:t>
      </w:r>
      <w:r>
        <w:rPr>
          <w:rFonts w:cs="Times New Roman"/>
        </w:rPr>
        <w:t xml:space="preserve"> </w:t>
      </w:r>
      <w:r>
        <w:rPr>
          <w:rFonts w:cs="Times New Roman"/>
        </w:rPr>
        <w:t>贮存</w:t>
      </w:r>
      <w:r>
        <w:rPr>
          <w:rFonts w:cs="Times New Roman"/>
        </w:rPr>
        <w:t xml:space="preserve"> </w:t>
      </w:r>
      <w:r>
        <w:rPr>
          <w:rFonts w:cs="Times New Roman"/>
        </w:rPr>
        <w:t>运输技术规范</w:t>
      </w:r>
      <w:r>
        <w:rPr>
          <w:rFonts w:cs="Times New Roman"/>
        </w:rPr>
        <w:t>》</w:t>
      </w:r>
      <w:r>
        <w:rPr>
          <w:rFonts w:cs="Times New Roman"/>
        </w:rPr>
        <w:t xml:space="preserve"> </w:t>
      </w:r>
      <w:r>
        <w:rPr>
          <w:rFonts w:cs="Times New Roman"/>
        </w:rPr>
        <w:t>（</w:t>
      </w:r>
      <w:r>
        <w:rPr>
          <w:rFonts w:cs="Times New Roman"/>
        </w:rPr>
        <w:t>HJ2025-2012</w:t>
      </w:r>
      <w:r>
        <w:rPr>
          <w:rFonts w:cs="Times New Roman"/>
        </w:rPr>
        <w:t>）</w:t>
      </w:r>
      <w:r>
        <w:rPr>
          <w:rFonts w:cs="Times New Roman"/>
        </w:rPr>
        <w:t>、《</w:t>
      </w:r>
      <w:bookmarkStart w:id="1849" w:name="OLE_LINK691"/>
      <w:bookmarkStart w:id="1850" w:name="OLE_LINK692"/>
      <w:r>
        <w:rPr>
          <w:rFonts w:cs="Times New Roman"/>
        </w:rPr>
        <w:t>危险废物环境管理指南</w:t>
      </w:r>
      <w:bookmarkEnd w:id="1849"/>
      <w:r>
        <w:rPr>
          <w:rFonts w:cs="Times New Roman"/>
        </w:rPr>
        <w:t xml:space="preserve"> </w:t>
      </w:r>
      <w:r>
        <w:rPr>
          <w:rFonts w:cs="Times New Roman"/>
        </w:rPr>
        <w:t>陆上石油天然气开采</w:t>
      </w:r>
      <w:bookmarkEnd w:id="1850"/>
      <w:r>
        <w:rPr>
          <w:rFonts w:cs="Times New Roman"/>
        </w:rPr>
        <w:t>》</w:t>
      </w:r>
      <w:r>
        <w:rPr>
          <w:rFonts w:cs="Times New Roman"/>
        </w:rPr>
        <w:t>（</w:t>
      </w:r>
      <w:r>
        <w:rPr>
          <w:rFonts w:cs="Times New Roman"/>
        </w:rPr>
        <w:t>生态环境部公告</w:t>
      </w:r>
      <w:r>
        <w:rPr>
          <w:rFonts w:cs="Times New Roman"/>
        </w:rPr>
        <w:t>2021</w:t>
      </w:r>
      <w:r>
        <w:rPr>
          <w:rFonts w:cs="Times New Roman"/>
        </w:rPr>
        <w:t>年第</w:t>
      </w:r>
      <w:r>
        <w:rPr>
          <w:rFonts w:cs="Times New Roman"/>
        </w:rPr>
        <w:t>74</w:t>
      </w:r>
      <w:r>
        <w:rPr>
          <w:rFonts w:cs="Times New Roman"/>
        </w:rPr>
        <w:t>号</w:t>
      </w:r>
      <w:r>
        <w:rPr>
          <w:rFonts w:cs="Times New Roman"/>
        </w:rPr>
        <w:t>）</w:t>
      </w:r>
      <w:r>
        <w:rPr>
          <w:rFonts w:cs="Times New Roman"/>
        </w:rPr>
        <w:t>相关要求对含油废物进行收集和管理。</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收集危险废物的硬质桶应按要求设置明显的</w:t>
      </w:r>
      <w:r>
        <w:rPr>
          <w:rFonts w:cs="Times New Roman" w:hint="eastAsia"/>
        </w:rPr>
        <w:t>标明</w:t>
      </w:r>
      <w:r>
        <w:rPr>
          <w:rFonts w:cs="Times New Roman"/>
        </w:rPr>
        <w:t>危险废物相关信息的标签，标签信息应填写完整</w:t>
      </w:r>
      <w:r>
        <w:rPr>
          <w:rFonts w:cs="Times New Roman" w:hint="eastAsia"/>
        </w:rPr>
        <w:t>详实</w:t>
      </w:r>
      <w:r>
        <w:rPr>
          <w:rFonts w:cs="Times New Roman"/>
        </w:rPr>
        <w:t>。具体要求如下：</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cs="Times New Roman"/>
        </w:rPr>
        <w:t>①</w:t>
      </w:r>
      <w:r>
        <w:rPr>
          <w:rFonts w:cs="Times New Roman"/>
        </w:rPr>
        <w:fldChar w:fldCharType="end"/>
      </w:r>
      <w:r>
        <w:rPr>
          <w:rFonts w:cs="Times New Roman"/>
        </w:rPr>
        <w:t>危险废物标签规格颜色说明：规格</w:t>
      </w:r>
      <w:r>
        <w:rPr>
          <w:rFonts w:cs="Times New Roman" w:hint="eastAsia"/>
        </w:rPr>
        <w:t>为</w:t>
      </w:r>
      <w:r>
        <w:rPr>
          <w:rFonts w:cs="Times New Roman"/>
        </w:rPr>
        <w:t>正方形，</w:t>
      </w:r>
      <w:r>
        <w:rPr>
          <w:rFonts w:cs="Times New Roman"/>
        </w:rPr>
        <w:t>40×40cm</w:t>
      </w:r>
      <w:r>
        <w:rPr>
          <w:rFonts w:cs="Times New Roman"/>
        </w:rPr>
        <w:t>；底色</w:t>
      </w:r>
      <w:r>
        <w:rPr>
          <w:rFonts w:cs="Times New Roman" w:hint="eastAsia"/>
        </w:rPr>
        <w:t>为</w:t>
      </w:r>
      <w:r>
        <w:rPr>
          <w:rFonts w:cs="Times New Roman"/>
        </w:rPr>
        <w:t>醒目的橘黄色；字体</w:t>
      </w:r>
      <w:r>
        <w:rPr>
          <w:rFonts w:cs="Times New Roman" w:hint="eastAsia"/>
        </w:rPr>
        <w:t>为</w:t>
      </w:r>
      <w:r>
        <w:rPr>
          <w:rFonts w:cs="Times New Roman"/>
        </w:rPr>
        <w:t>黑体字；字体颜色</w:t>
      </w:r>
      <w:r>
        <w:rPr>
          <w:rFonts w:cs="Times New Roman" w:hint="eastAsia"/>
        </w:rPr>
        <w:t>为</w:t>
      </w:r>
      <w:r>
        <w:rPr>
          <w:rFonts w:cs="Times New Roman"/>
        </w:rPr>
        <w:t>黑色。</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2 \* GB3 \* MERGEFORMAT </w:instrText>
      </w:r>
      <w:r>
        <w:rPr>
          <w:rFonts w:cs="Times New Roman"/>
        </w:rPr>
        <w:fldChar w:fldCharType="separate"/>
      </w:r>
      <w:r>
        <w:rPr>
          <w:rFonts w:cs="Times New Roman"/>
        </w:rPr>
        <w:t>②</w:t>
      </w:r>
      <w:r>
        <w:rPr>
          <w:rFonts w:cs="Times New Roman"/>
        </w:rPr>
        <w:fldChar w:fldCharType="end"/>
      </w:r>
      <w:r>
        <w:rPr>
          <w:rFonts w:cs="Times New Roman"/>
        </w:rPr>
        <w:t>危险废物类别：按危险废物种类选择，危险废物类别</w:t>
      </w:r>
      <w:r>
        <w:rPr>
          <w:rFonts w:cs="Times New Roman"/>
        </w:rPr>
        <w:t>见图</w:t>
      </w:r>
      <w:r>
        <w:rPr>
          <w:rFonts w:cs="Times New Roman"/>
        </w:rPr>
        <w:t>6.</w:t>
      </w:r>
      <w:r>
        <w:rPr>
          <w:rFonts w:cs="Times New Roman" w:hint="eastAsia"/>
        </w:rPr>
        <w:t>7</w:t>
      </w:r>
      <w:r>
        <w:rPr>
          <w:rFonts w:cs="Times New Roman"/>
        </w:rPr>
        <w:t>-1</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rPr>
          <w:rFonts w:cs="Times New Roman"/>
        </w:rPr>
        <w:t>③</w:t>
      </w:r>
      <w:r>
        <w:rPr>
          <w:rFonts w:cs="Times New Roman"/>
        </w:rPr>
        <w:fldChar w:fldCharType="end"/>
      </w:r>
      <w:r>
        <w:rPr>
          <w:rFonts w:cs="Times New Roman"/>
        </w:rPr>
        <w:t>材料应坚固、耐用、抗风化、抗淋蚀</w:t>
      </w:r>
      <w:r>
        <w:rPr>
          <w:rFonts w:cs="Times New Roman"/>
        </w:rPr>
        <w:t>，危险废物相关信</w:t>
      </w:r>
      <w:r>
        <w:rPr>
          <w:rFonts w:cs="Times New Roman"/>
        </w:rPr>
        <w:t>息标签</w:t>
      </w:r>
      <w:r>
        <w:rPr>
          <w:rFonts w:cs="Times New Roman"/>
        </w:rPr>
        <w:t>见图</w:t>
      </w:r>
      <w:r>
        <w:rPr>
          <w:rFonts w:cs="Times New Roman"/>
        </w:rPr>
        <w:t>6.</w:t>
      </w:r>
      <w:r>
        <w:rPr>
          <w:rFonts w:cs="Times New Roman" w:hint="eastAsia"/>
        </w:rPr>
        <w:t>7</w:t>
      </w:r>
      <w:r>
        <w:rPr>
          <w:rFonts w:cs="Times New Roman"/>
        </w:rPr>
        <w:t>-2</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rPr>
          <w:rFonts w:cs="Times New Roman"/>
        </w:rPr>
        <w:t>④</w:t>
      </w:r>
      <w:r>
        <w:rPr>
          <w:rFonts w:cs="Times New Roman"/>
        </w:rPr>
        <w:fldChar w:fldCharType="end"/>
      </w:r>
      <w:r>
        <w:rPr>
          <w:rFonts w:cs="Times New Roman"/>
        </w:rPr>
        <w:t>装载液体、固体的危险废物的硬质桶内必须留足够的空间，硬质桶顶部与液体表面之间保留</w:t>
      </w:r>
      <w:r>
        <w:rPr>
          <w:rFonts w:cs="Times New Roman"/>
        </w:rPr>
        <w:t>100mm</w:t>
      </w:r>
      <w:r>
        <w:rPr>
          <w:rFonts w:cs="Times New Roman"/>
        </w:rPr>
        <w:t>以上的空间。</w:t>
      </w:r>
    </w:p>
    <w:p w:rsidR="00C645C9" w:rsidRDefault="00C645C9">
      <w:pPr>
        <w:widowControl w:val="0"/>
        <w:adjustRightInd w:val="0"/>
        <w:snapToGrid w:val="0"/>
        <w:jc w:val="center"/>
        <w:rPr>
          <w:rFonts w:cs="Times New Roman"/>
        </w:rPr>
      </w:pPr>
    </w:p>
    <w:p w:rsidR="00C645C9" w:rsidRDefault="00F955D9">
      <w:pPr>
        <w:widowControl w:val="0"/>
        <w:adjustRightInd w:val="0"/>
        <w:snapToGrid w:val="0"/>
        <w:ind w:firstLine="482"/>
        <w:jc w:val="center"/>
        <w:rPr>
          <w:rFonts w:eastAsia="黑体" w:cs="Times New Roman"/>
          <w:sz w:val="21"/>
        </w:rPr>
      </w:pPr>
      <w:r>
        <w:rPr>
          <w:rFonts w:eastAsia="黑体" w:cs="Times New Roman"/>
          <w:sz w:val="21"/>
        </w:rPr>
        <w:t>图</w:t>
      </w:r>
      <w:r>
        <w:rPr>
          <w:rFonts w:eastAsia="黑体" w:cs="Times New Roman"/>
          <w:sz w:val="21"/>
        </w:rPr>
        <w:t>6.</w:t>
      </w:r>
      <w:r>
        <w:rPr>
          <w:rFonts w:eastAsia="黑体" w:cs="Times New Roman" w:hint="eastAsia"/>
          <w:sz w:val="21"/>
        </w:rPr>
        <w:t>7</w:t>
      </w:r>
      <w:r>
        <w:rPr>
          <w:rFonts w:eastAsia="黑体" w:cs="Times New Roman"/>
          <w:sz w:val="21"/>
        </w:rPr>
        <w:t xml:space="preserve">-1   </w:t>
      </w:r>
      <w:r>
        <w:rPr>
          <w:rFonts w:eastAsia="黑体" w:cs="Times New Roman"/>
          <w:sz w:val="21"/>
        </w:rPr>
        <w:t>危险废物类别图</w:t>
      </w:r>
    </w:p>
    <w:p w:rsidR="00C645C9" w:rsidRDefault="00C645C9">
      <w:pPr>
        <w:pStyle w:val="11"/>
        <w:adjustRightInd w:val="0"/>
        <w:snapToGrid w:val="0"/>
        <w:jc w:val="center"/>
        <w:rPr>
          <w:sz w:val="24"/>
          <w:szCs w:val="24"/>
        </w:rPr>
      </w:pPr>
    </w:p>
    <w:p w:rsidR="00C645C9" w:rsidRDefault="00F955D9">
      <w:pPr>
        <w:widowControl w:val="0"/>
        <w:adjustRightInd w:val="0"/>
        <w:snapToGrid w:val="0"/>
        <w:ind w:firstLine="482"/>
        <w:jc w:val="center"/>
        <w:rPr>
          <w:rFonts w:eastAsia="黑体" w:cs="Times New Roman"/>
          <w:sz w:val="21"/>
        </w:rPr>
      </w:pPr>
      <w:r>
        <w:rPr>
          <w:rFonts w:eastAsia="黑体" w:cs="Times New Roman"/>
          <w:sz w:val="21"/>
        </w:rPr>
        <w:t>图</w:t>
      </w:r>
      <w:r>
        <w:rPr>
          <w:rFonts w:eastAsia="黑体" w:cs="Times New Roman"/>
          <w:sz w:val="21"/>
        </w:rPr>
        <w:t>6.</w:t>
      </w:r>
      <w:r>
        <w:rPr>
          <w:rFonts w:eastAsia="黑体" w:cs="Times New Roman" w:hint="eastAsia"/>
          <w:sz w:val="21"/>
        </w:rPr>
        <w:t>7</w:t>
      </w:r>
      <w:r>
        <w:rPr>
          <w:rFonts w:eastAsia="黑体" w:cs="Times New Roman"/>
          <w:sz w:val="21"/>
        </w:rPr>
        <w:t xml:space="preserve">-2   </w:t>
      </w:r>
      <w:r>
        <w:rPr>
          <w:rFonts w:eastAsia="黑体" w:cs="Times New Roman"/>
          <w:sz w:val="21"/>
        </w:rPr>
        <w:t>危险废物相关信息标签</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2</w:t>
      </w:r>
      <w:r>
        <w:rPr>
          <w:rFonts w:cs="Times New Roman"/>
        </w:rPr>
        <w:t>）</w:t>
      </w:r>
      <w:r>
        <w:rPr>
          <w:rFonts w:cs="Times New Roman"/>
        </w:rPr>
        <w:t>危险废物运输依托可行性分析</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lastRenderedPageBreak/>
        <w:t>本</w:t>
      </w:r>
      <w:r>
        <w:rPr>
          <w:rFonts w:cs="Times New Roman"/>
        </w:rPr>
        <w:t>工程</w:t>
      </w:r>
      <w:r>
        <w:rPr>
          <w:rFonts w:cs="Times New Roman"/>
        </w:rPr>
        <w:t>产生的危险废物委托</w:t>
      </w:r>
      <w:r>
        <w:rPr>
          <w:rFonts w:cs="Times New Roman"/>
        </w:rPr>
        <w:t>持有</w:t>
      </w:r>
      <w:r>
        <w:rPr>
          <w:rFonts w:cs="Times New Roman"/>
        </w:rPr>
        <w:t>危险废物运输资质的单位采用专用运输车辆进行运输，按要求填写危险废物的收集记录、转运记录表，并将记录表作为危险废物管理的重要档案妥善保存。并严格按照《危险废物转移管理办法》</w:t>
      </w:r>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r>
        <w:rPr>
          <w:rFonts w:cs="Times New Roman"/>
        </w:rPr>
        <w:t>，实施危险废物转移联单管理制度。为防止危险废物在</w:t>
      </w:r>
      <w:r>
        <w:rPr>
          <w:rFonts w:cs="Times New Roman" w:hint="eastAsia"/>
        </w:rPr>
        <w:t>井场</w:t>
      </w:r>
      <w:r>
        <w:rPr>
          <w:rFonts w:cs="Times New Roman"/>
        </w:rPr>
        <w:t>内临时贮存过程中对环境产生污染影响，根据《危险废物转移管理办法》</w:t>
      </w:r>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r>
        <w:rPr>
          <w:rFonts w:cs="Times New Roman"/>
        </w:rPr>
        <w:t>、</w:t>
      </w:r>
      <w:r>
        <w:rPr>
          <w:rFonts w:cs="Times New Roman"/>
        </w:rPr>
        <w:t>《</w:t>
      </w:r>
      <w:bookmarkStart w:id="1851" w:name="OLE_LINK695"/>
      <w:r>
        <w:rPr>
          <w:rFonts w:cs="Times New Roman"/>
        </w:rPr>
        <w:t>危险废物产生单位管理计划制定指南</w:t>
      </w:r>
      <w:bookmarkEnd w:id="1851"/>
      <w:r>
        <w:rPr>
          <w:rFonts w:cs="Times New Roman" w:hint="eastAsia"/>
        </w:rPr>
        <w:t>》《</w:t>
      </w:r>
      <w:r>
        <w:rPr>
          <w:rFonts w:cs="Times New Roman"/>
        </w:rPr>
        <w:t>危险废物贮存污染控制标准》</w:t>
      </w:r>
      <w:r>
        <w:rPr>
          <w:rFonts w:cs="Times New Roman"/>
        </w:rPr>
        <w:t>（</w:t>
      </w:r>
      <w:r>
        <w:rPr>
          <w:rFonts w:cs="Times New Roman"/>
        </w:rPr>
        <w:t>GB18597-2023</w:t>
      </w:r>
      <w:r>
        <w:rPr>
          <w:rFonts w:cs="Times New Roman"/>
        </w:rPr>
        <w:t>）</w:t>
      </w:r>
      <w:r>
        <w:rPr>
          <w:rFonts w:cs="Times New Roman"/>
        </w:rPr>
        <w:t>及《危险废物收集</w:t>
      </w:r>
      <w:r>
        <w:rPr>
          <w:rFonts w:cs="Times New Roman"/>
        </w:rPr>
        <w:t xml:space="preserve"> </w:t>
      </w:r>
      <w:r>
        <w:rPr>
          <w:rFonts w:cs="Times New Roman"/>
        </w:rPr>
        <w:t>贮存</w:t>
      </w:r>
      <w:r>
        <w:rPr>
          <w:rFonts w:cs="Times New Roman"/>
        </w:rPr>
        <w:t xml:space="preserve"> </w:t>
      </w:r>
      <w:r>
        <w:rPr>
          <w:rFonts w:cs="Times New Roman"/>
        </w:rPr>
        <w:t>运输技术规范》</w:t>
      </w:r>
      <w:r>
        <w:rPr>
          <w:rFonts w:cs="Times New Roman"/>
        </w:rPr>
        <w:t>（</w:t>
      </w:r>
      <w:r>
        <w:rPr>
          <w:rFonts w:cs="Times New Roman"/>
        </w:rPr>
        <w:t>HJ2025-2012</w:t>
      </w:r>
      <w:r>
        <w:rPr>
          <w:rFonts w:cs="Times New Roman"/>
        </w:rPr>
        <w:t>）</w:t>
      </w:r>
      <w:r>
        <w:rPr>
          <w:rFonts w:cs="Times New Roman"/>
        </w:rPr>
        <w:t>中的相关要求，本评价要求：</w:t>
      </w:r>
    </w:p>
    <w:p w:rsidR="00C645C9" w:rsidRDefault="00F955D9">
      <w:pPr>
        <w:widowControl w:val="0"/>
        <w:adjustRightInd w:val="0"/>
        <w:snapToGrid w:val="0"/>
        <w:spacing w:line="360" w:lineRule="auto"/>
        <w:ind w:firstLineChars="200" w:firstLine="480"/>
        <w:jc w:val="both"/>
        <w:rPr>
          <w:rFonts w:cs="Times New Roman"/>
        </w:rPr>
      </w:pPr>
      <w:bookmarkStart w:id="1852" w:name="OLE_LINK721"/>
      <w:r>
        <w:rPr>
          <w:rFonts w:cs="Times New Roman"/>
        </w:rPr>
        <w:t>①</w:t>
      </w:r>
      <w:bookmarkEnd w:id="1852"/>
      <w:r>
        <w:rPr>
          <w:rFonts w:cs="Times New Roman"/>
        </w:rPr>
        <w:t>危险废物转移过程应采取防扬散、防流失、防渗漏措施，不得擅自倾倒、堆放、丢弃、遗撒；制定危险废物突发环境事件的防范措施和应急预案，发生危险废物突发环境事件时，采取有效措施消除或者减轻对环境的污染危害；制定危险废物管理计划，结合自身的实际情况，与生产记录相衔接，建立危险废物管理台账记录，如实记载产生危险废物的种类、数量、流向、贮存、利用处置等信息，并填写、运行危险废物转移联单。</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②</w:t>
      </w:r>
      <w:r>
        <w:rPr>
          <w:rFonts w:cs="Times New Roman"/>
        </w:rPr>
        <w:t>建设单位在借鉴同行业发展水平和经验的基础上，提出减少危险废物产生量和危害性的计划，明确改进原料、工艺、技术、管理等方面的具体措施。</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③</w:t>
      </w:r>
      <w:r>
        <w:rPr>
          <w:rFonts w:cs="Times New Roman"/>
        </w:rPr>
        <w:t>危险废物内部转运作业应满足如下要求：综合考虑站内的实际情况确定转运路线，尽量避开办公区和生活区；危险废物内部转运作业应采用专用的工具，内部转运填写《危险废物厂内转运记录表》；危险废物内部转运结束后，应对转运路线进行检查和清理，确保无危险废物遗失在转运路线上，并对转运工具进行清洗。</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④</w:t>
      </w:r>
      <w:r>
        <w:rPr>
          <w:rFonts w:cs="Times New Roman"/>
        </w:rPr>
        <w:t>危险废物转移应遵从《危险废物转移管理办法》</w:t>
      </w:r>
      <w:r>
        <w:rPr>
          <w:rFonts w:cs="Times New Roman"/>
        </w:rPr>
        <w:t>（</w:t>
      </w:r>
      <w:r>
        <w:rPr>
          <w:rFonts w:cs="Times New Roman"/>
        </w:rPr>
        <w:t>生态环境部令第</w:t>
      </w:r>
      <w:r>
        <w:rPr>
          <w:rFonts w:cs="Times New Roman" w:hint="eastAsia"/>
        </w:rPr>
        <w:t>23</w:t>
      </w:r>
      <w:r>
        <w:rPr>
          <w:rFonts w:cs="Times New Roman"/>
        </w:rPr>
        <w:t>号</w:t>
      </w:r>
      <w:r>
        <w:rPr>
          <w:rFonts w:cs="Times New Roman"/>
        </w:rPr>
        <w:t>）</w:t>
      </w:r>
      <w:r>
        <w:rPr>
          <w:rFonts w:cs="Times New Roman"/>
        </w:rPr>
        <w:t>及其他有关规定的要求。</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w:t>
      </w:r>
      <w:r>
        <w:rPr>
          <w:rFonts w:cs="Times New Roman"/>
        </w:rPr>
        <w:t>3</w:t>
      </w:r>
      <w:r>
        <w:rPr>
          <w:rFonts w:cs="Times New Roman"/>
        </w:rPr>
        <w:t>）危险废物</w:t>
      </w:r>
      <w:r>
        <w:rPr>
          <w:rFonts w:cs="Times New Roman"/>
        </w:rPr>
        <w:t>处置依托可行性分析</w:t>
      </w:r>
    </w:p>
    <w:bookmarkStart w:id="1853" w:name="OLE_LINK719"/>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1 \* GB3 \* MERGEFORMAT </w:instrText>
      </w:r>
      <w:r>
        <w:rPr>
          <w:rFonts w:cs="Times New Roman"/>
        </w:rPr>
        <w:fldChar w:fldCharType="separate"/>
      </w:r>
      <w:r>
        <w:rPr>
          <w:rFonts w:cs="Times New Roman"/>
        </w:rPr>
        <w:t>①</w:t>
      </w:r>
      <w:r>
        <w:rPr>
          <w:rFonts w:cs="Times New Roman"/>
        </w:rPr>
        <w:fldChar w:fldCharType="end"/>
      </w:r>
      <w:r>
        <w:rPr>
          <w:rFonts w:cs="Times New Roman"/>
        </w:rPr>
        <w:t>落地油</w:t>
      </w:r>
    </w:p>
    <w:p w:rsidR="00C645C9" w:rsidRDefault="00F955D9">
      <w:pPr>
        <w:widowControl w:val="0"/>
        <w:adjustRightInd w:val="0"/>
        <w:snapToGrid w:val="0"/>
        <w:spacing w:line="360" w:lineRule="auto"/>
        <w:ind w:firstLineChars="200" w:firstLine="480"/>
        <w:jc w:val="both"/>
        <w:rPr>
          <w:rFonts w:cs="Times New Roman"/>
        </w:rPr>
      </w:pPr>
      <w:bookmarkStart w:id="1854" w:name="OLE_LINK722"/>
      <w:r>
        <w:rPr>
          <w:rFonts w:cs="Times New Roman"/>
        </w:rPr>
        <w:t>落地油</w:t>
      </w:r>
      <w:bookmarkEnd w:id="1854"/>
      <w:r>
        <w:rPr>
          <w:rFonts w:cs="Times New Roman"/>
        </w:rPr>
        <w:t>主要来自</w:t>
      </w:r>
      <w:r>
        <w:rPr>
          <w:rFonts w:cs="Times New Roman"/>
        </w:rPr>
        <w:t>井下作业环节</w:t>
      </w:r>
      <w:r>
        <w:rPr>
          <w:rFonts w:cs="Times New Roman"/>
        </w:rPr>
        <w:t>和</w:t>
      </w:r>
      <w:r>
        <w:rPr>
          <w:rFonts w:cs="Times New Roman" w:hint="eastAsia"/>
        </w:rPr>
        <w:t>油气</w:t>
      </w:r>
      <w:r>
        <w:rPr>
          <w:rFonts w:cs="Times New Roman"/>
        </w:rPr>
        <w:t>处理环节等</w:t>
      </w:r>
      <w:r>
        <w:rPr>
          <w:rFonts w:cs="Times New Roman"/>
        </w:rPr>
        <w:t>。</w:t>
      </w:r>
      <w:r>
        <w:rPr>
          <w:rFonts w:cs="Times New Roman"/>
        </w:rPr>
        <w:t>根据</w:t>
      </w:r>
      <w:r>
        <w:rPr>
          <w:rFonts w:cs="Times New Roman"/>
        </w:rPr>
        <w:t>《国家危险废物名录</w:t>
      </w:r>
      <w:r>
        <w:rPr>
          <w:rFonts w:cs="Times New Roman"/>
        </w:rPr>
        <w:t>（</w:t>
      </w:r>
      <w:r>
        <w:rPr>
          <w:rFonts w:cs="Times New Roman"/>
        </w:rPr>
        <w:t>2025</w:t>
      </w:r>
      <w:r>
        <w:rPr>
          <w:rFonts w:cs="Times New Roman"/>
        </w:rPr>
        <w:t>年版</w:t>
      </w:r>
      <w:r>
        <w:rPr>
          <w:rFonts w:cs="Times New Roman"/>
        </w:rPr>
        <w:t>）</w:t>
      </w:r>
      <w:r>
        <w:rPr>
          <w:rFonts w:cs="Times New Roman"/>
        </w:rPr>
        <w:t>》</w:t>
      </w:r>
      <w:bookmarkStart w:id="1855" w:name="OLE_LINK720"/>
      <w:bookmarkEnd w:id="1853"/>
      <w:r>
        <w:rPr>
          <w:rFonts w:cs="Times New Roman"/>
        </w:rPr>
        <w:t>（</w:t>
      </w:r>
      <w:r>
        <w:rPr>
          <w:rFonts w:cs="Times New Roman"/>
        </w:rPr>
        <w:t>生态环境部令第</w:t>
      </w:r>
      <w:r>
        <w:rPr>
          <w:rFonts w:cs="Times New Roman"/>
        </w:rPr>
        <w:t>36</w:t>
      </w:r>
      <w:r>
        <w:rPr>
          <w:rFonts w:cs="Times New Roman"/>
        </w:rPr>
        <w:t>号</w:t>
      </w:r>
      <w:r>
        <w:rPr>
          <w:rFonts w:cs="Times New Roman"/>
        </w:rPr>
        <w:t>）</w:t>
      </w:r>
      <w:bookmarkEnd w:id="1855"/>
      <w:r>
        <w:rPr>
          <w:rFonts w:cs="Times New Roman"/>
        </w:rPr>
        <w:t>，</w:t>
      </w:r>
      <w:r>
        <w:rPr>
          <w:rFonts w:cs="Times New Roman"/>
        </w:rPr>
        <w:t>本</w:t>
      </w:r>
      <w:r>
        <w:rPr>
          <w:rFonts w:cs="Times New Roman"/>
        </w:rPr>
        <w:t>工程</w:t>
      </w:r>
      <w:r>
        <w:rPr>
          <w:rFonts w:cs="Times New Roman"/>
        </w:rPr>
        <w:t>落地油</w:t>
      </w:r>
      <w:r>
        <w:rPr>
          <w:rFonts w:cs="Times New Roman"/>
        </w:rPr>
        <w:t>废物类别</w:t>
      </w:r>
      <w:r>
        <w:rPr>
          <w:rFonts w:cs="Times New Roman"/>
        </w:rPr>
        <w:t>为</w:t>
      </w:r>
      <w:r>
        <w:rPr>
          <w:rFonts w:cs="Times New Roman"/>
        </w:rPr>
        <w:t>HW08</w:t>
      </w:r>
      <w:r>
        <w:rPr>
          <w:rFonts w:cs="Times New Roman"/>
        </w:rPr>
        <w:t>废矿物油与含矿物油废物</w:t>
      </w:r>
      <w:r>
        <w:rPr>
          <w:rFonts w:cs="Times New Roman"/>
        </w:rPr>
        <w:t>（废物代码：</w:t>
      </w:r>
      <w:r>
        <w:rPr>
          <w:rFonts w:cs="Times New Roman"/>
        </w:rPr>
        <w:t>071-001-08</w:t>
      </w:r>
      <w:r>
        <w:rPr>
          <w:rFonts w:cs="Times New Roman"/>
        </w:rPr>
        <w:t>）</w:t>
      </w:r>
      <w:r>
        <w:rPr>
          <w:rFonts w:cs="Times New Roman"/>
        </w:rPr>
        <w:t>，产生量为</w:t>
      </w:r>
      <w:r>
        <w:rPr>
          <w:rFonts w:cs="Times New Roman"/>
        </w:rPr>
        <w:t>0.</w:t>
      </w:r>
      <w:r>
        <w:rPr>
          <w:rFonts w:cs="Times New Roman"/>
        </w:rPr>
        <w:t>1</w:t>
      </w:r>
      <w:r>
        <w:rPr>
          <w:rFonts w:cs="Times New Roman"/>
        </w:rPr>
        <w:t>t/a</w:t>
      </w:r>
      <w:r>
        <w:rPr>
          <w:rFonts w:cs="Times New Roman"/>
        </w:rPr>
        <w:t>。</w:t>
      </w:r>
      <w:r>
        <w:rPr>
          <w:rFonts w:cs="Times New Roman"/>
        </w:rPr>
        <w:t>落地油不在施工井场储存，直接在作业施工现场由施工人员回收至密闭的专用罐车内，</w:t>
      </w:r>
      <w:r>
        <w:rPr>
          <w:rFonts w:cs="Times New Roman"/>
          <w:snapToGrid w:val="0"/>
          <w:spacing w:val="4"/>
          <w:szCs w:val="22"/>
        </w:rPr>
        <w:t>统一由塔河油田绿色环保站进行无害化处理</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lastRenderedPageBreak/>
        <w:fldChar w:fldCharType="begin"/>
      </w:r>
      <w:r>
        <w:rPr>
          <w:rFonts w:cs="Times New Roman"/>
        </w:rPr>
        <w:instrText xml:space="preserve"> = 2 \* GB3 \* MERGEFORMAT </w:instrText>
      </w:r>
      <w:r>
        <w:rPr>
          <w:rFonts w:cs="Times New Roman"/>
        </w:rPr>
        <w:fldChar w:fldCharType="separate"/>
      </w:r>
      <w:r>
        <w:rPr>
          <w:rFonts w:cs="Times New Roman"/>
        </w:rPr>
        <w:t>②</w:t>
      </w:r>
      <w:r>
        <w:rPr>
          <w:rFonts w:cs="Times New Roman"/>
        </w:rPr>
        <w:fldChar w:fldCharType="end"/>
      </w:r>
      <w:r>
        <w:rPr>
          <w:rFonts w:cs="Times New Roman"/>
        </w:rPr>
        <w:t>废润滑油</w:t>
      </w:r>
    </w:p>
    <w:p w:rsidR="00C645C9" w:rsidRDefault="00F955D9">
      <w:pPr>
        <w:widowControl w:val="0"/>
        <w:adjustRightInd w:val="0"/>
        <w:snapToGrid w:val="0"/>
        <w:spacing w:line="360" w:lineRule="auto"/>
        <w:ind w:firstLineChars="200" w:firstLine="480"/>
        <w:jc w:val="both"/>
        <w:rPr>
          <w:rFonts w:cs="Times New Roman"/>
        </w:rPr>
      </w:pPr>
      <w:bookmarkStart w:id="1856" w:name="OLE_LINK723"/>
      <w:r>
        <w:rPr>
          <w:rFonts w:cs="Times New Roman"/>
        </w:rPr>
        <w:t>废润滑油</w:t>
      </w:r>
      <w:bookmarkEnd w:id="1856"/>
      <w:r>
        <w:rPr>
          <w:rFonts w:cs="Times New Roman"/>
        </w:rPr>
        <w:t>主要来自设备维修</w:t>
      </w:r>
      <w:r>
        <w:rPr>
          <w:rFonts w:cs="Times New Roman"/>
        </w:rPr>
        <w:t>过程</w:t>
      </w:r>
      <w:r>
        <w:rPr>
          <w:rFonts w:cs="Times New Roman"/>
        </w:rPr>
        <w:t>。</w:t>
      </w:r>
      <w:r>
        <w:rPr>
          <w:rFonts w:cs="Times New Roman"/>
        </w:rPr>
        <w:t>根据</w:t>
      </w:r>
      <w:r>
        <w:rPr>
          <w:rFonts w:cs="Times New Roman"/>
        </w:rPr>
        <w:t>《国家危险废物名录（</w:t>
      </w:r>
      <w:r>
        <w:rPr>
          <w:rFonts w:cs="Times New Roman"/>
        </w:rPr>
        <w:t>2025</w:t>
      </w:r>
      <w:r>
        <w:rPr>
          <w:rFonts w:cs="Times New Roman"/>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rPr>
        <w:t>，废润滑油</w:t>
      </w:r>
      <w:r>
        <w:rPr>
          <w:rFonts w:cs="Times New Roman"/>
        </w:rPr>
        <w:t>属于</w:t>
      </w:r>
      <w:r>
        <w:rPr>
          <w:rFonts w:cs="Times New Roman"/>
        </w:rPr>
        <w:t>HW08</w:t>
      </w:r>
      <w:r>
        <w:rPr>
          <w:rFonts w:cs="Times New Roman"/>
        </w:rPr>
        <w:t>废矿物油与含矿物油废物</w:t>
      </w:r>
      <w:r>
        <w:rPr>
          <w:rFonts w:cs="Times New Roman"/>
        </w:rPr>
        <w:t>（废物代码：</w:t>
      </w:r>
      <w:r>
        <w:rPr>
          <w:rFonts w:cs="Times New Roman"/>
        </w:rPr>
        <w:t>900-214-08</w:t>
      </w:r>
      <w:r>
        <w:rPr>
          <w:rFonts w:cs="Times New Roman"/>
        </w:rPr>
        <w:t>）。废润滑油间歇产生，废润滑油</w:t>
      </w:r>
      <w:r>
        <w:rPr>
          <w:rFonts w:cs="Times New Roman"/>
        </w:rPr>
        <w:t>产生</w:t>
      </w:r>
      <w:r>
        <w:rPr>
          <w:rFonts w:cs="Times New Roman"/>
        </w:rPr>
        <w:t>量约</w:t>
      </w:r>
      <w:r>
        <w:rPr>
          <w:rFonts w:cs="Times New Roman"/>
        </w:rPr>
        <w:t>0.5</w:t>
      </w:r>
      <w:r>
        <w:rPr>
          <w:rFonts w:cs="Times New Roman"/>
        </w:rPr>
        <w:t>t/a</w:t>
      </w:r>
      <w:r>
        <w:rPr>
          <w:rFonts w:cs="Times New Roman"/>
        </w:rPr>
        <w:t>，</w:t>
      </w:r>
      <w:r>
        <w:rPr>
          <w:rFonts w:cs="Times New Roman"/>
        </w:rPr>
        <w:t>收集后委托持有危险废物经营许可证的单位利用处置</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3 \* GB3 \* MERGEFORMAT </w:instrText>
      </w:r>
      <w:r>
        <w:rPr>
          <w:rFonts w:cs="Times New Roman"/>
        </w:rPr>
        <w:fldChar w:fldCharType="separate"/>
      </w:r>
      <w:r>
        <w:rPr>
          <w:rFonts w:cs="Times New Roman"/>
        </w:rPr>
        <w:t>③</w:t>
      </w:r>
      <w:r>
        <w:rPr>
          <w:rFonts w:cs="Times New Roman"/>
        </w:rPr>
        <w:fldChar w:fldCharType="end"/>
      </w:r>
      <w:r>
        <w:rPr>
          <w:rFonts w:cs="Times New Roman"/>
        </w:rPr>
        <w:t>清罐底泥</w:t>
      </w:r>
    </w:p>
    <w:p w:rsidR="00C645C9" w:rsidRDefault="00F955D9">
      <w:pPr>
        <w:widowControl w:val="0"/>
        <w:adjustRightInd w:val="0"/>
        <w:snapToGrid w:val="0"/>
        <w:spacing w:line="360" w:lineRule="auto"/>
        <w:ind w:firstLineChars="200" w:firstLine="480"/>
        <w:jc w:val="both"/>
        <w:rPr>
          <w:rFonts w:cs="Times New Roman"/>
        </w:rPr>
      </w:pPr>
      <w:bookmarkStart w:id="1857" w:name="OLE_LINK724"/>
      <w:r>
        <w:rPr>
          <w:rFonts w:cs="Times New Roman"/>
        </w:rPr>
        <w:t>清罐底泥</w:t>
      </w:r>
      <w:bookmarkEnd w:id="1857"/>
      <w:r>
        <w:rPr>
          <w:rFonts w:cs="Times New Roman"/>
        </w:rPr>
        <w:t>主要来自井场储罐和天然气处理装置排污罐。根据《国家危险废物名录（</w:t>
      </w:r>
      <w:r>
        <w:rPr>
          <w:rFonts w:cs="Times New Roman"/>
        </w:rPr>
        <w:t>2025</w:t>
      </w:r>
      <w:r>
        <w:rPr>
          <w:rFonts w:cs="Times New Roman"/>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rPr>
        <w:t>，落地油废物类别为</w:t>
      </w:r>
      <w:r>
        <w:rPr>
          <w:rFonts w:cs="Times New Roman"/>
        </w:rPr>
        <w:t>HW08</w:t>
      </w:r>
      <w:r>
        <w:rPr>
          <w:rFonts w:cs="Times New Roman"/>
        </w:rPr>
        <w:t>废矿物油与含矿物油废物（废物代码：</w:t>
      </w:r>
      <w:r>
        <w:rPr>
          <w:rFonts w:cs="Times New Roman"/>
        </w:rPr>
        <w:t>071-001-08</w:t>
      </w:r>
      <w:r>
        <w:rPr>
          <w:rFonts w:cs="Times New Roman"/>
        </w:rPr>
        <w:t>）。根据油田资料类比分析，预计回收油泥</w:t>
      </w:r>
      <w:r>
        <w:rPr>
          <w:rFonts w:cs="Times New Roman"/>
        </w:rPr>
        <w:t>0.1t/a</w:t>
      </w:r>
      <w:r>
        <w:rPr>
          <w:rFonts w:cs="Times New Roman"/>
        </w:rPr>
        <w:t>。清罐底泥直接在作业施</w:t>
      </w:r>
      <w:r>
        <w:rPr>
          <w:rFonts w:cs="Times New Roman"/>
        </w:rPr>
        <w:t>工现场由施工人员回收至密闭的专用罐车内，委托持有危险废物经营许可证的单位利用处置</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fldChar w:fldCharType="begin"/>
      </w:r>
      <w:r>
        <w:rPr>
          <w:rFonts w:cs="Times New Roman"/>
        </w:rPr>
        <w:instrText xml:space="preserve"> = 4 \* GB3 \* MERGEFORMAT </w:instrText>
      </w:r>
      <w:r>
        <w:rPr>
          <w:rFonts w:cs="Times New Roman"/>
        </w:rPr>
        <w:fldChar w:fldCharType="separate"/>
      </w:r>
      <w:r>
        <w:rPr>
          <w:rFonts w:cs="Times New Roman"/>
        </w:rPr>
        <w:t>④</w:t>
      </w:r>
      <w:r>
        <w:rPr>
          <w:rFonts w:cs="Times New Roman"/>
        </w:rPr>
        <w:fldChar w:fldCharType="end"/>
      </w:r>
      <w:r>
        <w:rPr>
          <w:rFonts w:cs="Times New Roman"/>
        </w:rPr>
        <w:t>废防渗材料</w:t>
      </w:r>
    </w:p>
    <w:p w:rsidR="00C645C9" w:rsidRDefault="00F955D9">
      <w:pPr>
        <w:widowControl w:val="0"/>
        <w:adjustRightInd w:val="0"/>
        <w:snapToGrid w:val="0"/>
        <w:spacing w:line="360" w:lineRule="auto"/>
        <w:ind w:firstLineChars="200" w:firstLine="480"/>
        <w:jc w:val="both"/>
        <w:rPr>
          <w:rFonts w:cs="Times New Roman"/>
        </w:rPr>
      </w:pPr>
      <w:bookmarkStart w:id="1858" w:name="OLE_LINK725"/>
      <w:r>
        <w:rPr>
          <w:rFonts w:cs="Times New Roman"/>
        </w:rPr>
        <w:t>废防渗材料</w:t>
      </w:r>
      <w:bookmarkEnd w:id="1858"/>
      <w:r>
        <w:rPr>
          <w:rFonts w:cs="Times New Roman"/>
        </w:rPr>
        <w:t>主要来自作业过程。根据《国家危险废物名录（</w:t>
      </w:r>
      <w:r>
        <w:rPr>
          <w:rFonts w:cs="Times New Roman"/>
        </w:rPr>
        <w:t>2025</w:t>
      </w:r>
      <w:r>
        <w:rPr>
          <w:rFonts w:cs="Times New Roman"/>
        </w:rPr>
        <w:t>年版）》</w:t>
      </w:r>
      <w:r>
        <w:rPr>
          <w:rFonts w:cs="Times New Roman"/>
        </w:rPr>
        <w:t>（</w:t>
      </w:r>
      <w:r>
        <w:rPr>
          <w:rFonts w:cs="Times New Roman"/>
        </w:rPr>
        <w:t>生态环境部令第</w:t>
      </w:r>
      <w:r>
        <w:rPr>
          <w:rFonts w:cs="Times New Roman"/>
        </w:rPr>
        <w:t>36</w:t>
      </w:r>
      <w:r>
        <w:rPr>
          <w:rFonts w:cs="Times New Roman"/>
        </w:rPr>
        <w:t>号</w:t>
      </w:r>
      <w:r>
        <w:rPr>
          <w:rFonts w:cs="Times New Roman"/>
        </w:rPr>
        <w:t>）</w:t>
      </w:r>
      <w:r>
        <w:rPr>
          <w:rFonts w:cs="Times New Roman"/>
        </w:rPr>
        <w:t>，废防渗材料</w:t>
      </w:r>
      <w:r>
        <w:rPr>
          <w:rFonts w:cs="Times New Roman"/>
        </w:rPr>
        <w:t>废物类别</w:t>
      </w:r>
      <w:r>
        <w:rPr>
          <w:rFonts w:cs="Times New Roman"/>
        </w:rPr>
        <w:t>为</w:t>
      </w:r>
      <w:r>
        <w:rPr>
          <w:rFonts w:cs="Times New Roman"/>
        </w:rPr>
        <w:t>HW08</w:t>
      </w:r>
      <w:r>
        <w:rPr>
          <w:rFonts w:cs="Times New Roman"/>
        </w:rPr>
        <w:t>废矿物油与含矿物油废物</w:t>
      </w:r>
      <w:r>
        <w:rPr>
          <w:rFonts w:cs="Times New Roman"/>
        </w:rPr>
        <w:t>（废物代码：</w:t>
      </w:r>
      <w:r>
        <w:rPr>
          <w:rFonts w:cs="Times New Roman"/>
        </w:rPr>
        <w:t>900-249-08</w:t>
      </w:r>
      <w:r>
        <w:rPr>
          <w:rFonts w:cs="Times New Roman"/>
        </w:rPr>
        <w:t>）</w:t>
      </w:r>
      <w:r>
        <w:rPr>
          <w:rFonts w:cs="Times New Roman"/>
        </w:rPr>
        <w:t>。</w:t>
      </w:r>
    </w:p>
    <w:p w:rsidR="00C645C9" w:rsidRDefault="00F955D9">
      <w:pPr>
        <w:widowControl w:val="0"/>
        <w:adjustRightInd w:val="0"/>
        <w:snapToGrid w:val="0"/>
        <w:spacing w:line="360" w:lineRule="auto"/>
        <w:ind w:firstLineChars="200" w:firstLine="480"/>
        <w:jc w:val="both"/>
        <w:rPr>
          <w:rFonts w:cs="Times New Roman"/>
        </w:rPr>
      </w:pPr>
      <w:r>
        <w:rPr>
          <w:rFonts w:cs="Times New Roman"/>
        </w:rPr>
        <w:t>本工程</w:t>
      </w:r>
      <w:r>
        <w:rPr>
          <w:rFonts w:cs="Times New Roman"/>
        </w:rPr>
        <w:t>运营期作业时，作业场地下方铺设防渗材料，产生的落地油直接落在防渗材料上，目前油田使用的防渗材料均可重复利用，平均重复利用</w:t>
      </w:r>
      <w:r>
        <w:rPr>
          <w:rFonts w:cs="Times New Roman"/>
        </w:rPr>
        <w:t>1-2</w:t>
      </w:r>
      <w:r>
        <w:rPr>
          <w:rFonts w:cs="Times New Roman"/>
        </w:rPr>
        <w:t>年。单块防渗材料重约</w:t>
      </w:r>
      <w:r>
        <w:rPr>
          <w:rFonts w:cs="Times New Roman"/>
        </w:rPr>
        <w:t>250kg</w:t>
      </w:r>
      <w:r>
        <w:rPr>
          <w:rFonts w:cs="Times New Roman"/>
        </w:rPr>
        <w:t>（</w:t>
      </w:r>
      <w:r>
        <w:rPr>
          <w:rFonts w:cs="Times New Roman"/>
        </w:rPr>
        <w:t>12m×12m</w:t>
      </w:r>
      <w:r>
        <w:rPr>
          <w:rFonts w:cs="Times New Roman"/>
        </w:rPr>
        <w:t>），口井作业用</w:t>
      </w:r>
      <w:r>
        <w:rPr>
          <w:rFonts w:cs="Times New Roman"/>
        </w:rPr>
        <w:t>2</w:t>
      </w:r>
      <w:r>
        <w:rPr>
          <w:rFonts w:cs="Times New Roman"/>
        </w:rPr>
        <w:t>块，约合</w:t>
      </w:r>
      <w:r>
        <w:rPr>
          <w:rFonts w:cs="Times New Roman"/>
        </w:rPr>
        <w:t>0.25t/a·</w:t>
      </w:r>
      <w:r>
        <w:rPr>
          <w:rFonts w:cs="Times New Roman"/>
        </w:rPr>
        <w:t>井</w:t>
      </w:r>
      <w:r>
        <w:rPr>
          <w:rFonts w:cs="Times New Roman"/>
        </w:rPr>
        <w:t>。本</w:t>
      </w:r>
      <w:r>
        <w:rPr>
          <w:rFonts w:cs="Times New Roman"/>
        </w:rPr>
        <w:t>工程</w:t>
      </w:r>
      <w:r>
        <w:rPr>
          <w:rFonts w:cs="Times New Roman"/>
        </w:rPr>
        <w:t>产生废弃防渗材料量约</w:t>
      </w:r>
      <w:r>
        <w:rPr>
          <w:rFonts w:cs="Times New Roman"/>
        </w:rPr>
        <w:t>0.25t/a</w:t>
      </w:r>
      <w:r>
        <w:rPr>
          <w:rFonts w:cs="Times New Roman"/>
        </w:rPr>
        <w:t>。作业施工结束后，由施工单位将废弃的</w:t>
      </w:r>
      <w:r>
        <w:rPr>
          <w:rFonts w:cs="Times New Roman"/>
        </w:rPr>
        <w:t>废防渗材料</w:t>
      </w:r>
      <w:r>
        <w:rPr>
          <w:rFonts w:cs="Times New Roman"/>
        </w:rPr>
        <w:t>集中收集，不在井场贮存，委托持有危险废物经营许可证的</w:t>
      </w:r>
      <w:r>
        <w:rPr>
          <w:rFonts w:cs="Times New Roman"/>
        </w:rPr>
        <w:t>单位利用处置</w:t>
      </w:r>
      <w:r>
        <w:rPr>
          <w:rFonts w:cs="Times New Roman"/>
        </w:rPr>
        <w:t>，拉运过程中持有危险废物经营许可证的单位应使用专车、按照指定的拉运路线</w:t>
      </w:r>
      <w:r>
        <w:rPr>
          <w:rFonts w:cs="Times New Roman"/>
        </w:rPr>
        <w:t>。</w:t>
      </w:r>
    </w:p>
    <w:p w:rsidR="00C645C9" w:rsidRDefault="00F955D9">
      <w:pPr>
        <w:pStyle w:val="a5"/>
        <w:widowControl w:val="0"/>
        <w:snapToGrid w:val="0"/>
        <w:ind w:firstLineChars="200" w:firstLine="4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5 \* GB3 \* MERGEFORMAT </w:instrText>
      </w:r>
      <w:r>
        <w:rPr>
          <w:rFonts w:ascii="Times New Roman" w:hAnsi="Times New Roman" w:cs="Times New Roman"/>
        </w:rPr>
        <w:fldChar w:fldCharType="separate"/>
      </w:r>
      <w:r>
        <w:rPr>
          <w:rFonts w:ascii="Times New Roman" w:hAnsi="Times New Roman" w:cs="Times New Roman"/>
        </w:rPr>
        <w:t>⑤</w:t>
      </w:r>
      <w:r>
        <w:rPr>
          <w:rFonts w:ascii="Times New Roman" w:hAnsi="Times New Roman" w:cs="Times New Roman"/>
        </w:rPr>
        <w:fldChar w:fldCharType="end"/>
      </w:r>
      <w:r>
        <w:rPr>
          <w:rFonts w:ascii="Times New Roman" w:hAnsi="Times New Roman" w:cs="Times New Roman"/>
        </w:rPr>
        <w:t>生活垃圾</w:t>
      </w:r>
    </w:p>
    <w:p w:rsidR="00C645C9" w:rsidRDefault="00F955D9">
      <w:pPr>
        <w:pStyle w:val="a5"/>
        <w:widowControl w:val="0"/>
        <w:snapToGrid w:val="0"/>
        <w:ind w:firstLineChars="200" w:firstLine="480"/>
        <w:rPr>
          <w:rFonts w:ascii="Times New Roman" w:hAnsi="Times New Roman" w:cs="Times New Roman"/>
        </w:rPr>
      </w:pPr>
      <w:bookmarkStart w:id="1859" w:name="OLE_LINK727"/>
      <w:r>
        <w:rPr>
          <w:rFonts w:ascii="Times New Roman" w:hAnsi="Times New Roman" w:cs="Times New Roman"/>
        </w:rPr>
        <w:t>运营期</w:t>
      </w:r>
      <w:bookmarkEnd w:id="1859"/>
      <w:r>
        <w:rPr>
          <w:rFonts w:ascii="Times New Roman" w:hAnsi="Times New Roman" w:cs="Times New Roman"/>
        </w:rPr>
        <w:t>工作人员由</w:t>
      </w:r>
      <w:r>
        <w:rPr>
          <w:rFonts w:ascii="Times New Roman" w:hAnsi="Times New Roman" w:cs="Times New Roman"/>
          <w:kern w:val="2"/>
          <w:szCs w:val="20"/>
          <w:lang w:bidi="ar"/>
        </w:rPr>
        <w:t>雅克拉采气厂内部调剂解决</w:t>
      </w:r>
      <w:r>
        <w:rPr>
          <w:rFonts w:ascii="Times New Roman" w:hAnsi="Times New Roman" w:cs="Times New Roman"/>
        </w:rPr>
        <w:t>，故不新增</w:t>
      </w:r>
      <w:bookmarkStart w:id="1860" w:name="OLE_LINK726"/>
      <w:r>
        <w:rPr>
          <w:rFonts w:ascii="Times New Roman" w:hAnsi="Times New Roman" w:cs="Times New Roman"/>
        </w:rPr>
        <w:t>生活垃圾</w:t>
      </w:r>
      <w:bookmarkEnd w:id="1860"/>
      <w:r>
        <w:rPr>
          <w:rFonts w:ascii="Times New Roman" w:hAnsi="Times New Roman" w:cs="Times New Roman"/>
        </w:rPr>
        <w:t>。</w:t>
      </w:r>
    </w:p>
    <w:p w:rsidR="00C645C9" w:rsidRDefault="00F955D9">
      <w:pPr>
        <w:widowControl w:val="0"/>
        <w:tabs>
          <w:tab w:val="left" w:pos="5695"/>
        </w:tabs>
        <w:adjustRightInd w:val="0"/>
        <w:snapToGrid w:val="0"/>
        <w:spacing w:line="360" w:lineRule="auto"/>
        <w:outlineLvl w:val="2"/>
        <w:rPr>
          <w:rFonts w:cs="Times New Roman"/>
          <w:b/>
          <w:snapToGrid w:val="0"/>
          <w:sz w:val="28"/>
          <w:szCs w:val="21"/>
          <w:lang w:eastAsia="en-US"/>
        </w:rPr>
      </w:pPr>
      <w:hyperlink w:anchor="_Toc1174" w:history="1">
        <w:r>
          <w:rPr>
            <w:rFonts w:cs="Times New Roman" w:hint="eastAsia"/>
            <w:b/>
            <w:snapToGrid w:val="0"/>
            <w:sz w:val="28"/>
            <w:szCs w:val="21"/>
            <w:lang w:eastAsia="en-US"/>
          </w:rPr>
          <w:t>6.</w:t>
        </w:r>
        <w:r>
          <w:rPr>
            <w:rFonts w:cs="Times New Roman" w:hint="eastAsia"/>
            <w:b/>
            <w:snapToGrid w:val="0"/>
            <w:sz w:val="28"/>
            <w:szCs w:val="21"/>
          </w:rPr>
          <w:t>7</w:t>
        </w:r>
        <w:r>
          <w:rPr>
            <w:rFonts w:cs="Times New Roman" w:hint="eastAsia"/>
            <w:b/>
            <w:snapToGrid w:val="0"/>
            <w:sz w:val="28"/>
            <w:szCs w:val="21"/>
            <w:lang w:eastAsia="en-US"/>
          </w:rPr>
          <w:t>.3</w:t>
        </w:r>
        <w:bookmarkStart w:id="1861" w:name="OLE_LINK728"/>
        <w:r>
          <w:rPr>
            <w:rFonts w:cs="Times New Roman" w:hint="eastAsia"/>
            <w:b/>
            <w:snapToGrid w:val="0"/>
            <w:sz w:val="28"/>
            <w:szCs w:val="21"/>
            <w:lang w:eastAsia="en-US"/>
          </w:rPr>
          <w:t>退役期</w:t>
        </w:r>
        <w:bookmarkEnd w:id="1861"/>
        <w:r>
          <w:rPr>
            <w:rFonts w:cs="Times New Roman" w:hint="eastAsia"/>
            <w:b/>
            <w:snapToGrid w:val="0"/>
            <w:sz w:val="28"/>
            <w:szCs w:val="21"/>
            <w:lang w:eastAsia="en-US"/>
          </w:rPr>
          <w:t>固体废物</w:t>
        </w:r>
        <w:r>
          <w:rPr>
            <w:rFonts w:cs="Times New Roman" w:hint="eastAsia"/>
            <w:b/>
            <w:snapToGrid w:val="0"/>
            <w:sz w:val="28"/>
            <w:szCs w:val="21"/>
          </w:rPr>
          <w:t>污染防治措施</w:t>
        </w:r>
      </w:hyperlink>
    </w:p>
    <w:p w:rsidR="00C645C9" w:rsidRDefault="00F955D9">
      <w:pPr>
        <w:widowControl w:val="0"/>
        <w:tabs>
          <w:tab w:val="left" w:pos="5695"/>
        </w:tabs>
        <w:adjustRightInd w:val="0"/>
        <w:snapToGrid w:val="0"/>
        <w:spacing w:line="360" w:lineRule="auto"/>
        <w:ind w:firstLineChars="200" w:firstLine="480"/>
        <w:rPr>
          <w:rFonts w:cs="Times New Roman"/>
          <w:b/>
          <w:snapToGrid w:val="0"/>
          <w:sz w:val="28"/>
          <w:szCs w:val="21"/>
          <w:lang w:eastAsia="en-US"/>
        </w:rPr>
        <w:sectPr w:rsidR="00C645C9">
          <w:pgSz w:w="11906" w:h="16838"/>
          <w:pgMar w:top="1440" w:right="1800" w:bottom="1440" w:left="1800" w:header="851" w:footer="992" w:gutter="0"/>
          <w:cols w:space="425"/>
          <w:docGrid w:type="lines" w:linePitch="312"/>
        </w:sectPr>
      </w:pPr>
      <w:r>
        <w:rPr>
          <w:rFonts w:cs="Times New Roman" w:hint="eastAsia"/>
        </w:rPr>
        <w:t>本工程</w:t>
      </w:r>
      <w:r>
        <w:rPr>
          <w:rFonts w:cs="Times New Roman"/>
        </w:rPr>
        <w:t>退役期，井场拆除的井架、井构筑物等为</w:t>
      </w:r>
      <w:r>
        <w:rPr>
          <w:rFonts w:cs="Times New Roman" w:hint="eastAsia"/>
        </w:rPr>
        <w:t>钢质</w:t>
      </w:r>
      <w:r>
        <w:rPr>
          <w:rFonts w:cs="Times New Roman"/>
        </w:rPr>
        <w:t>材料，清洗油污后可回收利用。</w:t>
      </w:r>
      <w:r>
        <w:rPr>
          <w:rFonts w:cs="Times New Roman"/>
        </w:rPr>
        <w:t>废弃建筑残渣外运至生态环境部门指定建筑垃圾填埋场填埋处理</w:t>
      </w:r>
      <w:r>
        <w:rPr>
          <w:rFonts w:cs="Times New Roman"/>
        </w:rPr>
        <w:t>，含油</w:t>
      </w:r>
      <w:r>
        <w:rPr>
          <w:rFonts w:cs="Times New Roman" w:hint="eastAsia"/>
        </w:rPr>
        <w:t>固体废物</w:t>
      </w:r>
      <w:r>
        <w:rPr>
          <w:rFonts w:cs="Times New Roman"/>
        </w:rPr>
        <w:t>等危险废物委托</w:t>
      </w:r>
      <w:r>
        <w:rPr>
          <w:rFonts w:cs="Times New Roman" w:hint="eastAsia"/>
        </w:rPr>
        <w:t>持有危险废物经营许可证的单位利用处置</w:t>
      </w:r>
      <w:r>
        <w:rPr>
          <w:rFonts w:cs="Times New Roman"/>
        </w:rPr>
        <w:t>。</w:t>
      </w:r>
    </w:p>
    <w:bookmarkStart w:id="1862" w:name="_Toc15260"/>
    <w:bookmarkEnd w:id="1655"/>
    <w:p w:rsidR="00C645C9" w:rsidRDefault="00F955D9">
      <w:pPr>
        <w:widowControl w:val="0"/>
        <w:adjustRightInd w:val="0"/>
        <w:snapToGrid w:val="0"/>
        <w:spacing w:line="360" w:lineRule="auto"/>
        <w:outlineLvl w:val="0"/>
        <w:rPr>
          <w:rFonts w:cs="Times New Roman"/>
          <w:b/>
          <w:bCs/>
          <w:sz w:val="36"/>
          <w:szCs w:val="36"/>
          <w:lang w:eastAsia="en-US"/>
        </w:rPr>
      </w:pPr>
      <w:r>
        <w:rPr>
          <w:rFonts w:cs="Times New Roman"/>
          <w:b/>
          <w:bCs/>
          <w:sz w:val="36"/>
          <w:szCs w:val="36"/>
          <w:lang w:eastAsia="en-US"/>
        </w:rPr>
        <w:lastRenderedPageBreak/>
        <w:fldChar w:fldCharType="begin"/>
      </w:r>
      <w:r>
        <w:rPr>
          <w:rFonts w:cs="Times New Roman"/>
          <w:b/>
          <w:bCs/>
          <w:sz w:val="36"/>
          <w:szCs w:val="36"/>
          <w:lang w:eastAsia="en-US"/>
        </w:rPr>
        <w:instrText xml:space="preserve"> HYPERLINK \l _Toc10212 </w:instrText>
      </w:r>
      <w:r>
        <w:rPr>
          <w:rFonts w:cs="Times New Roman"/>
          <w:b/>
          <w:bCs/>
          <w:sz w:val="36"/>
          <w:szCs w:val="36"/>
          <w:lang w:eastAsia="en-US"/>
        </w:rPr>
        <w:fldChar w:fldCharType="separate"/>
      </w:r>
      <w:r>
        <w:rPr>
          <w:rFonts w:cs="Times New Roman" w:hint="eastAsia"/>
          <w:b/>
          <w:bCs/>
          <w:sz w:val="36"/>
          <w:szCs w:val="36"/>
          <w:lang w:eastAsia="en-US"/>
        </w:rPr>
        <w:t>7</w:t>
      </w:r>
      <w:bookmarkStart w:id="1863" w:name="OLE_LINK933"/>
      <w:bookmarkStart w:id="1864" w:name="OLE_LINK938"/>
      <w:r>
        <w:rPr>
          <w:rFonts w:cs="Times New Roman" w:hint="eastAsia"/>
          <w:b/>
          <w:bCs/>
          <w:sz w:val="36"/>
          <w:szCs w:val="36"/>
        </w:rPr>
        <w:t>温室气体</w:t>
      </w:r>
      <w:r>
        <w:rPr>
          <w:rFonts w:cs="Times New Roman" w:hint="eastAsia"/>
          <w:b/>
          <w:bCs/>
          <w:sz w:val="36"/>
          <w:szCs w:val="36"/>
          <w:lang w:eastAsia="en-US"/>
        </w:rPr>
        <w:t>排放</w:t>
      </w:r>
      <w:bookmarkEnd w:id="1863"/>
      <w:r>
        <w:rPr>
          <w:rFonts w:cs="Times New Roman" w:hint="eastAsia"/>
          <w:b/>
          <w:bCs/>
          <w:sz w:val="36"/>
          <w:szCs w:val="36"/>
          <w:lang w:eastAsia="en-US"/>
        </w:rPr>
        <w:t>影响评价</w:t>
      </w:r>
      <w:bookmarkEnd w:id="1864"/>
      <w:r>
        <w:rPr>
          <w:rFonts w:cs="Times New Roman"/>
          <w:b/>
          <w:bCs/>
          <w:sz w:val="36"/>
          <w:szCs w:val="36"/>
          <w:lang w:eastAsia="en-US"/>
        </w:rPr>
        <w:fldChar w:fldCharType="end"/>
      </w:r>
      <w:bookmarkEnd w:id="1862"/>
    </w:p>
    <w:p w:rsidR="00C645C9" w:rsidRDefault="00F955D9">
      <w:pPr>
        <w:pStyle w:val="11"/>
        <w:adjustRightInd w:val="0"/>
        <w:snapToGrid w:val="0"/>
        <w:spacing w:line="360" w:lineRule="auto"/>
        <w:ind w:firstLineChars="200" w:firstLine="480"/>
        <w:rPr>
          <w:b w:val="0"/>
          <w:kern w:val="0"/>
          <w:sz w:val="24"/>
          <w:szCs w:val="24"/>
        </w:rPr>
      </w:pPr>
      <w:r>
        <w:rPr>
          <w:b w:val="0"/>
          <w:kern w:val="0"/>
          <w:sz w:val="24"/>
          <w:szCs w:val="24"/>
        </w:rPr>
        <w:t>为贯彻落实中央和生态环境部关于</w:t>
      </w:r>
      <w:r>
        <w:rPr>
          <w:rFonts w:hint="eastAsia"/>
          <w:b w:val="0"/>
          <w:kern w:val="0"/>
          <w:sz w:val="24"/>
          <w:szCs w:val="24"/>
        </w:rPr>
        <w:t>“</w:t>
      </w:r>
      <w:r>
        <w:rPr>
          <w:b w:val="0"/>
          <w:kern w:val="0"/>
          <w:sz w:val="24"/>
          <w:szCs w:val="24"/>
        </w:rPr>
        <w:t>碳达峰、碳中和</w:t>
      </w:r>
      <w:r>
        <w:rPr>
          <w:rFonts w:hint="eastAsia"/>
          <w:b w:val="0"/>
          <w:kern w:val="0"/>
          <w:sz w:val="24"/>
          <w:szCs w:val="24"/>
        </w:rPr>
        <w:t>”</w:t>
      </w:r>
      <w:r>
        <w:rPr>
          <w:b w:val="0"/>
          <w:kern w:val="0"/>
          <w:sz w:val="24"/>
          <w:szCs w:val="24"/>
        </w:rPr>
        <w:t>相关决策部署和文件精神，充分发挥环境影响评价的源头防控、过程管理中的基础性作用，本评价按照相关政策及文件要求，根据《中国石油天然气生产企业温室气体排放核算方法与报告指南（试行）》核算方法，计算本工程实施后碳排放量及碳排放强度，提出碳减排建议，并分析减污降碳措施可行性及碳排放水平</w:t>
      </w:r>
      <w:r>
        <w:rPr>
          <w:rFonts w:hint="eastAsia"/>
          <w:b w:val="0"/>
          <w:kern w:val="0"/>
          <w:sz w:val="24"/>
          <w:szCs w:val="24"/>
        </w:rPr>
        <w:t>。</w:t>
      </w:r>
    </w:p>
    <w:bookmarkStart w:id="1865" w:name="_Toc21040"/>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_Toc4532 </w:instrText>
      </w:r>
      <w:r>
        <w:rPr>
          <w:rFonts w:ascii="Times New Roman" w:hAnsi="Times New Roman" w:cs="Times New Roman"/>
          <w:color w:val="auto"/>
        </w:rPr>
        <w:fldChar w:fldCharType="separate"/>
      </w:r>
      <w:r>
        <w:rPr>
          <w:rFonts w:ascii="Times New Roman" w:hAnsi="Times New Roman" w:cs="Times New Roman" w:hint="eastAsia"/>
          <w:color w:val="auto"/>
        </w:rPr>
        <w:t>7.1</w:t>
      </w:r>
      <w:r>
        <w:rPr>
          <w:rFonts w:ascii="Times New Roman" w:hAnsi="Times New Roman" w:cs="Times New Roman" w:hint="eastAsia"/>
          <w:color w:val="auto"/>
          <w:lang w:eastAsia="zh-CN"/>
        </w:rPr>
        <w:t>温室气体</w:t>
      </w:r>
      <w:r>
        <w:rPr>
          <w:rFonts w:ascii="Times New Roman" w:hAnsi="Times New Roman" w:cs="Times New Roman" w:hint="eastAsia"/>
          <w:color w:val="auto"/>
        </w:rPr>
        <w:t>排放分析</w:t>
      </w:r>
      <w:r>
        <w:rPr>
          <w:rFonts w:ascii="Times New Roman" w:hAnsi="Times New Roman" w:cs="Times New Roman"/>
          <w:color w:val="auto"/>
        </w:rPr>
        <w:fldChar w:fldCharType="end"/>
      </w:r>
      <w:bookmarkEnd w:id="1865"/>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1789" w:history="1">
        <w:bookmarkStart w:id="1866" w:name="OLE_LINK696"/>
        <w:r>
          <w:rPr>
            <w:rFonts w:ascii="Times New Roman" w:hAnsi="Times New Roman" w:cs="Times New Roman" w:hint="eastAsia"/>
            <w:color w:val="auto"/>
          </w:rPr>
          <w:t>7.1.1</w:t>
        </w:r>
        <w:bookmarkEnd w:id="1866"/>
        <w:r>
          <w:rPr>
            <w:rFonts w:ascii="Times New Roman" w:hAnsi="Times New Roman" w:cs="Times New Roman" w:hint="eastAsia"/>
            <w:color w:val="auto"/>
            <w:lang w:eastAsia="zh-CN"/>
          </w:rPr>
          <w:t>温室气体</w:t>
        </w:r>
        <w:r>
          <w:rPr>
            <w:rFonts w:ascii="Times New Roman" w:hAnsi="Times New Roman" w:cs="Times New Roman" w:hint="eastAsia"/>
            <w:color w:val="auto"/>
          </w:rPr>
          <w:t>排放影响因素分析</w:t>
        </w:r>
      </w:hyperlink>
    </w:p>
    <w:p w:rsidR="00C645C9" w:rsidRDefault="00F955D9">
      <w:pPr>
        <w:keepNext/>
        <w:keepLines/>
        <w:widowControl w:val="0"/>
        <w:adjustRightInd w:val="0"/>
        <w:snapToGrid w:val="0"/>
        <w:spacing w:line="360" w:lineRule="auto"/>
        <w:jc w:val="both"/>
        <w:outlineLvl w:val="3"/>
        <w:rPr>
          <w:rFonts w:cs="Times New Roman"/>
          <w:b/>
          <w:bCs/>
          <w:snapToGrid w:val="0"/>
          <w:szCs w:val="21"/>
        </w:rPr>
      </w:pPr>
      <w:r>
        <w:rPr>
          <w:rFonts w:cs="Times New Roman"/>
          <w:b/>
          <w:bCs/>
          <w:snapToGrid w:val="0"/>
          <w:szCs w:val="21"/>
        </w:rPr>
        <w:t>7.1.1</w:t>
      </w:r>
      <w:r>
        <w:rPr>
          <w:rFonts w:cs="Times New Roman" w:hint="eastAsia"/>
          <w:b/>
          <w:bCs/>
          <w:snapToGrid w:val="0"/>
          <w:szCs w:val="21"/>
        </w:rPr>
        <w:t>.1</w:t>
      </w:r>
      <w:r>
        <w:rPr>
          <w:rFonts w:cs="Times New Roman"/>
          <w:b/>
          <w:bCs/>
          <w:snapToGrid w:val="0"/>
          <w:szCs w:val="21"/>
        </w:rPr>
        <w:t>碳排放源分析</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根据</w:t>
      </w:r>
      <w:bookmarkStart w:id="1867" w:name="OLE_LINK737"/>
      <w:r>
        <w:rPr>
          <w:rFonts w:cs="Times New Roman"/>
          <w:spacing w:val="4"/>
          <w:kern w:val="24"/>
          <w:szCs w:val="22"/>
        </w:rPr>
        <w:t>《</w:t>
      </w:r>
      <w:bookmarkStart w:id="1868" w:name="OLE_LINK732"/>
      <w:r>
        <w:rPr>
          <w:rFonts w:cs="Times New Roman"/>
          <w:spacing w:val="4"/>
          <w:kern w:val="24"/>
          <w:szCs w:val="22"/>
        </w:rPr>
        <w:t>中国石油天然气生产企业温室气体排放核算方法与报告指南</w:t>
      </w:r>
      <w:bookmarkEnd w:id="1868"/>
      <w:r>
        <w:rPr>
          <w:rFonts w:cs="Times New Roman"/>
          <w:spacing w:val="4"/>
          <w:kern w:val="24"/>
          <w:szCs w:val="22"/>
        </w:rPr>
        <w:t>（试行）</w:t>
      </w:r>
      <w:r>
        <w:rPr>
          <w:rFonts w:cs="Times New Roman"/>
          <w:spacing w:val="4"/>
          <w:kern w:val="24"/>
          <w:szCs w:val="22"/>
        </w:rPr>
        <w:t>》</w:t>
      </w:r>
      <w:bookmarkEnd w:id="1867"/>
      <w:r>
        <w:rPr>
          <w:rFonts w:cs="Times New Roman"/>
          <w:spacing w:val="4"/>
          <w:kern w:val="24"/>
          <w:szCs w:val="22"/>
        </w:rPr>
        <w:t>，石油天然气开采企业碳排放源主要包括：燃料燃烧</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排放、火炬燃烧排放、工艺放空排放、</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逃逸排放、</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回收利用量、</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回收利用量、净购入电力和热力隐含的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1</w:t>
      </w:r>
      <w:r>
        <w:rPr>
          <w:rFonts w:cs="Times New Roman"/>
          <w:spacing w:val="4"/>
          <w:kern w:val="24"/>
          <w:szCs w:val="22"/>
        </w:rPr>
        <w:t>）</w:t>
      </w:r>
      <w:bookmarkStart w:id="1869" w:name="OLE_LINK698"/>
      <w:r>
        <w:rPr>
          <w:rFonts w:cs="Times New Roman"/>
          <w:spacing w:val="4"/>
          <w:kern w:val="24"/>
          <w:szCs w:val="22"/>
        </w:rPr>
        <w:t>燃料燃烧</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w:t>
      </w:r>
      <w:bookmarkEnd w:id="1869"/>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主要指石油天然气生产各个业务环节化石燃料用于动力或热力供应的燃烧过程产生的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hint="eastAsia"/>
          <w:spacing w:val="4"/>
          <w:kern w:val="24"/>
          <w:szCs w:val="22"/>
        </w:rPr>
        <w:t>井</w:t>
      </w:r>
      <w:r>
        <w:rPr>
          <w:rFonts w:cs="Times New Roman"/>
          <w:spacing w:val="4"/>
          <w:kern w:val="24"/>
          <w:szCs w:val="22"/>
        </w:rPr>
        <w:t>场</w:t>
      </w:r>
      <w:r>
        <w:rPr>
          <w:rFonts w:cs="Times New Roman"/>
          <w:spacing w:val="4"/>
          <w:kern w:val="24"/>
          <w:szCs w:val="22"/>
        </w:rPr>
        <w:t>新增</w:t>
      </w:r>
      <w:bookmarkStart w:id="1870" w:name="OLE_LINK699"/>
      <w:r>
        <w:rPr>
          <w:rFonts w:cs="Times New Roman"/>
          <w:spacing w:val="4"/>
          <w:kern w:val="24"/>
          <w:szCs w:val="22"/>
        </w:rPr>
        <w:t>加热炉</w:t>
      </w:r>
      <w:bookmarkEnd w:id="1870"/>
      <w:r>
        <w:rPr>
          <w:rFonts w:cs="Times New Roman" w:hint="eastAsia"/>
          <w:spacing w:val="4"/>
          <w:kern w:val="24"/>
          <w:szCs w:val="22"/>
        </w:rPr>
        <w:t>2</w:t>
      </w:r>
      <w:r>
        <w:rPr>
          <w:rFonts w:cs="Times New Roman" w:hint="eastAsia"/>
          <w:spacing w:val="4"/>
          <w:kern w:val="24"/>
          <w:szCs w:val="22"/>
        </w:rPr>
        <w:t>台</w:t>
      </w:r>
      <w:r>
        <w:rPr>
          <w:rFonts w:cs="Times New Roman"/>
          <w:spacing w:val="4"/>
          <w:kern w:val="24"/>
          <w:szCs w:val="22"/>
        </w:rPr>
        <w:t>，需核算该部分产生的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2</w:t>
      </w:r>
      <w:r>
        <w:rPr>
          <w:rFonts w:cs="Times New Roman"/>
          <w:spacing w:val="4"/>
          <w:kern w:val="24"/>
          <w:szCs w:val="22"/>
        </w:rPr>
        <w:t>）</w:t>
      </w:r>
      <w:r>
        <w:rPr>
          <w:rFonts w:cs="Times New Roman"/>
          <w:spacing w:val="4"/>
          <w:kern w:val="24"/>
          <w:szCs w:val="22"/>
        </w:rPr>
        <w:t>火炬燃烧排放</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出于安全等目的，石油天然气生产企业通常将各生产活动产生的可燃废气集中到一至数只火炬系统中进行排放前的燃烧处理。火炬燃烧除了</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排放外，还可能产生少量的</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排放，石油天然气生产的火炬系统需同时核算</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和</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排放。</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hint="eastAsia"/>
          <w:spacing w:val="4"/>
          <w:kern w:val="24"/>
          <w:szCs w:val="22"/>
        </w:rPr>
        <w:t>井场</w:t>
      </w:r>
      <w:r>
        <w:rPr>
          <w:rFonts w:cs="Times New Roman"/>
          <w:spacing w:val="4"/>
          <w:kern w:val="24"/>
          <w:szCs w:val="22"/>
        </w:rPr>
        <w:t>多功能集油器分离出气相通过</w:t>
      </w:r>
      <w:r>
        <w:rPr>
          <w:rFonts w:cs="Times New Roman"/>
          <w:spacing w:val="4"/>
          <w:kern w:val="24"/>
          <w:szCs w:val="22"/>
        </w:rPr>
        <w:t>站</w:t>
      </w:r>
      <w:r>
        <w:rPr>
          <w:rFonts w:cs="Times New Roman"/>
          <w:spacing w:val="4"/>
          <w:kern w:val="24"/>
          <w:szCs w:val="22"/>
        </w:rPr>
        <w:t>场火炬</w:t>
      </w:r>
      <w:r>
        <w:rPr>
          <w:rFonts w:cs="Times New Roman"/>
        </w:rPr>
        <w:t>放空</w:t>
      </w:r>
      <w:r>
        <w:rPr>
          <w:rFonts w:cs="Times New Roman"/>
          <w:spacing w:val="4"/>
          <w:kern w:val="24"/>
          <w:szCs w:val="22"/>
        </w:rPr>
        <w:t>，需核算该部分产生的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和</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排放量。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3</w:t>
      </w:r>
      <w:r>
        <w:rPr>
          <w:rFonts w:cs="Times New Roman"/>
          <w:spacing w:val="4"/>
          <w:kern w:val="24"/>
          <w:szCs w:val="22"/>
        </w:rPr>
        <w:t>）</w:t>
      </w:r>
      <w:bookmarkStart w:id="1871" w:name="OLE_LINK907"/>
      <w:r>
        <w:rPr>
          <w:rFonts w:cs="Times New Roman"/>
          <w:spacing w:val="4"/>
          <w:kern w:val="24"/>
          <w:szCs w:val="22"/>
        </w:rPr>
        <w:t>工艺放空排放</w:t>
      </w:r>
      <w:bookmarkEnd w:id="1871"/>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主要指石油天然气生产各业务环节通过工艺装置泄放口或安全阀门有意释放到大气中的</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或</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气体，如驱动气动装置运转的天然气排放、泄压排放、设备吹扫排放、工艺过程尾气排放、</w:t>
      </w:r>
      <w:bookmarkStart w:id="1872" w:name="OLE_LINK697"/>
      <w:r>
        <w:rPr>
          <w:rFonts w:cs="Times New Roman"/>
          <w:spacing w:val="4"/>
          <w:kern w:val="24"/>
          <w:szCs w:val="22"/>
        </w:rPr>
        <w:t>储罐</w:t>
      </w:r>
      <w:bookmarkEnd w:id="1872"/>
      <w:r>
        <w:rPr>
          <w:rFonts w:cs="Times New Roman"/>
          <w:spacing w:val="4"/>
          <w:kern w:val="24"/>
          <w:szCs w:val="22"/>
        </w:rPr>
        <w:t>溶解气排放等。石油天然气</w:t>
      </w:r>
      <w:r>
        <w:rPr>
          <w:rFonts w:cs="Times New Roman"/>
          <w:spacing w:val="4"/>
          <w:kern w:val="24"/>
          <w:szCs w:val="22"/>
        </w:rPr>
        <w:lastRenderedPageBreak/>
        <w:t>生产企业业务环节较多且各具特色，其工艺放空排放应区分不同业务环节分开核算。</w:t>
      </w:r>
    </w:p>
    <w:p w:rsidR="00C645C9" w:rsidRDefault="00F955D9">
      <w:pPr>
        <w:adjustRightInd w:val="0"/>
        <w:snapToGrid w:val="0"/>
        <w:spacing w:line="360" w:lineRule="auto"/>
        <w:ind w:firstLineChars="200" w:firstLine="480"/>
        <w:jc w:val="both"/>
        <w:rPr>
          <w:rFonts w:cs="Times New Roman"/>
          <w:spacing w:val="4"/>
          <w:kern w:val="24"/>
          <w:szCs w:val="22"/>
        </w:rPr>
      </w:pPr>
      <w:r>
        <w:rPr>
          <w:rFonts w:hint="eastAsia"/>
        </w:rPr>
        <w:t>本工程不涉及工艺部分放空排放，不再核算该部分</w:t>
      </w:r>
      <w:r>
        <w:rPr>
          <w:rFonts w:hint="eastAsia"/>
          <w:spacing w:val="4"/>
          <w:kern w:val="24"/>
          <w:szCs w:val="28"/>
        </w:rPr>
        <w:t>CH</w:t>
      </w:r>
      <w:r>
        <w:rPr>
          <w:rFonts w:hint="eastAsia"/>
          <w:spacing w:val="4"/>
          <w:kern w:val="24"/>
          <w:szCs w:val="28"/>
          <w:vertAlign w:val="subscript"/>
        </w:rPr>
        <w:t>4</w:t>
      </w:r>
      <w:r>
        <w:rPr>
          <w:rFonts w:hint="eastAsia"/>
          <w:spacing w:val="4"/>
          <w:kern w:val="24"/>
          <w:szCs w:val="28"/>
        </w:rPr>
        <w:t>或</w:t>
      </w:r>
      <w:r>
        <w:rPr>
          <w:rFonts w:hint="eastAsia"/>
          <w:spacing w:val="4"/>
          <w:kern w:val="24"/>
          <w:szCs w:val="28"/>
        </w:rPr>
        <w:t>CO</w:t>
      </w:r>
      <w:r>
        <w:rPr>
          <w:rFonts w:hint="eastAsia"/>
          <w:spacing w:val="4"/>
          <w:kern w:val="24"/>
          <w:szCs w:val="28"/>
          <w:vertAlign w:val="subscript"/>
        </w:rPr>
        <w:t>2</w:t>
      </w:r>
      <w:r>
        <w:rPr>
          <w:rFonts w:hint="eastAsia"/>
        </w:rPr>
        <w:t>气体排放量</w:t>
      </w:r>
      <w:r>
        <w:rPr>
          <w:rFonts w:cs="Times New Roman"/>
          <w:spacing w:val="4"/>
          <w:kern w:val="24"/>
          <w:szCs w:val="22"/>
        </w:rPr>
        <w:t>。</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4</w:t>
      </w:r>
      <w:r>
        <w:rPr>
          <w:rFonts w:cs="Times New Roman"/>
          <w:spacing w:val="4"/>
          <w:kern w:val="24"/>
          <w:szCs w:val="22"/>
        </w:rPr>
        <w:t>）</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逃逸排放</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主要是指石油天然气生产各业务环节由于设备泄漏产生的无组织</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排放，如阀门、法兰、泵轮密封、减压阀、取样接口、工艺排水、开口管路、套管、储罐泄漏及未被定义为工艺放空的其他压力设备泄漏；石油天然气生产企业业务环节较多且各具特色，其逃逸排放应区分不同业务环节分开核算。</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hint="eastAsia"/>
          <w:spacing w:val="4"/>
          <w:kern w:val="24"/>
          <w:szCs w:val="22"/>
        </w:rPr>
        <w:t>井场</w:t>
      </w:r>
      <w:r>
        <w:rPr>
          <w:rFonts w:cs="Times New Roman"/>
          <w:spacing w:val="4"/>
          <w:kern w:val="24"/>
          <w:szCs w:val="22"/>
        </w:rPr>
        <w:t>法兰、阀门等处产生的无组织废气中涉及甲烷排放，需核算该部分气体排放量。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5</w:t>
      </w:r>
      <w:r>
        <w:rPr>
          <w:rFonts w:cs="Times New Roman"/>
          <w:spacing w:val="4"/>
          <w:kern w:val="24"/>
          <w:szCs w:val="22"/>
        </w:rPr>
        <w:t>）</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回收利用量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主要指企业通过节能减排技术回收工艺放空废气流中携带的</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从而免于排放到大气中的那部分</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回收利用量可从企业总排放量中予以扣除。</w:t>
      </w:r>
    </w:p>
    <w:p w:rsidR="00C645C9" w:rsidRDefault="00F955D9">
      <w:pPr>
        <w:adjustRightInd w:val="0"/>
        <w:snapToGrid w:val="0"/>
        <w:spacing w:line="360" w:lineRule="auto"/>
        <w:ind w:firstLineChars="200" w:firstLine="480"/>
        <w:jc w:val="both"/>
        <w:rPr>
          <w:rFonts w:cs="Times New Roman"/>
          <w:spacing w:val="4"/>
          <w:kern w:val="24"/>
          <w:szCs w:val="22"/>
        </w:rPr>
      </w:pPr>
      <w:r>
        <w:rPr>
          <w:rFonts w:hint="eastAsia"/>
        </w:rPr>
        <w:t>本工程未实施放空废气中的甲烷回收利用</w:t>
      </w:r>
      <w:r>
        <w:rPr>
          <w:rFonts w:cs="Times New Roman"/>
          <w:spacing w:val="4"/>
          <w:kern w:val="24"/>
          <w:szCs w:val="22"/>
        </w:rPr>
        <w:t>。</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6</w:t>
      </w:r>
      <w:r>
        <w:rPr>
          <w:rFonts w:cs="Times New Roman"/>
          <w:spacing w:val="4"/>
          <w:kern w:val="24"/>
          <w:szCs w:val="22"/>
        </w:rPr>
        <w:t>）</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回收利用量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主要指企业回收燃料燃烧或工艺放空过程产生的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作为生产原料或外供产品从而免于排放到大气中的那部分</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回收利用量可从企业总排放量中予以扣除。因缺乏适当的核算方法暂不考虑</w:t>
      </w:r>
      <w:r>
        <w:rPr>
          <w:rFonts w:cs="Times New Roman"/>
          <w:spacing w:val="4"/>
          <w:kern w:val="24"/>
          <w:szCs w:val="22"/>
        </w:rPr>
        <w:t xml:space="preserve"> CO</w:t>
      </w:r>
      <w:r>
        <w:rPr>
          <w:rFonts w:cs="Times New Roman"/>
          <w:spacing w:val="4"/>
          <w:kern w:val="24"/>
          <w:szCs w:val="22"/>
          <w:vertAlign w:val="subscript"/>
        </w:rPr>
        <w:t>2</w:t>
      </w:r>
      <w:r>
        <w:rPr>
          <w:rFonts w:cs="Times New Roman"/>
          <w:spacing w:val="4"/>
          <w:kern w:val="24"/>
          <w:szCs w:val="22"/>
        </w:rPr>
        <w:t>地质埋存或驱油的减排问题。</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spacing w:val="4"/>
          <w:kern w:val="24"/>
          <w:szCs w:val="22"/>
        </w:rPr>
        <w:t>实施后未回收燃料燃烧或工艺放空过程中产生的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，因此该部分回收利用量均为</w:t>
      </w:r>
      <w:r>
        <w:rPr>
          <w:rFonts w:cs="Times New Roman"/>
          <w:spacing w:val="4"/>
          <w:kern w:val="24"/>
          <w:szCs w:val="22"/>
        </w:rPr>
        <w:t>0</w:t>
      </w:r>
      <w:r>
        <w:rPr>
          <w:rFonts w:cs="Times New Roman"/>
          <w:spacing w:val="4"/>
          <w:kern w:val="24"/>
          <w:szCs w:val="22"/>
        </w:rPr>
        <w:t>。</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w:t>
      </w:r>
      <w:r>
        <w:rPr>
          <w:rFonts w:cs="Times New Roman"/>
          <w:spacing w:val="4"/>
          <w:kern w:val="24"/>
          <w:szCs w:val="22"/>
        </w:rPr>
        <w:t>7</w:t>
      </w:r>
      <w:r>
        <w:rPr>
          <w:rFonts w:cs="Times New Roman"/>
          <w:spacing w:val="4"/>
          <w:kern w:val="24"/>
          <w:szCs w:val="22"/>
        </w:rPr>
        <w:t>）</w:t>
      </w:r>
      <w:r>
        <w:rPr>
          <w:rFonts w:cs="Times New Roman"/>
          <w:spacing w:val="4"/>
          <w:kern w:val="24"/>
          <w:szCs w:val="22"/>
        </w:rPr>
        <w:t>净购入电力和热力隐含的</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排放量</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该部分排放实际上发生在生产这些电力或热力的企业，但由报告主体的消费活动引起，依照约定也计入报告主体名下。</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spacing w:val="4"/>
          <w:kern w:val="24"/>
          <w:szCs w:val="22"/>
        </w:rPr>
        <w:t>实施后，需消耗电量，不涉及蒸汽用量。</w:t>
      </w:r>
    </w:p>
    <w:p w:rsidR="00C645C9" w:rsidRDefault="00F955D9">
      <w:pPr>
        <w:keepNext/>
        <w:keepLines/>
        <w:widowControl w:val="0"/>
        <w:adjustRightInd w:val="0"/>
        <w:snapToGrid w:val="0"/>
        <w:spacing w:line="360" w:lineRule="auto"/>
        <w:jc w:val="both"/>
        <w:outlineLvl w:val="3"/>
        <w:rPr>
          <w:rFonts w:cs="Times New Roman"/>
          <w:b/>
          <w:bCs/>
          <w:snapToGrid w:val="0"/>
          <w:szCs w:val="21"/>
        </w:rPr>
      </w:pPr>
      <w:bookmarkStart w:id="1873" w:name="OLE_LINK729"/>
      <w:r>
        <w:rPr>
          <w:rFonts w:cs="Times New Roman" w:hint="eastAsia"/>
          <w:b/>
          <w:bCs/>
          <w:snapToGrid w:val="0"/>
          <w:szCs w:val="21"/>
        </w:rPr>
        <w:t>7</w:t>
      </w:r>
      <w:r>
        <w:rPr>
          <w:rFonts w:cs="Times New Roman"/>
          <w:b/>
          <w:bCs/>
          <w:snapToGrid w:val="0"/>
          <w:szCs w:val="21"/>
        </w:rPr>
        <w:t>.1.1.2</w:t>
      </w:r>
      <w:r>
        <w:rPr>
          <w:rFonts w:cs="Times New Roman"/>
          <w:b/>
          <w:bCs/>
          <w:snapToGrid w:val="0"/>
          <w:szCs w:val="21"/>
        </w:rPr>
        <w:t>二氧化碳产排节点</w:t>
      </w:r>
      <w:bookmarkEnd w:id="1873"/>
    </w:p>
    <w:p w:rsidR="00C645C9" w:rsidRDefault="00F955D9">
      <w:pPr>
        <w:adjustRightInd w:val="0"/>
        <w:snapToGrid w:val="0"/>
        <w:spacing w:line="360" w:lineRule="auto"/>
        <w:ind w:firstLineChars="200" w:firstLine="496"/>
        <w:jc w:val="both"/>
        <w:rPr>
          <w:rFonts w:cs="Times New Roman"/>
        </w:rPr>
      </w:pPr>
      <w:r>
        <w:rPr>
          <w:rFonts w:cs="Times New Roman"/>
          <w:spacing w:val="4"/>
          <w:kern w:val="24"/>
          <w:szCs w:val="22"/>
        </w:rPr>
        <w:t>本</w:t>
      </w:r>
      <w:r>
        <w:rPr>
          <w:rFonts w:cs="Times New Roman"/>
          <w:spacing w:val="4"/>
          <w:kern w:val="24"/>
          <w:szCs w:val="22"/>
        </w:rPr>
        <w:t>工程</w:t>
      </w:r>
      <w:r>
        <w:rPr>
          <w:rFonts w:cs="Times New Roman"/>
          <w:spacing w:val="4"/>
          <w:kern w:val="24"/>
          <w:szCs w:val="22"/>
        </w:rPr>
        <w:t>生产工艺流程中涉及二氧化碳的产排节点表</w:t>
      </w:r>
      <w:r>
        <w:rPr>
          <w:rFonts w:cs="Times New Roman" w:hint="eastAsia"/>
          <w:spacing w:val="4"/>
          <w:kern w:val="24"/>
          <w:szCs w:val="22"/>
        </w:rPr>
        <w:t>7</w:t>
      </w:r>
      <w:r>
        <w:rPr>
          <w:rFonts w:cs="Times New Roman"/>
          <w:spacing w:val="4"/>
          <w:kern w:val="24"/>
          <w:szCs w:val="22"/>
        </w:rPr>
        <w:t>.1-1</w:t>
      </w:r>
      <w:r>
        <w:rPr>
          <w:rFonts w:cs="Times New Roman"/>
          <w:spacing w:val="4"/>
          <w:kern w:val="24"/>
          <w:szCs w:val="22"/>
        </w:rPr>
        <w:t>所示。</w:t>
      </w: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r>
        <w:rPr>
          <w:rFonts w:eastAsia="黑体" w:cs="Times New Roman" w:hint="eastAsia"/>
          <w:sz w:val="21"/>
          <w:szCs w:val="21"/>
        </w:rPr>
        <w:t>7</w:t>
      </w:r>
      <w:r>
        <w:rPr>
          <w:rFonts w:eastAsia="黑体" w:cs="Times New Roman"/>
          <w:sz w:val="21"/>
          <w:szCs w:val="21"/>
        </w:rPr>
        <w:t>.1-1</w:t>
      </w:r>
      <w:r>
        <w:rPr>
          <w:rFonts w:eastAsia="黑体" w:cs="Times New Roman"/>
          <w:sz w:val="21"/>
          <w:szCs w:val="21"/>
        </w:rPr>
        <w:t xml:space="preserve">   </w:t>
      </w:r>
      <w:r>
        <w:rPr>
          <w:rFonts w:eastAsia="黑体" w:cs="Times New Roman"/>
          <w:sz w:val="21"/>
          <w:szCs w:val="21"/>
        </w:rPr>
        <w:t>二氧化碳产排污节点汇总一览表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5"/>
        <w:gridCol w:w="3094"/>
        <w:gridCol w:w="2636"/>
        <w:gridCol w:w="1061"/>
        <w:gridCol w:w="1061"/>
      </w:tblGrid>
      <w:tr w:rsidR="00C645C9">
        <w:trPr>
          <w:trHeight w:val="397"/>
          <w:jc w:val="center"/>
        </w:trPr>
        <w:tc>
          <w:tcPr>
            <w:tcW w:w="30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序号</w:t>
            </w:r>
          </w:p>
        </w:tc>
        <w:tc>
          <w:tcPr>
            <w:tcW w:w="185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类别</w:t>
            </w:r>
          </w:p>
        </w:tc>
        <w:tc>
          <w:tcPr>
            <w:tcW w:w="1576"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产污环节</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碳排放因子</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排放形式</w:t>
            </w:r>
          </w:p>
        </w:tc>
      </w:tr>
      <w:tr w:rsidR="00C645C9">
        <w:trPr>
          <w:trHeight w:val="397"/>
          <w:jc w:val="center"/>
        </w:trPr>
        <w:tc>
          <w:tcPr>
            <w:tcW w:w="30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w:t>
            </w:r>
          </w:p>
        </w:tc>
        <w:tc>
          <w:tcPr>
            <w:tcW w:w="185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燃料燃烧</w:t>
            </w: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排放</w:t>
            </w:r>
          </w:p>
        </w:tc>
        <w:tc>
          <w:tcPr>
            <w:tcW w:w="1576" w:type="pct"/>
            <w:vAlign w:val="center"/>
          </w:tcPr>
          <w:p w:rsidR="00C645C9" w:rsidRDefault="00F955D9">
            <w:pPr>
              <w:adjustRightInd w:val="0"/>
              <w:snapToGrid w:val="0"/>
              <w:jc w:val="center"/>
              <w:rPr>
                <w:rFonts w:cs="Times New Roman"/>
                <w:spacing w:val="-10"/>
                <w:sz w:val="21"/>
                <w:szCs w:val="21"/>
              </w:rPr>
            </w:pPr>
            <w:bookmarkStart w:id="1874" w:name="OLE_LINK700"/>
            <w:r>
              <w:rPr>
                <w:rFonts w:cs="Times New Roman" w:hint="eastAsia"/>
                <w:spacing w:val="-10"/>
                <w:sz w:val="21"/>
                <w:szCs w:val="21"/>
              </w:rPr>
              <w:t>井场</w:t>
            </w:r>
            <w:bookmarkEnd w:id="1874"/>
            <w:r>
              <w:rPr>
                <w:rFonts w:cs="Times New Roman"/>
                <w:spacing w:val="-10"/>
                <w:sz w:val="21"/>
                <w:szCs w:val="21"/>
              </w:rPr>
              <w:t>加热炉</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CO</w:t>
            </w:r>
            <w:r>
              <w:rPr>
                <w:rFonts w:cs="Times New Roman"/>
                <w:spacing w:val="-10"/>
                <w:sz w:val="21"/>
                <w:szCs w:val="21"/>
                <w:vertAlign w:val="subscript"/>
              </w:rPr>
              <w:t>2</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有组织</w:t>
            </w:r>
          </w:p>
        </w:tc>
      </w:tr>
      <w:tr w:rsidR="00C645C9">
        <w:trPr>
          <w:trHeight w:val="397"/>
          <w:jc w:val="center"/>
        </w:trPr>
        <w:tc>
          <w:tcPr>
            <w:tcW w:w="302" w:type="pct"/>
            <w:vAlign w:val="center"/>
          </w:tcPr>
          <w:p w:rsidR="00C645C9" w:rsidRDefault="00F955D9">
            <w:pPr>
              <w:adjustRightInd w:val="0"/>
              <w:snapToGrid w:val="0"/>
              <w:jc w:val="center"/>
              <w:rPr>
                <w:rFonts w:cs="Times New Roman"/>
                <w:spacing w:val="-10"/>
                <w:sz w:val="21"/>
                <w:szCs w:val="21"/>
              </w:rPr>
            </w:pPr>
            <w:bookmarkStart w:id="1875" w:name="OLE_LINK701" w:colFirst="3" w:colLast="4"/>
            <w:r>
              <w:rPr>
                <w:rFonts w:cs="Times New Roman"/>
                <w:spacing w:val="-10"/>
                <w:sz w:val="21"/>
                <w:szCs w:val="21"/>
              </w:rPr>
              <w:lastRenderedPageBreak/>
              <w:t>2</w:t>
            </w:r>
          </w:p>
        </w:tc>
        <w:tc>
          <w:tcPr>
            <w:tcW w:w="185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火炬燃烧排放</w:t>
            </w:r>
          </w:p>
        </w:tc>
        <w:tc>
          <w:tcPr>
            <w:tcW w:w="1576"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井场</w:t>
            </w:r>
            <w:r>
              <w:rPr>
                <w:rFonts w:cs="Times New Roman"/>
                <w:spacing w:val="-10"/>
                <w:sz w:val="21"/>
                <w:szCs w:val="21"/>
              </w:rPr>
              <w:t>多功能集油器分离出气相通过站场火炬燃烧放空</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和</w:t>
            </w:r>
            <w:r>
              <w:rPr>
                <w:rFonts w:cs="Times New Roman"/>
                <w:spacing w:val="-10"/>
                <w:sz w:val="21"/>
                <w:szCs w:val="21"/>
              </w:rPr>
              <w:t>CH</w:t>
            </w:r>
            <w:r>
              <w:rPr>
                <w:rFonts w:cs="Times New Roman"/>
                <w:spacing w:val="-10"/>
                <w:sz w:val="21"/>
                <w:szCs w:val="21"/>
                <w:vertAlign w:val="subscript"/>
              </w:rPr>
              <w:t>4</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有组织</w:t>
            </w:r>
          </w:p>
        </w:tc>
      </w:tr>
      <w:bookmarkEnd w:id="1875"/>
      <w:tr w:rsidR="00C645C9">
        <w:trPr>
          <w:trHeight w:val="397"/>
          <w:jc w:val="center"/>
        </w:trPr>
        <w:tc>
          <w:tcPr>
            <w:tcW w:w="302"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3</w:t>
            </w:r>
          </w:p>
        </w:tc>
        <w:tc>
          <w:tcPr>
            <w:tcW w:w="1850"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CH</w:t>
            </w:r>
            <w:r>
              <w:rPr>
                <w:rFonts w:cs="Times New Roman"/>
                <w:spacing w:val="-10"/>
                <w:sz w:val="21"/>
                <w:szCs w:val="21"/>
                <w:vertAlign w:val="subscript"/>
              </w:rPr>
              <w:t>4</w:t>
            </w:r>
            <w:r>
              <w:rPr>
                <w:rFonts w:cs="Times New Roman"/>
                <w:spacing w:val="-10"/>
                <w:sz w:val="21"/>
                <w:szCs w:val="21"/>
              </w:rPr>
              <w:t>逃逸排放</w:t>
            </w:r>
          </w:p>
        </w:tc>
        <w:tc>
          <w:tcPr>
            <w:tcW w:w="1576"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井场</w:t>
            </w:r>
            <w:r>
              <w:rPr>
                <w:rFonts w:cs="Times New Roman"/>
                <w:spacing w:val="-10"/>
                <w:sz w:val="21"/>
                <w:szCs w:val="21"/>
              </w:rPr>
              <w:t>法兰、阀门等处逸散的废气</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CH</w:t>
            </w:r>
            <w:r>
              <w:rPr>
                <w:rFonts w:cs="Times New Roman"/>
                <w:spacing w:val="-10"/>
                <w:sz w:val="21"/>
                <w:szCs w:val="21"/>
                <w:vertAlign w:val="subscript"/>
              </w:rPr>
              <w:t>4</w:t>
            </w:r>
          </w:p>
        </w:tc>
        <w:tc>
          <w:tcPr>
            <w:tcW w:w="635"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无组织</w:t>
            </w:r>
          </w:p>
        </w:tc>
      </w:tr>
    </w:tbl>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3469" w:history="1">
        <w:r>
          <w:rPr>
            <w:rFonts w:ascii="Times New Roman" w:hAnsi="Times New Roman" w:cs="Times New Roman" w:hint="eastAsia"/>
            <w:color w:val="auto"/>
          </w:rPr>
          <w:t xml:space="preserve">7.1.2 </w:t>
        </w:r>
        <w:r>
          <w:rPr>
            <w:rFonts w:ascii="Times New Roman" w:hAnsi="Times New Roman" w:cs="Times New Roman" w:hint="eastAsia"/>
            <w:color w:val="auto"/>
            <w:lang w:eastAsia="zh-CN"/>
          </w:rPr>
          <w:t>温室气体</w:t>
        </w:r>
        <w:r>
          <w:rPr>
            <w:rFonts w:ascii="Times New Roman" w:hAnsi="Times New Roman" w:cs="Times New Roman" w:hint="eastAsia"/>
            <w:color w:val="auto"/>
          </w:rPr>
          <w:t>排放量核算</w:t>
        </w:r>
      </w:hyperlink>
    </w:p>
    <w:p w:rsidR="00C645C9" w:rsidRDefault="00F955D9">
      <w:pPr>
        <w:keepNext/>
        <w:keepLines/>
        <w:widowControl w:val="0"/>
        <w:adjustRightInd w:val="0"/>
        <w:snapToGrid w:val="0"/>
        <w:spacing w:line="360" w:lineRule="auto"/>
        <w:jc w:val="both"/>
        <w:outlineLvl w:val="3"/>
        <w:rPr>
          <w:rFonts w:cs="Times New Roman"/>
          <w:b/>
          <w:bCs/>
          <w:snapToGrid w:val="0"/>
          <w:szCs w:val="21"/>
        </w:rPr>
      </w:pPr>
      <w:bookmarkStart w:id="1876" w:name="OLE_LINK731"/>
      <w:r>
        <w:rPr>
          <w:rFonts w:cs="Times New Roman" w:hint="eastAsia"/>
          <w:b/>
          <w:bCs/>
          <w:snapToGrid w:val="0"/>
          <w:szCs w:val="21"/>
        </w:rPr>
        <w:t>7</w:t>
      </w:r>
      <w:r>
        <w:rPr>
          <w:rFonts w:cs="Times New Roman"/>
          <w:b/>
          <w:bCs/>
          <w:snapToGrid w:val="0"/>
          <w:szCs w:val="21"/>
        </w:rPr>
        <w:t>.1.</w:t>
      </w:r>
      <w:r>
        <w:rPr>
          <w:rFonts w:cs="Times New Roman" w:hint="eastAsia"/>
          <w:b/>
          <w:bCs/>
          <w:snapToGrid w:val="0"/>
          <w:szCs w:val="21"/>
        </w:rPr>
        <w:t>2</w:t>
      </w:r>
      <w:r>
        <w:rPr>
          <w:rFonts w:cs="Times New Roman"/>
          <w:b/>
          <w:bCs/>
          <w:snapToGrid w:val="0"/>
          <w:szCs w:val="21"/>
        </w:rPr>
        <w:t>.</w:t>
      </w:r>
      <w:r>
        <w:rPr>
          <w:rFonts w:cs="Times New Roman" w:hint="eastAsia"/>
          <w:b/>
          <w:bCs/>
          <w:snapToGrid w:val="0"/>
          <w:szCs w:val="21"/>
        </w:rPr>
        <w:t>1</w:t>
      </w:r>
      <w:r>
        <w:rPr>
          <w:rFonts w:cs="Times New Roman"/>
          <w:b/>
          <w:bCs/>
          <w:snapToGrid w:val="0"/>
          <w:szCs w:val="21"/>
        </w:rPr>
        <w:t>碳排放核算边界</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w:t>
      </w:r>
      <w:bookmarkEnd w:id="1876"/>
      <w:r>
        <w:rPr>
          <w:rFonts w:cs="Times New Roman"/>
          <w:spacing w:val="4"/>
          <w:kern w:val="24"/>
          <w:szCs w:val="22"/>
        </w:rPr>
        <w:t>程</w:t>
      </w:r>
      <w:r>
        <w:rPr>
          <w:rFonts w:cs="Times New Roman"/>
          <w:spacing w:val="4"/>
          <w:kern w:val="24"/>
          <w:szCs w:val="22"/>
        </w:rPr>
        <w:t>碳排放核算边界及核算内容见表</w:t>
      </w:r>
      <w:r>
        <w:rPr>
          <w:rFonts w:cs="Times New Roman" w:hint="eastAsia"/>
          <w:spacing w:val="4"/>
          <w:kern w:val="24"/>
          <w:szCs w:val="22"/>
        </w:rPr>
        <w:t>7.1</w:t>
      </w:r>
      <w:r>
        <w:rPr>
          <w:rFonts w:cs="Times New Roman"/>
          <w:spacing w:val="4"/>
          <w:kern w:val="24"/>
          <w:szCs w:val="22"/>
        </w:rPr>
        <w:t>-2</w:t>
      </w:r>
      <w:r>
        <w:rPr>
          <w:rFonts w:cs="Times New Roman"/>
          <w:spacing w:val="4"/>
          <w:kern w:val="24"/>
          <w:szCs w:val="22"/>
        </w:rPr>
        <w:t>所示。</w:t>
      </w: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bookmarkStart w:id="1877" w:name="OLE_LINK912"/>
      <w:r>
        <w:rPr>
          <w:rFonts w:eastAsia="黑体" w:cs="Times New Roman" w:hint="eastAsia"/>
          <w:sz w:val="21"/>
          <w:szCs w:val="21"/>
        </w:rPr>
        <w:t>7</w:t>
      </w:r>
      <w:r>
        <w:rPr>
          <w:rFonts w:eastAsia="黑体" w:cs="Times New Roman"/>
          <w:sz w:val="21"/>
          <w:szCs w:val="21"/>
        </w:rPr>
        <w:t>.1-2</w:t>
      </w:r>
      <w:bookmarkEnd w:id="1877"/>
      <w:r>
        <w:rPr>
          <w:rFonts w:eastAsia="黑体" w:cs="Times New Roman"/>
          <w:sz w:val="21"/>
          <w:szCs w:val="21"/>
        </w:rPr>
        <w:t xml:space="preserve">   </w:t>
      </w:r>
      <w:r>
        <w:rPr>
          <w:rFonts w:eastAsia="黑体" w:cs="Times New Roman"/>
          <w:sz w:val="21"/>
          <w:szCs w:val="21"/>
        </w:rPr>
        <w:t>核算边界及核算内容一览表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2193"/>
        <w:gridCol w:w="5649"/>
      </w:tblGrid>
      <w:tr w:rsidR="00C645C9">
        <w:trPr>
          <w:trHeight w:val="397"/>
          <w:jc w:val="center"/>
        </w:trPr>
        <w:tc>
          <w:tcPr>
            <w:tcW w:w="30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序号</w:t>
            </w:r>
          </w:p>
        </w:tc>
        <w:tc>
          <w:tcPr>
            <w:tcW w:w="131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核算主体</w:t>
            </w:r>
            <w:r>
              <w:rPr>
                <w:rFonts w:cs="Times New Roman"/>
                <w:spacing w:val="-10"/>
                <w:sz w:val="21"/>
                <w:szCs w:val="21"/>
              </w:rPr>
              <w:t>/</w:t>
            </w:r>
            <w:r>
              <w:rPr>
                <w:rFonts w:cs="Times New Roman"/>
                <w:spacing w:val="-10"/>
                <w:sz w:val="21"/>
                <w:szCs w:val="21"/>
              </w:rPr>
              <w:t>核算边界</w:t>
            </w:r>
          </w:p>
        </w:tc>
        <w:tc>
          <w:tcPr>
            <w:tcW w:w="3378"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碳排放核算内容</w:t>
            </w:r>
          </w:p>
        </w:tc>
      </w:tr>
      <w:tr w:rsidR="00C645C9">
        <w:trPr>
          <w:trHeight w:val="397"/>
          <w:jc w:val="center"/>
        </w:trPr>
        <w:tc>
          <w:tcPr>
            <w:tcW w:w="309"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w:t>
            </w:r>
          </w:p>
        </w:tc>
        <w:tc>
          <w:tcPr>
            <w:tcW w:w="1311"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新北区块试采工程</w:t>
            </w:r>
          </w:p>
        </w:tc>
        <w:tc>
          <w:tcPr>
            <w:tcW w:w="3378" w:type="pct"/>
            <w:vAlign w:val="center"/>
          </w:tcPr>
          <w:p w:rsidR="00C645C9" w:rsidRDefault="00F955D9">
            <w:pPr>
              <w:adjustRightInd w:val="0"/>
              <w:snapToGrid w:val="0"/>
              <w:rPr>
                <w:rFonts w:cs="Times New Roman"/>
                <w:spacing w:val="-10"/>
                <w:sz w:val="21"/>
                <w:szCs w:val="21"/>
              </w:rPr>
            </w:pPr>
            <w:r>
              <w:rPr>
                <w:rFonts w:cs="Times New Roman"/>
                <w:spacing w:val="-10"/>
                <w:sz w:val="21"/>
                <w:szCs w:val="21"/>
              </w:rPr>
              <w:t>包括油气处理及油气储运各个业务环节的基本生产系统、辅助生产系统，以及直接为生产服务的附属生产系统。排放量核算内容包括：</w:t>
            </w:r>
          </w:p>
          <w:p w:rsidR="00C645C9" w:rsidRDefault="00F955D9">
            <w:pPr>
              <w:adjustRightInd w:val="0"/>
              <w:snapToGrid w:val="0"/>
              <w:rPr>
                <w:rFonts w:cs="Times New Roman"/>
                <w:spacing w:val="-10"/>
                <w:sz w:val="21"/>
                <w:szCs w:val="21"/>
              </w:rPr>
            </w:pPr>
            <w:r>
              <w:rPr>
                <w:rFonts w:cs="Times New Roman"/>
                <w:spacing w:val="-10"/>
                <w:sz w:val="21"/>
                <w:szCs w:val="21"/>
              </w:rPr>
              <w:t>（</w:t>
            </w:r>
            <w:r>
              <w:rPr>
                <w:rFonts w:cs="Times New Roman"/>
                <w:spacing w:val="-10"/>
                <w:sz w:val="21"/>
                <w:szCs w:val="21"/>
              </w:rPr>
              <w:t>1</w:t>
            </w:r>
            <w:r>
              <w:rPr>
                <w:rFonts w:cs="Times New Roman"/>
                <w:spacing w:val="-10"/>
                <w:sz w:val="21"/>
                <w:szCs w:val="21"/>
              </w:rPr>
              <w:t>）</w:t>
            </w:r>
            <w:bookmarkStart w:id="1878" w:name="OLE_LINK733"/>
            <w:r>
              <w:rPr>
                <w:rFonts w:cs="Times New Roman"/>
                <w:spacing w:val="-10"/>
                <w:sz w:val="21"/>
                <w:szCs w:val="21"/>
              </w:rPr>
              <w:t>燃料燃烧</w:t>
            </w: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排放</w:t>
            </w:r>
            <w:bookmarkEnd w:id="1878"/>
          </w:p>
          <w:p w:rsidR="00C645C9" w:rsidRDefault="00F955D9">
            <w:pPr>
              <w:adjustRightInd w:val="0"/>
              <w:snapToGrid w:val="0"/>
              <w:rPr>
                <w:rFonts w:cs="Times New Roman"/>
                <w:spacing w:val="-10"/>
                <w:sz w:val="21"/>
                <w:szCs w:val="21"/>
              </w:rPr>
            </w:pPr>
            <w:r>
              <w:rPr>
                <w:rFonts w:cs="Times New Roman" w:hint="eastAsia"/>
                <w:spacing w:val="-10"/>
                <w:sz w:val="21"/>
                <w:szCs w:val="21"/>
              </w:rPr>
              <w:t>（</w:t>
            </w:r>
            <w:r>
              <w:rPr>
                <w:rFonts w:cs="Times New Roman" w:hint="eastAsia"/>
                <w:spacing w:val="-10"/>
                <w:sz w:val="21"/>
                <w:szCs w:val="21"/>
              </w:rPr>
              <w:t>2</w:t>
            </w:r>
            <w:r>
              <w:rPr>
                <w:rFonts w:cs="Times New Roman" w:hint="eastAsia"/>
                <w:spacing w:val="-10"/>
                <w:sz w:val="21"/>
                <w:szCs w:val="21"/>
              </w:rPr>
              <w:t>）</w:t>
            </w:r>
            <w:r>
              <w:rPr>
                <w:rFonts w:cs="Times New Roman"/>
                <w:spacing w:val="-10"/>
                <w:sz w:val="21"/>
                <w:szCs w:val="21"/>
              </w:rPr>
              <w:t>火炬燃烧排放</w:t>
            </w:r>
          </w:p>
          <w:p w:rsidR="00C645C9" w:rsidRDefault="00F955D9">
            <w:pPr>
              <w:adjustRightInd w:val="0"/>
              <w:snapToGrid w:val="0"/>
              <w:rPr>
                <w:rFonts w:cs="Times New Roman"/>
                <w:spacing w:val="-10"/>
                <w:sz w:val="21"/>
                <w:szCs w:val="21"/>
              </w:rPr>
            </w:pPr>
            <w:r>
              <w:rPr>
                <w:rFonts w:cs="Times New Roman"/>
                <w:spacing w:val="-10"/>
                <w:sz w:val="21"/>
                <w:szCs w:val="21"/>
              </w:rPr>
              <w:t>（</w:t>
            </w:r>
            <w:r>
              <w:rPr>
                <w:rFonts w:cs="Times New Roman" w:hint="eastAsia"/>
                <w:spacing w:val="-10"/>
                <w:sz w:val="21"/>
                <w:szCs w:val="21"/>
              </w:rPr>
              <w:t>3</w:t>
            </w:r>
            <w:r>
              <w:rPr>
                <w:rFonts w:cs="Times New Roman"/>
                <w:spacing w:val="-10"/>
                <w:sz w:val="21"/>
                <w:szCs w:val="21"/>
              </w:rPr>
              <w:t>）</w:t>
            </w:r>
            <w:r>
              <w:rPr>
                <w:rFonts w:cs="Times New Roman"/>
                <w:spacing w:val="-10"/>
                <w:sz w:val="21"/>
                <w:szCs w:val="21"/>
              </w:rPr>
              <w:t>CH</w:t>
            </w:r>
            <w:r>
              <w:rPr>
                <w:rFonts w:cs="Times New Roman"/>
                <w:spacing w:val="-10"/>
                <w:sz w:val="21"/>
                <w:szCs w:val="21"/>
                <w:vertAlign w:val="subscript"/>
              </w:rPr>
              <w:t>4</w:t>
            </w:r>
            <w:r>
              <w:rPr>
                <w:rFonts w:cs="Times New Roman"/>
                <w:spacing w:val="-10"/>
                <w:sz w:val="21"/>
                <w:szCs w:val="21"/>
              </w:rPr>
              <w:t>逃逸排放</w:t>
            </w:r>
          </w:p>
        </w:tc>
      </w:tr>
    </w:tbl>
    <w:p w:rsidR="00C645C9" w:rsidRDefault="00F955D9">
      <w:pPr>
        <w:keepNext/>
        <w:keepLines/>
        <w:widowControl w:val="0"/>
        <w:adjustRightInd w:val="0"/>
        <w:snapToGrid w:val="0"/>
        <w:spacing w:line="360" w:lineRule="auto"/>
        <w:jc w:val="both"/>
        <w:outlineLvl w:val="3"/>
        <w:rPr>
          <w:rFonts w:cs="Times New Roman"/>
          <w:b/>
          <w:bCs/>
          <w:snapToGrid w:val="0"/>
          <w:szCs w:val="21"/>
        </w:rPr>
      </w:pPr>
      <w:r>
        <w:rPr>
          <w:rFonts w:cs="Times New Roman" w:hint="eastAsia"/>
          <w:b/>
          <w:bCs/>
          <w:snapToGrid w:val="0"/>
          <w:szCs w:val="21"/>
        </w:rPr>
        <w:t>7</w:t>
      </w:r>
      <w:r>
        <w:rPr>
          <w:rFonts w:cs="Times New Roman"/>
          <w:b/>
          <w:bCs/>
          <w:snapToGrid w:val="0"/>
          <w:szCs w:val="21"/>
        </w:rPr>
        <w:t>.1.</w:t>
      </w:r>
      <w:r>
        <w:rPr>
          <w:rFonts w:cs="Times New Roman" w:hint="eastAsia"/>
          <w:b/>
          <w:bCs/>
          <w:snapToGrid w:val="0"/>
          <w:szCs w:val="21"/>
        </w:rPr>
        <w:t>2</w:t>
      </w:r>
      <w:r>
        <w:rPr>
          <w:rFonts w:cs="Times New Roman"/>
          <w:b/>
          <w:bCs/>
          <w:snapToGrid w:val="0"/>
          <w:szCs w:val="21"/>
        </w:rPr>
        <w:t>.</w:t>
      </w:r>
      <w:r>
        <w:rPr>
          <w:rFonts w:cs="Times New Roman" w:hint="eastAsia"/>
          <w:b/>
          <w:bCs/>
          <w:snapToGrid w:val="0"/>
          <w:szCs w:val="21"/>
        </w:rPr>
        <w:t>2</w:t>
      </w:r>
      <w:r>
        <w:rPr>
          <w:rFonts w:cs="Times New Roman"/>
          <w:b/>
          <w:bCs/>
          <w:snapToGrid w:val="0"/>
          <w:szCs w:val="21"/>
        </w:rPr>
        <w:t>碳排放量核算过程</w:t>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本</w:t>
      </w:r>
      <w:r>
        <w:rPr>
          <w:rFonts w:cs="Times New Roman"/>
          <w:spacing w:val="4"/>
          <w:kern w:val="24"/>
          <w:szCs w:val="22"/>
        </w:rPr>
        <w:t>工程</w:t>
      </w:r>
      <w:r>
        <w:rPr>
          <w:rFonts w:cs="Times New Roman"/>
          <w:spacing w:val="4"/>
          <w:kern w:val="24"/>
          <w:szCs w:val="22"/>
        </w:rPr>
        <w:t>涉及燃料燃烧</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排放</w:t>
      </w:r>
      <w:r>
        <w:rPr>
          <w:rFonts w:cs="Times New Roman" w:hint="eastAsia"/>
          <w:spacing w:val="4"/>
          <w:kern w:val="24"/>
          <w:szCs w:val="22"/>
        </w:rPr>
        <w:t>、</w:t>
      </w:r>
      <w:r>
        <w:rPr>
          <w:rFonts w:cs="Times New Roman"/>
          <w:spacing w:val="4"/>
          <w:kern w:val="24"/>
          <w:szCs w:val="22"/>
        </w:rPr>
        <w:t>火炬燃烧排放、</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逃逸排放。具体核算过程如下：</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1</w:t>
      </w:r>
      <w:r>
        <w:rPr>
          <w:rFonts w:cs="Times New Roman"/>
          <w:sz w:val="24"/>
        </w:rPr>
        <w:t>）燃料燃烧</w:t>
      </w:r>
      <w:r>
        <w:rPr>
          <w:rFonts w:cs="Times New Roman"/>
          <w:sz w:val="24"/>
        </w:rPr>
        <w:t>CO</w:t>
      </w:r>
      <w:r>
        <w:rPr>
          <w:rFonts w:cs="Times New Roman"/>
          <w:sz w:val="24"/>
          <w:vertAlign w:val="subscript"/>
        </w:rPr>
        <w:t>2</w:t>
      </w:r>
      <w:r>
        <w:rPr>
          <w:rFonts w:cs="Times New Roman"/>
          <w:sz w:val="24"/>
        </w:rPr>
        <w:t>排放</w:t>
      </w:r>
    </w:p>
    <w:p w:rsidR="00C645C9" w:rsidRDefault="00F955D9" w:rsidP="005718BB">
      <w:pPr>
        <w:pStyle w:val="afff3"/>
        <w:adjustRightInd w:val="0"/>
        <w:snapToGrid w:val="0"/>
        <w:spacing w:beforeLines="0" w:before="0" w:afterLines="0" w:after="0" w:line="360" w:lineRule="auto"/>
        <w:ind w:firstLine="480"/>
        <w:rPr>
          <w:rFonts w:cs="Times New Roman"/>
          <w:spacing w:val="4"/>
          <w:kern w:val="24"/>
          <w:sz w:val="24"/>
        </w:rPr>
      </w:pPr>
      <w:r>
        <w:rPr>
          <w:rFonts w:cs="Times New Roman"/>
          <w:sz w:val="24"/>
        </w:rPr>
        <w:t>企业的化石燃料燃烧</w:t>
      </w:r>
      <w:r>
        <w:rPr>
          <w:rFonts w:cs="Times New Roman"/>
          <w:spacing w:val="4"/>
          <w:kern w:val="24"/>
          <w:sz w:val="24"/>
        </w:rPr>
        <w:t>CO</w:t>
      </w:r>
      <w:r>
        <w:rPr>
          <w:rFonts w:cs="Times New Roman"/>
          <w:spacing w:val="4"/>
          <w:kern w:val="24"/>
          <w:sz w:val="24"/>
          <w:vertAlign w:val="subscript"/>
        </w:rPr>
        <w:t>2</w:t>
      </w:r>
      <w:r>
        <w:rPr>
          <w:rFonts w:cs="Times New Roman"/>
          <w:sz w:val="24"/>
        </w:rPr>
        <w:t>排放量基于企业边界内各个燃烧设施分品种的化石燃料燃烧量，乘以相应的燃料含碳量和碳氧化率，再逐层累加汇总得到。计算公式如下：</w:t>
      </w:r>
    </w:p>
    <w:p w:rsidR="00C645C9" w:rsidRDefault="00F955D9" w:rsidP="005718BB">
      <w:pPr>
        <w:pStyle w:val="afff3"/>
        <w:adjustRightInd w:val="0"/>
        <w:snapToGrid w:val="0"/>
        <w:spacing w:beforeLines="0" w:before="0" w:afterLines="0" w:after="0" w:line="360" w:lineRule="auto"/>
        <w:ind w:firstLine="480"/>
        <w:jc w:val="center"/>
        <w:rPr>
          <w:rFonts w:cs="Times New Roman"/>
          <w:sz w:val="24"/>
        </w:rPr>
      </w:pPr>
      <w:r>
        <w:rPr>
          <w:rFonts w:cs="Times New Roman"/>
          <w:noProof/>
          <w:sz w:val="24"/>
        </w:rPr>
        <w:drawing>
          <wp:inline distT="0" distB="0" distL="114300" distR="114300">
            <wp:extent cx="2565400" cy="392430"/>
            <wp:effectExtent l="0" t="0" r="6350" b="7620"/>
            <wp:docPr id="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
                    <pic:cNvPicPr>
                      <a:picLocks noChangeAspect="1"/>
                    </pic:cNvPicPr>
                  </pic:nvPicPr>
                  <pic:blipFill>
                    <a:blip r:embed="rId93"/>
                    <a:stretch>
                      <a:fillRect/>
                    </a:stretch>
                  </pic:blipFill>
                  <pic:spPr>
                    <a:xfrm>
                      <a:off x="0" y="0"/>
                      <a:ext cx="2565400" cy="392430"/>
                    </a:xfrm>
                    <a:prstGeom prst="rect">
                      <a:avLst/>
                    </a:prstGeom>
                    <a:noFill/>
                    <a:ln>
                      <a:noFill/>
                    </a:ln>
                  </pic:spPr>
                </pic:pic>
              </a:graphicData>
            </a:graphic>
          </wp:inline>
        </w:drawing>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式中：</w:t>
      </w:r>
      <w:r>
        <w:rPr>
          <w:rFonts w:cs="Times New Roman"/>
          <w:sz w:val="24"/>
        </w:rPr>
        <w:t>E</w:t>
      </w:r>
      <w:r>
        <w:rPr>
          <w:rFonts w:cs="Times New Roman"/>
          <w:sz w:val="24"/>
          <w:vertAlign w:val="subscript"/>
        </w:rPr>
        <w:t>CO2_</w:t>
      </w:r>
      <w:r>
        <w:rPr>
          <w:rFonts w:cs="Times New Roman"/>
          <w:sz w:val="24"/>
          <w:vertAlign w:val="subscript"/>
        </w:rPr>
        <w:t>燃烧</w:t>
      </w:r>
      <w:r>
        <w:rPr>
          <w:rFonts w:cs="Times New Roman"/>
          <w:sz w:val="24"/>
          <w:lang w:val="zh-CN"/>
        </w:rPr>
        <w:t>—</w:t>
      </w:r>
      <w:r>
        <w:rPr>
          <w:rFonts w:cs="Times New Roman"/>
          <w:sz w:val="24"/>
          <w:lang w:val="zh-CN"/>
        </w:rPr>
        <w:t>—</w:t>
      </w:r>
      <w:r>
        <w:rPr>
          <w:rFonts w:cs="Times New Roman"/>
          <w:sz w:val="24"/>
        </w:rPr>
        <w:t>企业的化石燃料燃烧</w:t>
      </w:r>
      <w:r>
        <w:rPr>
          <w:rFonts w:cs="Times New Roman"/>
          <w:sz w:val="24"/>
        </w:rPr>
        <w:t>CO</w:t>
      </w:r>
      <w:r>
        <w:rPr>
          <w:rFonts w:cs="Times New Roman"/>
          <w:sz w:val="24"/>
          <w:vertAlign w:val="subscript"/>
        </w:rPr>
        <w:t>2</w:t>
      </w:r>
      <w:r>
        <w:rPr>
          <w:rFonts w:cs="Times New Roman"/>
          <w:sz w:val="24"/>
        </w:rPr>
        <w:t>排放量，单位为吨</w:t>
      </w:r>
      <w:r>
        <w:rPr>
          <w:rFonts w:cs="Times New Roman"/>
          <w:sz w:val="24"/>
        </w:rPr>
        <w:t>CO</w:t>
      </w:r>
      <w:r>
        <w:rPr>
          <w:rFonts w:cs="Times New Roman"/>
          <w:sz w:val="24"/>
          <w:vertAlign w:val="subscript"/>
        </w:rPr>
        <w:t>2</w:t>
      </w:r>
      <w:r>
        <w:rPr>
          <w:rFonts w:cs="Times New Roman"/>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i</w:t>
      </w:r>
      <w:r>
        <w:rPr>
          <w:rFonts w:cs="Times New Roman"/>
          <w:sz w:val="24"/>
          <w:lang w:val="zh-CN"/>
        </w:rPr>
        <w:t>——</w:t>
      </w:r>
      <w:r>
        <w:rPr>
          <w:rFonts w:cs="Times New Roman"/>
          <w:sz w:val="24"/>
        </w:rPr>
        <w:t>化石燃料的种类；</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j</w:t>
      </w:r>
      <w:r>
        <w:rPr>
          <w:rFonts w:cs="Times New Roman"/>
          <w:sz w:val="24"/>
          <w:lang w:val="zh-CN"/>
        </w:rPr>
        <w:t>——</w:t>
      </w:r>
      <w:r>
        <w:rPr>
          <w:rFonts w:cs="Times New Roman"/>
          <w:sz w:val="24"/>
        </w:rPr>
        <w:t>燃烧设施序号；</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AD</w:t>
      </w:r>
      <w:r>
        <w:rPr>
          <w:rFonts w:cs="Times New Roman"/>
          <w:sz w:val="24"/>
          <w:vertAlign w:val="subscript"/>
        </w:rPr>
        <w:t>i,j</w:t>
      </w:r>
      <w:r>
        <w:rPr>
          <w:rFonts w:cs="Times New Roman"/>
          <w:sz w:val="24"/>
          <w:lang w:val="zh-CN"/>
        </w:rPr>
        <w:t>——</w:t>
      </w:r>
      <w:r>
        <w:rPr>
          <w:rFonts w:cs="Times New Roman"/>
          <w:sz w:val="24"/>
        </w:rPr>
        <w:t>燃烧设施</w:t>
      </w:r>
      <w:r>
        <w:rPr>
          <w:rFonts w:cs="Times New Roman"/>
          <w:sz w:val="24"/>
        </w:rPr>
        <w:t>j</w:t>
      </w:r>
      <w:r>
        <w:rPr>
          <w:rFonts w:cs="Times New Roman"/>
          <w:sz w:val="24"/>
        </w:rPr>
        <w:t>内燃烧的化石燃料品种</w:t>
      </w:r>
      <w:r>
        <w:rPr>
          <w:rFonts w:cs="Times New Roman"/>
          <w:sz w:val="24"/>
        </w:rPr>
        <w:t>i</w:t>
      </w:r>
      <w:r>
        <w:rPr>
          <w:rFonts w:cs="Times New Roman"/>
          <w:sz w:val="24"/>
        </w:rPr>
        <w:t>消费量，对固体或液体燃料以吨为单位，对其他气体燃料以气体燃料标准状况下的体积（</w:t>
      </w:r>
      <w:r>
        <w:rPr>
          <w:rFonts w:cs="Times New Roman"/>
          <w:spacing w:val="4"/>
          <w:kern w:val="24"/>
          <w:sz w:val="24"/>
        </w:rPr>
        <w:t>万</w:t>
      </w:r>
      <w:r>
        <w:rPr>
          <w:rFonts w:cs="Times New Roman"/>
          <w:spacing w:val="4"/>
          <w:kern w:val="24"/>
          <w:sz w:val="24"/>
        </w:rPr>
        <w:t>Nm</w:t>
      </w:r>
      <w:r>
        <w:rPr>
          <w:rFonts w:cs="Times New Roman"/>
          <w:spacing w:val="4"/>
          <w:kern w:val="24"/>
          <w:sz w:val="24"/>
          <w:vertAlign w:val="superscript"/>
        </w:rPr>
        <w:t>3</w:t>
      </w:r>
      <w:r>
        <w:rPr>
          <w:rFonts w:cs="Times New Roman"/>
          <w:sz w:val="24"/>
        </w:rPr>
        <w:t>）为单位，非标准状况下的体积需转化成标况下进行计算；</w:t>
      </w:r>
    </w:p>
    <w:p w:rsidR="00C645C9" w:rsidRDefault="00F955D9">
      <w:pPr>
        <w:pStyle w:val="afff3"/>
        <w:adjustRightInd w:val="0"/>
        <w:snapToGrid w:val="0"/>
        <w:spacing w:beforeLines="0" w:before="0" w:afterLines="0" w:after="0" w:line="360" w:lineRule="auto"/>
        <w:ind w:firstLineChars="500" w:firstLine="1200"/>
        <w:rPr>
          <w:rFonts w:cs="Times New Roman"/>
          <w:spacing w:val="4"/>
          <w:kern w:val="24"/>
          <w:sz w:val="24"/>
        </w:rPr>
      </w:pPr>
      <w:r>
        <w:rPr>
          <w:rFonts w:cs="Times New Roman"/>
          <w:sz w:val="24"/>
        </w:rPr>
        <w:t>CC</w:t>
      </w:r>
      <w:r>
        <w:rPr>
          <w:rFonts w:cs="Times New Roman"/>
          <w:sz w:val="24"/>
          <w:vertAlign w:val="subscript"/>
        </w:rPr>
        <w:t>i,j</w:t>
      </w:r>
      <w:r>
        <w:rPr>
          <w:rFonts w:cs="Times New Roman"/>
          <w:sz w:val="24"/>
          <w:lang w:val="zh-CN"/>
        </w:rPr>
        <w:t>——</w:t>
      </w:r>
      <w:r>
        <w:rPr>
          <w:rFonts w:cs="Times New Roman"/>
          <w:sz w:val="24"/>
        </w:rPr>
        <w:t>设施</w:t>
      </w:r>
      <w:r>
        <w:rPr>
          <w:rFonts w:cs="Times New Roman"/>
          <w:sz w:val="24"/>
        </w:rPr>
        <w:t>j</w:t>
      </w:r>
      <w:r>
        <w:rPr>
          <w:rFonts w:cs="Times New Roman"/>
          <w:sz w:val="24"/>
        </w:rPr>
        <w:t>内燃烧的化石燃料</w:t>
      </w:r>
      <w:r>
        <w:rPr>
          <w:rFonts w:cs="Times New Roman"/>
          <w:sz w:val="24"/>
        </w:rPr>
        <w:t>i</w:t>
      </w:r>
      <w:r>
        <w:rPr>
          <w:rFonts w:cs="Times New Roman"/>
          <w:sz w:val="24"/>
        </w:rPr>
        <w:t>的含碳量，对固体和液体燃料以吨碳</w:t>
      </w:r>
      <w:r>
        <w:rPr>
          <w:rFonts w:cs="Times New Roman"/>
          <w:sz w:val="24"/>
        </w:rPr>
        <w:t>/</w:t>
      </w:r>
      <w:r>
        <w:rPr>
          <w:rFonts w:cs="Times New Roman"/>
          <w:sz w:val="24"/>
        </w:rPr>
        <w:t>吨燃料为单位，对气体燃料以吨碳</w:t>
      </w:r>
      <w:r>
        <w:rPr>
          <w:rFonts w:cs="Times New Roman"/>
          <w:sz w:val="24"/>
        </w:rPr>
        <w:t>/</w:t>
      </w:r>
      <w:r>
        <w:rPr>
          <w:rFonts w:cs="Times New Roman"/>
          <w:sz w:val="24"/>
        </w:rPr>
        <w:t>万</w:t>
      </w:r>
      <w:r>
        <w:rPr>
          <w:rFonts w:cs="Times New Roman"/>
          <w:spacing w:val="4"/>
          <w:kern w:val="24"/>
          <w:sz w:val="24"/>
        </w:rPr>
        <w:t>Nm</w:t>
      </w:r>
      <w:r>
        <w:rPr>
          <w:rFonts w:cs="Times New Roman"/>
          <w:spacing w:val="4"/>
          <w:kern w:val="24"/>
          <w:sz w:val="24"/>
          <w:vertAlign w:val="superscript"/>
        </w:rPr>
        <w:t>3</w:t>
      </w:r>
      <w:r>
        <w:rPr>
          <w:rFonts w:cs="Times New Roman"/>
          <w:spacing w:val="4"/>
          <w:kern w:val="24"/>
          <w:sz w:val="24"/>
        </w:rPr>
        <w:t>为单位；</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sz w:val="24"/>
        </w:rPr>
        <w:t>OF</w:t>
      </w:r>
      <w:r>
        <w:rPr>
          <w:rFonts w:cs="Times New Roman"/>
          <w:sz w:val="24"/>
          <w:vertAlign w:val="subscript"/>
        </w:rPr>
        <w:t>i,j</w:t>
      </w:r>
      <w:bookmarkStart w:id="1879" w:name="OLE_LINK908"/>
      <w:r>
        <w:rPr>
          <w:rFonts w:cs="Times New Roman"/>
          <w:sz w:val="24"/>
          <w:lang w:val="zh-CN"/>
        </w:rPr>
        <w:t>——</w:t>
      </w:r>
      <w:bookmarkEnd w:id="1879"/>
      <w:r>
        <w:rPr>
          <w:rFonts w:cs="Times New Roman"/>
          <w:sz w:val="24"/>
        </w:rPr>
        <w:t>燃烧的化石燃料</w:t>
      </w:r>
      <w:r>
        <w:rPr>
          <w:rFonts w:cs="Times New Roman"/>
          <w:sz w:val="24"/>
        </w:rPr>
        <w:t>i</w:t>
      </w:r>
      <w:r>
        <w:rPr>
          <w:rFonts w:cs="Times New Roman"/>
          <w:sz w:val="24"/>
        </w:rPr>
        <w:t>的碳氧化率，取值范围为</w:t>
      </w:r>
      <w:r>
        <w:rPr>
          <w:rFonts w:cs="Times New Roman"/>
          <w:sz w:val="24"/>
        </w:rPr>
        <w:t>0</w:t>
      </w:r>
      <w:r>
        <w:rPr>
          <w:rFonts w:cs="Times New Roman"/>
          <w:sz w:val="24"/>
        </w:rPr>
        <w:t>～</w:t>
      </w:r>
      <w:r>
        <w:rPr>
          <w:rFonts w:cs="Times New Roman"/>
          <w:sz w:val="24"/>
        </w:rPr>
        <w:t>1</w:t>
      </w:r>
      <w:r>
        <w:rPr>
          <w:rFonts w:cs="Times New Roman"/>
          <w:sz w:val="24"/>
        </w:rPr>
        <w:t>。天然气取值为</w:t>
      </w:r>
      <w:r>
        <w:rPr>
          <w:rFonts w:cs="Times New Roman"/>
          <w:sz w:val="24"/>
        </w:rPr>
        <w:t>0.99</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lastRenderedPageBreak/>
        <w:t>本工程燃料燃烧碳排放计算主要核算为</w:t>
      </w:r>
      <w:r>
        <w:rPr>
          <w:rFonts w:cs="Times New Roman" w:hint="eastAsia"/>
          <w:sz w:val="24"/>
        </w:rPr>
        <w:t>2</w:t>
      </w:r>
      <w:r>
        <w:rPr>
          <w:rFonts w:cs="Times New Roman"/>
          <w:sz w:val="24"/>
        </w:rPr>
        <w:t>台</w:t>
      </w:r>
      <w:r>
        <w:rPr>
          <w:rFonts w:cs="Times New Roman"/>
          <w:sz w:val="24"/>
        </w:rPr>
        <w:t>200kW</w:t>
      </w:r>
      <w:r>
        <w:rPr>
          <w:rFonts w:cs="Times New Roman"/>
          <w:sz w:val="24"/>
        </w:rPr>
        <w:t>井场加热炉。根据核算，本工程年天然气</w:t>
      </w:r>
      <w:bookmarkStart w:id="1880" w:name="OLE_LINK735"/>
      <w:r>
        <w:rPr>
          <w:rFonts w:cs="Times New Roman"/>
          <w:sz w:val="24"/>
        </w:rPr>
        <w:t>消耗量</w:t>
      </w:r>
      <w:bookmarkEnd w:id="1880"/>
      <w:r>
        <w:rPr>
          <w:rFonts w:cs="Times New Roman"/>
          <w:sz w:val="24"/>
        </w:rPr>
        <w:t>为</w:t>
      </w:r>
      <w:r>
        <w:rPr>
          <w:rFonts w:cs="Times New Roman" w:hint="eastAsia"/>
          <w:bCs/>
          <w:snapToGrid w:val="0"/>
          <w:sz w:val="24"/>
        </w:rPr>
        <w:t>37.48</w:t>
      </w:r>
      <w:r>
        <w:rPr>
          <w:rFonts w:cs="Times New Roman"/>
          <w:sz w:val="24"/>
        </w:rPr>
        <w:t>万</w:t>
      </w:r>
      <w:r>
        <w:rPr>
          <w:rFonts w:cs="Times New Roman" w:hint="eastAsia"/>
          <w:bCs/>
          <w:snapToGrid w:val="0"/>
          <w:sz w:val="24"/>
        </w:rPr>
        <w:t>N</w:t>
      </w:r>
      <w:r>
        <w:rPr>
          <w:rFonts w:cs="Times New Roman"/>
          <w:bCs/>
          <w:snapToGrid w:val="0"/>
          <w:sz w:val="24"/>
        </w:rPr>
        <w:t>m</w:t>
      </w:r>
      <w:r>
        <w:rPr>
          <w:rFonts w:cs="Times New Roman"/>
          <w:bCs/>
          <w:snapToGrid w:val="0"/>
          <w:sz w:val="24"/>
          <w:vertAlign w:val="superscript"/>
        </w:rPr>
        <w:t>3</w:t>
      </w:r>
      <w:r>
        <w:rPr>
          <w:rFonts w:cs="Times New Roman"/>
          <w:sz w:val="24"/>
        </w:rPr>
        <w:t>。查阅《中国石油天然气生产企业温室气体排放核算方法与报告指南（试行）》</w:t>
      </w:r>
      <w:r>
        <w:rPr>
          <w:rFonts w:cs="Times New Roman" w:hint="eastAsia"/>
          <w:sz w:val="24"/>
        </w:rPr>
        <w:t>附录二</w:t>
      </w:r>
      <w:r>
        <w:rPr>
          <w:rFonts w:cs="Times New Roman"/>
          <w:sz w:val="24"/>
        </w:rPr>
        <w:t>表</w:t>
      </w:r>
      <w:r>
        <w:rPr>
          <w:rFonts w:cs="Times New Roman"/>
          <w:sz w:val="24"/>
        </w:rPr>
        <w:t>2.1</w:t>
      </w:r>
      <w:r>
        <w:rPr>
          <w:rFonts w:cs="Times New Roman"/>
          <w:sz w:val="24"/>
        </w:rPr>
        <w:t>可知，天然气单位热值含碳量为</w:t>
      </w:r>
      <w:r>
        <w:rPr>
          <w:rFonts w:cs="Times New Roman"/>
          <w:sz w:val="24"/>
        </w:rPr>
        <w:t>15.3×10</w:t>
      </w:r>
      <w:r>
        <w:rPr>
          <w:rFonts w:cs="Times New Roman"/>
          <w:sz w:val="24"/>
          <w:vertAlign w:val="superscript"/>
        </w:rPr>
        <w:t>-3</w:t>
      </w:r>
      <w:r>
        <w:rPr>
          <w:rFonts w:cs="Times New Roman" w:hint="eastAsia"/>
          <w:sz w:val="24"/>
        </w:rPr>
        <w:t>吨</w:t>
      </w:r>
      <w:r>
        <w:rPr>
          <w:rFonts w:cs="Times New Roman"/>
          <w:sz w:val="24"/>
        </w:rPr>
        <w:t>碳</w:t>
      </w:r>
      <w:r>
        <w:rPr>
          <w:rFonts w:cs="Times New Roman"/>
          <w:sz w:val="24"/>
        </w:rPr>
        <w:t>/GJ</w:t>
      </w:r>
      <w:r>
        <w:rPr>
          <w:rFonts w:cs="Times New Roman"/>
          <w:sz w:val="24"/>
        </w:rPr>
        <w:t>，天然气低位发热量为</w:t>
      </w:r>
      <w:r>
        <w:rPr>
          <w:rFonts w:cs="Times New Roman"/>
          <w:sz w:val="24"/>
        </w:rPr>
        <w:t>389.31GJ/</w:t>
      </w:r>
      <w:r>
        <w:rPr>
          <w:rFonts w:cs="Times New Roman"/>
          <w:sz w:val="24"/>
        </w:rPr>
        <w:t>万</w:t>
      </w:r>
      <w:r>
        <w:rPr>
          <w:rFonts w:cs="Times New Roman"/>
          <w:sz w:val="24"/>
        </w:rPr>
        <w:t>Nm</w:t>
      </w:r>
      <w:r>
        <w:rPr>
          <w:rFonts w:cs="Times New Roman"/>
          <w:sz w:val="24"/>
          <w:vertAlign w:val="superscript"/>
        </w:rPr>
        <w:t>3</w:t>
      </w:r>
      <w:r>
        <w:rPr>
          <w:rFonts w:cs="Times New Roman"/>
          <w:sz w:val="24"/>
        </w:rPr>
        <w:t>，根据换算得出</w:t>
      </w:r>
      <w:bookmarkStart w:id="1881" w:name="OLE_LINK797"/>
      <w:r>
        <w:rPr>
          <w:rFonts w:cs="Times New Roman"/>
          <w:sz w:val="24"/>
        </w:rPr>
        <w:t>天然气中含碳量</w:t>
      </w:r>
      <w:bookmarkEnd w:id="1881"/>
      <w:r>
        <w:rPr>
          <w:rFonts w:cs="Times New Roman"/>
          <w:sz w:val="24"/>
        </w:rPr>
        <w:t>为</w:t>
      </w:r>
      <w:bookmarkStart w:id="1882" w:name="OLE_LINK798"/>
      <w:r>
        <w:rPr>
          <w:rFonts w:cs="Times New Roman"/>
          <w:sz w:val="24"/>
        </w:rPr>
        <w:t>5.</w:t>
      </w:r>
      <w:r>
        <w:rPr>
          <w:rFonts w:cs="Times New Roman" w:hint="eastAsia"/>
          <w:sz w:val="24"/>
        </w:rPr>
        <w:t>96</w:t>
      </w:r>
      <w:bookmarkEnd w:id="1882"/>
      <w:r>
        <w:rPr>
          <w:rFonts w:cs="Times New Roman" w:hint="eastAsia"/>
          <w:sz w:val="24"/>
        </w:rPr>
        <w:t>吨</w:t>
      </w:r>
      <w:r>
        <w:rPr>
          <w:rFonts w:cs="Times New Roman"/>
          <w:sz w:val="24"/>
        </w:rPr>
        <w:t>碳</w:t>
      </w:r>
      <w:r>
        <w:rPr>
          <w:rFonts w:cs="Times New Roman"/>
          <w:sz w:val="24"/>
        </w:rPr>
        <w:t>/</w:t>
      </w:r>
      <w:r>
        <w:rPr>
          <w:rFonts w:cs="Times New Roman"/>
          <w:sz w:val="24"/>
        </w:rPr>
        <w:t>万</w:t>
      </w:r>
      <w:r>
        <w:rPr>
          <w:rFonts w:cs="Times New Roman"/>
          <w:sz w:val="24"/>
        </w:rPr>
        <w:t>Nm</w:t>
      </w:r>
      <w:r>
        <w:rPr>
          <w:rFonts w:cs="Times New Roman"/>
          <w:sz w:val="24"/>
          <w:vertAlign w:val="superscript"/>
        </w:rPr>
        <w:t>3</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根据上述公式核算，</w:t>
      </w:r>
      <w:bookmarkStart w:id="1883" w:name="OLE_LINK799"/>
      <w:r>
        <w:rPr>
          <w:rFonts w:cs="Times New Roman"/>
          <w:sz w:val="24"/>
        </w:rPr>
        <w:t>燃料燃烧</w:t>
      </w:r>
      <w:r>
        <w:rPr>
          <w:rFonts w:cs="Times New Roman"/>
          <w:sz w:val="24"/>
        </w:rPr>
        <w:t>CO</w:t>
      </w:r>
      <w:r>
        <w:rPr>
          <w:rFonts w:cs="Times New Roman"/>
          <w:sz w:val="24"/>
          <w:vertAlign w:val="subscript"/>
        </w:rPr>
        <w:t>2</w:t>
      </w:r>
      <w:r>
        <w:rPr>
          <w:rFonts w:cs="Times New Roman"/>
          <w:sz w:val="24"/>
        </w:rPr>
        <w:t>排放量</w:t>
      </w:r>
      <w:bookmarkEnd w:id="1883"/>
      <w:r>
        <w:rPr>
          <w:rFonts w:cs="Times New Roman"/>
          <w:sz w:val="24"/>
        </w:rPr>
        <w:t>为</w:t>
      </w:r>
      <w:bookmarkStart w:id="1884" w:name="OLE_LINK925"/>
      <w:r>
        <w:rPr>
          <w:rFonts w:cs="Times New Roman" w:hint="eastAsia"/>
          <w:sz w:val="24"/>
        </w:rPr>
        <w:t>695.26</w:t>
      </w:r>
      <w:bookmarkEnd w:id="1884"/>
      <w:r>
        <w:rPr>
          <w:rFonts w:cs="Times New Roman"/>
          <w:sz w:val="24"/>
        </w:rPr>
        <w:t>t</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w:t>
      </w:r>
      <w:r>
        <w:rPr>
          <w:rFonts w:cs="Times New Roman" w:hint="eastAsia"/>
          <w:sz w:val="24"/>
        </w:rPr>
        <w:t>2</w:t>
      </w:r>
      <w:r>
        <w:rPr>
          <w:rFonts w:cs="Times New Roman" w:hint="eastAsia"/>
          <w:sz w:val="24"/>
        </w:rPr>
        <w:t>）火炬燃烧排放</w:t>
      </w:r>
    </w:p>
    <w:p w:rsidR="00C645C9" w:rsidRDefault="00F955D9" w:rsidP="005718BB">
      <w:pPr>
        <w:pStyle w:val="afff3"/>
        <w:adjustRightInd w:val="0"/>
        <w:snapToGrid w:val="0"/>
        <w:spacing w:beforeLines="0" w:before="0" w:afterLines="0" w:after="0" w:line="360" w:lineRule="auto"/>
        <w:ind w:firstLine="480"/>
        <w:jc w:val="both"/>
        <w:rPr>
          <w:rFonts w:cs="Times New Roman"/>
          <w:sz w:val="24"/>
        </w:rPr>
      </w:pPr>
      <w:r>
        <w:rPr>
          <w:rFonts w:cs="Times New Roman" w:hint="eastAsia"/>
          <w:sz w:val="24"/>
        </w:rPr>
        <w:t>石油天然气生产企业火炬燃烧可分为正常工况下的火炬气燃烧及由于事故导致的火炬气燃烧两种，本工程主要核算正常工况下的火炬气燃烧（主要为井场测试放喷阶段的火炬燃烧碳排放量）。另外，考虑到石油天然气生产企业火炬气</w:t>
      </w:r>
      <w:r>
        <w:rPr>
          <w:rFonts w:cs="Times New Roman" w:hint="eastAsia"/>
          <w:sz w:val="24"/>
        </w:rPr>
        <w:t>CH</w:t>
      </w:r>
      <w:r>
        <w:rPr>
          <w:rFonts w:cs="Times New Roman" w:hint="eastAsia"/>
          <w:sz w:val="24"/>
          <w:vertAlign w:val="subscript"/>
        </w:rPr>
        <w:t>4</w:t>
      </w:r>
      <w:r>
        <w:rPr>
          <w:rFonts w:cs="Times New Roman" w:hint="eastAsia"/>
          <w:sz w:val="24"/>
        </w:rPr>
        <w:t>含量较高且火炬气燃烧不充分，因此石油天然气生产企业的火炬燃烧排放同时考虑</w:t>
      </w:r>
      <w:r>
        <w:rPr>
          <w:rFonts w:cs="Times New Roman" w:hint="eastAsia"/>
          <w:sz w:val="24"/>
        </w:rPr>
        <w:t>CO</w:t>
      </w:r>
      <w:r>
        <w:rPr>
          <w:rFonts w:cs="Times New Roman" w:hint="eastAsia"/>
          <w:sz w:val="24"/>
          <w:vertAlign w:val="subscript"/>
        </w:rPr>
        <w:t>2</w:t>
      </w:r>
      <w:r>
        <w:rPr>
          <w:rFonts w:cs="Times New Roman" w:hint="eastAsia"/>
          <w:sz w:val="24"/>
        </w:rPr>
        <w:t>及</w:t>
      </w:r>
      <w:r>
        <w:rPr>
          <w:rFonts w:cs="Times New Roman" w:hint="eastAsia"/>
          <w:sz w:val="24"/>
        </w:rPr>
        <w:t>CH</w:t>
      </w:r>
      <w:r>
        <w:rPr>
          <w:rFonts w:cs="Times New Roman" w:hint="eastAsia"/>
          <w:sz w:val="24"/>
          <w:vertAlign w:val="subscript"/>
        </w:rPr>
        <w:t>4</w:t>
      </w:r>
      <w:r>
        <w:rPr>
          <w:rFonts w:cs="Times New Roman" w:hint="eastAsia"/>
          <w:sz w:val="24"/>
        </w:rPr>
        <w:t>排放。</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①计算公式</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a.</w:t>
      </w:r>
      <w:r>
        <w:rPr>
          <w:rFonts w:cs="Times New Roman" w:hint="eastAsia"/>
          <w:sz w:val="24"/>
        </w:rPr>
        <w:t>火炬燃烧排放计算公式：</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noProof/>
          <w:sz w:val="24"/>
        </w:rPr>
        <w:drawing>
          <wp:inline distT="0" distB="0" distL="114300" distR="114300">
            <wp:extent cx="4993640" cy="516255"/>
            <wp:effectExtent l="0" t="0" r="16510" b="17145"/>
            <wp:docPr id="2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
                    <pic:cNvPicPr>
                      <a:picLocks noChangeAspect="1"/>
                    </pic:cNvPicPr>
                  </pic:nvPicPr>
                  <pic:blipFill>
                    <a:blip r:embed="rId94"/>
                    <a:stretch>
                      <a:fillRect/>
                    </a:stretch>
                  </pic:blipFill>
                  <pic:spPr>
                    <a:xfrm>
                      <a:off x="0" y="0"/>
                      <a:ext cx="4993640" cy="516255"/>
                    </a:xfrm>
                    <a:prstGeom prst="rect">
                      <a:avLst/>
                    </a:prstGeom>
                    <a:noFill/>
                    <a:ln>
                      <a:noFill/>
                    </a:ln>
                  </pic:spPr>
                </pic:pic>
              </a:graphicData>
            </a:graphic>
          </wp:inline>
        </w:drawing>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式中：</w:t>
      </w:r>
      <w:r>
        <w:rPr>
          <w:rFonts w:cs="Times New Roman" w:hint="eastAsia"/>
          <w:sz w:val="24"/>
        </w:rPr>
        <w:t>E</w:t>
      </w:r>
      <w:r>
        <w:rPr>
          <w:rFonts w:cs="Times New Roman" w:hint="eastAsia"/>
          <w:i/>
          <w:iCs/>
          <w:sz w:val="24"/>
          <w:vertAlign w:val="subscript"/>
        </w:rPr>
        <w:t>GHG</w:t>
      </w:r>
      <w:r>
        <w:rPr>
          <w:rFonts w:cs="Times New Roman" w:hint="eastAsia"/>
          <w:i/>
          <w:iCs/>
          <w:sz w:val="24"/>
          <w:vertAlign w:val="subscript"/>
        </w:rPr>
        <w:t>—</w:t>
      </w:r>
      <w:r>
        <w:rPr>
          <w:rFonts w:cs="Times New Roman" w:hint="eastAsia"/>
          <w:sz w:val="24"/>
          <w:vertAlign w:val="subscript"/>
        </w:rPr>
        <w:t>火炬</w:t>
      </w:r>
      <w:r>
        <w:rPr>
          <w:rFonts w:cs="Times New Roman"/>
          <w:sz w:val="24"/>
          <w:lang w:val="zh-CN"/>
        </w:rPr>
        <w:t>——</w:t>
      </w:r>
      <w:r>
        <w:rPr>
          <w:rFonts w:cs="Times New Roman" w:hint="eastAsia"/>
          <w:sz w:val="24"/>
        </w:rPr>
        <w:t>火炬燃烧产生的</w:t>
      </w:r>
      <w:r>
        <w:rPr>
          <w:rFonts w:cs="Times New Roman" w:hint="eastAsia"/>
          <w:sz w:val="24"/>
        </w:rPr>
        <w:t>CO</w:t>
      </w:r>
      <w:r>
        <w:rPr>
          <w:rFonts w:cs="Times New Roman" w:hint="eastAsia"/>
          <w:sz w:val="24"/>
          <w:vertAlign w:val="subscript"/>
        </w:rPr>
        <w:t>2</w:t>
      </w:r>
      <w:r>
        <w:rPr>
          <w:rFonts w:cs="Times New Roman" w:hint="eastAsia"/>
          <w:sz w:val="24"/>
        </w:rPr>
        <w:t>排放量，单位为吨</w:t>
      </w:r>
      <w:r>
        <w:rPr>
          <w:rFonts w:cs="Times New Roman" w:hint="eastAsia"/>
          <w:sz w:val="24"/>
        </w:rPr>
        <w:t>CO</w:t>
      </w:r>
      <w:r>
        <w:rPr>
          <w:rFonts w:cs="Times New Roman" w:hint="eastAsia"/>
          <w:sz w:val="24"/>
          <w:vertAlign w:val="subscript"/>
        </w:rPr>
        <w:t>2</w:t>
      </w:r>
      <w:r>
        <w:rPr>
          <w:rFonts w:cs="Times New Roman" w:hint="eastAsia"/>
          <w:sz w:val="24"/>
        </w:rPr>
        <w:t>；</w:t>
      </w:r>
      <w:r>
        <w:rPr>
          <w:rFonts w:cs="Times New Roman" w:hint="eastAsia"/>
          <w:sz w:val="24"/>
        </w:rPr>
        <w:t xml:space="preserve"> </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hint="eastAsia"/>
          <w:sz w:val="24"/>
        </w:rPr>
        <w:t>E</w:t>
      </w:r>
      <w:r>
        <w:rPr>
          <w:rFonts w:cs="Times New Roman" w:hint="eastAsia"/>
          <w:i/>
          <w:iCs/>
          <w:sz w:val="24"/>
          <w:vertAlign w:val="subscript"/>
        </w:rPr>
        <w:t>CO2</w:t>
      </w:r>
      <w:r>
        <w:rPr>
          <w:rFonts w:cs="Times New Roman" w:hint="eastAsia"/>
          <w:sz w:val="24"/>
          <w:vertAlign w:val="subscript"/>
        </w:rPr>
        <w:t>-</w:t>
      </w:r>
      <w:r>
        <w:rPr>
          <w:rFonts w:cs="Times New Roman" w:hint="eastAsia"/>
          <w:sz w:val="24"/>
          <w:vertAlign w:val="subscript"/>
        </w:rPr>
        <w:t>正常火炬</w:t>
      </w:r>
      <w:r>
        <w:rPr>
          <w:rFonts w:cs="Times New Roman"/>
          <w:sz w:val="24"/>
          <w:lang w:val="zh-CN"/>
        </w:rPr>
        <w:t>——</w:t>
      </w:r>
      <w:r>
        <w:rPr>
          <w:rFonts w:cs="Times New Roman" w:hint="eastAsia"/>
          <w:sz w:val="24"/>
        </w:rPr>
        <w:t>正常工况下火炬系统产生的</w:t>
      </w:r>
      <w:r>
        <w:rPr>
          <w:rFonts w:cs="Times New Roman" w:hint="eastAsia"/>
          <w:sz w:val="24"/>
        </w:rPr>
        <w:t>CO</w:t>
      </w:r>
      <w:r>
        <w:rPr>
          <w:rFonts w:cs="Times New Roman" w:hint="eastAsia"/>
          <w:sz w:val="24"/>
          <w:vertAlign w:val="subscript"/>
        </w:rPr>
        <w:t>2</w:t>
      </w:r>
      <w:r>
        <w:rPr>
          <w:rFonts w:cs="Times New Roman" w:hint="eastAsia"/>
          <w:sz w:val="24"/>
        </w:rPr>
        <w:t>排放，单位为吨</w:t>
      </w:r>
      <w:r>
        <w:rPr>
          <w:rFonts w:cs="Times New Roman" w:hint="eastAsia"/>
          <w:sz w:val="24"/>
        </w:rPr>
        <w:t>CO</w:t>
      </w:r>
      <w:r>
        <w:rPr>
          <w:rFonts w:cs="Times New Roman" w:hint="eastAsia"/>
          <w:sz w:val="24"/>
          <w:vertAlign w:val="subscript"/>
        </w:rPr>
        <w:t>2</w:t>
      </w:r>
      <w:r>
        <w:rPr>
          <w:rFonts w:cs="Times New Roman" w:hint="eastAsia"/>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hint="eastAsia"/>
          <w:sz w:val="24"/>
        </w:rPr>
        <w:t>E</w:t>
      </w:r>
      <w:r>
        <w:rPr>
          <w:rFonts w:cs="Times New Roman" w:hint="eastAsia"/>
          <w:i/>
          <w:iCs/>
          <w:sz w:val="24"/>
          <w:vertAlign w:val="subscript"/>
        </w:rPr>
        <w:t>CO2</w:t>
      </w:r>
      <w:r>
        <w:rPr>
          <w:rFonts w:cs="Times New Roman" w:hint="eastAsia"/>
          <w:sz w:val="24"/>
          <w:vertAlign w:val="subscript"/>
        </w:rPr>
        <w:t>-</w:t>
      </w:r>
      <w:r>
        <w:rPr>
          <w:rFonts w:cs="Times New Roman" w:hint="eastAsia"/>
          <w:sz w:val="24"/>
          <w:vertAlign w:val="subscript"/>
        </w:rPr>
        <w:t>事故火炬</w:t>
      </w:r>
      <w:r>
        <w:rPr>
          <w:rFonts w:cs="Times New Roman"/>
          <w:sz w:val="24"/>
          <w:lang w:val="zh-CN"/>
        </w:rPr>
        <w:t>——</w:t>
      </w:r>
      <w:r>
        <w:rPr>
          <w:rFonts w:cs="Times New Roman" w:hint="eastAsia"/>
          <w:sz w:val="24"/>
        </w:rPr>
        <w:t>由于事故火炬产生的</w:t>
      </w:r>
      <w:r>
        <w:rPr>
          <w:rFonts w:cs="Times New Roman" w:hint="eastAsia"/>
          <w:sz w:val="24"/>
        </w:rPr>
        <w:t>CO</w:t>
      </w:r>
      <w:r>
        <w:rPr>
          <w:rFonts w:cs="Times New Roman" w:hint="eastAsia"/>
          <w:sz w:val="24"/>
          <w:vertAlign w:val="subscript"/>
        </w:rPr>
        <w:t>2</w:t>
      </w:r>
      <w:r>
        <w:rPr>
          <w:rFonts w:cs="Times New Roman" w:hint="eastAsia"/>
          <w:sz w:val="24"/>
        </w:rPr>
        <w:t>排放，单位为吨</w:t>
      </w:r>
      <w:r>
        <w:rPr>
          <w:rFonts w:cs="Times New Roman" w:hint="eastAsia"/>
          <w:sz w:val="24"/>
        </w:rPr>
        <w:t>CO</w:t>
      </w:r>
      <w:r>
        <w:rPr>
          <w:rFonts w:cs="Times New Roman" w:hint="eastAsia"/>
          <w:sz w:val="24"/>
          <w:vertAlign w:val="subscript"/>
        </w:rPr>
        <w:t>2</w:t>
      </w:r>
      <w:r>
        <w:rPr>
          <w:rFonts w:cs="Times New Roman" w:hint="eastAsia"/>
          <w:sz w:val="24"/>
        </w:rPr>
        <w:t>；</w:t>
      </w:r>
      <w:r>
        <w:rPr>
          <w:rFonts w:cs="Times New Roman" w:hint="eastAsia"/>
          <w:sz w:val="24"/>
        </w:rPr>
        <w:t xml:space="preserve"> </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hint="eastAsia"/>
          <w:sz w:val="24"/>
        </w:rPr>
        <w:t>E</w:t>
      </w:r>
      <w:r>
        <w:rPr>
          <w:rFonts w:cs="Times New Roman" w:hint="eastAsia"/>
          <w:i/>
          <w:iCs/>
          <w:sz w:val="24"/>
          <w:vertAlign w:val="subscript"/>
        </w:rPr>
        <w:t>CH4</w:t>
      </w:r>
      <w:r>
        <w:rPr>
          <w:rFonts w:cs="Times New Roman" w:hint="eastAsia"/>
          <w:sz w:val="24"/>
          <w:vertAlign w:val="subscript"/>
        </w:rPr>
        <w:t>-</w:t>
      </w:r>
      <w:r>
        <w:rPr>
          <w:rFonts w:cs="Times New Roman" w:hint="eastAsia"/>
          <w:sz w:val="24"/>
          <w:vertAlign w:val="subscript"/>
        </w:rPr>
        <w:t>正常火炬</w:t>
      </w:r>
      <w:r>
        <w:rPr>
          <w:rFonts w:cs="Times New Roman"/>
          <w:sz w:val="24"/>
          <w:lang w:val="zh-CN"/>
        </w:rPr>
        <w:t>——</w:t>
      </w:r>
      <w:r>
        <w:rPr>
          <w:rFonts w:cs="Times New Roman" w:hint="eastAsia"/>
          <w:sz w:val="24"/>
        </w:rPr>
        <w:t>正常工况下火炬系统产生的</w:t>
      </w:r>
      <w:r>
        <w:rPr>
          <w:rFonts w:cs="Times New Roman" w:hint="eastAsia"/>
          <w:sz w:val="24"/>
        </w:rPr>
        <w:t>CH</w:t>
      </w:r>
      <w:r>
        <w:rPr>
          <w:rFonts w:cs="Times New Roman" w:hint="eastAsia"/>
          <w:sz w:val="24"/>
          <w:vertAlign w:val="subscript"/>
        </w:rPr>
        <w:t>4</w:t>
      </w:r>
      <w:r>
        <w:rPr>
          <w:rFonts w:cs="Times New Roman" w:hint="eastAsia"/>
          <w:sz w:val="24"/>
        </w:rPr>
        <w:t>排放，单位为吨</w:t>
      </w:r>
      <w:r>
        <w:rPr>
          <w:rFonts w:cs="Times New Roman" w:hint="eastAsia"/>
          <w:sz w:val="24"/>
        </w:rPr>
        <w:t>CH</w:t>
      </w:r>
      <w:r>
        <w:rPr>
          <w:rFonts w:cs="Times New Roman" w:hint="eastAsia"/>
          <w:sz w:val="24"/>
          <w:vertAlign w:val="subscript"/>
        </w:rPr>
        <w:t>4</w:t>
      </w:r>
      <w:r>
        <w:rPr>
          <w:rFonts w:cs="Times New Roman" w:hint="eastAsia"/>
          <w:sz w:val="24"/>
        </w:rPr>
        <w:t>；</w:t>
      </w:r>
      <w:r>
        <w:rPr>
          <w:rFonts w:cs="Times New Roman" w:hint="eastAsia"/>
          <w:sz w:val="24"/>
        </w:rPr>
        <w:t xml:space="preserve"> </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r>
        <w:rPr>
          <w:rFonts w:cs="Times New Roman" w:hint="eastAsia"/>
          <w:sz w:val="24"/>
        </w:rPr>
        <w:t>E</w:t>
      </w:r>
      <w:r>
        <w:rPr>
          <w:rFonts w:cs="Times New Roman" w:hint="eastAsia"/>
          <w:i/>
          <w:iCs/>
          <w:sz w:val="24"/>
          <w:vertAlign w:val="subscript"/>
        </w:rPr>
        <w:t>CH4</w:t>
      </w:r>
      <w:r>
        <w:rPr>
          <w:rFonts w:cs="Times New Roman" w:hint="eastAsia"/>
          <w:sz w:val="24"/>
          <w:vertAlign w:val="subscript"/>
        </w:rPr>
        <w:t>-</w:t>
      </w:r>
      <w:r>
        <w:rPr>
          <w:rFonts w:cs="Times New Roman" w:hint="eastAsia"/>
          <w:sz w:val="24"/>
          <w:vertAlign w:val="subscript"/>
        </w:rPr>
        <w:t>事故火炬</w:t>
      </w:r>
      <w:bookmarkStart w:id="1885" w:name="OLE_LINK909"/>
      <w:r>
        <w:rPr>
          <w:rFonts w:cs="Times New Roman"/>
          <w:sz w:val="24"/>
          <w:lang w:val="zh-CN"/>
        </w:rPr>
        <w:t>——</w:t>
      </w:r>
      <w:bookmarkEnd w:id="1885"/>
      <w:r>
        <w:rPr>
          <w:rFonts w:cs="Times New Roman" w:hint="eastAsia"/>
          <w:sz w:val="24"/>
        </w:rPr>
        <w:t>事故火炬产生的</w:t>
      </w:r>
      <w:r>
        <w:rPr>
          <w:rFonts w:cs="Times New Roman" w:hint="eastAsia"/>
          <w:sz w:val="24"/>
        </w:rPr>
        <w:t>CH</w:t>
      </w:r>
      <w:r>
        <w:rPr>
          <w:rFonts w:cs="Times New Roman" w:hint="eastAsia"/>
          <w:sz w:val="24"/>
          <w:vertAlign w:val="subscript"/>
        </w:rPr>
        <w:t>4</w:t>
      </w:r>
      <w:r>
        <w:rPr>
          <w:rFonts w:cs="Times New Roman" w:hint="eastAsia"/>
          <w:sz w:val="24"/>
        </w:rPr>
        <w:t>排放，单位为吨</w:t>
      </w:r>
      <w:r>
        <w:rPr>
          <w:rFonts w:cs="Times New Roman" w:hint="eastAsia"/>
          <w:sz w:val="24"/>
        </w:rPr>
        <w:t>CH</w:t>
      </w:r>
      <w:r>
        <w:rPr>
          <w:rFonts w:cs="Times New Roman" w:hint="eastAsia"/>
          <w:sz w:val="24"/>
          <w:vertAlign w:val="subscript"/>
        </w:rPr>
        <w:t>4</w:t>
      </w:r>
      <w:r>
        <w:rPr>
          <w:rFonts w:cs="Times New Roman" w:hint="eastAsia"/>
          <w:sz w:val="24"/>
        </w:rPr>
        <w:t>；</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bookmarkStart w:id="1886" w:name="OLE_LINK911"/>
      <w:r>
        <w:rPr>
          <w:rFonts w:cs="Times New Roman" w:hint="eastAsia"/>
          <w:i/>
          <w:iCs/>
          <w:sz w:val="24"/>
        </w:rPr>
        <w:t>GWP</w:t>
      </w:r>
      <w:r>
        <w:rPr>
          <w:rFonts w:cs="Times New Roman" w:hint="eastAsia"/>
          <w:i/>
          <w:iCs/>
          <w:sz w:val="24"/>
          <w:vertAlign w:val="subscript"/>
        </w:rPr>
        <w:t>CH4</w:t>
      </w:r>
      <w:bookmarkEnd w:id="1886"/>
      <w:r>
        <w:rPr>
          <w:rFonts w:cs="Times New Roman"/>
          <w:sz w:val="24"/>
          <w:lang w:val="zh-CN"/>
        </w:rPr>
        <w:t>——</w:t>
      </w:r>
      <w:bookmarkStart w:id="1887" w:name="OLE_LINK910"/>
      <w:r>
        <w:rPr>
          <w:rFonts w:cs="Times New Roman" w:hint="eastAsia"/>
          <w:sz w:val="24"/>
        </w:rPr>
        <w:t>CH</w:t>
      </w:r>
      <w:r>
        <w:rPr>
          <w:rFonts w:cs="Times New Roman" w:hint="eastAsia"/>
          <w:sz w:val="24"/>
          <w:vertAlign w:val="subscript"/>
        </w:rPr>
        <w:t>4</w:t>
      </w:r>
      <w:bookmarkEnd w:id="1887"/>
      <w:r>
        <w:rPr>
          <w:rFonts w:cs="Times New Roman" w:hint="eastAsia"/>
          <w:sz w:val="24"/>
        </w:rPr>
        <w:t>相比</w:t>
      </w:r>
      <w:r>
        <w:rPr>
          <w:rFonts w:cs="Times New Roman" w:hint="eastAsia"/>
          <w:sz w:val="24"/>
        </w:rPr>
        <w:t>CO</w:t>
      </w:r>
      <w:r>
        <w:rPr>
          <w:rFonts w:cs="Times New Roman" w:hint="eastAsia"/>
          <w:sz w:val="24"/>
          <w:vertAlign w:val="subscript"/>
        </w:rPr>
        <w:t>2</w:t>
      </w:r>
      <w:r>
        <w:rPr>
          <w:rFonts w:cs="Times New Roman" w:hint="eastAsia"/>
          <w:sz w:val="24"/>
        </w:rPr>
        <w:t>的全球变暖潜势值。根据</w:t>
      </w:r>
      <w:r>
        <w:rPr>
          <w:rFonts w:cs="Times New Roman" w:hint="eastAsia"/>
          <w:sz w:val="24"/>
        </w:rPr>
        <w:t>IPCC</w:t>
      </w:r>
      <w:r>
        <w:rPr>
          <w:rFonts w:cs="Times New Roman" w:hint="eastAsia"/>
          <w:sz w:val="24"/>
        </w:rPr>
        <w:t>第二次评估报告，</w:t>
      </w:r>
      <w:r>
        <w:rPr>
          <w:rFonts w:cs="Times New Roman" w:hint="eastAsia"/>
          <w:sz w:val="24"/>
        </w:rPr>
        <w:t>100</w:t>
      </w:r>
      <w:r>
        <w:rPr>
          <w:rFonts w:cs="Times New Roman" w:hint="eastAsia"/>
          <w:sz w:val="24"/>
        </w:rPr>
        <w:t>年时间尺度内</w:t>
      </w:r>
      <w:r>
        <w:rPr>
          <w:rFonts w:cs="Times New Roman" w:hint="eastAsia"/>
          <w:sz w:val="24"/>
        </w:rPr>
        <w:t>1</w:t>
      </w:r>
      <w:r>
        <w:rPr>
          <w:rFonts w:cs="Times New Roman" w:hint="eastAsia"/>
          <w:sz w:val="24"/>
        </w:rPr>
        <w:t>吨</w:t>
      </w:r>
      <w:r>
        <w:rPr>
          <w:rFonts w:cs="Times New Roman" w:hint="eastAsia"/>
          <w:sz w:val="24"/>
        </w:rPr>
        <w:t>CH</w:t>
      </w:r>
      <w:r>
        <w:rPr>
          <w:rFonts w:cs="Times New Roman" w:hint="eastAsia"/>
          <w:sz w:val="24"/>
          <w:vertAlign w:val="subscript"/>
        </w:rPr>
        <w:t>4</w:t>
      </w:r>
      <w:r>
        <w:rPr>
          <w:rFonts w:cs="Times New Roman" w:hint="eastAsia"/>
          <w:sz w:val="24"/>
        </w:rPr>
        <w:t>相当于</w:t>
      </w:r>
      <w:r>
        <w:rPr>
          <w:rFonts w:cs="Times New Roman" w:hint="eastAsia"/>
          <w:sz w:val="24"/>
        </w:rPr>
        <w:t>21</w:t>
      </w:r>
      <w:r>
        <w:rPr>
          <w:rFonts w:cs="Times New Roman" w:hint="eastAsia"/>
          <w:sz w:val="24"/>
        </w:rPr>
        <w:t>吨</w:t>
      </w:r>
      <w:r>
        <w:rPr>
          <w:rFonts w:cs="Times New Roman" w:hint="eastAsia"/>
          <w:sz w:val="24"/>
        </w:rPr>
        <w:t>CO</w:t>
      </w:r>
      <w:r>
        <w:rPr>
          <w:rFonts w:cs="Times New Roman" w:hint="eastAsia"/>
          <w:sz w:val="24"/>
          <w:vertAlign w:val="subscript"/>
        </w:rPr>
        <w:t>2</w:t>
      </w:r>
      <w:r>
        <w:rPr>
          <w:rFonts w:cs="Times New Roman" w:hint="eastAsia"/>
          <w:sz w:val="24"/>
        </w:rPr>
        <w:t>的增温能力，因此</w:t>
      </w:r>
      <w:r>
        <w:rPr>
          <w:rFonts w:cs="Times New Roman" w:hint="eastAsia"/>
          <w:i/>
          <w:iCs/>
          <w:sz w:val="24"/>
        </w:rPr>
        <w:t>GWP</w:t>
      </w:r>
      <w:r>
        <w:rPr>
          <w:rFonts w:cs="Times New Roman" w:hint="eastAsia"/>
          <w:i/>
          <w:iCs/>
          <w:sz w:val="24"/>
          <w:vertAlign w:val="subscript"/>
        </w:rPr>
        <w:t>CH4</w:t>
      </w:r>
      <w:r>
        <w:rPr>
          <w:rFonts w:cs="Times New Roman" w:hint="eastAsia"/>
          <w:sz w:val="24"/>
        </w:rPr>
        <w:t>等于</w:t>
      </w:r>
      <w:r>
        <w:rPr>
          <w:rFonts w:cs="Times New Roman" w:hint="eastAsia"/>
          <w:sz w:val="24"/>
        </w:rPr>
        <w:t>21</w:t>
      </w:r>
      <w:r>
        <w:rPr>
          <w:rFonts w:cs="Times New Roman" w:hint="eastAsia"/>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b.</w:t>
      </w:r>
      <w:r>
        <w:rPr>
          <w:rFonts w:cs="Times New Roman" w:hint="eastAsia"/>
          <w:sz w:val="24"/>
        </w:rPr>
        <w:t>正常工况下火炬气体温室气体排放公式如下：</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hint="eastAsia"/>
          <w:noProof/>
          <w:sz w:val="24"/>
        </w:rPr>
        <w:drawing>
          <wp:inline distT="0" distB="0" distL="114300" distR="114300">
            <wp:extent cx="3936365" cy="437515"/>
            <wp:effectExtent l="0" t="0" r="6985" b="635"/>
            <wp:docPr id="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
                    <pic:cNvPicPr>
                      <a:picLocks noChangeAspect="1"/>
                    </pic:cNvPicPr>
                  </pic:nvPicPr>
                  <pic:blipFill>
                    <a:blip r:embed="rId95"/>
                    <a:stretch>
                      <a:fillRect/>
                    </a:stretch>
                  </pic:blipFill>
                  <pic:spPr>
                    <a:xfrm>
                      <a:off x="0" y="0"/>
                      <a:ext cx="3936365" cy="437515"/>
                    </a:xfrm>
                    <a:prstGeom prst="rect">
                      <a:avLst/>
                    </a:prstGeom>
                    <a:noFill/>
                    <a:ln>
                      <a:noFill/>
                    </a:ln>
                  </pic:spPr>
                </pic:pic>
              </a:graphicData>
            </a:graphic>
          </wp:inline>
        </w:drawing>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noProof/>
          <w:sz w:val="24"/>
        </w:rPr>
        <w:drawing>
          <wp:inline distT="0" distB="0" distL="114300" distR="114300">
            <wp:extent cx="3419475" cy="464185"/>
            <wp:effectExtent l="0" t="0" r="9525" b="12065"/>
            <wp:docPr id="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
                    <pic:cNvPicPr>
                      <a:picLocks noChangeAspect="1"/>
                    </pic:cNvPicPr>
                  </pic:nvPicPr>
                  <pic:blipFill>
                    <a:blip r:embed="rId96"/>
                    <a:stretch>
                      <a:fillRect/>
                    </a:stretch>
                  </pic:blipFill>
                  <pic:spPr>
                    <a:xfrm>
                      <a:off x="0" y="0"/>
                      <a:ext cx="3419475" cy="464185"/>
                    </a:xfrm>
                    <a:prstGeom prst="rect">
                      <a:avLst/>
                    </a:prstGeom>
                    <a:noFill/>
                    <a:ln>
                      <a:noFill/>
                    </a:ln>
                  </pic:spPr>
                </pic:pic>
              </a:graphicData>
            </a:graphic>
          </wp:inline>
        </w:drawing>
      </w:r>
    </w:p>
    <w:p w:rsidR="00C645C9" w:rsidRDefault="00F955D9">
      <w:pPr>
        <w:adjustRightInd w:val="0"/>
        <w:snapToGrid w:val="0"/>
        <w:spacing w:line="360" w:lineRule="auto"/>
        <w:ind w:firstLineChars="200" w:firstLine="480"/>
        <w:jc w:val="both"/>
        <w:rPr>
          <w:rFonts w:cs="Times New Roman"/>
          <w:spacing w:val="4"/>
          <w:kern w:val="24"/>
          <w:szCs w:val="22"/>
        </w:rPr>
      </w:pPr>
      <w:r>
        <w:rPr>
          <w:rFonts w:cs="Times New Roman" w:hint="eastAsia"/>
        </w:rPr>
        <w:t>式中：</w:t>
      </w:r>
      <w:r>
        <w:rPr>
          <w:rFonts w:cs="Times New Roman"/>
          <w:spacing w:val="4"/>
          <w:kern w:val="24"/>
          <w:szCs w:val="22"/>
        </w:rPr>
        <w:t>i</w:t>
      </w:r>
      <w:r>
        <w:rPr>
          <w:rFonts w:cs="Times New Roman"/>
          <w:lang w:val="zh-CN"/>
        </w:rPr>
        <w:t>——</w:t>
      </w:r>
      <w:r>
        <w:rPr>
          <w:rFonts w:cs="Times New Roman"/>
          <w:spacing w:val="4"/>
          <w:kern w:val="24"/>
          <w:szCs w:val="22"/>
        </w:rPr>
        <w:t>火炬系统序号；</w:t>
      </w:r>
      <w:r>
        <w:rPr>
          <w:rFonts w:cs="Times New Roman"/>
          <w:spacing w:val="4"/>
          <w:kern w:val="24"/>
          <w:szCs w:val="22"/>
        </w:rPr>
        <w:t xml:space="preserve"> </w:t>
      </w:r>
    </w:p>
    <w:p w:rsidR="00C645C9" w:rsidRDefault="00F955D9">
      <w:pPr>
        <w:adjustRightInd w:val="0"/>
        <w:snapToGrid w:val="0"/>
        <w:spacing w:line="360" w:lineRule="auto"/>
        <w:ind w:firstLineChars="400" w:firstLine="992"/>
        <w:jc w:val="both"/>
        <w:rPr>
          <w:rFonts w:cs="Times New Roman"/>
          <w:spacing w:val="4"/>
          <w:kern w:val="24"/>
          <w:szCs w:val="22"/>
        </w:rPr>
      </w:pPr>
      <w:r>
        <w:rPr>
          <w:rFonts w:cs="Times New Roman"/>
          <w:spacing w:val="4"/>
          <w:kern w:val="24"/>
          <w:szCs w:val="22"/>
        </w:rPr>
        <w:lastRenderedPageBreak/>
        <w:t>Q</w:t>
      </w:r>
      <w:r>
        <w:rPr>
          <w:rFonts w:cs="Times New Roman"/>
          <w:spacing w:val="4"/>
          <w:kern w:val="24"/>
          <w:szCs w:val="22"/>
          <w:vertAlign w:val="subscript"/>
        </w:rPr>
        <w:t>正常火炬</w:t>
      </w:r>
      <w:r>
        <w:rPr>
          <w:rFonts w:cs="Times New Roman"/>
          <w:lang w:val="zh-CN"/>
        </w:rPr>
        <w:t>——</w:t>
      </w:r>
      <w:r>
        <w:rPr>
          <w:rFonts w:cs="Times New Roman"/>
          <w:spacing w:val="4"/>
          <w:kern w:val="24"/>
          <w:szCs w:val="22"/>
        </w:rPr>
        <w:t>正常生产状态下第</w:t>
      </w:r>
      <w:r>
        <w:rPr>
          <w:rFonts w:cs="Times New Roman"/>
          <w:spacing w:val="4"/>
          <w:kern w:val="24"/>
          <w:szCs w:val="22"/>
        </w:rPr>
        <w:t>i</w:t>
      </w:r>
      <w:r>
        <w:rPr>
          <w:rFonts w:cs="Times New Roman"/>
          <w:spacing w:val="4"/>
          <w:kern w:val="24"/>
          <w:szCs w:val="22"/>
        </w:rPr>
        <w:t>号火炬系统的火炬气流量，单位为万</w:t>
      </w:r>
      <w:r>
        <w:rPr>
          <w:rFonts w:cs="Times New Roman"/>
          <w:spacing w:val="4"/>
          <w:kern w:val="24"/>
          <w:szCs w:val="22"/>
        </w:rPr>
        <w:t>Nm</w:t>
      </w:r>
      <w:r>
        <w:rPr>
          <w:rFonts w:cs="Times New Roman"/>
          <w:spacing w:val="4"/>
          <w:kern w:val="24"/>
          <w:szCs w:val="22"/>
          <w:vertAlign w:val="superscript"/>
        </w:rPr>
        <w:t>3</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400" w:firstLine="992"/>
        <w:jc w:val="both"/>
        <w:rPr>
          <w:rFonts w:cs="Times New Roman"/>
          <w:spacing w:val="4"/>
          <w:kern w:val="24"/>
          <w:szCs w:val="22"/>
        </w:rPr>
      </w:pPr>
      <w:r>
        <w:rPr>
          <w:rFonts w:cs="Times New Roman"/>
          <w:i/>
          <w:iCs/>
          <w:spacing w:val="4"/>
          <w:kern w:val="24"/>
          <w:szCs w:val="22"/>
        </w:rPr>
        <w:t>CC</w:t>
      </w:r>
      <w:r>
        <w:rPr>
          <w:rFonts w:cs="Times New Roman"/>
          <w:spacing w:val="4"/>
          <w:kern w:val="24"/>
          <w:szCs w:val="22"/>
          <w:vertAlign w:val="subscript"/>
        </w:rPr>
        <w:t>非</w:t>
      </w:r>
      <w:r>
        <w:rPr>
          <w:rFonts w:cs="Times New Roman"/>
          <w:i/>
          <w:iCs/>
          <w:spacing w:val="4"/>
          <w:kern w:val="24"/>
          <w:szCs w:val="22"/>
          <w:vertAlign w:val="subscript"/>
        </w:rPr>
        <w:t>CO2</w:t>
      </w:r>
      <w:r>
        <w:rPr>
          <w:rFonts w:cs="Times New Roman"/>
          <w:lang w:val="zh-CN"/>
        </w:rPr>
        <w:t>——</w:t>
      </w:r>
      <w:r>
        <w:rPr>
          <w:rFonts w:cs="Times New Roman"/>
          <w:spacing w:val="4"/>
          <w:kern w:val="24"/>
          <w:szCs w:val="22"/>
        </w:rPr>
        <w:t>火炬气中除</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外其他含碳化合物的总含碳量，单位为吨碳</w:t>
      </w:r>
      <w:r>
        <w:rPr>
          <w:rFonts w:cs="Times New Roman"/>
          <w:spacing w:val="4"/>
          <w:kern w:val="24"/>
          <w:szCs w:val="22"/>
        </w:rPr>
        <w:t>/</w:t>
      </w:r>
      <w:r>
        <w:rPr>
          <w:rFonts w:cs="Times New Roman"/>
          <w:spacing w:val="4"/>
          <w:kern w:val="24"/>
          <w:szCs w:val="22"/>
        </w:rPr>
        <w:t>万</w:t>
      </w:r>
      <w:r>
        <w:rPr>
          <w:rFonts w:cs="Times New Roman"/>
          <w:spacing w:val="4"/>
          <w:kern w:val="24"/>
          <w:szCs w:val="22"/>
        </w:rPr>
        <w:t>Nm</w:t>
      </w:r>
      <w:r>
        <w:rPr>
          <w:rFonts w:cs="Times New Roman"/>
          <w:spacing w:val="4"/>
          <w:kern w:val="24"/>
          <w:szCs w:val="22"/>
          <w:vertAlign w:val="superscript"/>
        </w:rPr>
        <w:t>3</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400" w:firstLine="992"/>
        <w:jc w:val="both"/>
        <w:rPr>
          <w:rFonts w:cs="Times New Roman"/>
          <w:spacing w:val="4"/>
          <w:kern w:val="24"/>
          <w:szCs w:val="22"/>
        </w:rPr>
      </w:pPr>
      <w:r>
        <w:rPr>
          <w:rFonts w:cs="Times New Roman"/>
          <w:spacing w:val="4"/>
          <w:kern w:val="24"/>
          <w:szCs w:val="22"/>
        </w:rPr>
        <w:t>OF</w:t>
      </w:r>
      <w:r>
        <w:rPr>
          <w:rFonts w:cs="Times New Roman"/>
          <w:lang w:val="zh-CN"/>
        </w:rPr>
        <w:t>——</w:t>
      </w:r>
      <w:r>
        <w:rPr>
          <w:rFonts w:cs="Times New Roman"/>
          <w:spacing w:val="4"/>
          <w:kern w:val="24"/>
          <w:szCs w:val="22"/>
        </w:rPr>
        <w:t>第</w:t>
      </w:r>
      <w:r>
        <w:rPr>
          <w:rFonts w:cs="Times New Roman"/>
          <w:spacing w:val="4"/>
          <w:kern w:val="24"/>
          <w:szCs w:val="22"/>
        </w:rPr>
        <w:t>i</w:t>
      </w:r>
      <w:r>
        <w:rPr>
          <w:rFonts w:cs="Times New Roman"/>
          <w:spacing w:val="4"/>
          <w:kern w:val="24"/>
          <w:szCs w:val="22"/>
        </w:rPr>
        <w:t>号火炬系统的碳氧化率，如无实测数据可采用缺省值</w:t>
      </w:r>
      <w:r>
        <w:rPr>
          <w:rFonts w:cs="Times New Roman"/>
          <w:spacing w:val="4"/>
          <w:kern w:val="24"/>
          <w:szCs w:val="22"/>
        </w:rPr>
        <w:t>0.98</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400" w:firstLine="992"/>
        <w:jc w:val="both"/>
        <w:rPr>
          <w:rFonts w:cs="Times New Roman"/>
          <w:spacing w:val="4"/>
          <w:kern w:val="24"/>
          <w:szCs w:val="22"/>
        </w:rPr>
      </w:pPr>
      <w:r>
        <w:rPr>
          <w:rFonts w:cs="Times New Roman"/>
          <w:i/>
          <w:iCs/>
          <w:spacing w:val="4"/>
          <w:kern w:val="24"/>
          <w:szCs w:val="22"/>
        </w:rPr>
        <w:t>V</w:t>
      </w:r>
      <w:r>
        <w:rPr>
          <w:rFonts w:cs="Times New Roman"/>
          <w:i/>
          <w:iCs/>
          <w:spacing w:val="4"/>
          <w:kern w:val="24"/>
          <w:szCs w:val="22"/>
          <w:vertAlign w:val="subscript"/>
        </w:rPr>
        <w:t>CO2</w:t>
      </w:r>
      <w:r>
        <w:rPr>
          <w:rFonts w:cs="Times New Roman"/>
          <w:lang w:val="zh-CN"/>
        </w:rPr>
        <w:t>——</w:t>
      </w:r>
      <w:r>
        <w:rPr>
          <w:rFonts w:cs="Times New Roman"/>
          <w:spacing w:val="4"/>
          <w:kern w:val="24"/>
          <w:szCs w:val="22"/>
        </w:rPr>
        <w:t>火炬气中</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的体积浓度，取值范围为</w:t>
      </w:r>
      <w:r>
        <w:rPr>
          <w:rFonts w:cs="Times New Roman"/>
          <w:spacing w:val="4"/>
          <w:kern w:val="24"/>
          <w:szCs w:val="22"/>
        </w:rPr>
        <w:t>0</w:t>
      </w:r>
      <w:r>
        <w:rPr>
          <w:rFonts w:cs="Times New Roman"/>
          <w:spacing w:val="4"/>
          <w:kern w:val="24"/>
          <w:szCs w:val="22"/>
        </w:rPr>
        <w:t>～</w:t>
      </w:r>
      <w:r>
        <w:rPr>
          <w:rFonts w:cs="Times New Roman"/>
          <w:spacing w:val="4"/>
          <w:kern w:val="24"/>
          <w:szCs w:val="22"/>
        </w:rPr>
        <w:t>1</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400" w:firstLine="992"/>
        <w:jc w:val="both"/>
        <w:rPr>
          <w:rFonts w:cs="Times New Roman"/>
        </w:rPr>
      </w:pPr>
      <w:r>
        <w:rPr>
          <w:rFonts w:cs="Times New Roman"/>
          <w:i/>
          <w:iCs/>
          <w:spacing w:val="4"/>
          <w:kern w:val="24"/>
          <w:szCs w:val="22"/>
        </w:rPr>
        <w:t>V</w:t>
      </w:r>
      <w:r>
        <w:rPr>
          <w:rFonts w:cs="Times New Roman"/>
          <w:i/>
          <w:iCs/>
          <w:spacing w:val="4"/>
          <w:kern w:val="24"/>
          <w:szCs w:val="22"/>
          <w:vertAlign w:val="subscript"/>
        </w:rPr>
        <w:t>CH4</w:t>
      </w:r>
      <w:r>
        <w:rPr>
          <w:rFonts w:cs="Times New Roman"/>
          <w:lang w:val="zh-CN"/>
        </w:rPr>
        <w:t>——</w:t>
      </w:r>
      <w:r>
        <w:rPr>
          <w:rFonts w:cs="Times New Roman"/>
          <w:spacing w:val="4"/>
          <w:kern w:val="24"/>
          <w:szCs w:val="22"/>
        </w:rPr>
        <w:t>为火炬气中</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的体积浓度</w:t>
      </w:r>
      <w:r>
        <w:rPr>
          <w:rFonts w:cs="Times New Roman"/>
          <w:spacing w:val="4"/>
          <w:kern w:val="24"/>
          <w:szCs w:val="22"/>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c.</w:t>
      </w:r>
      <w:r>
        <w:rPr>
          <w:rFonts w:cs="Times New Roman" w:hint="eastAsia"/>
          <w:sz w:val="24"/>
        </w:rPr>
        <w:t>事故工况下火炬气体温室气体排放公式如下：</w:t>
      </w:r>
    </w:p>
    <w:p w:rsidR="00C645C9" w:rsidRDefault="00F955D9">
      <w:pPr>
        <w:pStyle w:val="24"/>
        <w:adjustRightInd w:val="0"/>
        <w:snapToGrid w:val="0"/>
        <w:spacing w:after="0"/>
        <w:ind w:leftChars="0" w:left="0" w:firstLineChars="0" w:firstLine="0"/>
        <w:jc w:val="center"/>
        <w:rPr>
          <w:rFonts w:ascii="Times New Roman" w:hAnsi="Times New Roman"/>
        </w:rPr>
      </w:pPr>
      <w:r>
        <w:rPr>
          <w:rFonts w:ascii="Times New Roman" w:hAnsi="Times New Roman"/>
          <w:noProof/>
          <w:spacing w:val="4"/>
          <w:kern w:val="24"/>
        </w:rPr>
        <w:drawing>
          <wp:inline distT="0" distB="0" distL="114300" distR="114300">
            <wp:extent cx="4799330" cy="610235"/>
            <wp:effectExtent l="0" t="0" r="1270" b="184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7"/>
                    <a:stretch>
                      <a:fillRect/>
                    </a:stretch>
                  </pic:blipFill>
                  <pic:spPr>
                    <a:xfrm>
                      <a:off x="0" y="0"/>
                      <a:ext cx="4799330" cy="610235"/>
                    </a:xfrm>
                    <a:prstGeom prst="rect">
                      <a:avLst/>
                    </a:prstGeom>
                    <a:noFill/>
                    <a:ln>
                      <a:noFill/>
                    </a:ln>
                  </pic:spPr>
                </pic:pic>
              </a:graphicData>
            </a:graphic>
          </wp:inline>
        </w:drawing>
      </w:r>
    </w:p>
    <w:p w:rsidR="00C645C9" w:rsidRDefault="00F955D9">
      <w:pPr>
        <w:adjustRightInd w:val="0"/>
        <w:snapToGrid w:val="0"/>
        <w:jc w:val="center"/>
        <w:rPr>
          <w:rFonts w:cs="Times New Roman"/>
        </w:rPr>
      </w:pPr>
      <w:r>
        <w:rPr>
          <w:rFonts w:cs="Times New Roman"/>
          <w:noProof/>
        </w:rPr>
        <w:drawing>
          <wp:inline distT="0" distB="0" distL="114300" distR="114300">
            <wp:extent cx="4444365" cy="586740"/>
            <wp:effectExtent l="0" t="0" r="13335" b="3810"/>
            <wp:docPr id="2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9"/>
                    <pic:cNvPicPr>
                      <a:picLocks noChangeAspect="1"/>
                    </pic:cNvPicPr>
                  </pic:nvPicPr>
                  <pic:blipFill>
                    <a:blip r:embed="rId98"/>
                    <a:stretch>
                      <a:fillRect/>
                    </a:stretch>
                  </pic:blipFill>
                  <pic:spPr>
                    <a:xfrm>
                      <a:off x="0" y="0"/>
                      <a:ext cx="4444365" cy="586740"/>
                    </a:xfrm>
                    <a:prstGeom prst="rect">
                      <a:avLst/>
                    </a:prstGeom>
                    <a:noFill/>
                    <a:ln>
                      <a:noFill/>
                    </a:ln>
                  </pic:spPr>
                </pic:pic>
              </a:graphicData>
            </a:graphic>
          </wp:inline>
        </w:drawing>
      </w:r>
    </w:p>
    <w:p w:rsidR="00C645C9" w:rsidRDefault="00F955D9">
      <w:pPr>
        <w:adjustRightInd w:val="0"/>
        <w:snapToGrid w:val="0"/>
        <w:spacing w:line="360" w:lineRule="auto"/>
        <w:ind w:firstLineChars="200" w:firstLine="496"/>
        <w:jc w:val="both"/>
        <w:rPr>
          <w:rFonts w:cs="Times New Roman"/>
          <w:spacing w:val="4"/>
          <w:kern w:val="24"/>
          <w:szCs w:val="22"/>
        </w:rPr>
      </w:pPr>
      <w:r>
        <w:rPr>
          <w:rFonts w:cs="Times New Roman"/>
          <w:spacing w:val="4"/>
          <w:kern w:val="24"/>
          <w:szCs w:val="22"/>
        </w:rPr>
        <w:t>式中</w:t>
      </w:r>
      <w:r>
        <w:rPr>
          <w:rFonts w:cs="Times New Roman"/>
          <w:spacing w:val="4"/>
          <w:kern w:val="24"/>
          <w:szCs w:val="22"/>
        </w:rPr>
        <w:t>：</w:t>
      </w:r>
      <w:r>
        <w:rPr>
          <w:rFonts w:cs="Times New Roman"/>
          <w:spacing w:val="4"/>
          <w:kern w:val="24"/>
          <w:szCs w:val="22"/>
        </w:rPr>
        <w:t>j</w:t>
      </w:r>
      <w:r>
        <w:rPr>
          <w:rFonts w:cs="Times New Roman"/>
          <w:lang w:val="zh-CN"/>
        </w:rPr>
        <w:t>——</w:t>
      </w:r>
      <w:r>
        <w:rPr>
          <w:rFonts w:cs="Times New Roman"/>
          <w:spacing w:val="4"/>
          <w:kern w:val="24"/>
          <w:szCs w:val="22"/>
        </w:rPr>
        <w:t>事故次数；</w:t>
      </w:r>
      <w:r>
        <w:rPr>
          <w:rFonts w:cs="Times New Roman"/>
          <w:spacing w:val="4"/>
          <w:kern w:val="24"/>
          <w:szCs w:val="22"/>
        </w:rPr>
        <w:t xml:space="preserve"> </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GF</w:t>
      </w:r>
      <w:r>
        <w:rPr>
          <w:rFonts w:cs="Times New Roman"/>
          <w:i/>
          <w:iCs/>
          <w:spacing w:val="4"/>
          <w:kern w:val="24"/>
          <w:szCs w:val="22"/>
          <w:vertAlign w:val="subscript"/>
        </w:rPr>
        <w:t>事故</w:t>
      </w:r>
      <w:r>
        <w:rPr>
          <w:rFonts w:cs="Times New Roman"/>
          <w:i/>
          <w:iCs/>
          <w:spacing w:val="4"/>
          <w:kern w:val="24"/>
          <w:szCs w:val="22"/>
          <w:vertAlign w:val="subscript"/>
        </w:rPr>
        <w:t>,j</w:t>
      </w:r>
      <w:r>
        <w:rPr>
          <w:rFonts w:cs="Times New Roman"/>
          <w:lang w:val="zh-CN"/>
        </w:rPr>
        <w:t>——</w:t>
      </w:r>
      <w:r>
        <w:rPr>
          <w:rFonts w:cs="Times New Roman"/>
          <w:spacing w:val="4"/>
          <w:kern w:val="24"/>
          <w:szCs w:val="22"/>
        </w:rPr>
        <w:t>报告期内第</w:t>
      </w:r>
      <w:r>
        <w:rPr>
          <w:rFonts w:cs="Times New Roman"/>
          <w:spacing w:val="4"/>
          <w:kern w:val="24"/>
          <w:szCs w:val="22"/>
        </w:rPr>
        <w:t>j</w:t>
      </w:r>
      <w:r>
        <w:rPr>
          <w:rFonts w:cs="Times New Roman"/>
          <w:spacing w:val="4"/>
          <w:kern w:val="24"/>
          <w:szCs w:val="22"/>
        </w:rPr>
        <w:t>次事故状态时的火炬气流速度，单位为万</w:t>
      </w:r>
      <w:r>
        <w:rPr>
          <w:rFonts w:cs="Times New Roman"/>
          <w:spacing w:val="4"/>
          <w:kern w:val="24"/>
          <w:szCs w:val="22"/>
        </w:rPr>
        <w:t>Nm</w:t>
      </w:r>
      <w:r>
        <w:rPr>
          <w:rFonts w:cs="Times New Roman"/>
          <w:spacing w:val="4"/>
          <w:kern w:val="24"/>
          <w:szCs w:val="22"/>
          <w:vertAlign w:val="superscript"/>
        </w:rPr>
        <w:t>3</w:t>
      </w:r>
      <w:r>
        <w:rPr>
          <w:rFonts w:cs="Times New Roman"/>
          <w:spacing w:val="4"/>
          <w:kern w:val="24"/>
          <w:szCs w:val="22"/>
        </w:rPr>
        <w:t>/</w:t>
      </w:r>
      <w:r>
        <w:rPr>
          <w:rFonts w:cs="Times New Roman"/>
          <w:spacing w:val="4"/>
          <w:kern w:val="24"/>
          <w:szCs w:val="22"/>
        </w:rPr>
        <w:t>小时；</w:t>
      </w:r>
      <w:r>
        <w:rPr>
          <w:rFonts w:cs="Times New Roman"/>
          <w:spacing w:val="4"/>
          <w:kern w:val="24"/>
          <w:szCs w:val="22"/>
        </w:rPr>
        <w:t xml:space="preserve"> </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T</w:t>
      </w:r>
      <w:r>
        <w:rPr>
          <w:rFonts w:cs="Times New Roman"/>
          <w:i/>
          <w:iCs/>
          <w:spacing w:val="4"/>
          <w:kern w:val="24"/>
          <w:szCs w:val="22"/>
          <w:vertAlign w:val="subscript"/>
        </w:rPr>
        <w:t>事故</w:t>
      </w:r>
      <w:r>
        <w:rPr>
          <w:rFonts w:cs="Times New Roman"/>
          <w:i/>
          <w:iCs/>
          <w:spacing w:val="4"/>
          <w:kern w:val="24"/>
          <w:szCs w:val="22"/>
          <w:vertAlign w:val="subscript"/>
        </w:rPr>
        <w:t>,j</w:t>
      </w:r>
      <w:r>
        <w:rPr>
          <w:rFonts w:cs="Times New Roman"/>
          <w:lang w:val="zh-CN"/>
        </w:rPr>
        <w:t>——</w:t>
      </w:r>
      <w:r>
        <w:rPr>
          <w:rFonts w:cs="Times New Roman"/>
          <w:spacing w:val="4"/>
          <w:kern w:val="24"/>
          <w:szCs w:val="22"/>
        </w:rPr>
        <w:t>报告期内第</w:t>
      </w:r>
      <w:r>
        <w:rPr>
          <w:rFonts w:cs="Times New Roman"/>
          <w:spacing w:val="4"/>
          <w:kern w:val="24"/>
          <w:szCs w:val="22"/>
        </w:rPr>
        <w:t>j</w:t>
      </w:r>
      <w:r>
        <w:rPr>
          <w:rFonts w:cs="Times New Roman"/>
          <w:spacing w:val="4"/>
          <w:kern w:val="24"/>
          <w:szCs w:val="22"/>
        </w:rPr>
        <w:t>次事故的持续时间，单位为小时；</w:t>
      </w:r>
      <w:r>
        <w:rPr>
          <w:rFonts w:cs="Times New Roman"/>
          <w:spacing w:val="4"/>
          <w:kern w:val="24"/>
          <w:szCs w:val="22"/>
        </w:rPr>
        <w:t xml:space="preserve"> </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CC</w:t>
      </w:r>
      <w:r>
        <w:rPr>
          <w:rFonts w:cs="Times New Roman"/>
          <w:spacing w:val="4"/>
          <w:kern w:val="24"/>
          <w:szCs w:val="22"/>
          <w:vertAlign w:val="subscript"/>
        </w:rPr>
        <w:t>（</w:t>
      </w:r>
      <w:r>
        <w:rPr>
          <w:rFonts w:cs="Times New Roman"/>
          <w:spacing w:val="4"/>
          <w:kern w:val="24"/>
          <w:szCs w:val="22"/>
          <w:vertAlign w:val="subscript"/>
        </w:rPr>
        <w:t>非</w:t>
      </w:r>
      <w:r>
        <w:rPr>
          <w:rFonts w:cs="Times New Roman"/>
          <w:i/>
          <w:iCs/>
          <w:spacing w:val="4"/>
          <w:kern w:val="24"/>
          <w:szCs w:val="22"/>
          <w:vertAlign w:val="subscript"/>
        </w:rPr>
        <w:t>CO2</w:t>
      </w:r>
      <w:r>
        <w:rPr>
          <w:rFonts w:cs="Times New Roman"/>
          <w:spacing w:val="4"/>
          <w:kern w:val="24"/>
          <w:szCs w:val="22"/>
          <w:vertAlign w:val="subscript"/>
        </w:rPr>
        <w:t>）</w:t>
      </w:r>
      <w:r>
        <w:rPr>
          <w:rFonts w:cs="Times New Roman"/>
          <w:i/>
          <w:iCs/>
          <w:spacing w:val="4"/>
          <w:kern w:val="24"/>
          <w:szCs w:val="22"/>
          <w:vertAlign w:val="subscript"/>
        </w:rPr>
        <w:t>j</w:t>
      </w:r>
      <w:r>
        <w:rPr>
          <w:rFonts w:cs="Times New Roman"/>
          <w:lang w:val="zh-CN"/>
        </w:rPr>
        <w:t>——</w:t>
      </w:r>
      <w:r>
        <w:rPr>
          <w:rFonts w:cs="Times New Roman"/>
          <w:spacing w:val="4"/>
          <w:kern w:val="24"/>
          <w:szCs w:val="22"/>
        </w:rPr>
        <w:t>第</w:t>
      </w:r>
      <w:r>
        <w:rPr>
          <w:rFonts w:cs="Times New Roman"/>
          <w:spacing w:val="4"/>
          <w:kern w:val="24"/>
          <w:szCs w:val="22"/>
        </w:rPr>
        <w:t>j</w:t>
      </w:r>
      <w:r>
        <w:rPr>
          <w:rFonts w:cs="Times New Roman"/>
          <w:spacing w:val="4"/>
          <w:kern w:val="24"/>
          <w:szCs w:val="22"/>
        </w:rPr>
        <w:t>次事故火炬气中除</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外其他含碳化合物的总含碳量，单位为吨碳</w:t>
      </w:r>
      <w:r>
        <w:rPr>
          <w:rFonts w:cs="Times New Roman"/>
          <w:spacing w:val="4"/>
          <w:kern w:val="24"/>
          <w:szCs w:val="22"/>
        </w:rPr>
        <w:t>/</w:t>
      </w:r>
      <w:r>
        <w:rPr>
          <w:rFonts w:cs="Times New Roman"/>
          <w:spacing w:val="4"/>
          <w:kern w:val="24"/>
          <w:szCs w:val="22"/>
        </w:rPr>
        <w:t>万</w:t>
      </w:r>
      <w:r>
        <w:rPr>
          <w:rFonts w:cs="Times New Roman"/>
          <w:spacing w:val="4"/>
          <w:kern w:val="24"/>
          <w:szCs w:val="22"/>
        </w:rPr>
        <w:t>Nm</w:t>
      </w:r>
      <w:r>
        <w:rPr>
          <w:rFonts w:cs="Times New Roman"/>
          <w:spacing w:val="4"/>
          <w:kern w:val="24"/>
          <w:szCs w:val="22"/>
          <w:vertAlign w:val="superscript"/>
        </w:rPr>
        <w:t>3</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spacing w:val="4"/>
          <w:kern w:val="24"/>
          <w:szCs w:val="22"/>
        </w:rPr>
        <w:t>OF</w:t>
      </w:r>
      <w:r>
        <w:rPr>
          <w:rFonts w:cs="Times New Roman"/>
          <w:lang w:val="zh-CN"/>
        </w:rPr>
        <w:t>——</w:t>
      </w:r>
      <w:r>
        <w:rPr>
          <w:rFonts w:cs="Times New Roman"/>
          <w:spacing w:val="4"/>
          <w:kern w:val="24"/>
          <w:szCs w:val="22"/>
        </w:rPr>
        <w:t>火炬燃烧的碳氧化率，如无实测数据可采用缺省值</w:t>
      </w:r>
      <w:r>
        <w:rPr>
          <w:rFonts w:cs="Times New Roman"/>
          <w:spacing w:val="4"/>
          <w:kern w:val="24"/>
          <w:szCs w:val="22"/>
        </w:rPr>
        <w:t>0.98</w:t>
      </w:r>
      <w:r>
        <w:rPr>
          <w:rFonts w:cs="Times New Roman"/>
          <w:spacing w:val="4"/>
          <w:kern w:val="24"/>
          <w:szCs w:val="22"/>
        </w:rPr>
        <w:t>；</w:t>
      </w:r>
      <w:r>
        <w:rPr>
          <w:rFonts w:cs="Times New Roman"/>
          <w:spacing w:val="4"/>
          <w:kern w:val="24"/>
          <w:szCs w:val="22"/>
        </w:rPr>
        <w:t xml:space="preserve"> </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V</w:t>
      </w:r>
      <w:r>
        <w:rPr>
          <w:rFonts w:cs="Times New Roman"/>
          <w:i/>
          <w:iCs/>
          <w:spacing w:val="4"/>
          <w:kern w:val="24"/>
          <w:szCs w:val="22"/>
          <w:vertAlign w:val="subscript"/>
        </w:rPr>
        <w:t>（</w:t>
      </w:r>
      <w:r>
        <w:rPr>
          <w:rFonts w:cs="Times New Roman"/>
          <w:i/>
          <w:iCs/>
          <w:spacing w:val="4"/>
          <w:kern w:val="24"/>
          <w:szCs w:val="22"/>
          <w:vertAlign w:val="subscript"/>
        </w:rPr>
        <w:t>CO2</w:t>
      </w:r>
      <w:r>
        <w:rPr>
          <w:rFonts w:cs="Times New Roman"/>
          <w:i/>
          <w:iCs/>
          <w:spacing w:val="4"/>
          <w:kern w:val="24"/>
          <w:szCs w:val="22"/>
          <w:vertAlign w:val="subscript"/>
        </w:rPr>
        <w:t>）</w:t>
      </w:r>
      <w:r>
        <w:rPr>
          <w:rFonts w:cs="Times New Roman"/>
          <w:i/>
          <w:iCs/>
          <w:spacing w:val="4"/>
          <w:kern w:val="24"/>
          <w:szCs w:val="22"/>
          <w:vertAlign w:val="subscript"/>
        </w:rPr>
        <w:t>j</w:t>
      </w:r>
      <w:r>
        <w:rPr>
          <w:rFonts w:cs="Times New Roman"/>
          <w:lang w:val="zh-CN"/>
        </w:rPr>
        <w:t>——</w:t>
      </w:r>
      <w:r>
        <w:rPr>
          <w:rFonts w:cs="Times New Roman"/>
          <w:spacing w:val="4"/>
          <w:kern w:val="24"/>
          <w:szCs w:val="22"/>
        </w:rPr>
        <w:t>第</w:t>
      </w:r>
      <w:r>
        <w:rPr>
          <w:rFonts w:cs="Times New Roman"/>
          <w:spacing w:val="4"/>
          <w:kern w:val="24"/>
          <w:szCs w:val="22"/>
        </w:rPr>
        <w:t>j</w:t>
      </w:r>
      <w:r>
        <w:rPr>
          <w:rFonts w:cs="Times New Roman"/>
          <w:spacing w:val="4"/>
          <w:kern w:val="24"/>
          <w:szCs w:val="22"/>
        </w:rPr>
        <w:t>次事故火炬气中</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的体积浓度；</w:t>
      </w:r>
    </w:p>
    <w:p w:rsidR="00C645C9" w:rsidRDefault="00F955D9">
      <w:pPr>
        <w:adjustRightInd w:val="0"/>
        <w:snapToGrid w:val="0"/>
        <w:spacing w:line="360" w:lineRule="auto"/>
        <w:ind w:firstLineChars="500" w:firstLine="1240"/>
        <w:jc w:val="both"/>
        <w:rPr>
          <w:rFonts w:cs="Times New Roman"/>
          <w:spacing w:val="4"/>
          <w:kern w:val="24"/>
          <w:szCs w:val="22"/>
        </w:rPr>
      </w:pPr>
      <w:r>
        <w:rPr>
          <w:rFonts w:cs="Times New Roman"/>
          <w:i/>
          <w:iCs/>
          <w:spacing w:val="4"/>
          <w:kern w:val="24"/>
          <w:szCs w:val="22"/>
        </w:rPr>
        <w:t>V</w:t>
      </w:r>
      <w:r>
        <w:rPr>
          <w:rFonts w:cs="Times New Roman"/>
          <w:i/>
          <w:iCs/>
          <w:spacing w:val="4"/>
          <w:kern w:val="24"/>
          <w:szCs w:val="22"/>
          <w:vertAlign w:val="subscript"/>
        </w:rPr>
        <w:t>CH4</w:t>
      </w:r>
      <w:r>
        <w:rPr>
          <w:rFonts w:cs="Times New Roman"/>
          <w:lang w:val="zh-CN"/>
        </w:rPr>
        <w:t>——</w:t>
      </w:r>
      <w:r>
        <w:rPr>
          <w:rFonts w:cs="Times New Roman"/>
          <w:spacing w:val="4"/>
          <w:kern w:val="24"/>
          <w:szCs w:val="22"/>
        </w:rPr>
        <w:t>事故火炬气中</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的体积浓度</w:t>
      </w:r>
      <w:r>
        <w:rPr>
          <w:rFonts w:cs="Times New Roman"/>
          <w:spacing w:val="4"/>
          <w:kern w:val="24"/>
          <w:szCs w:val="22"/>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②计算结果</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本工程核算火炬燃烧活动温室气体排放主要为事故状态下井场、站场的放空燃烧。相关参数</w:t>
      </w:r>
      <w:r>
        <w:rPr>
          <w:rFonts w:cs="Times New Roman" w:hint="eastAsia"/>
          <w:sz w:val="24"/>
        </w:rPr>
        <w:t>见</w:t>
      </w:r>
      <w:r>
        <w:rPr>
          <w:rFonts w:cs="Times New Roman" w:hint="eastAsia"/>
          <w:sz w:val="24"/>
        </w:rPr>
        <w:t>表</w:t>
      </w:r>
      <w:r>
        <w:rPr>
          <w:rFonts w:cs="Times New Roman" w:hint="eastAsia"/>
          <w:sz w:val="24"/>
        </w:rPr>
        <w:t>7.1-3</w:t>
      </w:r>
      <w:r>
        <w:rPr>
          <w:rFonts w:cs="Times New Roman" w:hint="eastAsia"/>
          <w:sz w:val="24"/>
        </w:rPr>
        <w:t>。</w:t>
      </w: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bookmarkStart w:id="1888" w:name="OLE_LINK913"/>
      <w:r>
        <w:rPr>
          <w:rFonts w:eastAsia="黑体" w:cs="Times New Roman"/>
          <w:sz w:val="21"/>
          <w:szCs w:val="21"/>
        </w:rPr>
        <w:t>7.1-</w:t>
      </w:r>
      <w:r>
        <w:rPr>
          <w:rFonts w:eastAsia="黑体" w:cs="Times New Roman" w:hint="eastAsia"/>
          <w:sz w:val="21"/>
          <w:szCs w:val="21"/>
        </w:rPr>
        <w:t>3</w:t>
      </w:r>
      <w:bookmarkEnd w:id="1888"/>
      <w:r>
        <w:rPr>
          <w:rFonts w:eastAsia="黑体" w:cs="Times New Roman"/>
          <w:sz w:val="21"/>
          <w:szCs w:val="21"/>
        </w:rPr>
        <w:t xml:space="preserve">   </w:t>
      </w:r>
      <w:r>
        <w:rPr>
          <w:rFonts w:eastAsia="黑体" w:cs="Times New Roman" w:hint="eastAsia"/>
          <w:sz w:val="21"/>
          <w:szCs w:val="21"/>
        </w:rPr>
        <w:t>单座</w:t>
      </w:r>
      <w:r>
        <w:rPr>
          <w:rFonts w:eastAsia="黑体" w:cs="Times New Roman"/>
          <w:sz w:val="21"/>
          <w:szCs w:val="21"/>
        </w:rPr>
        <w:t>火炬燃烧排放活动相关参数一览表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66"/>
        <w:gridCol w:w="1054"/>
        <w:gridCol w:w="575"/>
        <w:gridCol w:w="1662"/>
        <w:gridCol w:w="755"/>
        <w:gridCol w:w="1534"/>
        <w:gridCol w:w="1538"/>
      </w:tblGrid>
      <w:tr w:rsidR="00C645C9">
        <w:trPr>
          <w:trHeight w:val="397"/>
          <w:jc w:val="center"/>
        </w:trPr>
        <w:tc>
          <w:tcPr>
            <w:tcW w:w="678"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场所</w:t>
            </w:r>
          </w:p>
        </w:tc>
        <w:tc>
          <w:tcPr>
            <w:tcW w:w="566"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工况</w:t>
            </w:r>
          </w:p>
        </w:tc>
        <w:tc>
          <w:tcPr>
            <w:tcW w:w="1054"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火炬气流速</w:t>
            </w:r>
            <w:r>
              <w:rPr>
                <w:rFonts w:ascii="Times New Roman" w:hAnsi="Times New Roman"/>
                <w:b w:val="0"/>
                <w:bCs/>
                <w:spacing w:val="-10"/>
                <w:sz w:val="21"/>
                <w:szCs w:val="21"/>
              </w:rPr>
              <w:t>（</w:t>
            </w:r>
            <w:r>
              <w:rPr>
                <w:rFonts w:ascii="Times New Roman" w:hAnsi="Times New Roman"/>
                <w:b w:val="0"/>
                <w:bCs/>
                <w:spacing w:val="-10"/>
                <w:sz w:val="21"/>
                <w:szCs w:val="21"/>
              </w:rPr>
              <w:t>万</w:t>
            </w:r>
            <w:r>
              <w:rPr>
                <w:rFonts w:ascii="Times New Roman" w:hAnsi="Times New Roman"/>
                <w:b w:val="0"/>
                <w:bCs/>
                <w:spacing w:val="-10"/>
                <w:sz w:val="21"/>
                <w:szCs w:val="21"/>
              </w:rPr>
              <w:t>Nm</w:t>
            </w:r>
            <w:r>
              <w:rPr>
                <w:rFonts w:ascii="Times New Roman" w:hAnsi="Times New Roman"/>
                <w:b w:val="0"/>
                <w:bCs/>
                <w:spacing w:val="-10"/>
                <w:sz w:val="21"/>
                <w:szCs w:val="21"/>
                <w:vertAlign w:val="superscript"/>
              </w:rPr>
              <w:t>3</w:t>
            </w:r>
            <w:r>
              <w:rPr>
                <w:rFonts w:ascii="Times New Roman" w:hAnsi="Times New Roman"/>
                <w:b w:val="0"/>
                <w:bCs/>
                <w:spacing w:val="-10"/>
                <w:sz w:val="21"/>
                <w:szCs w:val="21"/>
              </w:rPr>
              <w:t>/</w:t>
            </w:r>
            <w:r>
              <w:rPr>
                <w:rFonts w:ascii="Times New Roman" w:hAnsi="Times New Roman" w:hint="eastAsia"/>
                <w:b w:val="0"/>
                <w:bCs/>
                <w:spacing w:val="-10"/>
                <w:sz w:val="21"/>
                <w:szCs w:val="21"/>
              </w:rPr>
              <w:t>h</w:t>
            </w:r>
            <w:r>
              <w:rPr>
                <w:rFonts w:ascii="Times New Roman" w:hAnsi="Times New Roman"/>
                <w:b w:val="0"/>
                <w:bCs/>
                <w:spacing w:val="-10"/>
                <w:sz w:val="21"/>
                <w:szCs w:val="21"/>
              </w:rPr>
              <w:t>）</w:t>
            </w:r>
          </w:p>
        </w:tc>
        <w:tc>
          <w:tcPr>
            <w:tcW w:w="575"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持续时间</w:t>
            </w:r>
            <w:r>
              <w:rPr>
                <w:rFonts w:ascii="Times New Roman" w:hAnsi="Times New Roman"/>
                <w:b w:val="0"/>
                <w:bCs/>
                <w:spacing w:val="-10"/>
                <w:sz w:val="21"/>
                <w:szCs w:val="21"/>
              </w:rPr>
              <w:t>（</w:t>
            </w:r>
            <w:bookmarkStart w:id="1889" w:name="OLE_LINK916"/>
            <w:r>
              <w:rPr>
                <w:rFonts w:ascii="Times New Roman" w:hAnsi="Times New Roman" w:hint="eastAsia"/>
                <w:b w:val="0"/>
                <w:bCs/>
                <w:spacing w:val="-10"/>
                <w:sz w:val="21"/>
                <w:szCs w:val="21"/>
              </w:rPr>
              <w:t>h</w:t>
            </w:r>
            <w:bookmarkEnd w:id="1889"/>
            <w:r>
              <w:rPr>
                <w:rFonts w:ascii="Times New Roman" w:hAnsi="Times New Roman"/>
                <w:b w:val="0"/>
                <w:bCs/>
                <w:spacing w:val="-10"/>
                <w:sz w:val="21"/>
                <w:szCs w:val="21"/>
              </w:rPr>
              <w:t>）</w:t>
            </w:r>
          </w:p>
        </w:tc>
        <w:tc>
          <w:tcPr>
            <w:tcW w:w="1662"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火炬气中除</w:t>
            </w:r>
            <w:r>
              <w:rPr>
                <w:rFonts w:ascii="Times New Roman" w:hAnsi="Times New Roman"/>
                <w:b w:val="0"/>
                <w:bCs/>
                <w:spacing w:val="-10"/>
                <w:sz w:val="21"/>
                <w:szCs w:val="21"/>
              </w:rPr>
              <w:t>CO</w:t>
            </w:r>
            <w:r>
              <w:rPr>
                <w:rFonts w:ascii="Times New Roman" w:hAnsi="Times New Roman"/>
                <w:b w:val="0"/>
                <w:bCs/>
                <w:spacing w:val="-10"/>
                <w:sz w:val="21"/>
                <w:szCs w:val="21"/>
                <w:vertAlign w:val="subscript"/>
              </w:rPr>
              <w:t>2</w:t>
            </w:r>
            <w:r>
              <w:rPr>
                <w:rFonts w:ascii="Times New Roman" w:hAnsi="Times New Roman"/>
                <w:b w:val="0"/>
                <w:bCs/>
                <w:spacing w:val="-10"/>
                <w:sz w:val="21"/>
                <w:szCs w:val="21"/>
              </w:rPr>
              <w:t>外其他含碳化合物的总含碳量</w:t>
            </w:r>
            <w:r>
              <w:rPr>
                <w:rFonts w:ascii="Times New Roman" w:hAnsi="Times New Roman"/>
                <w:b w:val="0"/>
                <w:bCs/>
                <w:spacing w:val="-10"/>
                <w:sz w:val="21"/>
                <w:szCs w:val="21"/>
              </w:rPr>
              <w:t>（</w:t>
            </w:r>
            <w:r>
              <w:rPr>
                <w:rFonts w:ascii="Times New Roman" w:hAnsi="Times New Roman"/>
                <w:b w:val="0"/>
                <w:bCs/>
                <w:spacing w:val="-10"/>
                <w:sz w:val="21"/>
                <w:szCs w:val="21"/>
              </w:rPr>
              <w:t>吨碳</w:t>
            </w:r>
            <w:r>
              <w:rPr>
                <w:rFonts w:ascii="Times New Roman" w:hAnsi="Times New Roman"/>
                <w:b w:val="0"/>
                <w:bCs/>
                <w:spacing w:val="-10"/>
                <w:sz w:val="21"/>
                <w:szCs w:val="21"/>
              </w:rPr>
              <w:t>/</w:t>
            </w:r>
            <w:r>
              <w:rPr>
                <w:rFonts w:ascii="Times New Roman" w:hAnsi="Times New Roman"/>
                <w:b w:val="0"/>
                <w:bCs/>
                <w:spacing w:val="-10"/>
                <w:sz w:val="21"/>
                <w:szCs w:val="21"/>
              </w:rPr>
              <w:t>万</w:t>
            </w:r>
            <w:r>
              <w:rPr>
                <w:rFonts w:ascii="Times New Roman" w:hAnsi="Times New Roman"/>
                <w:b w:val="0"/>
                <w:bCs/>
                <w:spacing w:val="-10"/>
                <w:sz w:val="21"/>
                <w:szCs w:val="21"/>
              </w:rPr>
              <w:t>Nm</w:t>
            </w:r>
            <w:r>
              <w:rPr>
                <w:rFonts w:ascii="Times New Roman" w:hAnsi="Times New Roman"/>
                <w:b w:val="0"/>
                <w:bCs/>
                <w:spacing w:val="-10"/>
                <w:sz w:val="21"/>
                <w:szCs w:val="21"/>
                <w:vertAlign w:val="superscript"/>
              </w:rPr>
              <w:t>3</w:t>
            </w:r>
            <w:r>
              <w:rPr>
                <w:rFonts w:ascii="Times New Roman" w:hAnsi="Times New Roman"/>
                <w:b w:val="0"/>
                <w:bCs/>
                <w:spacing w:val="-10"/>
                <w:sz w:val="21"/>
                <w:szCs w:val="21"/>
              </w:rPr>
              <w:t>）</w:t>
            </w:r>
          </w:p>
        </w:tc>
        <w:tc>
          <w:tcPr>
            <w:tcW w:w="755"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火炬燃烧的碳氧化率</w:t>
            </w:r>
          </w:p>
        </w:tc>
        <w:tc>
          <w:tcPr>
            <w:tcW w:w="1534"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火炬气中</w:t>
            </w:r>
            <w:r>
              <w:rPr>
                <w:rFonts w:ascii="Times New Roman" w:hAnsi="Times New Roman"/>
                <w:b w:val="0"/>
                <w:bCs/>
                <w:spacing w:val="-10"/>
                <w:sz w:val="21"/>
                <w:szCs w:val="21"/>
              </w:rPr>
              <w:t>CO</w:t>
            </w:r>
            <w:r>
              <w:rPr>
                <w:rFonts w:ascii="Times New Roman" w:hAnsi="Times New Roman"/>
                <w:b w:val="0"/>
                <w:bCs/>
                <w:spacing w:val="-10"/>
                <w:sz w:val="21"/>
                <w:szCs w:val="21"/>
                <w:vertAlign w:val="subscript"/>
              </w:rPr>
              <w:t>2</w:t>
            </w:r>
            <w:r>
              <w:rPr>
                <w:rFonts w:ascii="Times New Roman" w:hAnsi="Times New Roman"/>
                <w:b w:val="0"/>
                <w:bCs/>
                <w:spacing w:val="-10"/>
                <w:sz w:val="21"/>
                <w:szCs w:val="21"/>
              </w:rPr>
              <w:t>的体积浓度</w:t>
            </w:r>
          </w:p>
        </w:tc>
        <w:tc>
          <w:tcPr>
            <w:tcW w:w="1538"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火炬气中</w:t>
            </w:r>
            <w:r>
              <w:rPr>
                <w:rFonts w:ascii="Times New Roman" w:hAnsi="Times New Roman"/>
                <w:b w:val="0"/>
                <w:bCs/>
                <w:spacing w:val="-10"/>
                <w:sz w:val="21"/>
                <w:szCs w:val="21"/>
              </w:rPr>
              <w:t>CH</w:t>
            </w:r>
            <w:r>
              <w:rPr>
                <w:rFonts w:ascii="Times New Roman" w:hAnsi="Times New Roman"/>
                <w:b w:val="0"/>
                <w:bCs/>
                <w:spacing w:val="-10"/>
                <w:sz w:val="21"/>
                <w:szCs w:val="21"/>
                <w:vertAlign w:val="subscript"/>
              </w:rPr>
              <w:t>4</w:t>
            </w:r>
            <w:r>
              <w:rPr>
                <w:rFonts w:ascii="Times New Roman" w:hAnsi="Times New Roman"/>
                <w:b w:val="0"/>
                <w:bCs/>
                <w:spacing w:val="-10"/>
                <w:sz w:val="21"/>
                <w:szCs w:val="21"/>
              </w:rPr>
              <w:t>的体积浓度</w:t>
            </w:r>
          </w:p>
        </w:tc>
      </w:tr>
      <w:tr w:rsidR="00C645C9">
        <w:trPr>
          <w:trHeight w:val="397"/>
          <w:jc w:val="center"/>
        </w:trPr>
        <w:tc>
          <w:tcPr>
            <w:tcW w:w="678"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井场</w:t>
            </w:r>
          </w:p>
        </w:tc>
        <w:tc>
          <w:tcPr>
            <w:tcW w:w="566"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事故工况</w:t>
            </w:r>
          </w:p>
        </w:tc>
        <w:tc>
          <w:tcPr>
            <w:tcW w:w="1054"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hint="eastAsia"/>
                <w:b w:val="0"/>
                <w:bCs/>
                <w:spacing w:val="-10"/>
                <w:sz w:val="21"/>
                <w:szCs w:val="21"/>
              </w:rPr>
              <w:t>0.0833</w:t>
            </w:r>
          </w:p>
        </w:tc>
        <w:tc>
          <w:tcPr>
            <w:tcW w:w="575"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hint="eastAsia"/>
                <w:b w:val="0"/>
                <w:bCs/>
                <w:spacing w:val="-10"/>
                <w:sz w:val="21"/>
                <w:szCs w:val="21"/>
              </w:rPr>
              <w:t>2</w:t>
            </w:r>
          </w:p>
        </w:tc>
        <w:tc>
          <w:tcPr>
            <w:tcW w:w="1662"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5.96</w:t>
            </w:r>
          </w:p>
        </w:tc>
        <w:tc>
          <w:tcPr>
            <w:tcW w:w="755"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0.98</w:t>
            </w:r>
          </w:p>
        </w:tc>
        <w:tc>
          <w:tcPr>
            <w:tcW w:w="1534"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0.0</w:t>
            </w:r>
            <w:r>
              <w:rPr>
                <w:rFonts w:ascii="Times New Roman" w:hAnsi="Times New Roman" w:hint="eastAsia"/>
                <w:b w:val="0"/>
                <w:bCs/>
                <w:spacing w:val="-10"/>
                <w:sz w:val="21"/>
                <w:szCs w:val="21"/>
              </w:rPr>
              <w:t>104</w:t>
            </w:r>
          </w:p>
        </w:tc>
        <w:tc>
          <w:tcPr>
            <w:tcW w:w="1538" w:type="dxa"/>
            <w:vAlign w:val="center"/>
          </w:tcPr>
          <w:p w:rsidR="00C645C9" w:rsidRDefault="00F955D9">
            <w:pPr>
              <w:pStyle w:val="24"/>
              <w:adjustRightInd w:val="0"/>
              <w:snapToGrid w:val="0"/>
              <w:spacing w:after="0"/>
              <w:ind w:leftChars="0" w:left="0" w:firstLineChars="0" w:firstLine="0"/>
              <w:jc w:val="center"/>
              <w:rPr>
                <w:rFonts w:ascii="Times New Roman" w:hAnsi="Times New Roman"/>
                <w:b w:val="0"/>
                <w:bCs/>
                <w:spacing w:val="-10"/>
                <w:sz w:val="21"/>
                <w:szCs w:val="21"/>
              </w:rPr>
            </w:pPr>
            <w:r>
              <w:rPr>
                <w:rFonts w:ascii="Times New Roman" w:hAnsi="Times New Roman"/>
                <w:b w:val="0"/>
                <w:bCs/>
                <w:spacing w:val="-10"/>
                <w:sz w:val="21"/>
                <w:szCs w:val="21"/>
              </w:rPr>
              <w:t>0.</w:t>
            </w:r>
            <w:r>
              <w:rPr>
                <w:rFonts w:ascii="Times New Roman" w:hAnsi="Times New Roman" w:hint="eastAsia"/>
                <w:b w:val="0"/>
                <w:bCs/>
                <w:spacing w:val="-10"/>
                <w:sz w:val="21"/>
                <w:szCs w:val="21"/>
              </w:rPr>
              <w:t>8322</w:t>
            </w:r>
          </w:p>
        </w:tc>
      </w:tr>
    </w:tbl>
    <w:p w:rsidR="00C645C9" w:rsidRDefault="00F955D9" w:rsidP="005718BB">
      <w:pPr>
        <w:pStyle w:val="afff3"/>
        <w:adjustRightInd w:val="0"/>
        <w:snapToGrid w:val="0"/>
        <w:spacing w:beforeLines="0" w:before="0" w:afterLines="0" w:after="0" w:line="360" w:lineRule="auto"/>
        <w:ind w:firstLine="496"/>
        <w:rPr>
          <w:rFonts w:cs="Times New Roman"/>
          <w:sz w:val="24"/>
        </w:rPr>
      </w:pPr>
      <w:r>
        <w:rPr>
          <w:rFonts w:cs="Times New Roman"/>
          <w:spacing w:val="4"/>
          <w:kern w:val="24"/>
          <w:sz w:val="24"/>
        </w:rPr>
        <w:lastRenderedPageBreak/>
        <w:t>根据表中参数，结合公式计算可知，</w:t>
      </w:r>
      <w:r>
        <w:rPr>
          <w:rFonts w:cs="Times New Roman" w:hint="eastAsia"/>
          <w:spacing w:val="4"/>
          <w:kern w:val="24"/>
          <w:sz w:val="24"/>
        </w:rPr>
        <w:t>2</w:t>
      </w:r>
      <w:r>
        <w:rPr>
          <w:rFonts w:cs="Times New Roman"/>
          <w:spacing w:val="4"/>
          <w:kern w:val="24"/>
          <w:sz w:val="24"/>
        </w:rPr>
        <w:t>座</w:t>
      </w:r>
      <w:r>
        <w:rPr>
          <w:rFonts w:cs="Times New Roman" w:hint="eastAsia"/>
          <w:spacing w:val="4"/>
          <w:kern w:val="24"/>
          <w:sz w:val="24"/>
        </w:rPr>
        <w:t>井场</w:t>
      </w:r>
      <w:r>
        <w:rPr>
          <w:rFonts w:cs="Times New Roman"/>
          <w:spacing w:val="4"/>
          <w:kern w:val="24"/>
          <w:sz w:val="24"/>
        </w:rPr>
        <w:t>火炬燃烧排放温室气体量为</w:t>
      </w:r>
      <w:bookmarkStart w:id="1890" w:name="OLE_LINK926"/>
      <w:r>
        <w:rPr>
          <w:rFonts w:cs="Times New Roman" w:hint="eastAsia"/>
          <w:spacing w:val="4"/>
          <w:kern w:val="24"/>
          <w:sz w:val="24"/>
        </w:rPr>
        <w:t>7.2</w:t>
      </w:r>
      <w:bookmarkEnd w:id="1890"/>
      <w:r>
        <w:rPr>
          <w:rFonts w:cs="Times New Roman"/>
          <w:spacing w:val="4"/>
          <w:kern w:val="24"/>
          <w:sz w:val="24"/>
        </w:rPr>
        <w:t>吨</w:t>
      </w:r>
      <w:bookmarkStart w:id="1891" w:name="OLE_LINK917"/>
      <w:r>
        <w:rPr>
          <w:rFonts w:cs="Times New Roman"/>
          <w:spacing w:val="4"/>
          <w:kern w:val="24"/>
          <w:sz w:val="24"/>
        </w:rPr>
        <w:t>CO</w:t>
      </w:r>
      <w:r>
        <w:rPr>
          <w:rFonts w:cs="Times New Roman"/>
          <w:spacing w:val="4"/>
          <w:kern w:val="24"/>
          <w:sz w:val="24"/>
          <w:vertAlign w:val="subscript"/>
        </w:rPr>
        <w:t>2</w:t>
      </w:r>
      <w:bookmarkEnd w:id="1891"/>
      <w:r>
        <w:rPr>
          <w:rFonts w:cs="Times New Roman"/>
          <w:spacing w:val="4"/>
          <w:kern w:val="24"/>
          <w:sz w:val="24"/>
        </w:rPr>
        <w:t>和</w:t>
      </w:r>
      <w:r>
        <w:rPr>
          <w:rFonts w:cs="Times New Roman" w:hint="eastAsia"/>
          <w:spacing w:val="4"/>
          <w:kern w:val="24"/>
          <w:sz w:val="24"/>
        </w:rPr>
        <w:t>0.04</w:t>
      </w:r>
      <w:r>
        <w:rPr>
          <w:rFonts w:cs="Times New Roman"/>
          <w:spacing w:val="4"/>
          <w:kern w:val="24"/>
          <w:sz w:val="24"/>
        </w:rPr>
        <w:t>吨</w:t>
      </w:r>
      <w:bookmarkStart w:id="1892" w:name="OLE_LINK918"/>
      <w:r>
        <w:rPr>
          <w:rFonts w:cs="Times New Roman"/>
          <w:spacing w:val="4"/>
          <w:kern w:val="24"/>
          <w:sz w:val="24"/>
        </w:rPr>
        <w:t>CH</w:t>
      </w:r>
      <w:r>
        <w:rPr>
          <w:rFonts w:cs="Times New Roman"/>
          <w:spacing w:val="4"/>
          <w:kern w:val="24"/>
          <w:sz w:val="24"/>
          <w:vertAlign w:val="subscript"/>
        </w:rPr>
        <w:t>4</w:t>
      </w:r>
      <w:bookmarkEnd w:id="1892"/>
      <w:r>
        <w:rPr>
          <w:rFonts w:cs="Times New Roman"/>
          <w:spacing w:val="4"/>
          <w:kern w:val="24"/>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w:t>
      </w:r>
      <w:r>
        <w:rPr>
          <w:rFonts w:cs="Times New Roman"/>
          <w:sz w:val="24"/>
        </w:rPr>
        <w:t>3</w:t>
      </w:r>
      <w:r>
        <w:rPr>
          <w:rFonts w:cs="Times New Roman"/>
          <w:sz w:val="24"/>
        </w:rPr>
        <w:t>）</w:t>
      </w:r>
      <w:r>
        <w:rPr>
          <w:rFonts w:cs="Times New Roman"/>
          <w:spacing w:val="4"/>
          <w:kern w:val="24"/>
          <w:sz w:val="24"/>
        </w:rPr>
        <w:t>CH</w:t>
      </w:r>
      <w:r>
        <w:rPr>
          <w:rFonts w:cs="Times New Roman"/>
          <w:spacing w:val="4"/>
          <w:kern w:val="24"/>
          <w:sz w:val="24"/>
          <w:vertAlign w:val="subscript"/>
        </w:rPr>
        <w:t>4</w:t>
      </w:r>
      <w:r>
        <w:rPr>
          <w:rFonts w:cs="Times New Roman"/>
          <w:sz w:val="24"/>
        </w:rPr>
        <w:t>逃逸排放</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本工程运营期</w:t>
      </w:r>
      <w:r>
        <w:rPr>
          <w:rFonts w:cs="Times New Roman"/>
          <w:spacing w:val="4"/>
          <w:kern w:val="24"/>
          <w:sz w:val="24"/>
        </w:rPr>
        <w:t>CH</w:t>
      </w:r>
      <w:r>
        <w:rPr>
          <w:rFonts w:cs="Times New Roman"/>
          <w:spacing w:val="4"/>
          <w:kern w:val="24"/>
          <w:sz w:val="24"/>
          <w:vertAlign w:val="subscript"/>
        </w:rPr>
        <w:t>4</w:t>
      </w:r>
      <w:r>
        <w:rPr>
          <w:rFonts w:cs="Times New Roman"/>
          <w:sz w:val="24"/>
        </w:rPr>
        <w:t>逃逸排放</w:t>
      </w:r>
      <w:r>
        <w:rPr>
          <w:rFonts w:cs="Times New Roman" w:hint="eastAsia"/>
          <w:sz w:val="24"/>
        </w:rPr>
        <w:t>主要来自油气开采过程中井口装置逃逸排放的</w:t>
      </w:r>
      <w:bookmarkStart w:id="1893" w:name="OLE_LINK924"/>
      <w:r>
        <w:rPr>
          <w:rFonts w:cs="Times New Roman"/>
          <w:spacing w:val="4"/>
          <w:kern w:val="24"/>
          <w:sz w:val="24"/>
        </w:rPr>
        <w:t>CH</w:t>
      </w:r>
      <w:r>
        <w:rPr>
          <w:rFonts w:cs="Times New Roman"/>
          <w:spacing w:val="4"/>
          <w:kern w:val="24"/>
          <w:sz w:val="24"/>
          <w:vertAlign w:val="subscript"/>
        </w:rPr>
        <w:t>4</w:t>
      </w:r>
      <w:bookmarkEnd w:id="1893"/>
      <w:r>
        <w:rPr>
          <w:rFonts w:cs="Times New Roman" w:hint="eastAsia"/>
          <w:sz w:val="24"/>
        </w:rPr>
        <w:t>。《</w:t>
      </w:r>
      <w:bookmarkStart w:id="1894" w:name="OLE_LINK923"/>
      <w:r>
        <w:rPr>
          <w:rFonts w:cs="Times New Roman" w:hint="eastAsia"/>
          <w:sz w:val="24"/>
        </w:rPr>
        <w:t>中国石油和天然气生产企业温室气体排放核算方法与报告指南</w:t>
      </w:r>
      <w:bookmarkEnd w:id="1894"/>
      <w:r>
        <w:rPr>
          <w:rFonts w:cs="Times New Roman" w:hint="eastAsia"/>
          <w:sz w:val="24"/>
        </w:rPr>
        <w:t>（试行）》（发改办气候〔</w:t>
      </w:r>
      <w:r>
        <w:rPr>
          <w:rFonts w:cs="Times New Roman" w:hint="eastAsia"/>
          <w:sz w:val="24"/>
        </w:rPr>
        <w:t>2014</w:t>
      </w:r>
      <w:r>
        <w:rPr>
          <w:rFonts w:cs="Times New Roman" w:hint="eastAsia"/>
          <w:sz w:val="24"/>
        </w:rPr>
        <w:t>〕</w:t>
      </w:r>
      <w:r>
        <w:rPr>
          <w:rFonts w:cs="Times New Roman" w:hint="eastAsia"/>
          <w:sz w:val="24"/>
        </w:rPr>
        <w:t>2920</w:t>
      </w:r>
      <w:r>
        <w:rPr>
          <w:rFonts w:cs="Times New Roman" w:hint="eastAsia"/>
          <w:sz w:val="24"/>
        </w:rPr>
        <w:t>号）中“油气开采业务</w:t>
      </w:r>
      <w:r>
        <w:rPr>
          <w:rFonts w:cs="Times New Roman"/>
          <w:spacing w:val="4"/>
          <w:kern w:val="24"/>
          <w:sz w:val="24"/>
        </w:rPr>
        <w:t>CH</w:t>
      </w:r>
      <w:r>
        <w:rPr>
          <w:rFonts w:cs="Times New Roman"/>
          <w:spacing w:val="4"/>
          <w:kern w:val="24"/>
          <w:sz w:val="24"/>
          <w:vertAlign w:val="subscript"/>
        </w:rPr>
        <w:t>4</w:t>
      </w:r>
      <w:r>
        <w:rPr>
          <w:rFonts w:cs="Times New Roman" w:hint="eastAsia"/>
          <w:sz w:val="24"/>
        </w:rPr>
        <w:t>逃逸排放”计算公式进行计算：</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noProof/>
          <w:sz w:val="24"/>
        </w:rPr>
        <w:drawing>
          <wp:inline distT="0" distB="0" distL="114300" distR="114300">
            <wp:extent cx="3825240" cy="516255"/>
            <wp:effectExtent l="0" t="0" r="3810" b="17145"/>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99"/>
                    <a:stretch>
                      <a:fillRect/>
                    </a:stretch>
                  </pic:blipFill>
                  <pic:spPr>
                    <a:xfrm>
                      <a:off x="0" y="0"/>
                      <a:ext cx="3825240" cy="516255"/>
                    </a:xfrm>
                    <a:prstGeom prst="rect">
                      <a:avLst/>
                    </a:prstGeom>
                    <a:noFill/>
                    <a:ln>
                      <a:noFill/>
                    </a:ln>
                  </pic:spPr>
                </pic:pic>
              </a:graphicData>
            </a:graphic>
          </wp:inline>
        </w:drawing>
      </w:r>
    </w:p>
    <w:p w:rsidR="00C645C9" w:rsidRDefault="00F955D9">
      <w:pPr>
        <w:adjustRightInd w:val="0"/>
        <w:snapToGrid w:val="0"/>
        <w:spacing w:line="360" w:lineRule="auto"/>
        <w:ind w:firstLineChars="200" w:firstLine="480"/>
        <w:rPr>
          <w:rFonts w:cs="Times New Roman"/>
        </w:rPr>
      </w:pPr>
      <w:r>
        <w:rPr>
          <w:rFonts w:cs="Times New Roman"/>
          <w:lang w:val="zh-CN"/>
        </w:rPr>
        <w:t>式中：</w:t>
      </w:r>
      <w:r>
        <w:rPr>
          <w:rFonts w:cs="Times New Roman"/>
          <w:i/>
          <w:iCs/>
        </w:rPr>
        <w:t>E</w:t>
      </w:r>
      <w:r>
        <w:rPr>
          <w:rFonts w:cs="Times New Roman"/>
          <w:i/>
          <w:iCs/>
          <w:vertAlign w:val="subscript"/>
        </w:rPr>
        <w:t>CH4_</w:t>
      </w:r>
      <w:r>
        <w:rPr>
          <w:rFonts w:cs="Times New Roman"/>
          <w:vertAlign w:val="subscript"/>
        </w:rPr>
        <w:t>开采逃逸</w:t>
      </w:r>
      <w:r>
        <w:rPr>
          <w:rFonts w:cs="Times New Roman"/>
        </w:rPr>
        <w:t>——</w:t>
      </w:r>
      <w:r>
        <w:rPr>
          <w:rFonts w:cs="Times New Roman"/>
        </w:rPr>
        <w:t>原油开采或天然气开采中所有设施类型</w:t>
      </w:r>
      <w:r>
        <w:rPr>
          <w:rFonts w:cs="Times New Roman"/>
        </w:rPr>
        <w:t>（</w:t>
      </w:r>
      <w:r>
        <w:rPr>
          <w:rFonts w:cs="Times New Roman"/>
        </w:rPr>
        <w:t>包括原油开采的</w:t>
      </w:r>
      <w:bookmarkStart w:id="1895" w:name="OLE_LINK919"/>
      <w:r>
        <w:rPr>
          <w:rFonts w:cs="Times New Roman"/>
        </w:rPr>
        <w:t>井口装置</w:t>
      </w:r>
      <w:bookmarkEnd w:id="1895"/>
      <w:r>
        <w:rPr>
          <w:rFonts w:cs="Times New Roman"/>
        </w:rPr>
        <w:t>、单井储油装置、接转站、联合站及天然气开采中的井口装置、集气站、计量</w:t>
      </w:r>
      <w:r>
        <w:rPr>
          <w:rFonts w:cs="Times New Roman"/>
        </w:rPr>
        <w:t>/</w:t>
      </w:r>
      <w:r>
        <w:rPr>
          <w:rFonts w:cs="Times New Roman"/>
        </w:rPr>
        <w:t>配气站、储气站等</w:t>
      </w:r>
      <w:r>
        <w:rPr>
          <w:rFonts w:cs="Times New Roman"/>
        </w:rPr>
        <w:t>）</w:t>
      </w:r>
      <w:r>
        <w:rPr>
          <w:rFonts w:cs="Times New Roman"/>
        </w:rPr>
        <w:t>产生的</w:t>
      </w:r>
      <w:r>
        <w:rPr>
          <w:rFonts w:cs="Times New Roman"/>
        </w:rPr>
        <w:t>CH</w:t>
      </w:r>
      <w:r>
        <w:rPr>
          <w:rFonts w:cs="Times New Roman"/>
          <w:vertAlign w:val="subscript"/>
        </w:rPr>
        <w:t>4</w:t>
      </w:r>
      <w:r>
        <w:rPr>
          <w:rFonts w:cs="Times New Roman"/>
        </w:rPr>
        <w:t>逃逸排放，单位为吨</w:t>
      </w:r>
      <w:r>
        <w:rPr>
          <w:rFonts w:cs="Times New Roman"/>
        </w:rPr>
        <w:t>CH</w:t>
      </w:r>
      <w:r>
        <w:rPr>
          <w:rFonts w:cs="Times New Roman"/>
          <w:vertAlign w:val="subscript"/>
        </w:rPr>
        <w:t>4</w:t>
      </w:r>
      <w:r>
        <w:rPr>
          <w:rFonts w:cs="Times New Roman"/>
        </w:rPr>
        <w:t>；</w:t>
      </w:r>
    </w:p>
    <w:p w:rsidR="00C645C9" w:rsidRDefault="00F955D9">
      <w:pPr>
        <w:widowControl w:val="0"/>
        <w:adjustRightInd w:val="0"/>
        <w:snapToGrid w:val="0"/>
        <w:spacing w:line="360" w:lineRule="auto"/>
        <w:ind w:firstLineChars="500" w:firstLine="1200"/>
        <w:rPr>
          <w:rFonts w:cs="Times New Roman"/>
        </w:rPr>
      </w:pPr>
      <w:r>
        <w:rPr>
          <w:rFonts w:cs="Times New Roman"/>
          <w:i/>
          <w:iCs/>
        </w:rPr>
        <w:t>j</w:t>
      </w:r>
      <w:r>
        <w:rPr>
          <w:rFonts w:cs="Times New Roman"/>
        </w:rPr>
        <w:t>——</w:t>
      </w:r>
      <w:r>
        <w:rPr>
          <w:rFonts w:cs="Times New Roman"/>
        </w:rPr>
        <w:t>不同的设施类型；</w:t>
      </w:r>
    </w:p>
    <w:p w:rsidR="00C645C9" w:rsidRDefault="00F955D9">
      <w:pPr>
        <w:widowControl w:val="0"/>
        <w:adjustRightInd w:val="0"/>
        <w:snapToGrid w:val="0"/>
        <w:spacing w:line="360" w:lineRule="auto"/>
        <w:ind w:firstLineChars="500" w:firstLine="1200"/>
        <w:rPr>
          <w:rFonts w:cs="Times New Roman"/>
        </w:rPr>
      </w:pPr>
      <w:r>
        <w:rPr>
          <w:rFonts w:cs="Times New Roman"/>
          <w:i/>
          <w:iCs/>
        </w:rPr>
        <w:t>Num</w:t>
      </w:r>
      <w:r>
        <w:rPr>
          <w:rFonts w:cs="Times New Roman"/>
          <w:i/>
          <w:iCs/>
          <w:vertAlign w:val="subscript"/>
        </w:rPr>
        <w:t>oil,j</w:t>
      </w:r>
      <w:r>
        <w:rPr>
          <w:rFonts w:cs="Times New Roman"/>
        </w:rPr>
        <w:t>——</w:t>
      </w:r>
      <w:r>
        <w:rPr>
          <w:rFonts w:cs="Times New Roman"/>
        </w:rPr>
        <w:t>原油开采业务所涉及的泄漏设施类型数量，单位为个；</w:t>
      </w:r>
    </w:p>
    <w:p w:rsidR="00C645C9" w:rsidRDefault="00F955D9">
      <w:pPr>
        <w:widowControl w:val="0"/>
        <w:adjustRightInd w:val="0"/>
        <w:snapToGrid w:val="0"/>
        <w:spacing w:line="360" w:lineRule="auto"/>
        <w:ind w:firstLineChars="500" w:firstLine="1200"/>
        <w:rPr>
          <w:rFonts w:cs="Times New Roman"/>
        </w:rPr>
      </w:pPr>
      <w:r>
        <w:rPr>
          <w:rFonts w:cs="Times New Roman"/>
          <w:i/>
          <w:iCs/>
        </w:rPr>
        <w:t>EF</w:t>
      </w:r>
      <w:r>
        <w:rPr>
          <w:rFonts w:cs="Times New Roman"/>
          <w:i/>
          <w:iCs/>
          <w:vertAlign w:val="subscript"/>
        </w:rPr>
        <w:t>oil,j</w:t>
      </w:r>
      <w:r>
        <w:rPr>
          <w:rFonts w:cs="Times New Roman"/>
        </w:rPr>
        <w:t>——</w:t>
      </w:r>
      <w:r>
        <w:rPr>
          <w:rFonts w:cs="Times New Roman"/>
        </w:rPr>
        <w:t>原油开采业务中</w:t>
      </w:r>
      <w:r>
        <w:rPr>
          <w:rFonts w:cs="Times New Roman" w:hint="eastAsia"/>
        </w:rPr>
        <w:t>涉及</w:t>
      </w:r>
      <w:r>
        <w:rPr>
          <w:rFonts w:cs="Times New Roman"/>
        </w:rPr>
        <w:t>的每种设施类型</w:t>
      </w:r>
      <w:r>
        <w:rPr>
          <w:rFonts w:cs="Times New Roman"/>
        </w:rPr>
        <w:t>j</w:t>
      </w:r>
      <w:r>
        <w:rPr>
          <w:rFonts w:cs="Times New Roman"/>
        </w:rPr>
        <w:t>的</w:t>
      </w:r>
      <w:r>
        <w:rPr>
          <w:rFonts w:cs="Times New Roman"/>
        </w:rPr>
        <w:t>CH</w:t>
      </w:r>
      <w:r>
        <w:rPr>
          <w:rFonts w:cs="Times New Roman"/>
          <w:vertAlign w:val="subscript"/>
        </w:rPr>
        <w:t>4</w:t>
      </w:r>
      <w:r>
        <w:rPr>
          <w:rFonts w:cs="Times New Roman"/>
        </w:rPr>
        <w:t>逃逸排放因子，单位为吨</w:t>
      </w:r>
      <w:r>
        <w:rPr>
          <w:rFonts w:cs="Times New Roman"/>
        </w:rPr>
        <w:t>CH</w:t>
      </w:r>
      <w:r>
        <w:rPr>
          <w:rFonts w:cs="Times New Roman"/>
          <w:vertAlign w:val="subscript"/>
        </w:rPr>
        <w:t>4</w:t>
      </w:r>
      <w:r>
        <w:rPr>
          <w:rFonts w:cs="Times New Roman"/>
        </w:rPr>
        <w:t>/</w:t>
      </w:r>
      <w:r>
        <w:rPr>
          <w:rFonts w:cs="Times New Roman"/>
        </w:rPr>
        <w:t>（</w:t>
      </w:r>
      <w:r>
        <w:rPr>
          <w:rFonts w:cs="Times New Roman"/>
        </w:rPr>
        <w:t>年</w:t>
      </w:r>
      <w:r>
        <w:rPr>
          <w:rFonts w:cs="Times New Roman"/>
        </w:rPr>
        <w:t>·</w:t>
      </w:r>
      <w:r>
        <w:rPr>
          <w:rFonts w:cs="Times New Roman"/>
        </w:rPr>
        <w:t>个</w:t>
      </w:r>
      <w:r>
        <w:rPr>
          <w:rFonts w:cs="Times New Roman"/>
        </w:rPr>
        <w:t>）</w:t>
      </w:r>
      <w:r>
        <w:rPr>
          <w:rFonts w:cs="Times New Roman"/>
        </w:rPr>
        <w:t>；接转站为</w:t>
      </w:r>
      <w:r>
        <w:rPr>
          <w:rFonts w:cs="Times New Roman"/>
        </w:rPr>
        <w:t>0.18</w:t>
      </w:r>
      <w:r>
        <w:rPr>
          <w:rFonts w:cs="Times New Roman"/>
        </w:rPr>
        <w:t>吨</w:t>
      </w:r>
      <w:r>
        <w:rPr>
          <w:rFonts w:cs="Times New Roman"/>
        </w:rPr>
        <w:t>/</w:t>
      </w:r>
      <w:r>
        <w:rPr>
          <w:rFonts w:cs="Times New Roman"/>
        </w:rPr>
        <w:t>（</w:t>
      </w:r>
      <w:r>
        <w:rPr>
          <w:rFonts w:cs="Times New Roman"/>
        </w:rPr>
        <w:t>年</w:t>
      </w:r>
      <w:r>
        <w:rPr>
          <w:rFonts w:cs="Times New Roman"/>
        </w:rPr>
        <w:t>·</w:t>
      </w:r>
      <w:r>
        <w:rPr>
          <w:rFonts w:cs="Times New Roman"/>
        </w:rPr>
        <w:t>个</w:t>
      </w:r>
      <w:r>
        <w:rPr>
          <w:rFonts w:cs="Times New Roman"/>
        </w:rPr>
        <w:t>）</w:t>
      </w:r>
      <w:r>
        <w:rPr>
          <w:rFonts w:cs="Times New Roman"/>
        </w:rPr>
        <w:t>；</w:t>
      </w:r>
    </w:p>
    <w:p w:rsidR="00C645C9" w:rsidRDefault="00F955D9">
      <w:pPr>
        <w:widowControl w:val="0"/>
        <w:adjustRightInd w:val="0"/>
        <w:snapToGrid w:val="0"/>
        <w:spacing w:line="360" w:lineRule="auto"/>
        <w:ind w:firstLineChars="500" w:firstLine="1200"/>
        <w:rPr>
          <w:rFonts w:cs="Times New Roman"/>
        </w:rPr>
      </w:pPr>
      <w:bookmarkStart w:id="1896" w:name="OLE_LINK921"/>
      <w:r>
        <w:rPr>
          <w:rFonts w:cs="Times New Roman"/>
          <w:i/>
          <w:iCs/>
        </w:rPr>
        <w:t>Num</w:t>
      </w:r>
      <w:r>
        <w:rPr>
          <w:rFonts w:cs="Times New Roman"/>
          <w:i/>
          <w:iCs/>
          <w:vertAlign w:val="subscript"/>
        </w:rPr>
        <w:t>gas,</w:t>
      </w:r>
      <w:bookmarkEnd w:id="1896"/>
      <w:r>
        <w:rPr>
          <w:rFonts w:cs="Times New Roman"/>
          <w:i/>
          <w:iCs/>
          <w:vertAlign w:val="subscript"/>
        </w:rPr>
        <w:t>j</w:t>
      </w:r>
      <w:r>
        <w:rPr>
          <w:rFonts w:cs="Times New Roman"/>
        </w:rPr>
        <w:t>——</w:t>
      </w:r>
      <w:r>
        <w:rPr>
          <w:rFonts w:cs="Times New Roman"/>
        </w:rPr>
        <w:t>天然气开采业务所涉及的泄漏设施类型数量，单位为个；</w:t>
      </w:r>
    </w:p>
    <w:p w:rsidR="00C645C9" w:rsidRDefault="00F955D9">
      <w:pPr>
        <w:pStyle w:val="afff3"/>
        <w:adjustRightInd w:val="0"/>
        <w:snapToGrid w:val="0"/>
        <w:spacing w:beforeLines="0" w:before="0" w:afterLines="0" w:after="0" w:line="360" w:lineRule="auto"/>
        <w:ind w:firstLineChars="500" w:firstLine="1200"/>
        <w:rPr>
          <w:rFonts w:cs="Times New Roman"/>
          <w:sz w:val="24"/>
        </w:rPr>
      </w:pPr>
      <w:bookmarkStart w:id="1897" w:name="OLE_LINK922"/>
      <w:r>
        <w:rPr>
          <w:rFonts w:cs="Times New Roman"/>
          <w:i/>
          <w:iCs/>
          <w:sz w:val="24"/>
        </w:rPr>
        <w:t>EF</w:t>
      </w:r>
      <w:r>
        <w:rPr>
          <w:rFonts w:cs="Times New Roman"/>
          <w:i/>
          <w:iCs/>
          <w:sz w:val="24"/>
          <w:vertAlign w:val="subscript"/>
        </w:rPr>
        <w:t>gas</w:t>
      </w:r>
      <w:bookmarkEnd w:id="1897"/>
      <w:r>
        <w:rPr>
          <w:rFonts w:cs="Times New Roman"/>
          <w:i/>
          <w:iCs/>
          <w:sz w:val="24"/>
          <w:vertAlign w:val="subscript"/>
        </w:rPr>
        <w:t>,j</w:t>
      </w:r>
      <w:r>
        <w:rPr>
          <w:rFonts w:cs="Times New Roman"/>
          <w:sz w:val="24"/>
        </w:rPr>
        <w:t>——</w:t>
      </w:r>
      <w:r>
        <w:rPr>
          <w:rFonts w:cs="Times New Roman"/>
          <w:sz w:val="24"/>
        </w:rPr>
        <w:t>天然气开采业务中</w:t>
      </w:r>
      <w:r>
        <w:rPr>
          <w:rFonts w:cs="Times New Roman" w:hint="eastAsia"/>
          <w:sz w:val="24"/>
        </w:rPr>
        <w:t>涉及</w:t>
      </w:r>
      <w:r>
        <w:rPr>
          <w:rFonts w:cs="Times New Roman"/>
          <w:sz w:val="24"/>
        </w:rPr>
        <w:t>的每种设施类型</w:t>
      </w:r>
      <w:r>
        <w:rPr>
          <w:rFonts w:cs="Times New Roman"/>
          <w:sz w:val="24"/>
        </w:rPr>
        <w:t>j</w:t>
      </w:r>
      <w:r>
        <w:rPr>
          <w:rFonts w:cs="Times New Roman"/>
          <w:sz w:val="24"/>
        </w:rPr>
        <w:t>的</w:t>
      </w:r>
      <w:r>
        <w:rPr>
          <w:rFonts w:cs="Times New Roman"/>
          <w:sz w:val="24"/>
        </w:rPr>
        <w:t>CH</w:t>
      </w:r>
      <w:r>
        <w:rPr>
          <w:rFonts w:cs="Times New Roman"/>
          <w:sz w:val="24"/>
          <w:vertAlign w:val="subscript"/>
        </w:rPr>
        <w:t>4</w:t>
      </w:r>
      <w:r>
        <w:rPr>
          <w:rFonts w:cs="Times New Roman"/>
          <w:sz w:val="24"/>
        </w:rPr>
        <w:t>逃逸排放因子，单位为吨</w:t>
      </w:r>
      <w:r>
        <w:rPr>
          <w:rFonts w:cs="Times New Roman"/>
          <w:sz w:val="24"/>
        </w:rPr>
        <w:t>CH</w:t>
      </w:r>
      <w:r>
        <w:rPr>
          <w:rFonts w:cs="Times New Roman"/>
          <w:sz w:val="24"/>
          <w:vertAlign w:val="subscript"/>
        </w:rPr>
        <w:t>4</w:t>
      </w:r>
      <w:r>
        <w:rPr>
          <w:rFonts w:cs="Times New Roman"/>
          <w:sz w:val="24"/>
        </w:rPr>
        <w:t>/</w:t>
      </w:r>
      <w:r>
        <w:rPr>
          <w:rFonts w:cs="Times New Roman"/>
          <w:sz w:val="24"/>
        </w:rPr>
        <w:t>（</w:t>
      </w:r>
      <w:r>
        <w:rPr>
          <w:rFonts w:cs="Times New Roman"/>
          <w:sz w:val="24"/>
        </w:rPr>
        <w:t>年</w:t>
      </w:r>
      <w:r>
        <w:rPr>
          <w:rFonts w:cs="Times New Roman"/>
          <w:sz w:val="24"/>
        </w:rPr>
        <w:t>·</w:t>
      </w:r>
      <w:r>
        <w:rPr>
          <w:rFonts w:cs="Times New Roman"/>
          <w:sz w:val="24"/>
        </w:rPr>
        <w:t>个</w:t>
      </w:r>
      <w:r>
        <w:rPr>
          <w:rFonts w:cs="Times New Roman"/>
          <w:sz w:val="24"/>
        </w:rPr>
        <w:t>）</w:t>
      </w:r>
      <w:r>
        <w:rPr>
          <w:rFonts w:cs="Times New Roman"/>
          <w:sz w:val="24"/>
        </w:rPr>
        <w:t>。</w:t>
      </w:r>
    </w:p>
    <w:p w:rsidR="00C645C9" w:rsidRDefault="00F955D9" w:rsidP="005718BB">
      <w:pPr>
        <w:pStyle w:val="-1"/>
        <w:topLinePunct/>
        <w:autoSpaceDE w:val="0"/>
        <w:ind w:firstLine="480"/>
        <w:rPr>
          <w:sz w:val="24"/>
          <w:szCs w:val="24"/>
        </w:rPr>
      </w:pPr>
      <w:r>
        <w:rPr>
          <w:sz w:val="24"/>
          <w:szCs w:val="24"/>
        </w:rPr>
        <w:t>本</w:t>
      </w:r>
      <w:r>
        <w:rPr>
          <w:sz w:val="24"/>
          <w:szCs w:val="24"/>
        </w:rPr>
        <w:t>工程开采逃逸的</w:t>
      </w:r>
      <w:r>
        <w:rPr>
          <w:sz w:val="24"/>
          <w:szCs w:val="24"/>
        </w:rPr>
        <w:t>CH</w:t>
      </w:r>
      <w:r>
        <w:rPr>
          <w:sz w:val="24"/>
          <w:szCs w:val="24"/>
          <w:vertAlign w:val="subscript"/>
        </w:rPr>
        <w:t>4</w:t>
      </w:r>
      <w:r>
        <w:rPr>
          <w:sz w:val="24"/>
          <w:szCs w:val="24"/>
        </w:rPr>
        <w:t>为：</w:t>
      </w:r>
    </w:p>
    <w:p w:rsidR="00C645C9" w:rsidRDefault="00F955D9">
      <w:pPr>
        <w:pStyle w:val="-1"/>
        <w:topLinePunct/>
        <w:autoSpaceDE w:val="0"/>
        <w:ind w:firstLine="480"/>
        <w:rPr>
          <w:i/>
          <w:iCs/>
          <w:kern w:val="0"/>
          <w:sz w:val="24"/>
          <w:szCs w:val="24"/>
          <w:vertAlign w:val="subscript"/>
        </w:rPr>
      </w:pPr>
      <w:r>
        <w:rPr>
          <w:i/>
          <w:iCs/>
          <w:sz w:val="24"/>
          <w:szCs w:val="24"/>
        </w:rPr>
        <w:t>E</w:t>
      </w:r>
      <w:r>
        <w:rPr>
          <w:i/>
          <w:iCs/>
          <w:sz w:val="24"/>
          <w:szCs w:val="24"/>
          <w:vertAlign w:val="subscript"/>
        </w:rPr>
        <w:t>CH4-</w:t>
      </w:r>
      <w:r>
        <w:rPr>
          <w:i/>
          <w:iCs/>
          <w:sz w:val="24"/>
          <w:szCs w:val="24"/>
          <w:vertAlign w:val="subscript"/>
        </w:rPr>
        <w:t>开采逃逸</w:t>
      </w:r>
      <w:r>
        <w:rPr>
          <w:sz w:val="24"/>
          <w:szCs w:val="24"/>
        </w:rPr>
        <w:t>=</w:t>
      </w:r>
      <w:r>
        <w:rPr>
          <w:i/>
          <w:iCs/>
          <w:sz w:val="24"/>
          <w:szCs w:val="24"/>
        </w:rPr>
        <w:t>Num</w:t>
      </w:r>
      <w:r>
        <w:rPr>
          <w:i/>
          <w:iCs/>
          <w:sz w:val="24"/>
          <w:szCs w:val="24"/>
          <w:vertAlign w:val="subscript"/>
        </w:rPr>
        <w:t>gas,</w:t>
      </w:r>
      <w:bookmarkStart w:id="1898" w:name="OLE_LINK920"/>
      <w:r>
        <w:rPr>
          <w:i/>
          <w:iCs/>
          <w:kern w:val="0"/>
          <w:sz w:val="24"/>
          <w:szCs w:val="24"/>
          <w:vertAlign w:val="subscript"/>
        </w:rPr>
        <w:t>井口装置</w:t>
      </w:r>
      <w:bookmarkEnd w:id="1898"/>
      <w:r>
        <w:rPr>
          <w:sz w:val="24"/>
          <w:szCs w:val="24"/>
        </w:rPr>
        <w:t>×</w:t>
      </w:r>
      <w:r>
        <w:rPr>
          <w:i/>
          <w:iCs/>
          <w:sz w:val="24"/>
          <w:szCs w:val="24"/>
        </w:rPr>
        <w:t>EF</w:t>
      </w:r>
      <w:r>
        <w:rPr>
          <w:i/>
          <w:iCs/>
          <w:sz w:val="24"/>
          <w:szCs w:val="24"/>
          <w:vertAlign w:val="subscript"/>
        </w:rPr>
        <w:t>gas</w:t>
      </w:r>
      <w:r>
        <w:rPr>
          <w:i/>
          <w:iCs/>
          <w:kern w:val="0"/>
          <w:sz w:val="24"/>
          <w:szCs w:val="24"/>
          <w:vertAlign w:val="subscript"/>
        </w:rPr>
        <w:t>,</w:t>
      </w:r>
      <w:r>
        <w:rPr>
          <w:i/>
          <w:iCs/>
          <w:kern w:val="0"/>
          <w:sz w:val="24"/>
          <w:szCs w:val="24"/>
          <w:vertAlign w:val="subscript"/>
        </w:rPr>
        <w:t>井口装置</w:t>
      </w:r>
    </w:p>
    <w:p w:rsidR="00C645C9" w:rsidRDefault="00F955D9">
      <w:pPr>
        <w:pStyle w:val="-1"/>
        <w:topLinePunct/>
        <w:autoSpaceDE w:val="0"/>
        <w:ind w:leftChars="200" w:left="480" w:firstLine="480"/>
        <w:rPr>
          <w:kern w:val="0"/>
          <w:sz w:val="24"/>
          <w:szCs w:val="24"/>
          <w:vertAlign w:val="subscript"/>
        </w:rPr>
      </w:pPr>
      <w:r>
        <w:rPr>
          <w:i/>
          <w:iCs/>
          <w:kern w:val="0"/>
          <w:sz w:val="24"/>
          <w:szCs w:val="24"/>
          <w:vertAlign w:val="subscript"/>
        </w:rPr>
        <w:t xml:space="preserve">      </w:t>
      </w:r>
      <w:r>
        <w:rPr>
          <w:sz w:val="24"/>
          <w:szCs w:val="24"/>
        </w:rPr>
        <w:t>=</w:t>
      </w:r>
      <w:r>
        <w:rPr>
          <w:rFonts w:hint="eastAsia"/>
          <w:sz w:val="24"/>
          <w:szCs w:val="24"/>
        </w:rPr>
        <w:t>2</w:t>
      </w:r>
      <w:r>
        <w:rPr>
          <w:sz w:val="24"/>
          <w:szCs w:val="24"/>
        </w:rPr>
        <w:t>×</w:t>
      </w:r>
      <w:r>
        <w:rPr>
          <w:rFonts w:hint="eastAsia"/>
          <w:sz w:val="24"/>
          <w:szCs w:val="24"/>
        </w:rPr>
        <w:t>2.5</w:t>
      </w:r>
      <w:r>
        <w:rPr>
          <w:sz w:val="24"/>
          <w:szCs w:val="24"/>
        </w:rPr>
        <w:t>t</w:t>
      </w:r>
      <w:r>
        <w:rPr>
          <w:kern w:val="0"/>
          <w:sz w:val="24"/>
          <w:szCs w:val="24"/>
        </w:rPr>
        <w:t>CH</w:t>
      </w:r>
      <w:r>
        <w:rPr>
          <w:kern w:val="0"/>
          <w:sz w:val="24"/>
          <w:szCs w:val="24"/>
          <w:vertAlign w:val="subscript"/>
        </w:rPr>
        <w:t>4</w:t>
      </w:r>
    </w:p>
    <w:p w:rsidR="00C645C9" w:rsidRDefault="00F955D9">
      <w:pPr>
        <w:pStyle w:val="-1"/>
        <w:topLinePunct/>
        <w:autoSpaceDE w:val="0"/>
        <w:ind w:leftChars="400" w:left="960" w:firstLine="480"/>
        <w:rPr>
          <w:i/>
          <w:iCs/>
          <w:kern w:val="0"/>
          <w:sz w:val="24"/>
          <w:szCs w:val="24"/>
          <w:vertAlign w:val="subscript"/>
        </w:rPr>
      </w:pPr>
      <w:r>
        <w:rPr>
          <w:sz w:val="24"/>
          <w:szCs w:val="24"/>
        </w:rPr>
        <w:t>=</w:t>
      </w:r>
      <w:r>
        <w:rPr>
          <w:rFonts w:hint="eastAsia"/>
          <w:sz w:val="24"/>
          <w:szCs w:val="24"/>
        </w:rPr>
        <w:t>5</w:t>
      </w:r>
      <w:r>
        <w:rPr>
          <w:sz w:val="24"/>
          <w:szCs w:val="24"/>
        </w:rPr>
        <w:t>t</w:t>
      </w:r>
      <w:r>
        <w:rPr>
          <w:kern w:val="0"/>
          <w:sz w:val="24"/>
          <w:szCs w:val="24"/>
        </w:rPr>
        <w:t>CH</w:t>
      </w:r>
      <w:r>
        <w:rPr>
          <w:kern w:val="0"/>
          <w:sz w:val="24"/>
          <w:szCs w:val="24"/>
          <w:vertAlign w:val="subscript"/>
        </w:rPr>
        <w:t>4</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根据表中参数，结合公式计算可知，甲烷逃逸排放</w:t>
      </w:r>
      <w:r>
        <w:rPr>
          <w:rFonts w:cs="Times New Roman" w:hint="eastAsia"/>
          <w:sz w:val="24"/>
        </w:rPr>
        <w:t>5</w:t>
      </w:r>
      <w:r>
        <w:rPr>
          <w:rFonts w:cs="Times New Roman" w:hint="eastAsia"/>
          <w:sz w:val="24"/>
        </w:rPr>
        <w:t>t</w:t>
      </w:r>
      <w:r>
        <w:rPr>
          <w:rFonts w:cs="Times New Roman"/>
          <w:sz w:val="24"/>
        </w:rPr>
        <w:t>，折算成</w:t>
      </w:r>
      <w:r>
        <w:rPr>
          <w:rFonts w:cs="Times New Roman"/>
          <w:sz w:val="24"/>
        </w:rPr>
        <w:t>CO</w:t>
      </w:r>
      <w:r>
        <w:rPr>
          <w:rFonts w:cs="Times New Roman"/>
          <w:sz w:val="24"/>
          <w:vertAlign w:val="subscript"/>
        </w:rPr>
        <w:t>2</w:t>
      </w:r>
      <w:r>
        <w:rPr>
          <w:rFonts w:cs="Times New Roman"/>
          <w:sz w:val="24"/>
        </w:rPr>
        <w:t>排放量为</w:t>
      </w:r>
      <w:r>
        <w:rPr>
          <w:rFonts w:cs="Times New Roman" w:hint="eastAsia"/>
          <w:sz w:val="24"/>
        </w:rPr>
        <w:t>5</w:t>
      </w:r>
      <w:r>
        <w:rPr>
          <w:rFonts w:cs="Times New Roman"/>
          <w:sz w:val="24"/>
        </w:rPr>
        <w:t>×21=</w:t>
      </w:r>
      <w:bookmarkStart w:id="1899" w:name="OLE_LINK927"/>
      <w:r>
        <w:rPr>
          <w:rFonts w:cs="Times New Roman" w:hint="eastAsia"/>
          <w:sz w:val="24"/>
        </w:rPr>
        <w:t>105</w:t>
      </w:r>
      <w:bookmarkEnd w:id="1899"/>
      <w:r>
        <w:rPr>
          <w:rFonts w:cs="Times New Roman" w:hint="eastAsia"/>
          <w:sz w:val="24"/>
        </w:rPr>
        <w:t>t</w:t>
      </w:r>
      <w:r>
        <w:rPr>
          <w:rFonts w:cs="Times New Roman"/>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w:t>
      </w:r>
      <w:r>
        <w:rPr>
          <w:rFonts w:cs="Times New Roman" w:hint="eastAsia"/>
          <w:sz w:val="24"/>
        </w:rPr>
        <w:t>4</w:t>
      </w:r>
      <w:r>
        <w:rPr>
          <w:rFonts w:cs="Times New Roman" w:hint="eastAsia"/>
          <w:sz w:val="24"/>
        </w:rPr>
        <w:t>）碳排放核算结果汇总</w:t>
      </w:r>
    </w:p>
    <w:p w:rsidR="00C645C9" w:rsidRDefault="00F955D9" w:rsidP="005718BB">
      <w:pPr>
        <w:pStyle w:val="afff3"/>
        <w:adjustRightInd w:val="0"/>
        <w:snapToGrid w:val="0"/>
        <w:spacing w:beforeLines="0" w:before="0" w:afterLines="0" w:after="0" w:line="360" w:lineRule="auto"/>
        <w:ind w:firstLine="496"/>
        <w:rPr>
          <w:rFonts w:cs="Times New Roman"/>
          <w:sz w:val="24"/>
        </w:rPr>
      </w:pPr>
      <w:r>
        <w:rPr>
          <w:rFonts w:cs="Times New Roman"/>
          <w:spacing w:val="4"/>
          <w:kern w:val="24"/>
          <w:sz w:val="24"/>
        </w:rPr>
        <w:t>根据《</w:t>
      </w:r>
      <w:r>
        <w:rPr>
          <w:rFonts w:cs="Times New Roman"/>
          <w:spacing w:val="4"/>
          <w:kern w:val="24"/>
          <w:sz w:val="24"/>
        </w:rPr>
        <w:t>中国石油天然气生产企业温室气体排放核算方法与报告指南（试行）</w:t>
      </w:r>
      <w:r>
        <w:rPr>
          <w:rFonts w:cs="Times New Roman"/>
          <w:spacing w:val="4"/>
          <w:kern w:val="24"/>
          <w:sz w:val="24"/>
        </w:rPr>
        <w:t>》，</w:t>
      </w:r>
      <w:r>
        <w:rPr>
          <w:rFonts w:cs="Times New Roman"/>
          <w:spacing w:val="4"/>
          <w:kern w:val="24"/>
          <w:sz w:val="24"/>
        </w:rPr>
        <w:t>报告主体的温室气体</w:t>
      </w:r>
      <w:r>
        <w:rPr>
          <w:rFonts w:cs="Times New Roman"/>
          <w:spacing w:val="4"/>
          <w:kern w:val="24"/>
          <w:sz w:val="24"/>
        </w:rPr>
        <w:t>（</w:t>
      </w:r>
      <w:r>
        <w:rPr>
          <w:rFonts w:cs="Times New Roman"/>
          <w:spacing w:val="4"/>
          <w:kern w:val="24"/>
          <w:sz w:val="24"/>
        </w:rPr>
        <w:t>GHG</w:t>
      </w:r>
      <w:r>
        <w:rPr>
          <w:rFonts w:cs="Times New Roman"/>
          <w:spacing w:val="4"/>
          <w:kern w:val="24"/>
          <w:sz w:val="24"/>
        </w:rPr>
        <w:t>）</w:t>
      </w:r>
      <w:r>
        <w:rPr>
          <w:rFonts w:cs="Times New Roman"/>
          <w:spacing w:val="4"/>
          <w:kern w:val="24"/>
          <w:sz w:val="24"/>
        </w:rPr>
        <w:t>排放总量计算公式为</w:t>
      </w:r>
      <w:r>
        <w:rPr>
          <w:rFonts w:cs="Times New Roman" w:hint="eastAsia"/>
          <w:sz w:val="24"/>
        </w:rPr>
        <w:t>：</w:t>
      </w:r>
    </w:p>
    <w:p w:rsidR="00C645C9" w:rsidRDefault="00F955D9">
      <w:pPr>
        <w:pStyle w:val="afff3"/>
        <w:adjustRightInd w:val="0"/>
        <w:snapToGrid w:val="0"/>
        <w:spacing w:beforeLines="0" w:before="0" w:afterLines="0" w:after="0" w:line="360" w:lineRule="auto"/>
        <w:ind w:firstLineChars="0" w:firstLine="0"/>
        <w:jc w:val="center"/>
        <w:rPr>
          <w:rFonts w:cs="Times New Roman"/>
          <w:sz w:val="24"/>
        </w:rPr>
      </w:pPr>
      <w:r>
        <w:rPr>
          <w:rFonts w:cs="Times New Roman"/>
          <w:noProof/>
          <w:sz w:val="24"/>
        </w:rPr>
        <w:lastRenderedPageBreak/>
        <w:drawing>
          <wp:inline distT="0" distB="0" distL="114300" distR="114300">
            <wp:extent cx="4010660" cy="739775"/>
            <wp:effectExtent l="0" t="0" r="8890" b="3175"/>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100"/>
                    <a:stretch>
                      <a:fillRect/>
                    </a:stretch>
                  </pic:blipFill>
                  <pic:spPr>
                    <a:xfrm>
                      <a:off x="0" y="0"/>
                      <a:ext cx="4010660" cy="739775"/>
                    </a:xfrm>
                    <a:prstGeom prst="rect">
                      <a:avLst/>
                    </a:prstGeom>
                    <a:noFill/>
                    <a:ln>
                      <a:noFill/>
                    </a:ln>
                  </pic:spPr>
                </pic:pic>
              </a:graphicData>
            </a:graphic>
          </wp:inline>
        </w:drawing>
      </w:r>
    </w:p>
    <w:p w:rsidR="00C645C9" w:rsidRDefault="00F955D9">
      <w:pPr>
        <w:adjustRightInd w:val="0"/>
        <w:snapToGrid w:val="0"/>
        <w:spacing w:line="360" w:lineRule="auto"/>
        <w:ind w:firstLineChars="200" w:firstLine="496"/>
        <w:jc w:val="both"/>
        <w:rPr>
          <w:rFonts w:cs="Times New Roman"/>
          <w:spacing w:val="4"/>
          <w:kern w:val="24"/>
        </w:rPr>
      </w:pPr>
      <w:bookmarkStart w:id="1900" w:name="_Toc24493"/>
      <w:bookmarkStart w:id="1901" w:name="_Toc2278"/>
      <w:bookmarkStart w:id="1902" w:name="_Toc180591703"/>
      <w:bookmarkStart w:id="1903" w:name="_Toc14377"/>
      <w:r>
        <w:rPr>
          <w:rFonts w:cs="Times New Roman"/>
          <w:spacing w:val="4"/>
          <w:kern w:val="24"/>
        </w:rPr>
        <w:t>式中</w:t>
      </w:r>
      <w:r>
        <w:rPr>
          <w:rFonts w:cs="Times New Roman"/>
          <w:spacing w:val="4"/>
          <w:kern w:val="24"/>
        </w:rPr>
        <w:t>：</w:t>
      </w:r>
      <w:r>
        <w:rPr>
          <w:rFonts w:cs="Times New Roman"/>
          <w:i/>
          <w:iCs/>
          <w:spacing w:val="4"/>
          <w:kern w:val="24"/>
        </w:rPr>
        <w:t>E</w:t>
      </w:r>
      <w:r>
        <w:rPr>
          <w:rFonts w:cs="Times New Roman"/>
          <w:spacing w:val="4"/>
          <w:kern w:val="24"/>
          <w:vertAlign w:val="subscript"/>
        </w:rPr>
        <w:t>GHG</w:t>
      </w:r>
      <w:r>
        <w:rPr>
          <w:rFonts w:cs="Times New Roman"/>
          <w:lang w:val="zh-CN"/>
        </w:rPr>
        <w:t>——</w:t>
      </w:r>
      <w:r>
        <w:rPr>
          <w:rFonts w:cs="Times New Roman"/>
          <w:spacing w:val="4"/>
          <w:kern w:val="24"/>
        </w:rPr>
        <w:t>温室气体排放总量，单位为吨</w:t>
      </w:r>
      <w:r>
        <w:rPr>
          <w:rFonts w:cs="Times New Roman"/>
          <w:spacing w:val="4"/>
          <w:kern w:val="24"/>
        </w:rPr>
        <w:t>CO</w:t>
      </w:r>
      <w:r>
        <w:rPr>
          <w:rFonts w:cs="Times New Roman"/>
          <w:spacing w:val="4"/>
          <w:kern w:val="24"/>
          <w:vertAlign w:val="subscript"/>
        </w:rPr>
        <w:t>2</w:t>
      </w:r>
      <w:r>
        <w:rPr>
          <w:rFonts w:cs="Times New Roman"/>
          <w:spacing w:val="4"/>
          <w:kern w:val="24"/>
        </w:rPr>
        <w:t>当量</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CO2-</w:t>
      </w:r>
      <w:r>
        <w:rPr>
          <w:rFonts w:cs="Times New Roman"/>
          <w:spacing w:val="4"/>
          <w:kern w:val="24"/>
          <w:vertAlign w:val="subscript"/>
        </w:rPr>
        <w:t>燃烧</w:t>
      </w:r>
      <w:r>
        <w:rPr>
          <w:rFonts w:cs="Times New Roman"/>
          <w:lang w:val="zh-CN"/>
        </w:rPr>
        <w:t>——</w:t>
      </w:r>
      <w:r>
        <w:rPr>
          <w:rFonts w:cs="Times New Roman"/>
          <w:spacing w:val="4"/>
          <w:kern w:val="24"/>
        </w:rPr>
        <w:t>企业</w:t>
      </w:r>
      <w:r>
        <w:rPr>
          <w:rFonts w:cs="Times New Roman"/>
          <w:spacing w:val="4"/>
          <w:kern w:val="24"/>
        </w:rPr>
        <w:t>由于化石燃料燃烧活动产生的</w:t>
      </w:r>
      <w:r>
        <w:rPr>
          <w:rFonts w:cs="Times New Roman"/>
          <w:spacing w:val="4"/>
          <w:kern w:val="24"/>
        </w:rPr>
        <w:t>CO</w:t>
      </w:r>
      <w:r>
        <w:rPr>
          <w:rFonts w:cs="Times New Roman"/>
          <w:spacing w:val="4"/>
          <w:kern w:val="24"/>
          <w:vertAlign w:val="subscript"/>
        </w:rPr>
        <w:t>2</w:t>
      </w:r>
      <w:r>
        <w:rPr>
          <w:rFonts w:cs="Times New Roman"/>
          <w:spacing w:val="4"/>
          <w:kern w:val="24"/>
        </w:rPr>
        <w:t>排放量，单位为吨</w:t>
      </w:r>
      <w:r>
        <w:rPr>
          <w:rFonts w:cs="Times New Roman"/>
          <w:spacing w:val="4"/>
          <w:kern w:val="24"/>
        </w:rPr>
        <w:t>CO</w:t>
      </w:r>
      <w:r>
        <w:rPr>
          <w:rFonts w:cs="Times New Roman"/>
          <w:spacing w:val="4"/>
          <w:kern w:val="24"/>
          <w:vertAlign w:val="subscript"/>
        </w:rPr>
        <w:t>2</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GHG-</w:t>
      </w:r>
      <w:r>
        <w:rPr>
          <w:rFonts w:cs="Times New Roman"/>
          <w:spacing w:val="4"/>
          <w:kern w:val="24"/>
          <w:vertAlign w:val="subscript"/>
        </w:rPr>
        <w:t>火炬</w:t>
      </w:r>
      <w:r>
        <w:rPr>
          <w:rFonts w:cs="Times New Roman"/>
          <w:lang w:val="zh-CN"/>
        </w:rPr>
        <w:t>——</w:t>
      </w:r>
      <w:r>
        <w:rPr>
          <w:rFonts w:cs="Times New Roman"/>
          <w:spacing w:val="4"/>
          <w:kern w:val="24"/>
        </w:rPr>
        <w:t>企业因火炬燃烧导致的温室气体排放，单位为吨</w:t>
      </w:r>
      <w:r>
        <w:rPr>
          <w:rFonts w:cs="Times New Roman"/>
          <w:spacing w:val="4"/>
          <w:kern w:val="24"/>
        </w:rPr>
        <w:t>CO</w:t>
      </w:r>
      <w:r>
        <w:rPr>
          <w:rFonts w:cs="Times New Roman"/>
          <w:spacing w:val="4"/>
          <w:kern w:val="24"/>
          <w:vertAlign w:val="subscript"/>
        </w:rPr>
        <w:t>2</w:t>
      </w:r>
      <w:r>
        <w:rPr>
          <w:rFonts w:cs="Times New Roman"/>
          <w:spacing w:val="4"/>
          <w:kern w:val="24"/>
        </w:rPr>
        <w:t>当量；</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GHG-</w:t>
      </w:r>
      <w:r>
        <w:rPr>
          <w:rFonts w:cs="Times New Roman"/>
          <w:spacing w:val="4"/>
          <w:kern w:val="24"/>
          <w:vertAlign w:val="subscript"/>
        </w:rPr>
        <w:t>工艺</w:t>
      </w:r>
      <w:r>
        <w:rPr>
          <w:rFonts w:cs="Times New Roman"/>
          <w:lang w:val="zh-CN"/>
        </w:rPr>
        <w:t>——</w:t>
      </w:r>
      <w:r>
        <w:rPr>
          <w:rFonts w:cs="Times New Roman"/>
          <w:spacing w:val="4"/>
          <w:kern w:val="24"/>
        </w:rPr>
        <w:t>企业各业务类型的工艺放空排放，单位为吨</w:t>
      </w:r>
      <w:r>
        <w:rPr>
          <w:rFonts w:cs="Times New Roman"/>
          <w:spacing w:val="4"/>
          <w:kern w:val="24"/>
        </w:rPr>
        <w:t>CO</w:t>
      </w:r>
      <w:r>
        <w:rPr>
          <w:rFonts w:cs="Times New Roman"/>
          <w:spacing w:val="4"/>
          <w:kern w:val="24"/>
          <w:vertAlign w:val="subscript"/>
        </w:rPr>
        <w:t>2</w:t>
      </w:r>
      <w:r>
        <w:rPr>
          <w:rFonts w:cs="Times New Roman"/>
          <w:spacing w:val="4"/>
          <w:kern w:val="24"/>
        </w:rPr>
        <w:t>当量；</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GHG-</w:t>
      </w:r>
      <w:r>
        <w:rPr>
          <w:rFonts w:cs="Times New Roman"/>
          <w:spacing w:val="4"/>
          <w:kern w:val="24"/>
          <w:vertAlign w:val="subscript"/>
        </w:rPr>
        <w:t>逃逸</w:t>
      </w:r>
      <w:r>
        <w:rPr>
          <w:rFonts w:cs="Times New Roman"/>
          <w:lang w:val="zh-CN"/>
        </w:rPr>
        <w:t>——</w:t>
      </w:r>
      <w:r>
        <w:rPr>
          <w:rFonts w:cs="Times New Roman"/>
          <w:spacing w:val="4"/>
          <w:kern w:val="24"/>
        </w:rPr>
        <w:t>企业各业务类型的设备逃逸排放，单位为吨</w:t>
      </w:r>
      <w:r>
        <w:rPr>
          <w:rFonts w:cs="Times New Roman"/>
          <w:spacing w:val="4"/>
          <w:kern w:val="24"/>
        </w:rPr>
        <w:t>CO</w:t>
      </w:r>
      <w:r>
        <w:rPr>
          <w:rFonts w:cs="Times New Roman"/>
          <w:spacing w:val="4"/>
          <w:kern w:val="24"/>
          <w:vertAlign w:val="subscript"/>
        </w:rPr>
        <w:t>2</w:t>
      </w:r>
      <w:r>
        <w:rPr>
          <w:rFonts w:cs="Times New Roman"/>
          <w:spacing w:val="4"/>
          <w:kern w:val="24"/>
        </w:rPr>
        <w:t>当量；</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s</w:t>
      </w:r>
      <w:r>
        <w:rPr>
          <w:rFonts w:cs="Times New Roman"/>
          <w:lang w:val="zh-CN"/>
        </w:rPr>
        <w:t>——</w:t>
      </w:r>
      <w:r>
        <w:rPr>
          <w:rFonts w:cs="Times New Roman"/>
          <w:spacing w:val="4"/>
          <w:kern w:val="24"/>
        </w:rPr>
        <w:t>企业涉及的业务类型，包括油气勘探、油气开采、油气处理、油气储运业务；</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R</w:t>
      </w:r>
      <w:r>
        <w:rPr>
          <w:rFonts w:cs="Times New Roman"/>
          <w:spacing w:val="4"/>
          <w:kern w:val="24"/>
          <w:vertAlign w:val="subscript"/>
        </w:rPr>
        <w:t>CH4-</w:t>
      </w:r>
      <w:r>
        <w:rPr>
          <w:rFonts w:cs="Times New Roman"/>
          <w:spacing w:val="4"/>
          <w:kern w:val="24"/>
          <w:vertAlign w:val="subscript"/>
        </w:rPr>
        <w:t>回收</w:t>
      </w:r>
      <w:r>
        <w:rPr>
          <w:rFonts w:cs="Times New Roman"/>
          <w:lang w:val="zh-CN"/>
        </w:rPr>
        <w:t>——</w:t>
      </w:r>
      <w:r>
        <w:rPr>
          <w:rFonts w:cs="Times New Roman"/>
          <w:spacing w:val="4"/>
          <w:kern w:val="24"/>
        </w:rPr>
        <w:t>企业的</w:t>
      </w:r>
      <w:r>
        <w:rPr>
          <w:rFonts w:cs="Times New Roman"/>
          <w:spacing w:val="4"/>
          <w:kern w:val="24"/>
        </w:rPr>
        <w:t>CH</w:t>
      </w:r>
      <w:r>
        <w:rPr>
          <w:rFonts w:cs="Times New Roman"/>
          <w:spacing w:val="4"/>
          <w:kern w:val="24"/>
          <w:vertAlign w:val="subscript"/>
        </w:rPr>
        <w:t>4</w:t>
      </w:r>
      <w:r>
        <w:rPr>
          <w:rFonts w:cs="Times New Roman"/>
          <w:spacing w:val="4"/>
          <w:kern w:val="24"/>
        </w:rPr>
        <w:t>回收利用量，单位为吨</w:t>
      </w:r>
      <w:r>
        <w:rPr>
          <w:rFonts w:cs="Times New Roman"/>
          <w:spacing w:val="4"/>
          <w:kern w:val="24"/>
        </w:rPr>
        <w:t>CH</w:t>
      </w:r>
      <w:r>
        <w:rPr>
          <w:rFonts w:cs="Times New Roman"/>
          <w:spacing w:val="4"/>
          <w:kern w:val="24"/>
          <w:vertAlign w:val="subscript"/>
        </w:rPr>
        <w:t>4</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GWP</w:t>
      </w:r>
      <w:r>
        <w:rPr>
          <w:rFonts w:cs="Times New Roman"/>
          <w:spacing w:val="4"/>
          <w:kern w:val="24"/>
          <w:vertAlign w:val="subscript"/>
        </w:rPr>
        <w:t>CH4</w:t>
      </w:r>
      <w:r>
        <w:rPr>
          <w:rFonts w:cs="Times New Roman"/>
          <w:lang w:val="zh-CN"/>
        </w:rPr>
        <w:t>——</w:t>
      </w:r>
      <w:r>
        <w:rPr>
          <w:rFonts w:cs="Times New Roman"/>
          <w:spacing w:val="4"/>
          <w:kern w:val="24"/>
        </w:rPr>
        <w:t>CH</w:t>
      </w:r>
      <w:r>
        <w:rPr>
          <w:rFonts w:cs="Times New Roman"/>
          <w:spacing w:val="4"/>
          <w:kern w:val="24"/>
          <w:vertAlign w:val="subscript"/>
        </w:rPr>
        <w:t>4</w:t>
      </w:r>
      <w:r>
        <w:rPr>
          <w:rFonts w:cs="Times New Roman"/>
          <w:spacing w:val="4"/>
          <w:kern w:val="24"/>
        </w:rPr>
        <w:t>相比</w:t>
      </w:r>
      <w:r>
        <w:rPr>
          <w:rFonts w:cs="Times New Roman"/>
          <w:spacing w:val="4"/>
          <w:kern w:val="24"/>
        </w:rPr>
        <w:t>CO</w:t>
      </w:r>
      <w:r>
        <w:rPr>
          <w:rFonts w:cs="Times New Roman"/>
          <w:spacing w:val="4"/>
          <w:kern w:val="24"/>
          <w:vertAlign w:val="subscript"/>
        </w:rPr>
        <w:t>2</w:t>
      </w:r>
      <w:r>
        <w:rPr>
          <w:rFonts w:cs="Times New Roman"/>
          <w:spacing w:val="4"/>
          <w:kern w:val="24"/>
        </w:rPr>
        <w:t>的全球变暖潜势</w:t>
      </w:r>
      <w:r>
        <w:rPr>
          <w:rFonts w:cs="Times New Roman"/>
          <w:spacing w:val="4"/>
          <w:kern w:val="24"/>
        </w:rPr>
        <w:t>（</w:t>
      </w:r>
      <w:r>
        <w:rPr>
          <w:rFonts w:cs="Times New Roman"/>
          <w:spacing w:val="4"/>
          <w:kern w:val="24"/>
        </w:rPr>
        <w:t>GWP</w:t>
      </w:r>
      <w:r>
        <w:rPr>
          <w:rFonts w:cs="Times New Roman"/>
          <w:spacing w:val="4"/>
          <w:kern w:val="24"/>
        </w:rPr>
        <w:t>）</w:t>
      </w:r>
      <w:r>
        <w:rPr>
          <w:rFonts w:cs="Times New Roman"/>
          <w:spacing w:val="4"/>
          <w:kern w:val="24"/>
        </w:rPr>
        <w:t>值。</w:t>
      </w:r>
      <w:r>
        <w:rPr>
          <w:rFonts w:cs="Times New Roman"/>
          <w:spacing w:val="4"/>
          <w:kern w:val="24"/>
          <w:szCs w:val="22"/>
        </w:rPr>
        <w:t>根据</w:t>
      </w:r>
      <w:r>
        <w:rPr>
          <w:rFonts w:cs="Times New Roman"/>
          <w:spacing w:val="4"/>
          <w:kern w:val="24"/>
          <w:szCs w:val="22"/>
        </w:rPr>
        <w:t>IPCC</w:t>
      </w:r>
      <w:r>
        <w:rPr>
          <w:rFonts w:cs="Times New Roman"/>
          <w:spacing w:val="4"/>
          <w:kern w:val="24"/>
          <w:szCs w:val="22"/>
        </w:rPr>
        <w:t>第二次评估报告，</w:t>
      </w:r>
      <w:r>
        <w:rPr>
          <w:rFonts w:cs="Times New Roman"/>
          <w:spacing w:val="4"/>
          <w:kern w:val="24"/>
          <w:szCs w:val="22"/>
        </w:rPr>
        <w:t>100</w:t>
      </w:r>
      <w:r>
        <w:rPr>
          <w:rFonts w:cs="Times New Roman"/>
          <w:spacing w:val="4"/>
          <w:kern w:val="24"/>
          <w:szCs w:val="22"/>
        </w:rPr>
        <w:t>年时间尺度内</w:t>
      </w:r>
      <w:r>
        <w:rPr>
          <w:rFonts w:cs="Times New Roman"/>
          <w:spacing w:val="4"/>
          <w:kern w:val="24"/>
          <w:szCs w:val="22"/>
        </w:rPr>
        <w:t>1</w:t>
      </w:r>
      <w:r>
        <w:rPr>
          <w:rFonts w:cs="Times New Roman"/>
          <w:spacing w:val="4"/>
          <w:kern w:val="24"/>
          <w:szCs w:val="22"/>
        </w:rPr>
        <w:t>吨</w:t>
      </w:r>
      <w:r>
        <w:rPr>
          <w:rFonts w:cs="Times New Roman"/>
          <w:spacing w:val="4"/>
          <w:kern w:val="24"/>
          <w:szCs w:val="22"/>
        </w:rPr>
        <w:t>CH</w:t>
      </w:r>
      <w:r>
        <w:rPr>
          <w:rFonts w:cs="Times New Roman"/>
          <w:spacing w:val="4"/>
          <w:kern w:val="24"/>
          <w:szCs w:val="22"/>
          <w:vertAlign w:val="subscript"/>
        </w:rPr>
        <w:t>4</w:t>
      </w:r>
      <w:r>
        <w:rPr>
          <w:rFonts w:cs="Times New Roman"/>
          <w:spacing w:val="4"/>
          <w:kern w:val="24"/>
          <w:szCs w:val="22"/>
        </w:rPr>
        <w:t>相当于</w:t>
      </w:r>
      <w:r>
        <w:rPr>
          <w:rFonts w:cs="Times New Roman"/>
          <w:spacing w:val="4"/>
          <w:kern w:val="24"/>
          <w:szCs w:val="22"/>
        </w:rPr>
        <w:t>21</w:t>
      </w:r>
      <w:r>
        <w:rPr>
          <w:rFonts w:cs="Times New Roman"/>
          <w:spacing w:val="4"/>
          <w:kern w:val="24"/>
          <w:szCs w:val="22"/>
        </w:rPr>
        <w:t>吨</w:t>
      </w:r>
      <w:r>
        <w:rPr>
          <w:rFonts w:cs="Times New Roman"/>
          <w:spacing w:val="4"/>
          <w:kern w:val="24"/>
          <w:szCs w:val="22"/>
        </w:rPr>
        <w:t>CO</w:t>
      </w:r>
      <w:r>
        <w:rPr>
          <w:rFonts w:cs="Times New Roman"/>
          <w:spacing w:val="4"/>
          <w:kern w:val="24"/>
          <w:szCs w:val="22"/>
          <w:vertAlign w:val="subscript"/>
        </w:rPr>
        <w:t>2</w:t>
      </w:r>
      <w:r>
        <w:rPr>
          <w:rFonts w:cs="Times New Roman"/>
          <w:spacing w:val="4"/>
          <w:kern w:val="24"/>
          <w:szCs w:val="22"/>
        </w:rPr>
        <w:t>的增温能力，因此</w:t>
      </w:r>
      <w:r>
        <w:rPr>
          <w:rFonts w:cs="Times New Roman"/>
          <w:spacing w:val="4"/>
          <w:kern w:val="24"/>
          <w:szCs w:val="22"/>
        </w:rPr>
        <w:t>GWP</w:t>
      </w:r>
      <w:r>
        <w:rPr>
          <w:rFonts w:cs="Times New Roman"/>
          <w:spacing w:val="4"/>
          <w:kern w:val="24"/>
          <w:szCs w:val="22"/>
          <w:vertAlign w:val="subscript"/>
        </w:rPr>
        <w:t>CH4</w:t>
      </w:r>
      <w:r>
        <w:rPr>
          <w:rFonts w:cs="Times New Roman"/>
          <w:spacing w:val="4"/>
          <w:kern w:val="24"/>
          <w:szCs w:val="22"/>
        </w:rPr>
        <w:t>等于</w:t>
      </w:r>
      <w:r>
        <w:rPr>
          <w:rFonts w:cs="Times New Roman"/>
          <w:spacing w:val="4"/>
          <w:kern w:val="24"/>
          <w:szCs w:val="22"/>
        </w:rPr>
        <w:t>2</w:t>
      </w:r>
      <w:r>
        <w:rPr>
          <w:rFonts w:cs="Times New Roman"/>
          <w:spacing w:val="4"/>
          <w:kern w:val="24"/>
        </w:rPr>
        <w:t>1</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R</w:t>
      </w:r>
      <w:r>
        <w:rPr>
          <w:rFonts w:cs="Times New Roman"/>
          <w:spacing w:val="4"/>
          <w:kern w:val="24"/>
          <w:vertAlign w:val="subscript"/>
        </w:rPr>
        <w:t>CO2-</w:t>
      </w:r>
      <w:r>
        <w:rPr>
          <w:rFonts w:cs="Times New Roman"/>
          <w:spacing w:val="4"/>
          <w:kern w:val="24"/>
          <w:vertAlign w:val="subscript"/>
        </w:rPr>
        <w:t>回收</w:t>
      </w:r>
      <w:r>
        <w:rPr>
          <w:rFonts w:cs="Times New Roman"/>
          <w:lang w:val="zh-CN"/>
        </w:rPr>
        <w:t>——</w:t>
      </w:r>
      <w:r>
        <w:rPr>
          <w:rFonts w:cs="Times New Roman"/>
          <w:spacing w:val="4"/>
          <w:kern w:val="24"/>
        </w:rPr>
        <w:t>企业的</w:t>
      </w:r>
      <w:r>
        <w:rPr>
          <w:rFonts w:cs="Times New Roman"/>
          <w:spacing w:val="4"/>
          <w:kern w:val="24"/>
        </w:rPr>
        <w:t>CO</w:t>
      </w:r>
      <w:r>
        <w:rPr>
          <w:rFonts w:cs="Times New Roman"/>
          <w:spacing w:val="4"/>
          <w:kern w:val="24"/>
          <w:vertAlign w:val="subscript"/>
        </w:rPr>
        <w:t>2</w:t>
      </w:r>
      <w:r>
        <w:rPr>
          <w:rFonts w:cs="Times New Roman"/>
          <w:spacing w:val="4"/>
          <w:kern w:val="24"/>
        </w:rPr>
        <w:t>回收利用量，单位为吨</w:t>
      </w:r>
      <w:r>
        <w:rPr>
          <w:rFonts w:cs="Times New Roman"/>
          <w:spacing w:val="4"/>
          <w:kern w:val="24"/>
        </w:rPr>
        <w:t>CO</w:t>
      </w:r>
      <w:r>
        <w:rPr>
          <w:rFonts w:cs="Times New Roman"/>
          <w:spacing w:val="4"/>
          <w:kern w:val="24"/>
          <w:vertAlign w:val="subscript"/>
        </w:rPr>
        <w:t>2</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CO2-</w:t>
      </w:r>
      <w:r>
        <w:rPr>
          <w:rFonts w:cs="Times New Roman"/>
          <w:spacing w:val="4"/>
          <w:kern w:val="24"/>
          <w:vertAlign w:val="subscript"/>
        </w:rPr>
        <w:t>净电</w:t>
      </w:r>
      <w:r>
        <w:rPr>
          <w:rFonts w:cs="Times New Roman"/>
          <w:lang w:val="zh-CN"/>
        </w:rPr>
        <w:t>——</w:t>
      </w:r>
      <w:r>
        <w:rPr>
          <w:rFonts w:cs="Times New Roman"/>
          <w:spacing w:val="4"/>
          <w:kern w:val="24"/>
        </w:rPr>
        <w:t>企业</w:t>
      </w:r>
      <w:r>
        <w:rPr>
          <w:rFonts w:cs="Times New Roman"/>
          <w:spacing w:val="4"/>
          <w:kern w:val="24"/>
        </w:rPr>
        <w:t>净购入电力隐含的</w:t>
      </w:r>
      <w:r>
        <w:rPr>
          <w:rFonts w:cs="Times New Roman"/>
          <w:spacing w:val="4"/>
          <w:kern w:val="24"/>
        </w:rPr>
        <w:t>CO</w:t>
      </w:r>
      <w:r>
        <w:rPr>
          <w:rFonts w:cs="Times New Roman"/>
          <w:spacing w:val="4"/>
          <w:kern w:val="24"/>
          <w:vertAlign w:val="subscript"/>
        </w:rPr>
        <w:t>2</w:t>
      </w:r>
      <w:r>
        <w:rPr>
          <w:rFonts w:cs="Times New Roman"/>
          <w:spacing w:val="4"/>
          <w:kern w:val="24"/>
        </w:rPr>
        <w:t>排放量，单位为吨</w:t>
      </w:r>
      <w:r>
        <w:rPr>
          <w:rFonts w:cs="Times New Roman"/>
          <w:spacing w:val="4"/>
          <w:kern w:val="24"/>
        </w:rPr>
        <w:t>CO</w:t>
      </w:r>
      <w:r>
        <w:rPr>
          <w:rFonts w:cs="Times New Roman"/>
          <w:spacing w:val="4"/>
          <w:kern w:val="24"/>
          <w:vertAlign w:val="subscript"/>
        </w:rPr>
        <w:t>2</w:t>
      </w:r>
      <w:r>
        <w:rPr>
          <w:rFonts w:cs="Times New Roman"/>
          <w:spacing w:val="4"/>
          <w:kern w:val="24"/>
        </w:rPr>
        <w:t>；</w:t>
      </w:r>
    </w:p>
    <w:p w:rsidR="00C645C9" w:rsidRDefault="00F955D9">
      <w:pPr>
        <w:adjustRightInd w:val="0"/>
        <w:snapToGrid w:val="0"/>
        <w:spacing w:line="360" w:lineRule="auto"/>
        <w:ind w:firstLineChars="500" w:firstLine="1240"/>
        <w:jc w:val="both"/>
        <w:rPr>
          <w:rFonts w:cs="Times New Roman"/>
          <w:spacing w:val="4"/>
          <w:kern w:val="24"/>
        </w:rPr>
      </w:pPr>
      <w:r>
        <w:rPr>
          <w:rFonts w:cs="Times New Roman"/>
          <w:spacing w:val="4"/>
          <w:kern w:val="24"/>
        </w:rPr>
        <w:t>E</w:t>
      </w:r>
      <w:r>
        <w:rPr>
          <w:rFonts w:cs="Times New Roman"/>
          <w:spacing w:val="4"/>
          <w:kern w:val="24"/>
          <w:vertAlign w:val="subscript"/>
        </w:rPr>
        <w:t>CO2-</w:t>
      </w:r>
      <w:r>
        <w:rPr>
          <w:rFonts w:cs="Times New Roman"/>
          <w:spacing w:val="4"/>
          <w:kern w:val="24"/>
          <w:vertAlign w:val="subscript"/>
        </w:rPr>
        <w:t>净热</w:t>
      </w:r>
      <w:r>
        <w:rPr>
          <w:rFonts w:cs="Times New Roman"/>
          <w:lang w:val="zh-CN"/>
        </w:rPr>
        <w:t>——</w:t>
      </w:r>
      <w:r>
        <w:rPr>
          <w:rFonts w:cs="Times New Roman"/>
          <w:spacing w:val="4"/>
          <w:kern w:val="24"/>
        </w:rPr>
        <w:t>企业</w:t>
      </w:r>
      <w:r>
        <w:rPr>
          <w:rFonts w:cs="Times New Roman"/>
          <w:spacing w:val="4"/>
          <w:kern w:val="24"/>
        </w:rPr>
        <w:t>净购入热力隐含的</w:t>
      </w:r>
      <w:r>
        <w:rPr>
          <w:rFonts w:cs="Times New Roman"/>
          <w:spacing w:val="4"/>
          <w:kern w:val="24"/>
        </w:rPr>
        <w:t>CO</w:t>
      </w:r>
      <w:r>
        <w:rPr>
          <w:rFonts w:cs="Times New Roman"/>
          <w:spacing w:val="4"/>
          <w:kern w:val="24"/>
          <w:vertAlign w:val="subscript"/>
        </w:rPr>
        <w:t>2</w:t>
      </w:r>
      <w:r>
        <w:rPr>
          <w:rFonts w:cs="Times New Roman"/>
          <w:spacing w:val="4"/>
          <w:kern w:val="24"/>
        </w:rPr>
        <w:t>排放量，单位为吨</w:t>
      </w:r>
      <w:r>
        <w:rPr>
          <w:rFonts w:cs="Times New Roman"/>
          <w:spacing w:val="4"/>
          <w:kern w:val="24"/>
        </w:rPr>
        <w:t>CO</w:t>
      </w:r>
      <w:r>
        <w:rPr>
          <w:rFonts w:cs="Times New Roman"/>
          <w:spacing w:val="4"/>
          <w:kern w:val="24"/>
          <w:vertAlign w:val="subscript"/>
        </w:rPr>
        <w:t>2</w:t>
      </w:r>
      <w:r>
        <w:rPr>
          <w:rFonts w:cs="Times New Roman"/>
          <w:spacing w:val="4"/>
          <w:kern w:val="24"/>
        </w:rPr>
        <w:t>。</w:t>
      </w:r>
    </w:p>
    <w:p w:rsidR="00C645C9" w:rsidRDefault="00F955D9" w:rsidP="005718BB">
      <w:pPr>
        <w:pStyle w:val="afff3"/>
        <w:adjustRightInd w:val="0"/>
        <w:snapToGrid w:val="0"/>
        <w:spacing w:beforeLines="0" w:before="0" w:afterLines="0" w:after="0" w:line="360" w:lineRule="auto"/>
        <w:ind w:firstLine="496"/>
        <w:rPr>
          <w:rFonts w:cs="Times New Roman"/>
          <w:spacing w:val="4"/>
          <w:kern w:val="24"/>
          <w:sz w:val="24"/>
        </w:rPr>
      </w:pPr>
      <w:r>
        <w:rPr>
          <w:rFonts w:cs="Times New Roman"/>
          <w:spacing w:val="4"/>
          <w:kern w:val="24"/>
          <w:sz w:val="24"/>
        </w:rPr>
        <w:t>按照上述</w:t>
      </w:r>
      <w:r>
        <w:rPr>
          <w:rFonts w:cs="Times New Roman"/>
          <w:spacing w:val="4"/>
          <w:kern w:val="24"/>
          <w:sz w:val="24"/>
        </w:rPr>
        <w:t>CO</w:t>
      </w:r>
      <w:r>
        <w:rPr>
          <w:rFonts w:cs="Times New Roman"/>
          <w:spacing w:val="4"/>
          <w:kern w:val="24"/>
          <w:sz w:val="24"/>
          <w:vertAlign w:val="subscript"/>
        </w:rPr>
        <w:t>2</w:t>
      </w:r>
      <w:r>
        <w:rPr>
          <w:rFonts w:cs="Times New Roman"/>
          <w:spacing w:val="4"/>
          <w:kern w:val="24"/>
          <w:sz w:val="24"/>
        </w:rPr>
        <w:t>排放总量计算公式，则</w:t>
      </w:r>
      <w:r>
        <w:rPr>
          <w:rFonts w:cs="Times New Roman"/>
          <w:spacing w:val="4"/>
          <w:kern w:val="24"/>
          <w:sz w:val="24"/>
        </w:rPr>
        <w:t>本工程</w:t>
      </w:r>
      <w:r>
        <w:rPr>
          <w:rFonts w:cs="Times New Roman"/>
          <w:spacing w:val="4"/>
          <w:kern w:val="24"/>
          <w:sz w:val="24"/>
        </w:rPr>
        <w:t>实施后</w:t>
      </w:r>
      <w:r>
        <w:rPr>
          <w:rFonts w:cs="Times New Roman"/>
          <w:spacing w:val="4"/>
          <w:kern w:val="24"/>
          <w:sz w:val="24"/>
        </w:rPr>
        <w:t>CO</w:t>
      </w:r>
      <w:r>
        <w:rPr>
          <w:rFonts w:cs="Times New Roman"/>
          <w:spacing w:val="4"/>
          <w:kern w:val="24"/>
          <w:sz w:val="24"/>
          <w:vertAlign w:val="subscript"/>
        </w:rPr>
        <w:t>2</w:t>
      </w:r>
      <w:r>
        <w:rPr>
          <w:rFonts w:cs="Times New Roman"/>
          <w:spacing w:val="4"/>
          <w:kern w:val="24"/>
          <w:sz w:val="24"/>
        </w:rPr>
        <w:t>排放总量见表</w:t>
      </w:r>
      <w:r>
        <w:rPr>
          <w:rFonts w:cs="Times New Roman"/>
          <w:spacing w:val="4"/>
          <w:kern w:val="24"/>
          <w:sz w:val="24"/>
        </w:rPr>
        <w:t>7.1-</w:t>
      </w:r>
      <w:r>
        <w:rPr>
          <w:rFonts w:cs="Times New Roman" w:hint="eastAsia"/>
          <w:spacing w:val="4"/>
          <w:kern w:val="24"/>
          <w:sz w:val="24"/>
        </w:rPr>
        <w:t>4</w:t>
      </w:r>
      <w:r>
        <w:rPr>
          <w:rFonts w:cs="Times New Roman" w:hint="eastAsia"/>
          <w:spacing w:val="4"/>
          <w:kern w:val="24"/>
          <w:sz w:val="24"/>
        </w:rPr>
        <w:t>。</w:t>
      </w:r>
    </w:p>
    <w:bookmarkEnd w:id="1900"/>
    <w:bookmarkEnd w:id="1901"/>
    <w:bookmarkEnd w:id="1902"/>
    <w:bookmarkEnd w:id="1903"/>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bookmarkStart w:id="1904" w:name="OLE_LINK929"/>
      <w:r>
        <w:rPr>
          <w:rFonts w:eastAsia="黑体" w:cs="Times New Roman" w:hint="eastAsia"/>
          <w:sz w:val="21"/>
          <w:szCs w:val="21"/>
        </w:rPr>
        <w:t>7</w:t>
      </w:r>
      <w:r>
        <w:rPr>
          <w:rFonts w:eastAsia="黑体" w:cs="Times New Roman"/>
          <w:sz w:val="21"/>
          <w:szCs w:val="21"/>
        </w:rPr>
        <w:t>.1-</w:t>
      </w:r>
      <w:r>
        <w:rPr>
          <w:rFonts w:eastAsia="黑体" w:cs="Times New Roman"/>
          <w:sz w:val="21"/>
          <w:szCs w:val="21"/>
        </w:rPr>
        <w:t>4</w:t>
      </w:r>
      <w:bookmarkEnd w:id="1904"/>
      <w:r>
        <w:rPr>
          <w:rFonts w:eastAsia="黑体" w:cs="Times New Roman"/>
          <w:sz w:val="21"/>
          <w:szCs w:val="21"/>
        </w:rPr>
        <w:t xml:space="preserve">   </w:t>
      </w:r>
      <w:r>
        <w:rPr>
          <w:rFonts w:eastAsia="黑体" w:cs="Times New Roman"/>
          <w:sz w:val="21"/>
          <w:szCs w:val="21"/>
        </w:rPr>
        <w:t>CO</w:t>
      </w:r>
      <w:r>
        <w:rPr>
          <w:rFonts w:eastAsia="黑体" w:cs="Times New Roman"/>
          <w:sz w:val="21"/>
          <w:szCs w:val="21"/>
          <w:vertAlign w:val="subscript"/>
        </w:rPr>
        <w:t>2</w:t>
      </w:r>
      <w:r>
        <w:rPr>
          <w:rFonts w:eastAsia="黑体" w:cs="Times New Roman"/>
          <w:sz w:val="21"/>
          <w:szCs w:val="21"/>
        </w:rPr>
        <w:t>排放总量汇总一览表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6"/>
        <w:gridCol w:w="3000"/>
        <w:gridCol w:w="2243"/>
        <w:gridCol w:w="2243"/>
      </w:tblGrid>
      <w:tr w:rsidR="00C645C9">
        <w:trPr>
          <w:trHeight w:val="369"/>
          <w:tblHeader/>
          <w:jc w:val="center"/>
        </w:trPr>
        <w:tc>
          <w:tcPr>
            <w:tcW w:w="523"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项目</w:t>
            </w: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源类别</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排放量</w:t>
            </w:r>
            <w:r>
              <w:rPr>
                <w:rFonts w:cs="Times New Roman"/>
                <w:spacing w:val="-10"/>
                <w:sz w:val="21"/>
                <w:szCs w:val="21"/>
              </w:rPr>
              <w:t>（</w:t>
            </w:r>
            <w:r>
              <w:rPr>
                <w:rFonts w:cs="Times New Roman"/>
                <w:spacing w:val="-10"/>
                <w:sz w:val="21"/>
                <w:szCs w:val="21"/>
              </w:rPr>
              <w:t>吨</w:t>
            </w: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占比</w:t>
            </w:r>
            <w:r>
              <w:rPr>
                <w:rFonts w:cs="Times New Roman"/>
                <w:spacing w:val="-10"/>
                <w:sz w:val="21"/>
                <w:szCs w:val="21"/>
              </w:rPr>
              <w:t>（</w:t>
            </w:r>
            <w:r>
              <w:rPr>
                <w:rFonts w:cs="Times New Roman"/>
                <w:spacing w:val="-10"/>
                <w:sz w:val="21"/>
                <w:szCs w:val="21"/>
              </w:rPr>
              <w:t>%</w:t>
            </w:r>
            <w:r>
              <w:rPr>
                <w:rFonts w:cs="Times New Roman"/>
                <w:spacing w:val="-10"/>
                <w:sz w:val="21"/>
                <w:szCs w:val="21"/>
              </w:rPr>
              <w:t>）</w:t>
            </w:r>
          </w:p>
        </w:tc>
      </w:tr>
      <w:tr w:rsidR="00C645C9">
        <w:trPr>
          <w:trHeight w:val="369"/>
          <w:tblHeader/>
          <w:jc w:val="center"/>
        </w:trPr>
        <w:tc>
          <w:tcPr>
            <w:tcW w:w="523" w:type="pct"/>
            <w:vMerge w:val="restart"/>
            <w:vAlign w:val="center"/>
          </w:tcPr>
          <w:p w:rsidR="00C645C9" w:rsidRDefault="00F955D9">
            <w:pPr>
              <w:adjustRightInd w:val="0"/>
              <w:snapToGrid w:val="0"/>
              <w:jc w:val="center"/>
              <w:rPr>
                <w:rFonts w:cs="Times New Roman"/>
                <w:spacing w:val="-10"/>
                <w:sz w:val="21"/>
                <w:szCs w:val="21"/>
              </w:rPr>
            </w:pPr>
            <w:bookmarkStart w:id="1905" w:name="OLE_LINK928" w:colFirst="3" w:colLast="3"/>
            <w:r>
              <w:rPr>
                <w:rFonts w:cs="Times New Roman"/>
                <w:spacing w:val="-10"/>
                <w:sz w:val="21"/>
                <w:szCs w:val="21"/>
              </w:rPr>
              <w:t>本</w:t>
            </w:r>
            <w:r>
              <w:rPr>
                <w:rFonts w:cs="Times New Roman"/>
                <w:spacing w:val="-10"/>
                <w:sz w:val="21"/>
                <w:szCs w:val="21"/>
              </w:rPr>
              <w:t>工程</w:t>
            </w: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燃料燃烧</w:t>
            </w: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排放</w:t>
            </w:r>
          </w:p>
        </w:tc>
        <w:tc>
          <w:tcPr>
            <w:tcW w:w="2243" w:type="dxa"/>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695.26</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86.1</w:t>
            </w:r>
          </w:p>
        </w:tc>
      </w:tr>
      <w:tr w:rsidR="00C645C9">
        <w:trPr>
          <w:trHeight w:val="369"/>
          <w:tblHeader/>
          <w:jc w:val="center"/>
        </w:trPr>
        <w:tc>
          <w:tcPr>
            <w:tcW w:w="523" w:type="pct"/>
            <w:vMerge/>
            <w:vAlign w:val="center"/>
          </w:tcPr>
          <w:p w:rsidR="00C645C9" w:rsidRDefault="00C645C9">
            <w:pPr>
              <w:adjustRightInd w:val="0"/>
              <w:snapToGrid w:val="0"/>
              <w:jc w:val="center"/>
              <w:rPr>
                <w:rFonts w:cs="Times New Roman"/>
                <w:spacing w:val="-10"/>
                <w:sz w:val="21"/>
                <w:szCs w:val="21"/>
              </w:rPr>
            </w:pP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火炬燃烧排放</w:t>
            </w:r>
          </w:p>
        </w:tc>
        <w:tc>
          <w:tcPr>
            <w:tcW w:w="2243" w:type="dxa"/>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7.2</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0.9</w:t>
            </w:r>
          </w:p>
        </w:tc>
      </w:tr>
      <w:tr w:rsidR="00C645C9">
        <w:trPr>
          <w:trHeight w:val="369"/>
          <w:tblHeader/>
          <w:jc w:val="center"/>
        </w:trPr>
        <w:tc>
          <w:tcPr>
            <w:tcW w:w="523" w:type="pct"/>
            <w:vMerge/>
            <w:vAlign w:val="center"/>
          </w:tcPr>
          <w:p w:rsidR="00C645C9" w:rsidRDefault="00C645C9">
            <w:pPr>
              <w:adjustRightInd w:val="0"/>
              <w:snapToGrid w:val="0"/>
              <w:jc w:val="center"/>
              <w:rPr>
                <w:rFonts w:cs="Times New Roman"/>
                <w:spacing w:val="-10"/>
                <w:sz w:val="21"/>
                <w:szCs w:val="21"/>
              </w:rPr>
            </w:pP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工艺放空排放</w:t>
            </w:r>
          </w:p>
        </w:tc>
        <w:tc>
          <w:tcPr>
            <w:tcW w:w="2243" w:type="dxa"/>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r>
      <w:tr w:rsidR="00C645C9">
        <w:trPr>
          <w:trHeight w:val="369"/>
          <w:tblHeader/>
          <w:jc w:val="center"/>
        </w:trPr>
        <w:tc>
          <w:tcPr>
            <w:tcW w:w="523" w:type="pct"/>
            <w:vMerge/>
            <w:vAlign w:val="center"/>
          </w:tcPr>
          <w:p w:rsidR="00C645C9" w:rsidRDefault="00C645C9">
            <w:pPr>
              <w:adjustRightInd w:val="0"/>
              <w:snapToGrid w:val="0"/>
              <w:jc w:val="center"/>
              <w:rPr>
                <w:rFonts w:cs="Times New Roman"/>
                <w:spacing w:val="-10"/>
                <w:sz w:val="21"/>
                <w:szCs w:val="21"/>
              </w:rPr>
            </w:pP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CH</w:t>
            </w:r>
            <w:r>
              <w:rPr>
                <w:rFonts w:cs="Times New Roman"/>
                <w:spacing w:val="-10"/>
                <w:sz w:val="21"/>
                <w:szCs w:val="21"/>
                <w:vertAlign w:val="subscript"/>
              </w:rPr>
              <w:t>4</w:t>
            </w:r>
            <w:r>
              <w:rPr>
                <w:rFonts w:cs="Times New Roman"/>
                <w:spacing w:val="-10"/>
                <w:sz w:val="21"/>
                <w:szCs w:val="21"/>
              </w:rPr>
              <w:t>逃逸排放</w:t>
            </w:r>
          </w:p>
        </w:tc>
        <w:tc>
          <w:tcPr>
            <w:tcW w:w="2243" w:type="dxa"/>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105</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hint="eastAsia"/>
                <w:spacing w:val="-10"/>
                <w:sz w:val="21"/>
                <w:szCs w:val="21"/>
              </w:rPr>
              <w:t>13</w:t>
            </w:r>
          </w:p>
        </w:tc>
      </w:tr>
      <w:bookmarkEnd w:id="1905"/>
      <w:tr w:rsidR="00C645C9">
        <w:trPr>
          <w:trHeight w:val="369"/>
          <w:tblHeader/>
          <w:jc w:val="center"/>
        </w:trPr>
        <w:tc>
          <w:tcPr>
            <w:tcW w:w="523" w:type="pct"/>
            <w:vMerge/>
            <w:vAlign w:val="center"/>
          </w:tcPr>
          <w:p w:rsidR="00C645C9" w:rsidRDefault="00C645C9">
            <w:pPr>
              <w:adjustRightInd w:val="0"/>
              <w:snapToGrid w:val="0"/>
              <w:jc w:val="center"/>
              <w:rPr>
                <w:rFonts w:cs="Times New Roman"/>
                <w:spacing w:val="-10"/>
                <w:sz w:val="21"/>
                <w:szCs w:val="21"/>
              </w:rPr>
            </w:pPr>
          </w:p>
        </w:tc>
        <w:tc>
          <w:tcPr>
            <w:tcW w:w="1794"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CH</w:t>
            </w:r>
            <w:r>
              <w:rPr>
                <w:rFonts w:cs="Times New Roman"/>
                <w:spacing w:val="-10"/>
                <w:sz w:val="21"/>
                <w:szCs w:val="21"/>
                <w:vertAlign w:val="subscript"/>
              </w:rPr>
              <w:t>4</w:t>
            </w:r>
            <w:r>
              <w:rPr>
                <w:rFonts w:cs="Times New Roman"/>
                <w:spacing w:val="-10"/>
                <w:sz w:val="21"/>
                <w:szCs w:val="21"/>
              </w:rPr>
              <w:t>回收利用量</w:t>
            </w:r>
          </w:p>
        </w:tc>
        <w:tc>
          <w:tcPr>
            <w:tcW w:w="2243" w:type="dxa"/>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0</w:t>
            </w:r>
          </w:p>
        </w:tc>
        <w:tc>
          <w:tcPr>
            <w:tcW w:w="1341" w:type="pct"/>
            <w:vAlign w:val="center"/>
          </w:tcPr>
          <w:p w:rsidR="00C645C9" w:rsidRDefault="00F955D9">
            <w:pPr>
              <w:adjustRightInd w:val="0"/>
              <w:snapToGrid w:val="0"/>
              <w:jc w:val="center"/>
              <w:rPr>
                <w:rFonts w:cs="Times New Roman"/>
                <w:spacing w:val="-10"/>
                <w:sz w:val="21"/>
                <w:szCs w:val="21"/>
              </w:rPr>
            </w:pPr>
            <w:r>
              <w:rPr>
                <w:rFonts w:cs="Times New Roman"/>
                <w:spacing w:val="-10"/>
                <w:sz w:val="21"/>
                <w:szCs w:val="21"/>
              </w:rPr>
              <w:t>/</w:t>
            </w:r>
          </w:p>
        </w:tc>
      </w:tr>
      <w:tr w:rsidR="00C645C9">
        <w:trPr>
          <w:trHeight w:val="369"/>
          <w:tblHeader/>
          <w:jc w:val="center"/>
        </w:trPr>
        <w:tc>
          <w:tcPr>
            <w:tcW w:w="523" w:type="pct"/>
            <w:vMerge/>
            <w:vAlign w:val="center"/>
          </w:tcPr>
          <w:p w:rsidR="00C645C9" w:rsidRDefault="00C645C9">
            <w:pPr>
              <w:adjustRightInd w:val="0"/>
              <w:snapToGrid w:val="0"/>
              <w:spacing w:line="0" w:lineRule="atLeast"/>
              <w:jc w:val="center"/>
              <w:rPr>
                <w:rFonts w:cs="Times New Roman"/>
                <w:spacing w:val="-10"/>
                <w:sz w:val="21"/>
                <w:szCs w:val="21"/>
              </w:rPr>
            </w:pPr>
          </w:p>
        </w:tc>
        <w:tc>
          <w:tcPr>
            <w:tcW w:w="1794"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回收利用量</w:t>
            </w:r>
          </w:p>
        </w:tc>
        <w:tc>
          <w:tcPr>
            <w:tcW w:w="2243"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0</w:t>
            </w:r>
          </w:p>
        </w:tc>
        <w:tc>
          <w:tcPr>
            <w:tcW w:w="1341"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w:t>
            </w:r>
          </w:p>
        </w:tc>
      </w:tr>
      <w:tr w:rsidR="00C645C9">
        <w:trPr>
          <w:trHeight w:val="369"/>
          <w:tblHeader/>
          <w:jc w:val="center"/>
        </w:trPr>
        <w:tc>
          <w:tcPr>
            <w:tcW w:w="523" w:type="pct"/>
            <w:vMerge/>
            <w:vAlign w:val="center"/>
          </w:tcPr>
          <w:p w:rsidR="00C645C9" w:rsidRDefault="00C645C9">
            <w:pPr>
              <w:adjustRightInd w:val="0"/>
              <w:snapToGrid w:val="0"/>
              <w:spacing w:line="0" w:lineRule="atLeast"/>
              <w:rPr>
                <w:rFonts w:cs="Times New Roman"/>
                <w:spacing w:val="-10"/>
                <w:sz w:val="21"/>
                <w:szCs w:val="21"/>
              </w:rPr>
            </w:pPr>
          </w:p>
        </w:tc>
        <w:tc>
          <w:tcPr>
            <w:tcW w:w="1794"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净购入电力</w:t>
            </w:r>
            <w:r>
              <w:rPr>
                <w:rFonts w:cs="Times New Roman"/>
                <w:spacing w:val="-10"/>
                <w:sz w:val="21"/>
                <w:szCs w:val="21"/>
              </w:rPr>
              <w:t>和</w:t>
            </w:r>
            <w:r>
              <w:rPr>
                <w:rFonts w:cs="Times New Roman"/>
                <w:spacing w:val="-10"/>
                <w:sz w:val="21"/>
                <w:szCs w:val="21"/>
              </w:rPr>
              <w:t>热力隐含的</w:t>
            </w:r>
            <w:r>
              <w:rPr>
                <w:rFonts w:cs="Times New Roman"/>
                <w:spacing w:val="-10"/>
                <w:sz w:val="21"/>
                <w:szCs w:val="21"/>
              </w:rPr>
              <w:t>CO</w:t>
            </w:r>
            <w:r>
              <w:rPr>
                <w:rFonts w:cs="Times New Roman"/>
                <w:spacing w:val="-10"/>
                <w:sz w:val="21"/>
                <w:szCs w:val="21"/>
                <w:vertAlign w:val="subscript"/>
              </w:rPr>
              <w:t>2</w:t>
            </w:r>
            <w:r>
              <w:rPr>
                <w:rFonts w:cs="Times New Roman"/>
                <w:spacing w:val="-10"/>
                <w:sz w:val="21"/>
                <w:szCs w:val="21"/>
              </w:rPr>
              <w:t>排放</w:t>
            </w:r>
          </w:p>
        </w:tc>
        <w:tc>
          <w:tcPr>
            <w:tcW w:w="2243" w:type="dxa"/>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0</w:t>
            </w:r>
          </w:p>
        </w:tc>
        <w:tc>
          <w:tcPr>
            <w:tcW w:w="1341"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hint="eastAsia"/>
                <w:spacing w:val="-10"/>
                <w:sz w:val="21"/>
                <w:szCs w:val="21"/>
              </w:rPr>
              <w:t>/</w:t>
            </w:r>
          </w:p>
        </w:tc>
      </w:tr>
      <w:tr w:rsidR="00C645C9">
        <w:trPr>
          <w:trHeight w:val="369"/>
          <w:tblHeader/>
          <w:jc w:val="center"/>
        </w:trPr>
        <w:tc>
          <w:tcPr>
            <w:tcW w:w="523" w:type="pct"/>
            <w:vMerge/>
            <w:vAlign w:val="center"/>
          </w:tcPr>
          <w:p w:rsidR="00C645C9" w:rsidRDefault="00C645C9">
            <w:pPr>
              <w:adjustRightInd w:val="0"/>
              <w:snapToGrid w:val="0"/>
              <w:spacing w:line="0" w:lineRule="atLeast"/>
              <w:rPr>
                <w:rFonts w:cs="Times New Roman"/>
                <w:spacing w:val="-10"/>
                <w:sz w:val="21"/>
                <w:szCs w:val="21"/>
              </w:rPr>
            </w:pPr>
          </w:p>
        </w:tc>
        <w:tc>
          <w:tcPr>
            <w:tcW w:w="1794"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合计</w:t>
            </w:r>
          </w:p>
        </w:tc>
        <w:tc>
          <w:tcPr>
            <w:tcW w:w="1341" w:type="pct"/>
            <w:vAlign w:val="center"/>
          </w:tcPr>
          <w:p w:rsidR="00C645C9" w:rsidRDefault="00F955D9">
            <w:pPr>
              <w:adjustRightInd w:val="0"/>
              <w:snapToGrid w:val="0"/>
              <w:spacing w:line="0" w:lineRule="atLeast"/>
              <w:jc w:val="center"/>
              <w:rPr>
                <w:rFonts w:cs="Times New Roman"/>
                <w:spacing w:val="-10"/>
                <w:sz w:val="21"/>
                <w:szCs w:val="21"/>
              </w:rPr>
            </w:pPr>
            <w:bookmarkStart w:id="1906" w:name="OLE_LINK930"/>
            <w:r>
              <w:rPr>
                <w:rFonts w:cs="Times New Roman" w:hint="eastAsia"/>
                <w:spacing w:val="-10"/>
                <w:sz w:val="21"/>
                <w:szCs w:val="21"/>
              </w:rPr>
              <w:t>807.46</w:t>
            </w:r>
            <w:bookmarkEnd w:id="1906"/>
          </w:p>
        </w:tc>
        <w:tc>
          <w:tcPr>
            <w:tcW w:w="1341" w:type="pct"/>
            <w:vAlign w:val="center"/>
          </w:tcPr>
          <w:p w:rsidR="00C645C9" w:rsidRDefault="00F955D9">
            <w:pPr>
              <w:adjustRightInd w:val="0"/>
              <w:snapToGrid w:val="0"/>
              <w:spacing w:line="0" w:lineRule="atLeast"/>
              <w:jc w:val="center"/>
              <w:rPr>
                <w:rFonts w:cs="Times New Roman"/>
                <w:spacing w:val="-10"/>
                <w:sz w:val="21"/>
                <w:szCs w:val="21"/>
              </w:rPr>
            </w:pPr>
            <w:r>
              <w:rPr>
                <w:rFonts w:cs="Times New Roman"/>
                <w:spacing w:val="-10"/>
                <w:sz w:val="21"/>
                <w:szCs w:val="21"/>
              </w:rPr>
              <w:t>100</w:t>
            </w:r>
          </w:p>
        </w:tc>
      </w:tr>
    </w:tbl>
    <w:p w:rsidR="00C645C9" w:rsidRDefault="00F955D9" w:rsidP="005718BB">
      <w:pPr>
        <w:pStyle w:val="afff3"/>
        <w:adjustRightInd w:val="0"/>
        <w:snapToGrid w:val="0"/>
        <w:spacing w:beforeLines="0" w:before="0" w:afterLines="0" w:after="0" w:line="360" w:lineRule="auto"/>
        <w:ind w:firstLine="496"/>
        <w:rPr>
          <w:rFonts w:cs="Times New Roman"/>
          <w:sz w:val="24"/>
        </w:rPr>
      </w:pPr>
      <w:r>
        <w:rPr>
          <w:rFonts w:cs="Times New Roman" w:hint="eastAsia"/>
          <w:spacing w:val="4"/>
          <w:kern w:val="24"/>
          <w:sz w:val="24"/>
        </w:rPr>
        <w:t>根据</w:t>
      </w:r>
      <w:r>
        <w:rPr>
          <w:rFonts w:cs="Times New Roman"/>
          <w:spacing w:val="4"/>
          <w:kern w:val="24"/>
          <w:sz w:val="24"/>
        </w:rPr>
        <w:t>表</w:t>
      </w:r>
      <w:r>
        <w:rPr>
          <w:rFonts w:cs="Times New Roman"/>
          <w:spacing w:val="4"/>
          <w:kern w:val="24"/>
          <w:sz w:val="24"/>
        </w:rPr>
        <w:t>7.1-4</w:t>
      </w:r>
      <w:r>
        <w:rPr>
          <w:rFonts w:cs="Times New Roman"/>
          <w:spacing w:val="4"/>
          <w:kern w:val="24"/>
          <w:sz w:val="24"/>
        </w:rPr>
        <w:t>分析可知，</w:t>
      </w:r>
      <w:r>
        <w:rPr>
          <w:rFonts w:cs="Times New Roman"/>
          <w:spacing w:val="4"/>
          <w:kern w:val="24"/>
          <w:sz w:val="24"/>
        </w:rPr>
        <w:t>本</w:t>
      </w:r>
      <w:r>
        <w:rPr>
          <w:rFonts w:cs="Times New Roman"/>
          <w:spacing w:val="4"/>
          <w:kern w:val="24"/>
          <w:sz w:val="24"/>
        </w:rPr>
        <w:t>工程</w:t>
      </w:r>
      <w:r>
        <w:rPr>
          <w:rFonts w:cs="Times New Roman"/>
          <w:spacing w:val="4"/>
          <w:kern w:val="24"/>
          <w:sz w:val="24"/>
        </w:rPr>
        <w:t>CO</w:t>
      </w:r>
      <w:r>
        <w:rPr>
          <w:rFonts w:cs="Times New Roman"/>
          <w:spacing w:val="4"/>
          <w:kern w:val="24"/>
          <w:sz w:val="24"/>
          <w:vertAlign w:val="subscript"/>
        </w:rPr>
        <w:t>2</w:t>
      </w:r>
      <w:r>
        <w:rPr>
          <w:rFonts w:cs="Times New Roman"/>
          <w:spacing w:val="4"/>
          <w:kern w:val="24"/>
          <w:sz w:val="24"/>
        </w:rPr>
        <w:t>总排放量为</w:t>
      </w:r>
      <w:bookmarkStart w:id="1907" w:name="OLE_LINK932"/>
      <w:r>
        <w:rPr>
          <w:rFonts w:cs="Times New Roman"/>
          <w:spacing w:val="4"/>
          <w:kern w:val="24"/>
          <w:sz w:val="24"/>
        </w:rPr>
        <w:t>807.46</w:t>
      </w:r>
      <w:bookmarkEnd w:id="1907"/>
      <w:r>
        <w:rPr>
          <w:rFonts w:cs="Times New Roman"/>
          <w:spacing w:val="4"/>
          <w:kern w:val="24"/>
          <w:sz w:val="24"/>
        </w:rPr>
        <w:t>吨。</w:t>
      </w:r>
    </w:p>
    <w:bookmarkStart w:id="1908" w:name="_Toc9863"/>
    <w:p w:rsidR="00C645C9" w:rsidRDefault="00F955D9">
      <w:pPr>
        <w:pStyle w:val="2"/>
        <w:adjustRightInd w:val="0"/>
        <w:snapToGrid w:val="0"/>
        <w:spacing w:after="0" w:line="360" w:lineRule="auto"/>
        <w:rPr>
          <w:rFonts w:ascii="Times New Roman" w:hAnsi="Times New Roman" w:cs="Times New Roman"/>
          <w:color w:val="auto"/>
          <w:spacing w:val="4"/>
          <w:kern w:val="24"/>
          <w:sz w:val="24"/>
          <w:szCs w:val="24"/>
          <w:lang w:eastAsia="zh-CN"/>
        </w:rPr>
      </w:pPr>
      <w:r>
        <w:rPr>
          <w:rFonts w:ascii="Times New Roman" w:hAnsi="Times New Roman" w:cs="Times New Roman"/>
          <w:color w:val="auto"/>
        </w:rPr>
        <w:lastRenderedPageBreak/>
        <w:fldChar w:fldCharType="begin"/>
      </w:r>
      <w:r>
        <w:rPr>
          <w:rFonts w:ascii="Times New Roman" w:hAnsi="Times New Roman" w:cs="Times New Roman"/>
          <w:color w:val="auto"/>
        </w:rPr>
        <w:instrText xml:space="preserve"> HYPERLINK \l _Toc30340 </w:instrText>
      </w:r>
      <w:r>
        <w:rPr>
          <w:rFonts w:ascii="Times New Roman" w:hAnsi="Times New Roman" w:cs="Times New Roman"/>
          <w:color w:val="auto"/>
        </w:rPr>
        <w:fldChar w:fldCharType="separate"/>
      </w:r>
      <w:r>
        <w:rPr>
          <w:rFonts w:ascii="Times New Roman" w:hAnsi="Times New Roman" w:cs="Times New Roman" w:hint="eastAsia"/>
          <w:color w:val="auto"/>
        </w:rPr>
        <w:t>7.2</w:t>
      </w:r>
      <w:bookmarkStart w:id="1909" w:name="OLE_LINK934"/>
      <w:r>
        <w:rPr>
          <w:rFonts w:ascii="Times New Roman" w:hAnsi="Times New Roman" w:cs="Times New Roman" w:hint="eastAsia"/>
          <w:color w:val="auto"/>
        </w:rPr>
        <w:t>减污降碳措施</w:t>
      </w:r>
      <w:bookmarkEnd w:id="1909"/>
      <w:r>
        <w:rPr>
          <w:rFonts w:ascii="Times New Roman" w:hAnsi="Times New Roman" w:cs="Times New Roman"/>
          <w:color w:val="auto"/>
        </w:rPr>
        <w:fldChar w:fldCharType="end"/>
      </w:r>
      <w:bookmarkEnd w:id="1908"/>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5442" w:history="1">
        <w:r>
          <w:rPr>
            <w:rFonts w:ascii="Times New Roman" w:hAnsi="Times New Roman" w:cs="Times New Roman" w:hint="eastAsia"/>
            <w:color w:val="auto"/>
          </w:rPr>
          <w:t>7.2.1</w:t>
        </w:r>
        <w:bookmarkStart w:id="1910" w:name="OLE_LINK936"/>
        <w:r>
          <w:rPr>
            <w:rFonts w:ascii="Times New Roman" w:hAnsi="Times New Roman" w:cs="Times New Roman" w:hint="eastAsia"/>
            <w:color w:val="auto"/>
          </w:rPr>
          <w:t>清洁运输</w:t>
        </w:r>
        <w:bookmarkEnd w:id="1910"/>
      </w:hyperlink>
    </w:p>
    <w:p w:rsidR="00C645C9" w:rsidRDefault="00F955D9">
      <w:pPr>
        <w:adjustRightInd w:val="0"/>
        <w:snapToGrid w:val="0"/>
        <w:spacing w:line="360" w:lineRule="auto"/>
        <w:ind w:firstLineChars="200" w:firstLine="496"/>
        <w:rPr>
          <w:lang w:eastAsia="en-US"/>
        </w:rPr>
      </w:pPr>
      <w:r>
        <w:rPr>
          <w:rFonts w:cs="Times New Roman"/>
          <w:spacing w:val="4"/>
          <w:kern w:val="24"/>
        </w:rPr>
        <w:t>本工程天然气脱水脱烃后就地销售给地方企业</w:t>
      </w:r>
      <w:r>
        <w:rPr>
          <w:rFonts w:cs="Times New Roman" w:hint="eastAsia"/>
          <w:spacing w:val="4"/>
          <w:kern w:val="24"/>
        </w:rPr>
        <w:t>，油气分离后凝析油装车外运至雅克拉集气处理站处理。</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3893" w:history="1">
        <w:r>
          <w:rPr>
            <w:rFonts w:ascii="Times New Roman" w:hAnsi="Times New Roman" w:cs="Times New Roman" w:hint="eastAsia"/>
            <w:color w:val="auto"/>
          </w:rPr>
          <w:t>7.2.2</w:t>
        </w:r>
        <w:bookmarkStart w:id="1911" w:name="OLE_LINK1016"/>
        <w:r>
          <w:rPr>
            <w:rFonts w:ascii="Times New Roman" w:hAnsi="Times New Roman" w:cs="Times New Roman" w:hint="eastAsia"/>
            <w:color w:val="auto"/>
          </w:rPr>
          <w:t>挥发性有机物与甲烷协同控制</w:t>
        </w:r>
        <w:bookmarkEnd w:id="1911"/>
      </w:hyperlink>
    </w:p>
    <w:p w:rsidR="00C645C9" w:rsidRDefault="00F955D9">
      <w:pPr>
        <w:adjustRightInd w:val="0"/>
        <w:snapToGrid w:val="0"/>
        <w:spacing w:line="360" w:lineRule="auto"/>
        <w:ind w:firstLineChars="200" w:firstLine="480"/>
      </w:pPr>
      <w:r>
        <w:rPr>
          <w:rFonts w:hint="eastAsia"/>
        </w:rPr>
        <w:t>本工程采用自动系统对采气工艺参数进行控制，能够提高管理水平，尽量简化工艺过程，减少操作人员。</w:t>
      </w:r>
      <w:r>
        <w:rPr>
          <w:rFonts w:hint="eastAsia"/>
          <w:bCs/>
        </w:rPr>
        <w:t>井口产液经天然气加热炉加热后，在井场经过两相分离器等分离后，气相脱水脱烃后就地销售给地方企业，液相经闪蒸分离器分离后，</w:t>
      </w:r>
      <w:bookmarkStart w:id="1912" w:name="OLE_LINK1017"/>
      <w:r>
        <w:rPr>
          <w:rFonts w:hint="eastAsia"/>
          <w:bCs/>
        </w:rPr>
        <w:t>凝析油</w:t>
      </w:r>
      <w:bookmarkEnd w:id="1912"/>
      <w:r>
        <w:rPr>
          <w:rFonts w:hint="eastAsia"/>
          <w:bCs/>
        </w:rPr>
        <w:t>进入井场储罐，</w:t>
      </w:r>
      <w:r>
        <w:rPr>
          <w:rFonts w:hint="eastAsia"/>
          <w:bCs/>
        </w:rPr>
        <w:t>凝析油</w:t>
      </w:r>
      <w:r>
        <w:t>装车时的</w:t>
      </w:r>
      <w:r>
        <w:t>VOCs</w:t>
      </w:r>
      <w:r>
        <w:t>通过密闭装车鹤管返回加热炉炉膛伴烧</w:t>
      </w:r>
      <w:r>
        <w:rPr>
          <w:rFonts w:hint="eastAsia"/>
        </w:rPr>
        <w:t>，事故状态下</w:t>
      </w:r>
      <w:r>
        <w:t>去往</w:t>
      </w:r>
      <w:r>
        <w:rPr>
          <w:rFonts w:hint="eastAsia"/>
        </w:rPr>
        <w:t>井场</w:t>
      </w:r>
      <w:r>
        <w:t>火炬放空燃烧处理</w:t>
      </w:r>
      <w:r>
        <w:rPr>
          <w:rFonts w:hint="eastAsia"/>
        </w:rPr>
        <w:t>，减少烃类物质的无组织挥发</w:t>
      </w:r>
      <w:r>
        <w:rPr>
          <w:rFonts w:hint="eastAsia"/>
        </w:rPr>
        <w:t>。</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16" w:history="1">
        <w:r>
          <w:rPr>
            <w:rFonts w:ascii="Times New Roman" w:hAnsi="Times New Roman" w:cs="Times New Roman" w:hint="eastAsia"/>
            <w:color w:val="auto"/>
          </w:rPr>
          <w:t>7.2.3</w:t>
        </w:r>
        <w:r>
          <w:rPr>
            <w:rFonts w:ascii="Times New Roman" w:hAnsi="Times New Roman" w:cs="Times New Roman" w:hint="eastAsia"/>
            <w:color w:val="auto"/>
            <w:lang w:eastAsia="zh-CN"/>
          </w:rPr>
          <w:t>节能降耗技术</w:t>
        </w:r>
      </w:hyperlink>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本工程</w:t>
      </w:r>
      <w:r>
        <w:rPr>
          <w:rFonts w:cs="Times New Roman"/>
          <w:sz w:val="24"/>
        </w:rPr>
        <w:t>燃料为处理后的返输干气</w:t>
      </w:r>
      <w:r>
        <w:rPr>
          <w:rFonts w:cs="Times New Roman" w:hint="eastAsia"/>
          <w:sz w:val="24"/>
        </w:rPr>
        <w:t>，</w:t>
      </w:r>
      <w:r>
        <w:rPr>
          <w:rFonts w:cs="Times New Roman" w:hint="eastAsia"/>
          <w:sz w:val="24"/>
        </w:rPr>
        <w:t>供电采用网电。</w:t>
      </w:r>
      <w:r>
        <w:rPr>
          <w:rFonts w:hint="eastAsia"/>
          <w:sz w:val="24"/>
        </w:rPr>
        <w:t>雅克拉采气厂建立有碳排放管理组织机构，对整个作业区能源及碳排放管理实行管理，并制定能源及碳排放管理制度，将碳排放管理工作作为重要事项纳入日常管理；能源及碳排放管理制度对各类能源的购入、贮存、使用、加工转换、输送分配以及最终使用等环节进行详细的规定，尽可能从管理上做到对各类能源高效使用，同时对碳排放情况进行有效管理。</w:t>
      </w:r>
    </w:p>
    <w:bookmarkStart w:id="1913" w:name="_Toc5885"/>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_Toc20890 </w:instrText>
      </w:r>
      <w:r>
        <w:rPr>
          <w:rFonts w:ascii="Times New Roman" w:hAnsi="Times New Roman" w:cs="Times New Roman"/>
          <w:color w:val="auto"/>
        </w:rPr>
        <w:fldChar w:fldCharType="separate"/>
      </w:r>
      <w:r>
        <w:rPr>
          <w:rFonts w:ascii="Times New Roman" w:hAnsi="Times New Roman" w:cs="Times New Roman" w:hint="eastAsia"/>
          <w:color w:val="auto"/>
        </w:rPr>
        <w:t>7.3</w:t>
      </w:r>
      <w:r>
        <w:rPr>
          <w:rFonts w:ascii="Times New Roman" w:hAnsi="Times New Roman" w:cs="Times New Roman" w:hint="eastAsia"/>
          <w:color w:val="auto"/>
          <w:lang w:eastAsia="zh-CN"/>
        </w:rPr>
        <w:t>温室气体</w:t>
      </w:r>
      <w:r>
        <w:rPr>
          <w:rFonts w:ascii="Times New Roman" w:hAnsi="Times New Roman" w:cs="Times New Roman" w:hint="eastAsia"/>
          <w:color w:val="auto"/>
        </w:rPr>
        <w:t>排放评价结论</w:t>
      </w:r>
      <w:r>
        <w:rPr>
          <w:rFonts w:ascii="Times New Roman" w:hAnsi="Times New Roman" w:cs="Times New Roman"/>
          <w:color w:val="auto"/>
        </w:rPr>
        <w:fldChar w:fldCharType="end"/>
      </w:r>
      <w:bookmarkEnd w:id="1913"/>
    </w:p>
    <w:p w:rsidR="00C645C9" w:rsidRDefault="00F955D9">
      <w:pPr>
        <w:pStyle w:val="33"/>
        <w:adjustRightInd w:val="0"/>
        <w:snapToGrid w:val="0"/>
        <w:spacing w:before="0" w:after="0" w:line="360" w:lineRule="auto"/>
        <w:rPr>
          <w:color w:val="auto"/>
          <w:szCs w:val="21"/>
        </w:rPr>
      </w:pPr>
      <w:bookmarkStart w:id="1914" w:name="OLE_LINK931"/>
      <w:r>
        <w:rPr>
          <w:rFonts w:hint="eastAsia"/>
          <w:color w:val="auto"/>
          <w:szCs w:val="21"/>
          <w:lang w:eastAsia="zh-CN"/>
        </w:rPr>
        <w:t>7.3.1</w:t>
      </w:r>
      <w:bookmarkEnd w:id="1914"/>
      <w:r>
        <w:rPr>
          <w:rFonts w:hint="eastAsia"/>
          <w:color w:val="auto"/>
          <w:szCs w:val="21"/>
        </w:rPr>
        <w:t>碳排放评价结论</w:t>
      </w:r>
    </w:p>
    <w:p w:rsidR="00C645C9" w:rsidRDefault="00F955D9" w:rsidP="005718BB">
      <w:pPr>
        <w:pStyle w:val="afff3"/>
        <w:adjustRightInd w:val="0"/>
        <w:snapToGrid w:val="0"/>
        <w:spacing w:beforeLines="0" w:before="0" w:afterLines="0" w:after="0" w:line="360" w:lineRule="auto"/>
        <w:ind w:firstLine="480"/>
      </w:pPr>
      <w:r>
        <w:rPr>
          <w:rFonts w:hint="eastAsia"/>
          <w:sz w:val="24"/>
        </w:rPr>
        <w:t>本工程实施</w:t>
      </w:r>
      <w:r>
        <w:rPr>
          <w:sz w:val="24"/>
        </w:rPr>
        <w:t>后，</w:t>
      </w:r>
      <w:r>
        <w:rPr>
          <w:sz w:val="24"/>
        </w:rPr>
        <w:t>CO</w:t>
      </w:r>
      <w:r>
        <w:rPr>
          <w:sz w:val="24"/>
          <w:vertAlign w:val="subscript"/>
        </w:rPr>
        <w:t>2</w:t>
      </w:r>
      <w:r>
        <w:rPr>
          <w:sz w:val="24"/>
        </w:rPr>
        <w:t>总排放量为</w:t>
      </w:r>
      <w:r>
        <w:rPr>
          <w:rFonts w:cs="Times New Roman"/>
          <w:spacing w:val="4"/>
          <w:kern w:val="24"/>
          <w:sz w:val="24"/>
        </w:rPr>
        <w:t>807.46</w:t>
      </w:r>
      <w:r>
        <w:rPr>
          <w:sz w:val="24"/>
        </w:rPr>
        <w:t>t</w:t>
      </w:r>
      <w:r>
        <w:rPr>
          <w:sz w:val="24"/>
        </w:rPr>
        <w:t>。在工艺技</w:t>
      </w:r>
      <w:r>
        <w:rPr>
          <w:rFonts w:hint="eastAsia"/>
          <w:sz w:val="24"/>
        </w:rPr>
        <w:t>术、节能设备和能源及碳排放管理等方面均采取了较完善的减污降碳措施，有利于减少二氧化碳排放，对比同类企业碳排放水平，本工程吨产品</w:t>
      </w:r>
      <w:r>
        <w:rPr>
          <w:rFonts w:hint="eastAsia"/>
          <w:sz w:val="24"/>
        </w:rPr>
        <w:t>CO</w:t>
      </w:r>
      <w:r>
        <w:rPr>
          <w:rFonts w:hint="eastAsia"/>
          <w:sz w:val="24"/>
          <w:vertAlign w:val="subscript"/>
        </w:rPr>
        <w:t>2</w:t>
      </w:r>
      <w:r>
        <w:rPr>
          <w:rFonts w:hint="eastAsia"/>
          <w:sz w:val="24"/>
        </w:rPr>
        <w:t>排放强度相对较低。</w:t>
      </w:r>
    </w:p>
    <w:p w:rsidR="00C645C9" w:rsidRDefault="00F955D9">
      <w:pPr>
        <w:pStyle w:val="33"/>
        <w:adjustRightInd w:val="0"/>
        <w:snapToGrid w:val="0"/>
        <w:spacing w:before="0" w:after="0" w:line="360" w:lineRule="auto"/>
        <w:rPr>
          <w:color w:val="auto"/>
        </w:rPr>
      </w:pPr>
      <w:bookmarkStart w:id="1915" w:name="_Toc4346"/>
      <w:bookmarkStart w:id="1916" w:name="_Toc3262"/>
      <w:bookmarkStart w:id="1917" w:name="_Toc173941983"/>
      <w:r>
        <w:rPr>
          <w:rFonts w:hint="eastAsia"/>
          <w:color w:val="auto"/>
          <w:szCs w:val="21"/>
          <w:lang w:eastAsia="zh-CN"/>
        </w:rPr>
        <w:t>7.3.</w:t>
      </w:r>
      <w:r>
        <w:rPr>
          <w:rFonts w:hint="eastAsia"/>
          <w:color w:val="auto"/>
        </w:rPr>
        <w:t>2</w:t>
      </w:r>
      <w:r>
        <w:rPr>
          <w:rFonts w:hint="eastAsia"/>
          <w:color w:val="auto"/>
        </w:rPr>
        <w:t>碳排放建议</w:t>
      </w:r>
      <w:bookmarkEnd w:id="1915"/>
      <w:bookmarkEnd w:id="1916"/>
      <w:bookmarkEnd w:id="1917"/>
    </w:p>
    <w:p w:rsidR="00C645C9" w:rsidRDefault="00F955D9">
      <w:pPr>
        <w:pStyle w:val="afff3"/>
        <w:adjustRightInd w:val="0"/>
        <w:snapToGrid w:val="0"/>
        <w:spacing w:beforeLines="0" w:before="0" w:afterLines="0" w:after="0" w:line="360" w:lineRule="auto"/>
        <w:ind w:firstLine="480"/>
        <w:rPr>
          <w:rFonts w:cs="Times New Roman"/>
          <w:sz w:val="24"/>
        </w:rPr>
      </w:pPr>
      <w:r>
        <w:rPr>
          <w:rFonts w:cs="Times New Roman"/>
          <w:sz w:val="24"/>
        </w:rPr>
        <w:t>（</w:t>
      </w:r>
      <w:r>
        <w:rPr>
          <w:rFonts w:cs="Times New Roman"/>
          <w:sz w:val="24"/>
        </w:rPr>
        <w:t>1</w:t>
      </w:r>
      <w:r>
        <w:rPr>
          <w:rFonts w:cs="Times New Roman"/>
          <w:sz w:val="24"/>
        </w:rPr>
        <w:t>）加强企业能源管理，减少甲烷逸散损耗，定期开展能源及碳排放管理培训，提升管理水平</w:t>
      </w:r>
      <w:r>
        <w:rPr>
          <w:rFonts w:cs="Times New Roman" w:hint="eastAsia"/>
          <w:sz w:val="24"/>
        </w:rPr>
        <w:t>。</w:t>
      </w:r>
    </w:p>
    <w:p w:rsidR="00C645C9" w:rsidRDefault="00F955D9">
      <w:pPr>
        <w:adjustRightInd w:val="0"/>
        <w:snapToGrid w:val="0"/>
        <w:spacing w:line="360" w:lineRule="auto"/>
        <w:ind w:firstLineChars="200" w:firstLine="480"/>
        <w:rPr>
          <w:rFonts w:cs="Times New Roman"/>
        </w:rPr>
      </w:pPr>
      <w:r>
        <w:rPr>
          <w:rFonts w:cs="Times New Roman"/>
        </w:rPr>
        <w:t>（</w:t>
      </w:r>
      <w:r>
        <w:rPr>
          <w:rFonts w:cs="Times New Roman"/>
        </w:rPr>
        <w:t>2</w:t>
      </w:r>
      <w:r>
        <w:rPr>
          <w:rFonts w:cs="Times New Roman"/>
        </w:rPr>
        <w:t>）积极开展源头控制，优先选择绿色节能工艺、产品和技术，降低化石燃料消费量</w:t>
      </w:r>
      <w:r>
        <w:rPr>
          <w:rFonts w:cs="Times New Roman" w:hint="eastAsia"/>
        </w:rPr>
        <w:t>。</w:t>
      </w:r>
    </w:p>
    <w:bookmarkStart w:id="1918" w:name="_Toc7193"/>
    <w:p w:rsidR="00C645C9" w:rsidRDefault="00F955D9">
      <w:pPr>
        <w:widowControl w:val="0"/>
        <w:adjustRightInd w:val="0"/>
        <w:snapToGrid w:val="0"/>
        <w:spacing w:line="360" w:lineRule="auto"/>
        <w:outlineLvl w:val="0"/>
        <w:rPr>
          <w:rFonts w:cs="Times New Roman"/>
          <w:b/>
          <w:bCs/>
          <w:sz w:val="36"/>
          <w:szCs w:val="36"/>
          <w:lang w:eastAsia="en-US"/>
        </w:rPr>
      </w:pPr>
      <w:r>
        <w:rPr>
          <w:rFonts w:cs="Times New Roman"/>
          <w:b/>
          <w:bCs/>
          <w:sz w:val="36"/>
          <w:szCs w:val="36"/>
          <w:lang w:eastAsia="en-US"/>
        </w:rPr>
        <w:fldChar w:fldCharType="begin"/>
      </w:r>
      <w:r>
        <w:rPr>
          <w:rFonts w:cs="Times New Roman"/>
          <w:b/>
          <w:bCs/>
          <w:sz w:val="36"/>
          <w:szCs w:val="36"/>
          <w:lang w:eastAsia="en-US"/>
        </w:rPr>
        <w:instrText xml:space="preserve"> HYPERLINK \l _Toc1807 </w:instrText>
      </w:r>
      <w:r>
        <w:rPr>
          <w:rFonts w:cs="Times New Roman"/>
          <w:b/>
          <w:bCs/>
          <w:sz w:val="36"/>
          <w:szCs w:val="36"/>
          <w:lang w:eastAsia="en-US"/>
        </w:rPr>
        <w:fldChar w:fldCharType="separate"/>
      </w:r>
      <w:r>
        <w:rPr>
          <w:rFonts w:cs="Times New Roman" w:hint="eastAsia"/>
          <w:b/>
          <w:bCs/>
          <w:sz w:val="36"/>
          <w:szCs w:val="36"/>
          <w:lang w:eastAsia="en-US"/>
        </w:rPr>
        <w:t>8</w:t>
      </w:r>
      <w:r>
        <w:rPr>
          <w:rFonts w:cs="Times New Roman" w:hint="eastAsia"/>
          <w:b/>
          <w:bCs/>
          <w:sz w:val="36"/>
          <w:szCs w:val="36"/>
          <w:lang w:eastAsia="en-US"/>
        </w:rPr>
        <w:t>环境影响经济损益分析</w:t>
      </w:r>
      <w:r>
        <w:rPr>
          <w:rFonts w:cs="Times New Roman"/>
          <w:b/>
          <w:bCs/>
          <w:sz w:val="36"/>
          <w:szCs w:val="36"/>
          <w:lang w:eastAsia="en-US"/>
        </w:rPr>
        <w:fldChar w:fldCharType="end"/>
      </w:r>
      <w:bookmarkEnd w:id="1918"/>
    </w:p>
    <w:p w:rsidR="00C645C9" w:rsidRDefault="00F955D9">
      <w:pPr>
        <w:pStyle w:val="afff3"/>
        <w:adjustRightInd w:val="0"/>
        <w:snapToGrid w:val="0"/>
        <w:spacing w:beforeLines="0" w:before="0" w:afterLines="0" w:after="0" w:line="360" w:lineRule="auto"/>
        <w:ind w:firstLine="480"/>
        <w:rPr>
          <w:rFonts w:cs="Times New Roman"/>
          <w:sz w:val="24"/>
        </w:rPr>
      </w:pPr>
      <w:bookmarkStart w:id="1919" w:name="OLE_LINK939"/>
      <w:r>
        <w:rPr>
          <w:rFonts w:cs="Times New Roman"/>
          <w:sz w:val="24"/>
        </w:rPr>
        <w:lastRenderedPageBreak/>
        <w:t>一个项目的开发建设，除对国民经济的发展起着促进作用外，同时也在一定程度上</w:t>
      </w:r>
      <w:bookmarkEnd w:id="1919"/>
      <w:r>
        <w:rPr>
          <w:rFonts w:cs="Times New Roman"/>
          <w:sz w:val="24"/>
        </w:rPr>
        <w:t>影响着项目拟建地区环境的变化。环境影响</w:t>
      </w:r>
      <w:r>
        <w:rPr>
          <w:rFonts w:cs="Times New Roman" w:hint="eastAsia"/>
          <w:sz w:val="24"/>
        </w:rPr>
        <w:t>、</w:t>
      </w:r>
      <w:r>
        <w:rPr>
          <w:rFonts w:cs="Times New Roman"/>
          <w:sz w:val="24"/>
        </w:rPr>
        <w:t>社会影响、</w:t>
      </w:r>
      <w:r>
        <w:rPr>
          <w:rFonts w:cs="Times New Roman" w:hint="eastAsia"/>
          <w:sz w:val="24"/>
        </w:rPr>
        <w:t>综合</w:t>
      </w:r>
      <w:r>
        <w:rPr>
          <w:rFonts w:cs="Times New Roman"/>
          <w:sz w:val="24"/>
        </w:rPr>
        <w:t>影响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w:t>
      </w:r>
    </w:p>
    <w:bookmarkStart w:id="1920" w:name="_Toc27770"/>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_Toc24944 </w:instrText>
      </w:r>
      <w:r>
        <w:rPr>
          <w:rFonts w:ascii="Times New Roman" w:hAnsi="Times New Roman" w:cs="Times New Roman" w:hint="eastAsia"/>
          <w:color w:val="auto"/>
        </w:rPr>
        <w:fldChar w:fldCharType="separate"/>
      </w:r>
      <w:r>
        <w:rPr>
          <w:rFonts w:ascii="Times New Roman" w:hAnsi="Times New Roman" w:cs="Times New Roman" w:hint="eastAsia"/>
          <w:color w:val="auto"/>
        </w:rPr>
        <w:t>8.1</w:t>
      </w:r>
      <w:r>
        <w:rPr>
          <w:rFonts w:ascii="Times New Roman" w:hAnsi="Times New Roman" w:cs="Times New Roman" w:hint="eastAsia"/>
          <w:color w:val="auto"/>
          <w:lang w:eastAsia="zh-CN"/>
        </w:rPr>
        <w:t>环境</w:t>
      </w:r>
      <w:r>
        <w:rPr>
          <w:rFonts w:ascii="Times New Roman" w:hAnsi="Times New Roman" w:cs="Times New Roman" w:hint="eastAsia"/>
          <w:color w:val="auto"/>
        </w:rPr>
        <w:t>效益分析</w:t>
      </w:r>
      <w:r>
        <w:rPr>
          <w:rFonts w:ascii="Times New Roman" w:hAnsi="Times New Roman" w:cs="Times New Roman" w:hint="eastAsia"/>
          <w:color w:val="auto"/>
        </w:rPr>
        <w:fldChar w:fldCharType="end"/>
      </w:r>
      <w:bookmarkEnd w:id="1920"/>
    </w:p>
    <w:p w:rsidR="00C645C9" w:rsidRDefault="00F955D9">
      <w:pPr>
        <w:pStyle w:val="3"/>
        <w:adjustRightInd w:val="0"/>
        <w:snapToGrid w:val="0"/>
        <w:spacing w:before="0" w:after="0" w:line="360" w:lineRule="auto"/>
        <w:rPr>
          <w:rFonts w:ascii="Times New Roman" w:hAnsi="Times New Roman" w:cs="Times New Roman"/>
          <w:snapToGrid/>
          <w:color w:val="auto"/>
          <w:szCs w:val="20"/>
          <w:lang w:eastAsia="zh-CN"/>
        </w:rPr>
      </w:pPr>
      <w:bookmarkStart w:id="1921" w:name="OLE_LINK940"/>
      <w:r>
        <w:rPr>
          <w:rFonts w:ascii="Times New Roman" w:hAnsi="Times New Roman" w:cs="Times New Roman" w:hint="eastAsia"/>
          <w:snapToGrid/>
          <w:color w:val="auto"/>
          <w:szCs w:val="20"/>
          <w:lang w:eastAsia="zh-CN"/>
        </w:rPr>
        <w:t>8.1.1</w:t>
      </w:r>
      <w:r>
        <w:rPr>
          <w:rFonts w:ascii="Times New Roman" w:hAnsi="Times New Roman" w:cs="Times New Roman" w:hint="eastAsia"/>
          <w:snapToGrid/>
          <w:color w:val="auto"/>
          <w:szCs w:val="20"/>
          <w:lang w:eastAsia="zh-CN"/>
        </w:rPr>
        <w:t>施工期环境效益</w:t>
      </w:r>
    </w:p>
    <w:p w:rsidR="00C645C9" w:rsidRDefault="00F955D9">
      <w:pPr>
        <w:widowControl w:val="0"/>
        <w:adjustRightInd w:val="0"/>
        <w:snapToGrid w:val="0"/>
        <w:spacing w:line="360" w:lineRule="auto"/>
        <w:ind w:firstLine="480"/>
        <w:jc w:val="both"/>
        <w:rPr>
          <w:rFonts w:cs="Times New Roman"/>
        </w:rPr>
      </w:pPr>
      <w:r>
        <w:rPr>
          <w:rFonts w:cs="Times New Roman"/>
        </w:rPr>
        <w:t>施工期</w:t>
      </w:r>
      <w:bookmarkEnd w:id="1921"/>
      <w:r>
        <w:rPr>
          <w:rFonts w:cs="Times New Roman"/>
        </w:rPr>
        <w:t>环境效益分析，油田开发建设对环境造成的直接影响主要表现在：</w:t>
      </w:r>
    </w:p>
    <w:p w:rsidR="00C645C9" w:rsidRDefault="00F955D9">
      <w:pPr>
        <w:widowControl w:val="0"/>
        <w:adjustRightInd w:val="0"/>
        <w:snapToGrid w:val="0"/>
        <w:spacing w:line="360" w:lineRule="auto"/>
        <w:ind w:firstLine="480"/>
        <w:jc w:val="both"/>
        <w:rPr>
          <w:rFonts w:cs="Times New Roman"/>
        </w:rPr>
      </w:pPr>
      <w:r>
        <w:rPr>
          <w:rFonts w:cs="Times New Roman"/>
        </w:rPr>
        <w:t>（</w:t>
      </w:r>
      <w:r>
        <w:rPr>
          <w:rFonts w:cs="Times New Roman"/>
        </w:rPr>
        <w:t>1</w:t>
      </w:r>
      <w:r>
        <w:rPr>
          <w:rFonts w:cs="Times New Roman"/>
        </w:rPr>
        <w:t>）</w:t>
      </w:r>
      <w:r>
        <w:rPr>
          <w:rFonts w:cs="Times New Roman" w:hint="eastAsia"/>
        </w:rPr>
        <w:t>本工程</w:t>
      </w:r>
      <w:r>
        <w:rPr>
          <w:rFonts w:cs="Times New Roman"/>
        </w:rPr>
        <w:t>占地造成的环境损失</w:t>
      </w:r>
      <w:r>
        <w:rPr>
          <w:rFonts w:cs="Times New Roman" w:hint="eastAsia"/>
        </w:rPr>
        <w:t>。</w:t>
      </w:r>
    </w:p>
    <w:p w:rsidR="00C645C9" w:rsidRDefault="00F955D9">
      <w:pPr>
        <w:widowControl w:val="0"/>
        <w:adjustRightInd w:val="0"/>
        <w:snapToGrid w:val="0"/>
        <w:spacing w:line="360" w:lineRule="auto"/>
        <w:ind w:firstLine="480"/>
        <w:jc w:val="both"/>
        <w:rPr>
          <w:rFonts w:cs="Times New Roman"/>
        </w:rPr>
      </w:pPr>
      <w:r>
        <w:rPr>
          <w:rFonts w:cs="Times New Roman"/>
        </w:rPr>
        <w:t>（</w:t>
      </w:r>
      <w:r>
        <w:rPr>
          <w:rFonts w:cs="Times New Roman"/>
        </w:rPr>
        <w:t>2</w:t>
      </w:r>
      <w:r>
        <w:rPr>
          <w:rFonts w:cs="Times New Roman"/>
        </w:rPr>
        <w:t>）</w:t>
      </w:r>
      <w:r>
        <w:rPr>
          <w:rFonts w:cs="Times New Roman"/>
        </w:rPr>
        <w:t>突发事故状态污染物对土壤、植被的污染造成的环境损失</w:t>
      </w:r>
      <w:r>
        <w:rPr>
          <w:rFonts w:cs="Times New Roman" w:hint="eastAsia"/>
        </w:rPr>
        <w:t>。</w:t>
      </w:r>
    </w:p>
    <w:p w:rsidR="00C645C9" w:rsidRDefault="00F955D9">
      <w:pPr>
        <w:widowControl w:val="0"/>
        <w:adjustRightInd w:val="0"/>
        <w:snapToGrid w:val="0"/>
        <w:spacing w:line="360" w:lineRule="auto"/>
        <w:ind w:firstLine="480"/>
        <w:jc w:val="both"/>
        <w:rPr>
          <w:rFonts w:cs="Times New Roman"/>
        </w:rPr>
      </w:pPr>
      <w:r>
        <w:rPr>
          <w:rFonts w:cs="Times New Roman"/>
        </w:rPr>
        <w:t>（</w:t>
      </w:r>
      <w:r>
        <w:rPr>
          <w:rFonts w:cs="Times New Roman"/>
        </w:rPr>
        <w:t>3</w:t>
      </w:r>
      <w:r>
        <w:rPr>
          <w:rFonts w:cs="Times New Roman"/>
        </w:rPr>
        <w:t>）</w:t>
      </w:r>
      <w:r>
        <w:rPr>
          <w:rFonts w:cs="Times New Roman"/>
        </w:rPr>
        <w:t>其他环境损失。</w:t>
      </w:r>
    </w:p>
    <w:p w:rsidR="00C645C9" w:rsidRDefault="00F955D9">
      <w:pPr>
        <w:widowControl w:val="0"/>
        <w:adjustRightInd w:val="0"/>
        <w:snapToGrid w:val="0"/>
        <w:spacing w:line="360" w:lineRule="auto"/>
        <w:ind w:firstLine="480"/>
        <w:jc w:val="both"/>
        <w:rPr>
          <w:rFonts w:cs="Times New Roman"/>
        </w:rPr>
      </w:pPr>
      <w:r>
        <w:rPr>
          <w:rFonts w:cs="Times New Roman"/>
        </w:rPr>
        <w:t>本工程</w:t>
      </w:r>
      <w:r>
        <w:rPr>
          <w:rFonts w:cs="Times New Roman"/>
        </w:rPr>
        <w:t>占地主要为</w:t>
      </w:r>
      <w:r>
        <w:rPr>
          <w:rFonts w:cs="Times New Roman" w:hint="eastAsia"/>
        </w:rPr>
        <w:t>井场</w:t>
      </w:r>
      <w:r>
        <w:rPr>
          <w:rFonts w:cs="Times New Roman"/>
        </w:rPr>
        <w:t>建设。</w:t>
      </w:r>
      <w:r>
        <w:rPr>
          <w:rFonts w:cs="Times New Roman"/>
        </w:rPr>
        <w:t>本</w:t>
      </w:r>
      <w:r>
        <w:rPr>
          <w:rFonts w:cs="Times New Roman"/>
        </w:rPr>
        <w:t>工程</w:t>
      </w:r>
      <w:r>
        <w:rPr>
          <w:rFonts w:cs="Times New Roman"/>
        </w:rPr>
        <w:t>建设对</w:t>
      </w:r>
      <w:bookmarkStart w:id="1922" w:name="OLE_LINK730"/>
      <w:r>
        <w:rPr>
          <w:rFonts w:cs="Times New Roman" w:hint="eastAsia"/>
        </w:rPr>
        <w:t>本工程所在</w:t>
      </w:r>
      <w:r>
        <w:rPr>
          <w:rFonts w:cs="Times New Roman"/>
        </w:rPr>
        <w:t>区</w:t>
      </w:r>
      <w:r>
        <w:rPr>
          <w:rFonts w:cs="Times New Roman" w:hint="eastAsia"/>
        </w:rPr>
        <w:t>域的</w:t>
      </w:r>
      <w:bookmarkEnd w:id="1922"/>
      <w:r>
        <w:rPr>
          <w:rFonts w:cs="Times New Roman"/>
        </w:rPr>
        <w:t>直接影响是生态影响，包括植被破坏后由于地表裸露导致水土流失和土壤环境质量下降。但在加强施工管理和采取生态恢复等措施后，施工影响是可以接受的。在正常情况下，基本上不会对周围环境产生影响。但在事故状态下，将对</w:t>
      </w:r>
      <w:r>
        <w:rPr>
          <w:rFonts w:cs="Times New Roman" w:hint="eastAsia"/>
        </w:rPr>
        <w:t>本工程所在</w:t>
      </w:r>
      <w:r>
        <w:rPr>
          <w:rFonts w:cs="Times New Roman"/>
        </w:rPr>
        <w:t>区域生态环境和地下水环境产生影响。由于事故程度不同，对环境造成的损失也不同，损失量的估算只能在事故发生后通过各项补偿费用来体现</w:t>
      </w:r>
      <w:r>
        <w:rPr>
          <w:rFonts w:cs="Times New Roman" w:hint="eastAsia"/>
        </w:rPr>
        <w:t>。</w:t>
      </w:r>
    </w:p>
    <w:p w:rsidR="00C645C9" w:rsidRDefault="00F955D9">
      <w:pPr>
        <w:pStyle w:val="3"/>
        <w:adjustRightInd w:val="0"/>
        <w:snapToGrid w:val="0"/>
        <w:spacing w:before="0" w:after="0" w:line="360" w:lineRule="auto"/>
        <w:rPr>
          <w:rFonts w:ascii="Times New Roman" w:hAnsi="Times New Roman" w:cs="Times New Roman"/>
          <w:snapToGrid/>
          <w:color w:val="auto"/>
          <w:szCs w:val="20"/>
          <w:lang w:eastAsia="zh-CN"/>
        </w:rPr>
      </w:pPr>
      <w:bookmarkStart w:id="1923" w:name="OLE_LINK944"/>
      <w:r>
        <w:rPr>
          <w:rFonts w:ascii="Times New Roman" w:hAnsi="Times New Roman" w:cs="Times New Roman" w:hint="eastAsia"/>
          <w:snapToGrid/>
          <w:color w:val="auto"/>
          <w:szCs w:val="20"/>
          <w:lang w:eastAsia="zh-CN"/>
        </w:rPr>
        <w:t>8.1.2</w:t>
      </w:r>
      <w:r>
        <w:rPr>
          <w:rFonts w:ascii="Times New Roman" w:hAnsi="Times New Roman" w:cs="Times New Roman" w:hint="eastAsia"/>
          <w:snapToGrid/>
          <w:color w:val="auto"/>
          <w:szCs w:val="20"/>
          <w:lang w:eastAsia="zh-CN"/>
        </w:rPr>
        <w:t>运营期环境效益</w:t>
      </w:r>
    </w:p>
    <w:bookmarkEnd w:id="1923"/>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w:t>
      </w:r>
      <w:r>
        <w:rPr>
          <w:sz w:val="24"/>
        </w:rPr>
        <w:t>1</w:t>
      </w:r>
      <w:r>
        <w:rPr>
          <w:rFonts w:hint="eastAsia"/>
          <w:sz w:val="24"/>
        </w:rPr>
        <w:t>）废气</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本工程</w:t>
      </w:r>
      <w:r>
        <w:rPr>
          <w:sz w:val="24"/>
        </w:rPr>
        <w:t>加热炉使用净化后的天然气作燃料，烟气通过排气筒排放，采出液密闭拉运输送</w:t>
      </w:r>
      <w:r>
        <w:rPr>
          <w:rFonts w:hint="eastAsia"/>
          <w:sz w:val="24"/>
        </w:rPr>
        <w:t>，</w:t>
      </w:r>
      <w:r>
        <w:rPr>
          <w:rFonts w:hint="eastAsia"/>
          <w:bCs/>
          <w:sz w:val="24"/>
        </w:rPr>
        <w:t>凝析油</w:t>
      </w:r>
      <w:r>
        <w:rPr>
          <w:bCs/>
          <w:sz w:val="24"/>
        </w:rPr>
        <w:t>采用装车拉运，</w:t>
      </w:r>
      <w:r>
        <w:rPr>
          <w:rFonts w:hint="eastAsia"/>
          <w:sz w:val="24"/>
        </w:rPr>
        <w:t>储罐采用固定顶罐，凝析油</w:t>
      </w:r>
      <w:r>
        <w:rPr>
          <w:sz w:val="24"/>
        </w:rPr>
        <w:t>装车时的</w:t>
      </w:r>
      <w:r>
        <w:rPr>
          <w:sz w:val="24"/>
        </w:rPr>
        <w:t>VOCs</w:t>
      </w:r>
      <w:r>
        <w:rPr>
          <w:sz w:val="24"/>
        </w:rPr>
        <w:t>通过密闭装车鹤管返回加热炉炉膛伴烧</w:t>
      </w:r>
      <w:r>
        <w:rPr>
          <w:rFonts w:hint="eastAsia"/>
          <w:sz w:val="24"/>
        </w:rPr>
        <w:t>，事故状态下</w:t>
      </w:r>
      <w:r>
        <w:rPr>
          <w:sz w:val="24"/>
        </w:rPr>
        <w:t>去往</w:t>
      </w:r>
      <w:r>
        <w:rPr>
          <w:rFonts w:hint="eastAsia"/>
          <w:sz w:val="24"/>
        </w:rPr>
        <w:t>井场</w:t>
      </w:r>
      <w:r>
        <w:rPr>
          <w:sz w:val="24"/>
        </w:rPr>
        <w:t>火炬放空燃烧处理</w:t>
      </w:r>
      <w:r>
        <w:rPr>
          <w:rFonts w:hint="eastAsia"/>
          <w:sz w:val="24"/>
        </w:rPr>
        <w:t>，减少烃类物质的挥发，污染物能达标排放，对周围环境的影响可接受。</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w:t>
      </w:r>
      <w:r>
        <w:rPr>
          <w:rFonts w:hint="eastAsia"/>
          <w:sz w:val="24"/>
        </w:rPr>
        <w:t>2</w:t>
      </w:r>
      <w:r>
        <w:rPr>
          <w:rFonts w:hint="eastAsia"/>
          <w:sz w:val="24"/>
        </w:rPr>
        <w:t>）废水</w:t>
      </w:r>
    </w:p>
    <w:p w:rsidR="00C645C9" w:rsidRDefault="00F955D9" w:rsidP="005718BB">
      <w:pPr>
        <w:pStyle w:val="afff3"/>
        <w:adjustRightInd w:val="0"/>
        <w:snapToGrid w:val="0"/>
        <w:spacing w:beforeLines="0" w:before="0" w:afterLines="0" w:after="0" w:line="360" w:lineRule="auto"/>
        <w:ind w:firstLine="480"/>
        <w:jc w:val="both"/>
        <w:rPr>
          <w:sz w:val="24"/>
        </w:rPr>
      </w:pPr>
      <w:r>
        <w:rPr>
          <w:sz w:val="24"/>
        </w:rPr>
        <w:t>废水包括</w:t>
      </w:r>
      <w:bookmarkStart w:id="1924" w:name="OLE_LINK941"/>
      <w:r>
        <w:rPr>
          <w:rFonts w:hint="eastAsia"/>
          <w:sz w:val="24"/>
        </w:rPr>
        <w:t>生产废水</w:t>
      </w:r>
      <w:r>
        <w:rPr>
          <w:sz w:val="24"/>
        </w:rPr>
        <w:t>、</w:t>
      </w:r>
      <w:r>
        <w:rPr>
          <w:rFonts w:hint="eastAsia"/>
          <w:sz w:val="24"/>
        </w:rPr>
        <w:t>井下作业废水</w:t>
      </w:r>
      <w:bookmarkEnd w:id="1924"/>
      <w:r>
        <w:rPr>
          <w:rFonts w:hint="eastAsia"/>
          <w:sz w:val="24"/>
        </w:rPr>
        <w:t>、</w:t>
      </w:r>
      <w:bookmarkStart w:id="1925" w:name="OLE_LINK942"/>
      <w:r>
        <w:rPr>
          <w:rFonts w:hint="eastAsia"/>
          <w:sz w:val="24"/>
        </w:rPr>
        <w:t>试油期采出水</w:t>
      </w:r>
      <w:r>
        <w:rPr>
          <w:rFonts w:hint="eastAsia"/>
          <w:sz w:val="24"/>
        </w:rPr>
        <w:t>、</w:t>
      </w:r>
      <w:bookmarkEnd w:id="1925"/>
      <w:r>
        <w:rPr>
          <w:sz w:val="24"/>
        </w:rPr>
        <w:t>生活污水。</w:t>
      </w:r>
      <w:r>
        <w:rPr>
          <w:rFonts w:hint="eastAsia"/>
          <w:sz w:val="24"/>
        </w:rPr>
        <w:t>生产废水</w:t>
      </w:r>
      <w:r>
        <w:rPr>
          <w:sz w:val="24"/>
        </w:rPr>
        <w:t>、</w:t>
      </w:r>
      <w:r>
        <w:rPr>
          <w:rFonts w:hint="eastAsia"/>
          <w:sz w:val="24"/>
        </w:rPr>
        <w:t>井下作业废水</w:t>
      </w:r>
      <w:r>
        <w:rPr>
          <w:rFonts w:hint="eastAsia"/>
          <w:sz w:val="24"/>
        </w:rPr>
        <w:t>、</w:t>
      </w:r>
      <w:r>
        <w:rPr>
          <w:rFonts w:hint="eastAsia"/>
          <w:sz w:val="24"/>
        </w:rPr>
        <w:t>试油期采出水</w:t>
      </w:r>
      <w:r>
        <w:rPr>
          <w:sz w:val="24"/>
        </w:rPr>
        <w:t>经专用罐</w:t>
      </w:r>
      <w:r>
        <w:rPr>
          <w:kern w:val="24"/>
          <w:sz w:val="24"/>
        </w:rPr>
        <w:t>收集后</w:t>
      </w:r>
      <w:r>
        <w:rPr>
          <w:sz w:val="24"/>
        </w:rPr>
        <w:t>输送至</w:t>
      </w:r>
      <w:r>
        <w:rPr>
          <w:rFonts w:cs="Times New Roman"/>
          <w:sz w:val="24"/>
        </w:rPr>
        <w:t>塔河油田绿色环保工作站</w:t>
      </w:r>
      <w:r>
        <w:rPr>
          <w:sz w:val="24"/>
        </w:rPr>
        <w:t>处理</w:t>
      </w:r>
      <w:r>
        <w:rPr>
          <w:rFonts w:hint="eastAsia"/>
          <w:sz w:val="24"/>
        </w:rPr>
        <w:t>。</w:t>
      </w:r>
      <w:r>
        <w:rPr>
          <w:rFonts w:cs="Times New Roman"/>
          <w:kern w:val="2"/>
          <w:sz w:val="24"/>
          <w:lang w:bidi="ar"/>
        </w:rPr>
        <w:t>运营期工作人员由雅克拉采气厂内部调剂解决，故不新增生活污水</w:t>
      </w:r>
      <w:r>
        <w:rPr>
          <w:rFonts w:hint="eastAsia"/>
          <w:sz w:val="24"/>
        </w:rPr>
        <w:t>。</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w:t>
      </w:r>
      <w:r>
        <w:rPr>
          <w:rFonts w:hint="eastAsia"/>
          <w:sz w:val="24"/>
        </w:rPr>
        <w:t>3</w:t>
      </w:r>
      <w:r>
        <w:rPr>
          <w:rFonts w:hint="eastAsia"/>
          <w:sz w:val="24"/>
        </w:rPr>
        <w:t>）固体废弃物</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lastRenderedPageBreak/>
        <w:t>本工程产生的</w:t>
      </w:r>
      <w:r>
        <w:rPr>
          <w:sz w:val="24"/>
        </w:rPr>
        <w:t>落地油、废防渗材料</w:t>
      </w:r>
      <w:r>
        <w:rPr>
          <w:rFonts w:hint="eastAsia"/>
          <w:sz w:val="24"/>
        </w:rPr>
        <w:t>、清罐底泥</w:t>
      </w:r>
      <w:r>
        <w:rPr>
          <w:rFonts w:hint="eastAsia"/>
          <w:sz w:val="24"/>
        </w:rPr>
        <w:t>和废润滑油</w:t>
      </w:r>
      <w:r>
        <w:rPr>
          <w:sz w:val="24"/>
        </w:rPr>
        <w:t>属于危险废物，由</w:t>
      </w:r>
      <w:r>
        <w:rPr>
          <w:rFonts w:cs="Times New Roman"/>
          <w:sz w:val="24"/>
        </w:rPr>
        <w:t>持有危险废物经营许可证的</w:t>
      </w:r>
      <w:r>
        <w:rPr>
          <w:rFonts w:cs="Times New Roman" w:hint="eastAsia"/>
          <w:sz w:val="24"/>
        </w:rPr>
        <w:t>单位利用处置</w:t>
      </w:r>
      <w:r>
        <w:rPr>
          <w:rFonts w:hint="eastAsia"/>
          <w:sz w:val="24"/>
        </w:rPr>
        <w:t>。</w:t>
      </w:r>
      <w:r>
        <w:rPr>
          <w:rFonts w:cs="Times New Roman"/>
          <w:sz w:val="24"/>
        </w:rPr>
        <w:t>运营期工作人员由</w:t>
      </w:r>
      <w:r>
        <w:rPr>
          <w:rFonts w:cs="Times New Roman"/>
          <w:kern w:val="2"/>
          <w:sz w:val="24"/>
          <w:lang w:bidi="ar"/>
        </w:rPr>
        <w:t>雅克拉采气厂内部调剂解决</w:t>
      </w:r>
      <w:r>
        <w:rPr>
          <w:rFonts w:cs="Times New Roman"/>
          <w:sz w:val="24"/>
        </w:rPr>
        <w:t>，故不新增生活垃圾</w:t>
      </w:r>
      <w:r>
        <w:rPr>
          <w:sz w:val="24"/>
        </w:rPr>
        <w:t>。</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w:t>
      </w:r>
      <w:r>
        <w:rPr>
          <w:rFonts w:hint="eastAsia"/>
          <w:sz w:val="24"/>
        </w:rPr>
        <w:t>4</w:t>
      </w:r>
      <w:r>
        <w:rPr>
          <w:rFonts w:hint="eastAsia"/>
          <w:sz w:val="24"/>
        </w:rPr>
        <w:t>）噪声</w:t>
      </w:r>
    </w:p>
    <w:p w:rsidR="00C645C9" w:rsidRDefault="00F955D9" w:rsidP="005718BB">
      <w:pPr>
        <w:pStyle w:val="afff3"/>
        <w:adjustRightInd w:val="0"/>
        <w:snapToGrid w:val="0"/>
        <w:spacing w:beforeLines="0" w:before="0" w:afterLines="0" w:after="0" w:line="360" w:lineRule="auto"/>
        <w:ind w:firstLine="480"/>
        <w:jc w:val="both"/>
        <w:rPr>
          <w:sz w:val="24"/>
        </w:rPr>
      </w:pPr>
      <w:r>
        <w:rPr>
          <w:rFonts w:hint="eastAsia"/>
          <w:sz w:val="24"/>
        </w:rPr>
        <w:t>本工程通过采取选用低噪声设备、减振等措施，减低了噪声污染。</w:t>
      </w:r>
    </w:p>
    <w:p w:rsidR="00C645C9" w:rsidRDefault="00F955D9">
      <w:pPr>
        <w:widowControl w:val="0"/>
        <w:adjustRightInd w:val="0"/>
        <w:snapToGrid w:val="0"/>
        <w:spacing w:line="360" w:lineRule="auto"/>
        <w:ind w:firstLine="480"/>
        <w:jc w:val="both"/>
      </w:pPr>
      <w:bookmarkStart w:id="1926" w:name="OLE_LINK943"/>
      <w:r>
        <w:rPr>
          <w:rFonts w:hint="eastAsia"/>
        </w:rPr>
        <w:t>本工程</w:t>
      </w:r>
      <w:bookmarkEnd w:id="1926"/>
      <w:r>
        <w:rPr>
          <w:rFonts w:hint="eastAsia"/>
        </w:rPr>
        <w:t>各项环保措施通过充分有效地实施，可以使污染物的排放在生产过程中得到有效</w:t>
      </w:r>
      <w:r>
        <w:rPr>
          <w:rFonts w:hint="eastAsia"/>
        </w:rPr>
        <w:t>地</w:t>
      </w:r>
      <w:r>
        <w:rPr>
          <w:rFonts w:hint="eastAsia"/>
        </w:rPr>
        <w:t>控制。工程选用先进、成熟、可靠、具有节能和环保效果的技术，使各种污染物在排放前得以尽可能大</w:t>
      </w:r>
      <w:r>
        <w:rPr>
          <w:rFonts w:hint="eastAsia"/>
        </w:rPr>
        <w:t>地</w:t>
      </w:r>
      <w:r>
        <w:rPr>
          <w:rFonts w:hint="eastAsia"/>
        </w:rPr>
        <w:t>削减。在生产过程中充分、有效地利用了资源，减少各种资源的损失，大大降低其对周围环境的影响</w:t>
      </w:r>
      <w:r>
        <w:rPr>
          <w:rFonts w:hint="eastAsia"/>
        </w:rPr>
        <w:t>。</w:t>
      </w:r>
    </w:p>
    <w:p w:rsidR="00C645C9" w:rsidRDefault="00F955D9">
      <w:pPr>
        <w:pStyle w:val="3"/>
        <w:adjustRightInd w:val="0"/>
        <w:snapToGrid w:val="0"/>
        <w:spacing w:before="0" w:after="0" w:line="360" w:lineRule="auto"/>
        <w:rPr>
          <w:rFonts w:ascii="Times New Roman" w:hAnsi="Times New Roman" w:cs="Times New Roman"/>
          <w:snapToGrid/>
          <w:color w:val="auto"/>
          <w:szCs w:val="20"/>
          <w:lang w:eastAsia="zh-CN"/>
        </w:rPr>
      </w:pPr>
      <w:r>
        <w:rPr>
          <w:rFonts w:ascii="Times New Roman" w:hAnsi="Times New Roman" w:cs="Times New Roman" w:hint="eastAsia"/>
          <w:snapToGrid/>
          <w:color w:val="auto"/>
          <w:szCs w:val="20"/>
          <w:lang w:eastAsia="zh-CN"/>
        </w:rPr>
        <w:t>8.1.3</w:t>
      </w:r>
      <w:r>
        <w:rPr>
          <w:rFonts w:ascii="Times New Roman" w:hAnsi="Times New Roman" w:cs="Times New Roman" w:hint="eastAsia"/>
          <w:snapToGrid/>
          <w:color w:val="auto"/>
          <w:szCs w:val="20"/>
          <w:lang w:eastAsia="zh-CN"/>
        </w:rPr>
        <w:t>环保投资估算</w:t>
      </w:r>
    </w:p>
    <w:p w:rsidR="00C645C9" w:rsidRDefault="00F955D9">
      <w:pPr>
        <w:spacing w:line="360" w:lineRule="auto"/>
        <w:ind w:firstLine="480"/>
        <w:rPr>
          <w:rFonts w:cs="Times New Roman"/>
        </w:rPr>
      </w:pPr>
      <w:r>
        <w:rPr>
          <w:rFonts w:cs="Times New Roman"/>
        </w:rPr>
        <w:t>本工程</w:t>
      </w:r>
      <w:r>
        <w:rPr>
          <w:rFonts w:cs="Times New Roman"/>
        </w:rPr>
        <w:t>总投资为</w:t>
      </w:r>
      <w:bookmarkStart w:id="1927" w:name="OLE_LINK1121"/>
      <w:r>
        <w:rPr>
          <w:rFonts w:cs="Times New Roman"/>
        </w:rPr>
        <w:t>452.5</w:t>
      </w:r>
      <w:bookmarkEnd w:id="1927"/>
      <w:r>
        <w:rPr>
          <w:rFonts w:cs="Times New Roman"/>
          <w:szCs w:val="22"/>
        </w:rPr>
        <w:t>万元</w:t>
      </w:r>
      <w:r>
        <w:rPr>
          <w:rFonts w:cs="Times New Roman"/>
        </w:rPr>
        <w:t>，其中环保投资</w:t>
      </w:r>
      <w:bookmarkStart w:id="1928" w:name="OLE_LINK1509"/>
      <w:r>
        <w:rPr>
          <w:rFonts w:cs="Times New Roman" w:hint="eastAsia"/>
        </w:rPr>
        <w:t>43</w:t>
      </w:r>
      <w:bookmarkEnd w:id="1928"/>
      <w:r>
        <w:rPr>
          <w:rFonts w:cs="Times New Roman"/>
        </w:rPr>
        <w:t>万元，占总投资的</w:t>
      </w:r>
      <w:r>
        <w:rPr>
          <w:rFonts w:cs="Times New Roman" w:hint="eastAsia"/>
        </w:rPr>
        <w:t>9.5</w:t>
      </w:r>
      <w:r>
        <w:rPr>
          <w:rFonts w:cs="Times New Roman"/>
        </w:rPr>
        <w:t>%</w:t>
      </w:r>
      <w:r>
        <w:rPr>
          <w:rFonts w:cs="Times New Roman"/>
        </w:rPr>
        <w:t>。估算见</w:t>
      </w:r>
      <w:r>
        <w:rPr>
          <w:rFonts w:cs="Times New Roman"/>
        </w:rPr>
        <w:t>表</w:t>
      </w:r>
      <w:bookmarkStart w:id="1929" w:name="OLE_LINK946"/>
      <w:r>
        <w:rPr>
          <w:rFonts w:cs="Times New Roman" w:hint="eastAsia"/>
        </w:rPr>
        <w:t>8.1-1</w:t>
      </w:r>
      <w:bookmarkEnd w:id="1929"/>
      <w:r>
        <w:rPr>
          <w:rFonts w:cs="Times New Roman"/>
        </w:rPr>
        <w:t>。</w:t>
      </w:r>
    </w:p>
    <w:p w:rsidR="00C645C9" w:rsidRDefault="00F955D9">
      <w:pPr>
        <w:pStyle w:val="aff8"/>
        <w:ind w:firstLineChars="0" w:firstLine="0"/>
        <w:rPr>
          <w:rFonts w:eastAsia="黑体" w:cs="Times New Roman"/>
          <w:b w:val="0"/>
          <w:bCs/>
          <w:sz w:val="21"/>
          <w:szCs w:val="21"/>
        </w:rPr>
      </w:pPr>
      <w:r>
        <w:rPr>
          <w:rFonts w:eastAsia="黑体" w:cs="Times New Roman"/>
          <w:b w:val="0"/>
          <w:bCs/>
          <w:sz w:val="21"/>
          <w:szCs w:val="21"/>
        </w:rPr>
        <w:t>表</w:t>
      </w:r>
      <w:r>
        <w:rPr>
          <w:rFonts w:eastAsia="黑体" w:cs="Times New Roman"/>
          <w:b w:val="0"/>
          <w:bCs/>
          <w:sz w:val="21"/>
          <w:szCs w:val="21"/>
        </w:rPr>
        <w:t xml:space="preserve">8.1-1   </w:t>
      </w:r>
      <w:r>
        <w:rPr>
          <w:rFonts w:eastAsia="黑体" w:cs="Times New Roman"/>
          <w:b w:val="0"/>
          <w:bCs/>
          <w:sz w:val="21"/>
          <w:szCs w:val="21"/>
        </w:rPr>
        <w:t>环保投资估算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3"/>
        <w:gridCol w:w="595"/>
        <w:gridCol w:w="1044"/>
        <w:gridCol w:w="3688"/>
        <w:gridCol w:w="1694"/>
        <w:gridCol w:w="858"/>
      </w:tblGrid>
      <w:tr w:rsidR="00C645C9">
        <w:trPr>
          <w:trHeight w:val="454"/>
          <w:tblHeader/>
        </w:trPr>
        <w:tc>
          <w:tcPr>
            <w:tcW w:w="288" w:type="pct"/>
            <w:vAlign w:val="center"/>
          </w:tcPr>
          <w:p w:rsidR="00C645C9" w:rsidRDefault="00F955D9">
            <w:pPr>
              <w:adjustRightInd w:val="0"/>
              <w:snapToGrid w:val="0"/>
              <w:jc w:val="center"/>
              <w:rPr>
                <w:rFonts w:cs="Times New Roman"/>
                <w:sz w:val="21"/>
                <w:szCs w:val="21"/>
              </w:rPr>
            </w:pPr>
            <w:bookmarkStart w:id="1930" w:name="OLE_LINK971"/>
            <w:r>
              <w:rPr>
                <w:rFonts w:cs="Times New Roman"/>
                <w:sz w:val="21"/>
                <w:szCs w:val="21"/>
              </w:rPr>
              <w:t>类别</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污染源</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环保措施</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治理效果</w:t>
            </w:r>
          </w:p>
        </w:tc>
        <w:tc>
          <w:tcPr>
            <w:tcW w:w="513" w:type="pct"/>
            <w:vAlign w:val="center"/>
          </w:tcPr>
          <w:p w:rsidR="00C645C9" w:rsidRDefault="00F955D9">
            <w:pPr>
              <w:adjustRightInd w:val="0"/>
              <w:snapToGrid w:val="0"/>
              <w:jc w:val="center"/>
              <w:rPr>
                <w:rFonts w:cs="Times New Roman"/>
                <w:sz w:val="21"/>
                <w:szCs w:val="21"/>
              </w:rPr>
            </w:pPr>
            <w:r>
              <w:rPr>
                <w:rFonts w:cs="Times New Roman"/>
                <w:sz w:val="21"/>
                <w:szCs w:val="21"/>
              </w:rPr>
              <w:t>投资</w:t>
            </w:r>
          </w:p>
          <w:p w:rsidR="00C645C9" w:rsidRDefault="00F955D9">
            <w:pPr>
              <w:adjustRightInd w:val="0"/>
              <w:snapToGrid w:val="0"/>
              <w:jc w:val="center"/>
              <w:rPr>
                <w:rFonts w:cs="Times New Roman"/>
                <w:sz w:val="21"/>
                <w:szCs w:val="21"/>
              </w:rPr>
            </w:pPr>
            <w:r>
              <w:rPr>
                <w:rFonts w:cs="Times New Roman"/>
                <w:sz w:val="21"/>
                <w:szCs w:val="21"/>
              </w:rPr>
              <w:t>（</w:t>
            </w:r>
            <w:r>
              <w:rPr>
                <w:rFonts w:cs="Times New Roman"/>
                <w:sz w:val="21"/>
                <w:szCs w:val="21"/>
              </w:rPr>
              <w:t>万元</w:t>
            </w:r>
            <w:r>
              <w:rPr>
                <w:rFonts w:cs="Times New Roman"/>
                <w:sz w:val="21"/>
                <w:szCs w:val="21"/>
              </w:rPr>
              <w:t>）</w:t>
            </w:r>
          </w:p>
        </w:tc>
      </w:tr>
      <w:tr w:rsidR="00C645C9">
        <w:trPr>
          <w:trHeight w:val="454"/>
        </w:trPr>
        <w:tc>
          <w:tcPr>
            <w:tcW w:w="288" w:type="pct"/>
            <w:vMerge w:val="restart"/>
            <w:vAlign w:val="center"/>
          </w:tcPr>
          <w:p w:rsidR="00C645C9" w:rsidRDefault="00F955D9">
            <w:pPr>
              <w:adjustRightInd w:val="0"/>
              <w:snapToGrid w:val="0"/>
              <w:jc w:val="center"/>
              <w:rPr>
                <w:rFonts w:cs="Times New Roman"/>
                <w:sz w:val="21"/>
                <w:szCs w:val="21"/>
              </w:rPr>
            </w:pPr>
            <w:bookmarkStart w:id="1931" w:name="OLE_LINK945" w:colFirst="4" w:colLast="4"/>
            <w:bookmarkStart w:id="1932" w:name="OLE_LINK950" w:colFirst="4" w:colLast="5"/>
            <w:r>
              <w:rPr>
                <w:rFonts w:cs="Times New Roman"/>
                <w:sz w:val="21"/>
                <w:szCs w:val="21"/>
              </w:rPr>
              <w:t>废气</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施工扬尘</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临时抑尘覆盖物</w:t>
            </w:r>
            <w:r>
              <w:rPr>
                <w:rFonts w:cs="Times New Roman"/>
                <w:sz w:val="21"/>
                <w:szCs w:val="21"/>
              </w:rPr>
              <w:t>（</w:t>
            </w:r>
            <w:r>
              <w:rPr>
                <w:rFonts w:cs="Times New Roman"/>
                <w:sz w:val="21"/>
                <w:szCs w:val="21"/>
              </w:rPr>
              <w:t>草包、帆布等</w:t>
            </w:r>
            <w:r>
              <w:rPr>
                <w:rFonts w:cs="Times New Roman"/>
                <w:sz w:val="21"/>
                <w:szCs w:val="21"/>
              </w:rPr>
              <w:t>）</w:t>
            </w:r>
            <w:r>
              <w:rPr>
                <w:rFonts w:cs="Times New Roman"/>
                <w:sz w:val="21"/>
                <w:szCs w:val="21"/>
              </w:rPr>
              <w:t>、洒水</w:t>
            </w:r>
            <w:r>
              <w:rPr>
                <w:rFonts w:cs="Times New Roman"/>
                <w:sz w:val="21"/>
                <w:szCs w:val="21"/>
              </w:rPr>
              <w:t>（</w:t>
            </w:r>
            <w:r>
              <w:rPr>
                <w:rFonts w:cs="Times New Roman"/>
                <w:sz w:val="21"/>
                <w:szCs w:val="21"/>
              </w:rPr>
              <w:t>防尘、洒水等</w:t>
            </w:r>
            <w:r>
              <w:rPr>
                <w:rFonts w:cs="Times New Roman"/>
                <w:sz w:val="21"/>
                <w:szCs w:val="21"/>
              </w:rPr>
              <w:t>）</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jc w:val="center"/>
              <w:rPr>
                <w:rFonts w:cs="Times New Roman"/>
                <w:sz w:val="21"/>
                <w:szCs w:val="21"/>
              </w:rPr>
            </w:pPr>
            <w:r>
              <w:rPr>
                <w:rFonts w:hint="eastAsia"/>
                <w:sz w:val="21"/>
                <w:szCs w:val="21"/>
              </w:rPr>
              <w:t>井场加热炉燃烧废气</w:t>
            </w:r>
          </w:p>
        </w:tc>
        <w:tc>
          <w:tcPr>
            <w:tcW w:w="2205" w:type="pct"/>
            <w:vAlign w:val="center"/>
          </w:tcPr>
          <w:p w:rsidR="00C645C9" w:rsidRDefault="00F955D9">
            <w:pPr>
              <w:jc w:val="center"/>
              <w:rPr>
                <w:rFonts w:cs="Times New Roman"/>
                <w:sz w:val="21"/>
                <w:szCs w:val="21"/>
              </w:rPr>
            </w:pPr>
            <w:r>
              <w:rPr>
                <w:sz w:val="21"/>
                <w:szCs w:val="21"/>
              </w:rPr>
              <w:t>以净化后的天然气为燃料</w:t>
            </w:r>
            <w:r>
              <w:rPr>
                <w:sz w:val="21"/>
                <w:szCs w:val="21"/>
              </w:rPr>
              <w:t>+</w:t>
            </w:r>
            <w:r>
              <w:rPr>
                <w:rFonts w:hint="eastAsia"/>
                <w:sz w:val="21"/>
                <w:szCs w:val="21"/>
              </w:rPr>
              <w:t>8</w:t>
            </w:r>
            <w:r>
              <w:rPr>
                <w:sz w:val="21"/>
                <w:szCs w:val="21"/>
              </w:rPr>
              <w:t>m</w:t>
            </w:r>
            <w:r>
              <w:rPr>
                <w:sz w:val="21"/>
                <w:szCs w:val="21"/>
              </w:rPr>
              <w:t>高烟囱</w:t>
            </w:r>
          </w:p>
        </w:tc>
        <w:tc>
          <w:tcPr>
            <w:tcW w:w="1012" w:type="pct"/>
            <w:vAlign w:val="center"/>
          </w:tcPr>
          <w:p w:rsidR="00C645C9" w:rsidRDefault="00F955D9">
            <w:pPr>
              <w:jc w:val="center"/>
              <w:rPr>
                <w:sz w:val="21"/>
                <w:szCs w:val="21"/>
              </w:rPr>
            </w:pPr>
            <w:r>
              <w:rPr>
                <w:sz w:val="21"/>
                <w:szCs w:val="21"/>
              </w:rPr>
              <w:t>SO</w:t>
            </w:r>
            <w:r>
              <w:rPr>
                <w:sz w:val="21"/>
                <w:szCs w:val="21"/>
                <w:vertAlign w:val="subscript"/>
              </w:rPr>
              <w:t>2</w:t>
            </w:r>
            <w:r>
              <w:rPr>
                <w:sz w:val="21"/>
                <w:szCs w:val="21"/>
              </w:rPr>
              <w:t>≤50mg/m</w:t>
            </w:r>
            <w:r>
              <w:rPr>
                <w:sz w:val="21"/>
                <w:szCs w:val="21"/>
                <w:vertAlign w:val="superscript"/>
              </w:rPr>
              <w:t>3</w:t>
            </w:r>
          </w:p>
          <w:p w:rsidR="00C645C9" w:rsidRDefault="00F955D9">
            <w:pPr>
              <w:jc w:val="center"/>
              <w:rPr>
                <w:sz w:val="21"/>
                <w:szCs w:val="21"/>
              </w:rPr>
            </w:pPr>
            <w:r>
              <w:rPr>
                <w:sz w:val="21"/>
                <w:szCs w:val="21"/>
              </w:rPr>
              <w:t>NO</w:t>
            </w:r>
            <w:r>
              <w:rPr>
                <w:sz w:val="21"/>
                <w:szCs w:val="21"/>
                <w:vertAlign w:val="subscript"/>
              </w:rPr>
              <w:t>X</w:t>
            </w:r>
            <w:r>
              <w:rPr>
                <w:sz w:val="21"/>
                <w:szCs w:val="21"/>
              </w:rPr>
              <w:t>≤150mg/m</w:t>
            </w:r>
            <w:r>
              <w:rPr>
                <w:sz w:val="21"/>
                <w:szCs w:val="21"/>
                <w:vertAlign w:val="superscript"/>
              </w:rPr>
              <w:t>3</w:t>
            </w:r>
          </w:p>
          <w:p w:rsidR="00C645C9" w:rsidRDefault="00F955D9">
            <w:pPr>
              <w:jc w:val="center"/>
              <w:rPr>
                <w:rFonts w:cs="Times New Roman"/>
                <w:sz w:val="21"/>
                <w:szCs w:val="21"/>
              </w:rPr>
            </w:pPr>
            <w:r>
              <w:rPr>
                <w:rFonts w:hint="eastAsia"/>
                <w:sz w:val="21"/>
                <w:szCs w:val="21"/>
              </w:rPr>
              <w:t>颗粒物</w:t>
            </w:r>
            <w:r>
              <w:rPr>
                <w:sz w:val="21"/>
                <w:szCs w:val="21"/>
              </w:rPr>
              <w:t>≤</w:t>
            </w:r>
            <w:r>
              <w:rPr>
                <w:rFonts w:hint="eastAsia"/>
                <w:sz w:val="21"/>
                <w:szCs w:val="21"/>
              </w:rPr>
              <w:t>20</w:t>
            </w:r>
            <w:r>
              <w:rPr>
                <w:sz w:val="21"/>
                <w:szCs w:val="21"/>
              </w:rPr>
              <w:t>mg/m</w:t>
            </w:r>
            <w:r>
              <w:rPr>
                <w:sz w:val="21"/>
                <w:szCs w:val="21"/>
                <w:vertAlign w:val="superscript"/>
              </w:rPr>
              <w:t>3</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1.5</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无组织排放</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装置做好日常维护，做好密闭措施</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非甲烷总烃</w:t>
            </w:r>
            <w:r>
              <w:rPr>
                <w:rFonts w:cs="Times New Roman"/>
                <w:sz w:val="21"/>
                <w:szCs w:val="21"/>
              </w:rPr>
              <w:t>≤4.0mg/m</w:t>
            </w:r>
            <w:r>
              <w:rPr>
                <w:rFonts w:cs="Times New Roman"/>
                <w:sz w:val="21"/>
                <w:szCs w:val="21"/>
                <w:vertAlign w:val="superscript"/>
              </w:rPr>
              <w:t>3</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0.5</w:t>
            </w:r>
          </w:p>
        </w:tc>
      </w:tr>
      <w:tr w:rsidR="00C645C9">
        <w:trPr>
          <w:trHeight w:val="1058"/>
        </w:trPr>
        <w:tc>
          <w:tcPr>
            <w:tcW w:w="288" w:type="pct"/>
            <w:vAlign w:val="center"/>
          </w:tcPr>
          <w:p w:rsidR="00C645C9" w:rsidRDefault="00F955D9">
            <w:pPr>
              <w:adjustRightInd w:val="0"/>
              <w:snapToGrid w:val="0"/>
              <w:jc w:val="center"/>
              <w:rPr>
                <w:rFonts w:cs="Times New Roman"/>
                <w:sz w:val="21"/>
                <w:szCs w:val="21"/>
              </w:rPr>
            </w:pPr>
            <w:r>
              <w:rPr>
                <w:rFonts w:cs="Times New Roman"/>
                <w:sz w:val="21"/>
                <w:szCs w:val="21"/>
              </w:rPr>
              <w:t>噪声</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设备噪声</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选择低噪声设备、加强设备维护，基础减振</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场界：</w:t>
            </w:r>
          </w:p>
          <w:p w:rsidR="00C645C9" w:rsidRDefault="00F955D9">
            <w:pPr>
              <w:adjustRightInd w:val="0"/>
              <w:snapToGrid w:val="0"/>
              <w:jc w:val="center"/>
              <w:rPr>
                <w:rFonts w:cs="Times New Roman"/>
                <w:sz w:val="21"/>
                <w:szCs w:val="21"/>
              </w:rPr>
            </w:pPr>
            <w:r>
              <w:rPr>
                <w:rFonts w:cs="Times New Roman"/>
                <w:sz w:val="21"/>
                <w:szCs w:val="21"/>
              </w:rPr>
              <w:t>昼间</w:t>
            </w:r>
            <w:r>
              <w:rPr>
                <w:rFonts w:cs="Times New Roman"/>
                <w:sz w:val="21"/>
                <w:szCs w:val="21"/>
              </w:rPr>
              <w:t>≤6</w:t>
            </w:r>
            <w:r>
              <w:rPr>
                <w:rFonts w:cs="Times New Roman" w:hint="eastAsia"/>
                <w:sz w:val="21"/>
                <w:szCs w:val="21"/>
              </w:rPr>
              <w:t>0</w:t>
            </w:r>
            <w:r>
              <w:rPr>
                <w:rFonts w:cs="Times New Roman"/>
                <w:sz w:val="21"/>
                <w:szCs w:val="21"/>
              </w:rPr>
              <w:t>dB</w:t>
            </w:r>
            <w:r>
              <w:rPr>
                <w:rFonts w:cs="Times New Roman"/>
                <w:sz w:val="21"/>
                <w:szCs w:val="21"/>
              </w:rPr>
              <w:t>（</w:t>
            </w:r>
            <w:r>
              <w:rPr>
                <w:rFonts w:cs="Times New Roman"/>
                <w:sz w:val="21"/>
                <w:szCs w:val="21"/>
              </w:rPr>
              <w:t>A</w:t>
            </w:r>
            <w:r>
              <w:rPr>
                <w:rFonts w:cs="Times New Roman"/>
                <w:sz w:val="21"/>
                <w:szCs w:val="21"/>
              </w:rPr>
              <w:t>）</w:t>
            </w:r>
          </w:p>
          <w:p w:rsidR="00C645C9" w:rsidRDefault="00F955D9">
            <w:pPr>
              <w:adjustRightInd w:val="0"/>
              <w:snapToGrid w:val="0"/>
              <w:jc w:val="center"/>
              <w:rPr>
                <w:rFonts w:cs="Times New Roman"/>
                <w:sz w:val="21"/>
                <w:szCs w:val="21"/>
              </w:rPr>
            </w:pPr>
            <w:r>
              <w:rPr>
                <w:rFonts w:cs="Times New Roman"/>
                <w:sz w:val="21"/>
                <w:szCs w:val="21"/>
              </w:rPr>
              <w:t>夜间</w:t>
            </w:r>
            <w:r>
              <w:rPr>
                <w:rFonts w:cs="Times New Roman"/>
                <w:sz w:val="21"/>
                <w:szCs w:val="21"/>
              </w:rPr>
              <w:t>≤5</w:t>
            </w:r>
            <w:r>
              <w:rPr>
                <w:rFonts w:cs="Times New Roman" w:hint="eastAsia"/>
                <w:sz w:val="21"/>
                <w:szCs w:val="21"/>
              </w:rPr>
              <w:t>0</w:t>
            </w:r>
            <w:r>
              <w:rPr>
                <w:rFonts w:cs="Times New Roman"/>
                <w:sz w:val="21"/>
                <w:szCs w:val="21"/>
              </w:rPr>
              <w:t>dB</w:t>
            </w:r>
            <w:r>
              <w:rPr>
                <w:rFonts w:cs="Times New Roman"/>
                <w:sz w:val="21"/>
                <w:szCs w:val="21"/>
              </w:rPr>
              <w:t>（</w:t>
            </w:r>
            <w:r>
              <w:rPr>
                <w:rFonts w:cs="Times New Roman"/>
                <w:sz w:val="21"/>
                <w:szCs w:val="21"/>
              </w:rPr>
              <w:t>A</w:t>
            </w:r>
            <w:r>
              <w:rPr>
                <w:rFonts w:cs="Times New Roman"/>
                <w:sz w:val="21"/>
                <w:szCs w:val="21"/>
              </w:rPr>
              <w:t>）</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454"/>
        </w:trPr>
        <w:tc>
          <w:tcPr>
            <w:tcW w:w="28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固体废物</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地面工程施工</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施工废料应首先考虑回收利用，不可回收利用部分由库车绿能环保科技有限公司拉运至库车经济开发区工业固废填埋场合规处置</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0.5</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hint="eastAsia"/>
                <w:sz w:val="21"/>
                <w:szCs w:val="21"/>
              </w:rPr>
              <w:t>生活垃圾</w:t>
            </w:r>
          </w:p>
        </w:tc>
        <w:tc>
          <w:tcPr>
            <w:tcW w:w="2205"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集中收集后，委托库车绿能环保科技有限公司清运处置</w:t>
            </w:r>
          </w:p>
        </w:tc>
        <w:tc>
          <w:tcPr>
            <w:tcW w:w="1012" w:type="pct"/>
            <w:vAlign w:val="center"/>
          </w:tcPr>
          <w:p w:rsidR="00C645C9" w:rsidRDefault="00F955D9">
            <w:pPr>
              <w:adjustRightInd w:val="0"/>
              <w:snapToGrid w:val="0"/>
              <w:jc w:val="center"/>
              <w:rPr>
                <w:rFonts w:cs="Times New Roman"/>
                <w:sz w:val="21"/>
                <w:szCs w:val="21"/>
              </w:rPr>
            </w:pPr>
            <w:bookmarkStart w:id="1933" w:name="OLE_LINK947"/>
            <w:r>
              <w:rPr>
                <w:rFonts w:cs="Times New Roman"/>
                <w:sz w:val="21"/>
                <w:szCs w:val="21"/>
              </w:rPr>
              <w:t>妥善处理</w:t>
            </w:r>
            <w:bookmarkEnd w:id="1933"/>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hint="eastAsia"/>
                <w:sz w:val="21"/>
                <w:szCs w:val="21"/>
              </w:rPr>
              <w:t>钻井泥浆</w:t>
            </w:r>
            <w:r>
              <w:rPr>
                <w:rFonts w:cs="Times New Roman" w:hint="eastAsia"/>
                <w:sz w:val="21"/>
                <w:szCs w:val="21"/>
              </w:rPr>
              <w:t>、岩屑</w:t>
            </w:r>
          </w:p>
        </w:tc>
        <w:tc>
          <w:tcPr>
            <w:tcW w:w="2205"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泥浆不落地处理系统处理</w:t>
            </w:r>
            <w:r>
              <w:rPr>
                <w:rFonts w:cs="Times New Roman" w:hint="eastAsia"/>
                <w:sz w:val="21"/>
                <w:szCs w:val="21"/>
              </w:rPr>
              <w:t>，固相使用专用罐收集后，拉运至塔河油田绿色环保工作站</w:t>
            </w:r>
            <w:r>
              <w:rPr>
                <w:rFonts w:cs="Times New Roman" w:hint="eastAsia"/>
                <w:sz w:val="21"/>
                <w:szCs w:val="21"/>
              </w:rPr>
              <w:t>处理</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bookmarkStart w:id="1934" w:name="OLE_LINK967" w:colFirst="1" w:colLast="2"/>
            <w:bookmarkStart w:id="1935" w:name="OLE_LINK1120" w:colFirst="4" w:colLast="4"/>
            <w:bookmarkStart w:id="1936" w:name="OLE_LINK1119" w:colFirst="4" w:colLast="4"/>
            <w:bookmarkEnd w:id="1931"/>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落地油</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落地油由塔河油田绿色环保站清运处置</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清罐底泥、废润滑油</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回收至密闭的专用罐车内，委托持有危险废物经营许可证的单位利用处置</w:t>
            </w:r>
          </w:p>
        </w:tc>
        <w:tc>
          <w:tcPr>
            <w:tcW w:w="1012" w:type="pct"/>
            <w:vAlign w:val="center"/>
          </w:tcPr>
          <w:p w:rsidR="00C645C9" w:rsidRDefault="00F955D9">
            <w:pPr>
              <w:adjustRightInd w:val="0"/>
              <w:snapToGrid w:val="0"/>
              <w:jc w:val="center"/>
              <w:rPr>
                <w:rFonts w:cs="Times New Roman"/>
                <w:sz w:val="21"/>
                <w:szCs w:val="21"/>
              </w:rPr>
            </w:pPr>
            <w:bookmarkStart w:id="1937" w:name="OLE_LINK948"/>
            <w:r>
              <w:rPr>
                <w:rFonts w:cs="Times New Roman"/>
                <w:sz w:val="21"/>
                <w:szCs w:val="21"/>
              </w:rPr>
              <w:t>妥善处理</w:t>
            </w:r>
            <w:bookmarkEnd w:id="1937"/>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bookmarkEnd w:id="1934"/>
      <w:tr w:rsidR="00C645C9">
        <w:trPr>
          <w:trHeight w:val="454"/>
        </w:trPr>
        <w:tc>
          <w:tcPr>
            <w:tcW w:w="28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生态</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占地</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施工结束后进行场地平整；控制施工作业带宽度；水土保持措施、防沙治沙等</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施工结束后场地平整</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overflowPunct w:val="0"/>
              <w:autoSpaceDE w:val="0"/>
              <w:autoSpaceDN w:val="0"/>
              <w:jc w:val="center"/>
              <w:textAlignment w:val="baseline"/>
              <w:rPr>
                <w:rFonts w:cs="Times New Roman"/>
                <w:sz w:val="21"/>
                <w:szCs w:val="21"/>
              </w:rPr>
            </w:pPr>
            <w:r>
              <w:rPr>
                <w:sz w:val="21"/>
                <w:szCs w:val="21"/>
              </w:rPr>
              <w:t>水土流失</w:t>
            </w:r>
          </w:p>
        </w:tc>
        <w:tc>
          <w:tcPr>
            <w:tcW w:w="2205" w:type="pct"/>
            <w:vAlign w:val="center"/>
          </w:tcPr>
          <w:p w:rsidR="00C645C9" w:rsidRDefault="00F955D9">
            <w:pPr>
              <w:overflowPunct w:val="0"/>
              <w:autoSpaceDE w:val="0"/>
              <w:autoSpaceDN w:val="0"/>
              <w:jc w:val="center"/>
              <w:textAlignment w:val="baseline"/>
              <w:rPr>
                <w:rFonts w:cs="Times New Roman"/>
                <w:sz w:val="21"/>
                <w:szCs w:val="21"/>
              </w:rPr>
            </w:pPr>
            <w:r>
              <w:rPr>
                <w:sz w:val="21"/>
                <w:szCs w:val="21"/>
              </w:rPr>
              <w:t>防沙治沙和水土保持措施</w:t>
            </w:r>
          </w:p>
        </w:tc>
        <w:tc>
          <w:tcPr>
            <w:tcW w:w="1012" w:type="pct"/>
            <w:vAlign w:val="center"/>
          </w:tcPr>
          <w:p w:rsidR="00C645C9" w:rsidRDefault="00F955D9">
            <w:pPr>
              <w:jc w:val="center"/>
              <w:rPr>
                <w:rFonts w:cs="Times New Roman"/>
                <w:sz w:val="21"/>
                <w:szCs w:val="21"/>
              </w:rPr>
            </w:pPr>
            <w:r>
              <w:rPr>
                <w:sz w:val="21"/>
                <w:szCs w:val="21"/>
              </w:rPr>
              <w:t>防止水土流失</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环境风险管理</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环境风险</w:t>
            </w:r>
          </w:p>
          <w:p w:rsidR="00C645C9" w:rsidRDefault="00F955D9">
            <w:pPr>
              <w:adjustRightInd w:val="0"/>
              <w:snapToGrid w:val="0"/>
              <w:jc w:val="center"/>
              <w:rPr>
                <w:rFonts w:cs="Times New Roman"/>
                <w:sz w:val="21"/>
                <w:szCs w:val="21"/>
              </w:rPr>
            </w:pPr>
            <w:r>
              <w:rPr>
                <w:rFonts w:cs="Times New Roman"/>
                <w:sz w:val="21"/>
                <w:szCs w:val="21"/>
              </w:rPr>
              <w:t>防范措施</w:t>
            </w:r>
          </w:p>
        </w:tc>
        <w:tc>
          <w:tcPr>
            <w:tcW w:w="2205" w:type="pct"/>
            <w:vAlign w:val="center"/>
          </w:tcPr>
          <w:p w:rsidR="00C645C9" w:rsidRDefault="00F955D9">
            <w:pPr>
              <w:jc w:val="center"/>
              <w:rPr>
                <w:rFonts w:cs="Times New Roman"/>
                <w:sz w:val="21"/>
                <w:szCs w:val="21"/>
              </w:rPr>
            </w:pPr>
            <w:r>
              <w:rPr>
                <w:snapToGrid w:val="0"/>
                <w:sz w:val="21"/>
                <w:szCs w:val="21"/>
              </w:rPr>
              <w:t>消防器材、警戒标语标牌、设置可燃气体检测报警仪等防范设施</w:t>
            </w:r>
          </w:p>
        </w:tc>
        <w:tc>
          <w:tcPr>
            <w:tcW w:w="1012" w:type="pct"/>
            <w:vAlign w:val="center"/>
          </w:tcPr>
          <w:p w:rsidR="00C645C9" w:rsidRDefault="00F955D9">
            <w:pPr>
              <w:jc w:val="center"/>
              <w:rPr>
                <w:rFonts w:cs="Times New Roman"/>
                <w:sz w:val="21"/>
                <w:szCs w:val="21"/>
              </w:rPr>
            </w:pPr>
            <w:r>
              <w:rPr>
                <w:snapToGrid w:val="0"/>
                <w:sz w:val="21"/>
                <w:szCs w:val="21"/>
              </w:rPr>
              <w:t>风险防范设施数量按照消防、安全等相关要求设置</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应急预案</w:t>
            </w:r>
          </w:p>
        </w:tc>
        <w:tc>
          <w:tcPr>
            <w:tcW w:w="2205" w:type="pct"/>
            <w:vAlign w:val="center"/>
          </w:tcPr>
          <w:p w:rsidR="00C645C9" w:rsidRDefault="00F955D9">
            <w:pPr>
              <w:jc w:val="center"/>
              <w:rPr>
                <w:rFonts w:cs="Times New Roman"/>
                <w:sz w:val="21"/>
                <w:szCs w:val="21"/>
              </w:rPr>
            </w:pPr>
            <w:r>
              <w:rPr>
                <w:sz w:val="21"/>
                <w:szCs w:val="21"/>
                <w:lang w:bidi="ar"/>
              </w:rPr>
              <w:t>根据</w:t>
            </w:r>
            <w:r>
              <w:rPr>
                <w:rFonts w:hint="eastAsia"/>
                <w:sz w:val="21"/>
                <w:szCs w:val="21"/>
                <w:lang w:bidi="ar"/>
              </w:rPr>
              <w:t>油罐</w:t>
            </w:r>
            <w:r>
              <w:rPr>
                <w:rFonts w:hint="eastAsia"/>
                <w:sz w:val="21"/>
                <w:szCs w:val="21"/>
                <w:lang w:bidi="ar"/>
              </w:rPr>
              <w:t>泄漏</w:t>
            </w:r>
            <w:r>
              <w:rPr>
                <w:sz w:val="21"/>
                <w:szCs w:val="21"/>
                <w:lang w:bidi="ar"/>
              </w:rPr>
              <w:t>应急处理经验，完善现有突发环境事件应急预案</w:t>
            </w:r>
          </w:p>
        </w:tc>
        <w:tc>
          <w:tcPr>
            <w:tcW w:w="1012" w:type="pct"/>
            <w:vAlign w:val="center"/>
          </w:tcPr>
          <w:p w:rsidR="00C645C9" w:rsidRDefault="00F955D9">
            <w:pPr>
              <w:jc w:val="center"/>
              <w:rPr>
                <w:rFonts w:cs="Times New Roman"/>
                <w:sz w:val="21"/>
                <w:szCs w:val="21"/>
              </w:rPr>
            </w:pPr>
            <w:r>
              <w:rPr>
                <w:sz w:val="21"/>
                <w:szCs w:val="21"/>
              </w:rPr>
              <w:t>修改完善，并定期演练</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66"/>
        </w:trPr>
        <w:tc>
          <w:tcPr>
            <w:tcW w:w="28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废水处理</w:t>
            </w: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生活污水</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生活污水经井场一体化污水处理装置处理后，水质达到《农村生活污水处理排放标准》（</w:t>
            </w:r>
            <w:r>
              <w:rPr>
                <w:rFonts w:cs="Times New Roman"/>
                <w:sz w:val="21"/>
                <w:szCs w:val="21"/>
              </w:rPr>
              <w:t>DB65 4275-2019</w:t>
            </w:r>
            <w:r>
              <w:rPr>
                <w:rFonts w:cs="Times New Roman"/>
                <w:sz w:val="21"/>
                <w:szCs w:val="21"/>
              </w:rPr>
              <w:t>）表二的</w:t>
            </w:r>
            <w:r>
              <w:rPr>
                <w:rFonts w:cs="Times New Roman"/>
                <w:sz w:val="21"/>
                <w:szCs w:val="21"/>
              </w:rPr>
              <w:t>B</w:t>
            </w:r>
            <w:r>
              <w:rPr>
                <w:rFonts w:cs="Times New Roman"/>
                <w:sz w:val="21"/>
                <w:szCs w:val="21"/>
              </w:rPr>
              <w:t>级标准、《农田灌溉水质标准》（</w:t>
            </w:r>
            <w:r>
              <w:rPr>
                <w:rFonts w:cs="Times New Roman"/>
                <w:sz w:val="21"/>
                <w:szCs w:val="21"/>
              </w:rPr>
              <w:t>GB 5084-2021</w:t>
            </w:r>
            <w:r>
              <w:rPr>
                <w:rFonts w:cs="Times New Roman"/>
                <w:sz w:val="21"/>
                <w:szCs w:val="21"/>
              </w:rPr>
              <w:t>）表一旱地作物标准后用于井场及道路降尘</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66"/>
        </w:trPr>
        <w:tc>
          <w:tcPr>
            <w:tcW w:w="288" w:type="pct"/>
            <w:vMerge/>
            <w:vAlign w:val="center"/>
          </w:tcPr>
          <w:p w:rsidR="00C645C9" w:rsidRDefault="00C645C9">
            <w:pPr>
              <w:adjustRightInd w:val="0"/>
              <w:snapToGrid w:val="0"/>
              <w:jc w:val="cente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酸化压裂废水</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专用废液收集罐收集后运至塔河油田绿色环保工作站处理</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1.5</w:t>
            </w:r>
          </w:p>
        </w:tc>
      </w:tr>
      <w:tr w:rsidR="00C645C9">
        <w:trPr>
          <w:trHeight w:val="66"/>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生产废水</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罐车拉运至塔河油田绿色环保工作站处理</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p>
        </w:tc>
      </w:tr>
      <w:tr w:rsidR="00C645C9">
        <w:trPr>
          <w:trHeight w:val="66"/>
        </w:trPr>
        <w:tc>
          <w:tcPr>
            <w:tcW w:w="288" w:type="pct"/>
            <w:vMerge/>
            <w:vAlign w:val="center"/>
          </w:tcPr>
          <w:p w:rsidR="00C645C9" w:rsidRDefault="00C645C9">
            <w:pPr>
              <w:adjustRightInd w:val="0"/>
              <w:snapToGrid w:val="0"/>
              <w:jc w:val="center"/>
              <w:rPr>
                <w:rFonts w:cs="Times New Roman"/>
                <w:sz w:val="21"/>
                <w:szCs w:val="21"/>
              </w:rPr>
            </w:pPr>
          </w:p>
        </w:tc>
        <w:tc>
          <w:tcPr>
            <w:tcW w:w="980"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井下作业废水</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回收罐回收井下作业废水，依托塔河油田绿色环保工作站处理</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妥善处理</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2</w:t>
            </w:r>
          </w:p>
        </w:tc>
      </w:tr>
      <w:tr w:rsidR="00C645C9">
        <w:trPr>
          <w:trHeight w:val="454"/>
        </w:trPr>
        <w:tc>
          <w:tcPr>
            <w:tcW w:w="288" w:type="pct"/>
            <w:vMerge w:val="restart"/>
            <w:vAlign w:val="center"/>
          </w:tcPr>
          <w:p w:rsidR="00C645C9" w:rsidRDefault="00F955D9">
            <w:pPr>
              <w:adjustRightInd w:val="0"/>
              <w:snapToGrid w:val="0"/>
              <w:jc w:val="center"/>
              <w:rPr>
                <w:rFonts w:cs="Times New Roman"/>
                <w:sz w:val="21"/>
                <w:szCs w:val="21"/>
              </w:rPr>
            </w:pPr>
            <w:r>
              <w:rPr>
                <w:rFonts w:cs="Times New Roman"/>
                <w:sz w:val="21"/>
                <w:szCs w:val="21"/>
              </w:rPr>
              <w:t>地下水、土壤</w:t>
            </w:r>
          </w:p>
        </w:tc>
        <w:tc>
          <w:tcPr>
            <w:tcW w:w="356" w:type="pct"/>
            <w:vAlign w:val="center"/>
          </w:tcPr>
          <w:p w:rsidR="00C645C9" w:rsidRDefault="00F955D9">
            <w:pPr>
              <w:adjustRightInd w:val="0"/>
              <w:snapToGrid w:val="0"/>
              <w:jc w:val="center"/>
              <w:rPr>
                <w:rFonts w:cs="Times New Roman"/>
                <w:sz w:val="21"/>
                <w:szCs w:val="21"/>
              </w:rPr>
            </w:pPr>
            <w:r>
              <w:rPr>
                <w:rFonts w:cs="Times New Roman"/>
                <w:sz w:val="21"/>
                <w:szCs w:val="21"/>
              </w:rPr>
              <w:t>一般防渗区</w:t>
            </w:r>
          </w:p>
        </w:tc>
        <w:tc>
          <w:tcPr>
            <w:tcW w:w="623" w:type="pct"/>
            <w:vAlign w:val="center"/>
          </w:tcPr>
          <w:p w:rsidR="00C645C9" w:rsidRDefault="00F955D9">
            <w:pPr>
              <w:adjustRightInd w:val="0"/>
              <w:snapToGrid w:val="0"/>
              <w:jc w:val="center"/>
              <w:rPr>
                <w:rFonts w:cs="Times New Roman"/>
                <w:sz w:val="21"/>
                <w:szCs w:val="21"/>
              </w:rPr>
            </w:pPr>
            <w:r>
              <w:rPr>
                <w:rFonts w:cs="Times New Roman"/>
                <w:sz w:val="21"/>
                <w:szCs w:val="21"/>
              </w:rPr>
              <w:t>多功能集油器</w:t>
            </w:r>
            <w:r>
              <w:rPr>
                <w:rFonts w:cs="Times New Roman" w:hint="eastAsia"/>
                <w:sz w:val="21"/>
                <w:szCs w:val="21"/>
              </w:rPr>
              <w:t>等</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防渗层防渗性能不应低于</w:t>
            </w:r>
            <w:r>
              <w:rPr>
                <w:rFonts w:cs="Times New Roman"/>
                <w:sz w:val="21"/>
                <w:szCs w:val="21"/>
              </w:rPr>
              <w:t>1.5m</w:t>
            </w:r>
            <w:r>
              <w:rPr>
                <w:rFonts w:cs="Times New Roman"/>
                <w:sz w:val="21"/>
                <w:szCs w:val="21"/>
              </w:rPr>
              <w:t>厚渗透系数为</w:t>
            </w:r>
            <w:r>
              <w:rPr>
                <w:rFonts w:cs="Times New Roman"/>
                <w:sz w:val="21"/>
                <w:szCs w:val="21"/>
              </w:rPr>
              <w:t>1×10</w:t>
            </w:r>
            <w:r>
              <w:rPr>
                <w:rFonts w:cs="Times New Roman"/>
                <w:sz w:val="21"/>
                <w:szCs w:val="21"/>
                <w:vertAlign w:val="superscript"/>
              </w:rPr>
              <w:t>-7</w:t>
            </w:r>
            <w:r>
              <w:rPr>
                <w:rFonts w:cs="Times New Roman"/>
                <w:sz w:val="21"/>
                <w:szCs w:val="21"/>
              </w:rPr>
              <w:t xml:space="preserve">cm/s </w:t>
            </w:r>
            <w:r>
              <w:rPr>
                <w:rFonts w:cs="Times New Roman"/>
                <w:sz w:val="21"/>
                <w:szCs w:val="21"/>
              </w:rPr>
              <w:t>黏土层的防渗性能</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渗透系数小于</w:t>
            </w:r>
            <w:r>
              <w:rPr>
                <w:rFonts w:cs="Times New Roman"/>
                <w:sz w:val="21"/>
                <w:szCs w:val="21"/>
              </w:rPr>
              <w:t>1.0×10</w:t>
            </w:r>
            <w:r>
              <w:rPr>
                <w:rFonts w:cs="Times New Roman"/>
                <w:sz w:val="21"/>
                <w:szCs w:val="21"/>
                <w:vertAlign w:val="superscript"/>
              </w:rPr>
              <w:t>-7</w:t>
            </w:r>
            <w:r>
              <w:rPr>
                <w:rFonts w:cs="Times New Roman"/>
                <w:sz w:val="21"/>
                <w:szCs w:val="21"/>
              </w:rPr>
              <w:t>cm/s</w:t>
            </w:r>
          </w:p>
        </w:tc>
        <w:tc>
          <w:tcPr>
            <w:tcW w:w="513" w:type="pct"/>
            <w:vAlign w:val="center"/>
          </w:tcPr>
          <w:p w:rsidR="00C645C9" w:rsidRDefault="00F955D9">
            <w:pPr>
              <w:adjustRightInd w:val="0"/>
              <w:snapToGrid w:val="0"/>
              <w:jc w:val="center"/>
              <w:rPr>
                <w:rFonts w:cs="Times New Roman"/>
                <w:sz w:val="21"/>
                <w:szCs w:val="21"/>
              </w:rPr>
            </w:pPr>
            <w:r>
              <w:rPr>
                <w:rFonts w:cs="Times New Roman"/>
                <w:sz w:val="21"/>
                <w:szCs w:val="21"/>
              </w:rPr>
              <w:t>3</w:t>
            </w:r>
          </w:p>
        </w:tc>
      </w:tr>
      <w:tr w:rsidR="00C645C9">
        <w:trPr>
          <w:trHeight w:val="454"/>
        </w:trPr>
        <w:tc>
          <w:tcPr>
            <w:tcW w:w="288" w:type="pct"/>
            <w:vMerge/>
            <w:vAlign w:val="center"/>
          </w:tcPr>
          <w:p w:rsidR="00C645C9" w:rsidRDefault="00C645C9">
            <w:pPr>
              <w:adjustRightInd w:val="0"/>
              <w:snapToGrid w:val="0"/>
              <w:jc w:val="center"/>
              <w:rPr>
                <w:rFonts w:cs="Times New Roman"/>
                <w:sz w:val="21"/>
                <w:szCs w:val="21"/>
              </w:rPr>
            </w:pPr>
            <w:bookmarkStart w:id="1938" w:name="OLE_LINK949" w:colFirst="5" w:colLast="5"/>
            <w:bookmarkEnd w:id="1932"/>
          </w:p>
        </w:tc>
        <w:tc>
          <w:tcPr>
            <w:tcW w:w="356" w:type="pct"/>
            <w:vAlign w:val="center"/>
          </w:tcPr>
          <w:p w:rsidR="00C645C9" w:rsidRDefault="00F955D9">
            <w:pPr>
              <w:adjustRightInd w:val="0"/>
              <w:snapToGrid w:val="0"/>
              <w:jc w:val="center"/>
              <w:rPr>
                <w:rFonts w:cs="Times New Roman"/>
                <w:sz w:val="21"/>
                <w:szCs w:val="21"/>
              </w:rPr>
            </w:pPr>
            <w:r>
              <w:rPr>
                <w:rFonts w:cs="Times New Roman"/>
                <w:sz w:val="21"/>
                <w:szCs w:val="21"/>
              </w:rPr>
              <w:t>简单防渗区</w:t>
            </w:r>
          </w:p>
        </w:tc>
        <w:tc>
          <w:tcPr>
            <w:tcW w:w="62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井场</w:t>
            </w:r>
            <w:r>
              <w:rPr>
                <w:rFonts w:cs="Times New Roman"/>
                <w:sz w:val="21"/>
                <w:szCs w:val="21"/>
              </w:rPr>
              <w:t>永久占地</w:t>
            </w:r>
          </w:p>
        </w:tc>
        <w:tc>
          <w:tcPr>
            <w:tcW w:w="2205" w:type="pct"/>
            <w:vAlign w:val="center"/>
          </w:tcPr>
          <w:p w:rsidR="00C645C9" w:rsidRDefault="00F955D9">
            <w:pPr>
              <w:adjustRightInd w:val="0"/>
              <w:snapToGrid w:val="0"/>
              <w:jc w:val="center"/>
              <w:rPr>
                <w:rFonts w:cs="Times New Roman"/>
                <w:sz w:val="21"/>
                <w:szCs w:val="21"/>
              </w:rPr>
            </w:pPr>
            <w:r>
              <w:rPr>
                <w:rFonts w:cs="Times New Roman"/>
                <w:sz w:val="21"/>
                <w:szCs w:val="21"/>
              </w:rPr>
              <w:t>实施地面硬化</w:t>
            </w:r>
          </w:p>
        </w:tc>
        <w:tc>
          <w:tcPr>
            <w:tcW w:w="1012" w:type="pct"/>
            <w:vAlign w:val="center"/>
          </w:tcPr>
          <w:p w:rsidR="00C645C9" w:rsidRDefault="00F955D9">
            <w:pPr>
              <w:adjustRightInd w:val="0"/>
              <w:snapToGrid w:val="0"/>
              <w:jc w:val="center"/>
              <w:rPr>
                <w:rFonts w:cs="Times New Roman"/>
                <w:sz w:val="21"/>
                <w:szCs w:val="21"/>
              </w:rPr>
            </w:pPr>
            <w:r>
              <w:rPr>
                <w:rFonts w:cs="Times New Roman"/>
                <w:sz w:val="21"/>
                <w:szCs w:val="21"/>
              </w:rPr>
              <w:t>地面硬化</w:t>
            </w:r>
          </w:p>
        </w:tc>
        <w:tc>
          <w:tcPr>
            <w:tcW w:w="513" w:type="pct"/>
            <w:vAlign w:val="center"/>
          </w:tcPr>
          <w:p w:rsidR="00C645C9" w:rsidRDefault="00F955D9">
            <w:pPr>
              <w:adjustRightInd w:val="0"/>
              <w:snapToGrid w:val="0"/>
              <w:jc w:val="center"/>
              <w:rPr>
                <w:rFonts w:cs="Times New Roman"/>
                <w:sz w:val="21"/>
                <w:szCs w:val="21"/>
              </w:rPr>
            </w:pPr>
            <w:r>
              <w:rPr>
                <w:rFonts w:cs="Times New Roman"/>
                <w:sz w:val="21"/>
                <w:szCs w:val="21"/>
              </w:rPr>
              <w:t>2</w:t>
            </w:r>
          </w:p>
        </w:tc>
      </w:tr>
      <w:tr w:rsidR="00C645C9">
        <w:trPr>
          <w:trHeight w:val="454"/>
        </w:trPr>
        <w:tc>
          <w:tcPr>
            <w:tcW w:w="1268" w:type="pct"/>
            <w:gridSpan w:val="3"/>
            <w:vMerge w:val="restart"/>
            <w:vAlign w:val="center"/>
          </w:tcPr>
          <w:p w:rsidR="00C645C9" w:rsidRDefault="00F955D9">
            <w:pPr>
              <w:adjustRightInd w:val="0"/>
              <w:snapToGrid w:val="0"/>
              <w:jc w:val="center"/>
              <w:rPr>
                <w:rFonts w:cs="Times New Roman"/>
                <w:sz w:val="21"/>
                <w:szCs w:val="21"/>
              </w:rPr>
            </w:pPr>
            <w:r>
              <w:rPr>
                <w:rFonts w:cs="Times New Roman"/>
                <w:sz w:val="21"/>
                <w:szCs w:val="21"/>
              </w:rPr>
              <w:t>环境管理</w:t>
            </w:r>
          </w:p>
        </w:tc>
        <w:tc>
          <w:tcPr>
            <w:tcW w:w="3218"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环境影响评价、环境保护竣工验收、运营期环境监测</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1</w:t>
            </w:r>
            <w:r>
              <w:rPr>
                <w:rFonts w:cs="Times New Roman" w:hint="eastAsia"/>
                <w:sz w:val="21"/>
                <w:szCs w:val="21"/>
              </w:rPr>
              <w:t>2</w:t>
            </w:r>
          </w:p>
        </w:tc>
      </w:tr>
      <w:tr w:rsidR="00C645C9">
        <w:trPr>
          <w:trHeight w:val="454"/>
        </w:trPr>
        <w:tc>
          <w:tcPr>
            <w:tcW w:w="1268" w:type="pct"/>
            <w:gridSpan w:val="3"/>
            <w:vMerge/>
            <w:vAlign w:val="center"/>
          </w:tcPr>
          <w:p w:rsidR="00C645C9" w:rsidRDefault="00C645C9">
            <w:pPr>
              <w:adjustRightInd w:val="0"/>
              <w:snapToGrid w:val="0"/>
              <w:jc w:val="center"/>
              <w:rPr>
                <w:rFonts w:cs="Times New Roman"/>
                <w:sz w:val="21"/>
                <w:szCs w:val="21"/>
              </w:rPr>
            </w:pPr>
          </w:p>
        </w:tc>
        <w:tc>
          <w:tcPr>
            <w:tcW w:w="3218"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环保培训，演练</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3</w:t>
            </w:r>
          </w:p>
        </w:tc>
      </w:tr>
      <w:bookmarkEnd w:id="1935"/>
      <w:bookmarkEnd w:id="1936"/>
      <w:bookmarkEnd w:id="1938"/>
      <w:tr w:rsidR="00C645C9">
        <w:trPr>
          <w:trHeight w:val="454"/>
        </w:trPr>
        <w:tc>
          <w:tcPr>
            <w:tcW w:w="4486" w:type="pct"/>
            <w:gridSpan w:val="5"/>
            <w:vAlign w:val="center"/>
          </w:tcPr>
          <w:p w:rsidR="00C645C9" w:rsidRDefault="00F955D9">
            <w:pPr>
              <w:adjustRightInd w:val="0"/>
              <w:snapToGrid w:val="0"/>
              <w:jc w:val="center"/>
              <w:rPr>
                <w:rFonts w:cs="Times New Roman"/>
                <w:sz w:val="21"/>
                <w:szCs w:val="21"/>
              </w:rPr>
            </w:pPr>
            <w:r>
              <w:rPr>
                <w:rFonts w:cs="Times New Roman"/>
                <w:sz w:val="21"/>
                <w:szCs w:val="21"/>
              </w:rPr>
              <w:t>环保投资合计</w:t>
            </w:r>
          </w:p>
        </w:tc>
        <w:tc>
          <w:tcPr>
            <w:tcW w:w="513"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43</w:t>
            </w:r>
          </w:p>
        </w:tc>
      </w:tr>
    </w:tbl>
    <w:bookmarkStart w:id="1939" w:name="_Toc29358"/>
    <w:bookmarkEnd w:id="1930"/>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_Toc24443 </w:instrText>
      </w:r>
      <w:r>
        <w:rPr>
          <w:rFonts w:ascii="Times New Roman" w:hAnsi="Times New Roman" w:cs="Times New Roman" w:hint="eastAsia"/>
          <w:color w:val="auto"/>
        </w:rPr>
        <w:fldChar w:fldCharType="separate"/>
      </w:r>
      <w:r>
        <w:rPr>
          <w:rFonts w:ascii="Times New Roman" w:hAnsi="Times New Roman" w:cs="Times New Roman" w:hint="eastAsia"/>
          <w:color w:val="auto"/>
        </w:rPr>
        <w:t>8.2</w:t>
      </w:r>
      <w:r>
        <w:rPr>
          <w:rFonts w:ascii="Times New Roman" w:hAnsi="Times New Roman" w:cs="Times New Roman" w:hint="eastAsia"/>
          <w:color w:val="auto"/>
        </w:rPr>
        <w:t>社会效益分析</w:t>
      </w:r>
      <w:r>
        <w:rPr>
          <w:rFonts w:ascii="Times New Roman" w:hAnsi="Times New Roman" w:cs="Times New Roman" w:hint="eastAsia"/>
          <w:color w:val="auto"/>
        </w:rPr>
        <w:fldChar w:fldCharType="end"/>
      </w:r>
      <w:bookmarkEnd w:id="1939"/>
    </w:p>
    <w:p w:rsidR="00C645C9" w:rsidRDefault="00F955D9" w:rsidP="005718BB">
      <w:pPr>
        <w:pStyle w:val="afff3"/>
        <w:adjustRightInd w:val="0"/>
        <w:snapToGrid w:val="0"/>
        <w:spacing w:beforeLines="0" w:before="0" w:afterLines="0" w:after="0" w:line="360" w:lineRule="auto"/>
        <w:ind w:firstLine="480"/>
        <w:jc w:val="both"/>
        <w:rPr>
          <w:sz w:val="24"/>
          <w:lang w:eastAsia="en-US"/>
        </w:rPr>
      </w:pPr>
      <w:r>
        <w:rPr>
          <w:sz w:val="24"/>
        </w:rPr>
        <w:t>本</w:t>
      </w:r>
      <w:r>
        <w:rPr>
          <w:sz w:val="24"/>
        </w:rPr>
        <w:t>工程</w:t>
      </w:r>
      <w:r>
        <w:rPr>
          <w:sz w:val="24"/>
        </w:rPr>
        <w:t>的实施可以支持国家的经济建设，缓解当前天然气供应紧张、与时俱进的形势</w:t>
      </w:r>
      <w:r>
        <w:rPr>
          <w:sz w:val="24"/>
        </w:rPr>
        <w:t>。</w:t>
      </w:r>
      <w:r>
        <w:rPr>
          <w:sz w:val="24"/>
        </w:rPr>
        <w:t>同时，油田开发对当地工业和经济的发展具有明显的促进作用，能够带动一批相关工业、第三产业的发展，给当地经济发展注入新的活力。</w:t>
      </w:r>
      <w:r>
        <w:rPr>
          <w:sz w:val="24"/>
        </w:rPr>
        <w:t>本工程的实施补充和加快了油田基础设施的建设，具有良好的社会效益</w:t>
      </w:r>
      <w:r>
        <w:rPr>
          <w:rFonts w:hint="eastAsia"/>
          <w:sz w:val="24"/>
        </w:rPr>
        <w:t>。</w:t>
      </w:r>
    </w:p>
    <w:bookmarkStart w:id="1940" w:name="_Toc30396"/>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_Toc1409 </w:instrText>
      </w:r>
      <w:r>
        <w:rPr>
          <w:rFonts w:ascii="Times New Roman" w:hAnsi="Times New Roman" w:cs="Times New Roman" w:hint="eastAsia"/>
          <w:color w:val="auto"/>
        </w:rPr>
        <w:fldChar w:fldCharType="separate"/>
      </w:r>
      <w:r>
        <w:rPr>
          <w:rFonts w:ascii="Times New Roman" w:hAnsi="Times New Roman" w:cs="Times New Roman" w:hint="eastAsia"/>
          <w:color w:val="auto"/>
        </w:rPr>
        <w:t>8.3</w:t>
      </w:r>
      <w:r>
        <w:rPr>
          <w:rFonts w:ascii="Times New Roman" w:hAnsi="Times New Roman" w:cs="Times New Roman" w:hint="eastAsia"/>
          <w:color w:val="auto"/>
        </w:rPr>
        <w:t>综合效益分析</w:t>
      </w:r>
      <w:r>
        <w:rPr>
          <w:rFonts w:ascii="Times New Roman" w:hAnsi="Times New Roman" w:cs="Times New Roman" w:hint="eastAsia"/>
          <w:color w:val="auto"/>
        </w:rPr>
        <w:fldChar w:fldCharType="end"/>
      </w:r>
      <w:bookmarkEnd w:id="1940"/>
    </w:p>
    <w:p w:rsidR="00C645C9" w:rsidRDefault="00F955D9">
      <w:pPr>
        <w:adjustRightInd w:val="0"/>
        <w:snapToGrid w:val="0"/>
        <w:spacing w:line="360" w:lineRule="auto"/>
        <w:ind w:firstLineChars="200" w:firstLine="480"/>
        <w:rPr>
          <w:lang w:eastAsia="en-US"/>
        </w:rPr>
      </w:pPr>
      <w:r>
        <w:rPr>
          <w:rFonts w:hint="eastAsia"/>
        </w:rPr>
        <w:t>本工程在设计中充分考虑了环境保护的要求，严格执行各项环境保护标准。同时还针对在生产运行过程中产生的“三废”，从实际出发采取多种相应的治理措施。由此看来，本工程采取的环保措施保护了环境，但未产生明显的经济效益。</w:t>
      </w:r>
    </w:p>
    <w:bookmarkStart w:id="1941" w:name="_Toc28804"/>
    <w:p w:rsidR="00C645C9" w:rsidRDefault="00F955D9">
      <w:pPr>
        <w:pStyle w:val="2"/>
        <w:adjustRightInd w:val="0"/>
        <w:snapToGrid w:val="0"/>
        <w:spacing w:after="0" w:line="360" w:lineRule="auto"/>
        <w:rPr>
          <w:rFonts w:ascii="Times New Roman" w:hAnsi="Times New Roman" w:cs="Times New Roman"/>
          <w:bCs/>
          <w:color w:val="auto"/>
          <w:sz w:val="36"/>
          <w:szCs w:val="36"/>
        </w:rPr>
      </w:pPr>
      <w:r>
        <w:rPr>
          <w:rFonts w:ascii="Times New Roman" w:hAnsi="Times New Roman" w:cs="Times New Roman" w:hint="eastAsia"/>
          <w:color w:val="auto"/>
        </w:rPr>
        <w:lastRenderedPageBreak/>
        <w:fldChar w:fldCharType="begin"/>
      </w:r>
      <w:r>
        <w:rPr>
          <w:rFonts w:ascii="Times New Roman" w:hAnsi="Times New Roman" w:cs="Times New Roman" w:hint="eastAsia"/>
          <w:color w:val="auto"/>
        </w:rPr>
        <w:instrText xml:space="preserve"> HYPERLINK \l _Toc964</w:instrText>
      </w:r>
      <w:r>
        <w:rPr>
          <w:rFonts w:ascii="Times New Roman" w:hAnsi="Times New Roman" w:cs="Times New Roman" w:hint="eastAsia"/>
          <w:color w:val="auto"/>
        </w:rPr>
        <w:instrText xml:space="preserve">4 </w:instrText>
      </w:r>
      <w:r>
        <w:rPr>
          <w:rFonts w:ascii="Times New Roman" w:hAnsi="Times New Roman" w:cs="Times New Roman" w:hint="eastAsia"/>
          <w:color w:val="auto"/>
        </w:rPr>
        <w:fldChar w:fldCharType="separate"/>
      </w:r>
      <w:r>
        <w:rPr>
          <w:rFonts w:ascii="Times New Roman" w:hAnsi="Times New Roman" w:cs="Times New Roman" w:hint="eastAsia"/>
          <w:color w:val="auto"/>
        </w:rPr>
        <w:t>8.4</w:t>
      </w:r>
      <w:r>
        <w:rPr>
          <w:rFonts w:ascii="Times New Roman" w:hAnsi="Times New Roman" w:cs="Times New Roman" w:hint="eastAsia"/>
          <w:color w:val="auto"/>
        </w:rPr>
        <w:t>环境经济损益分析结论</w:t>
      </w:r>
      <w:r>
        <w:rPr>
          <w:rFonts w:ascii="Times New Roman" w:hAnsi="Times New Roman" w:cs="Times New Roman" w:hint="eastAsia"/>
          <w:color w:val="auto"/>
        </w:rPr>
        <w:fldChar w:fldCharType="end"/>
      </w:r>
      <w:bookmarkEnd w:id="1941"/>
    </w:p>
    <w:p w:rsidR="00C645C9" w:rsidRDefault="00F955D9">
      <w:pPr>
        <w:adjustRightInd w:val="0"/>
        <w:snapToGrid w:val="0"/>
        <w:spacing w:line="360" w:lineRule="auto"/>
        <w:ind w:firstLineChars="200" w:firstLine="480"/>
        <w:rPr>
          <w:lang w:eastAsia="en-US"/>
        </w:rPr>
        <w:sectPr w:rsidR="00C645C9">
          <w:headerReference w:type="default" r:id="rId101"/>
          <w:footerReference w:type="default" r:id="rId102"/>
          <w:pgSz w:w="11906" w:h="16838"/>
          <w:pgMar w:top="1440" w:right="1800" w:bottom="1440" w:left="1800" w:header="851" w:footer="992" w:gutter="0"/>
          <w:cols w:space="425"/>
          <w:docGrid w:type="lines" w:linePitch="312"/>
        </w:sectPr>
      </w:pPr>
      <w:r>
        <w:t>本工程经分析具有良好的环境效益、社会效益</w:t>
      </w:r>
      <w:r>
        <w:rPr>
          <w:rFonts w:hint="eastAsia"/>
        </w:rPr>
        <w:t>和综合</w:t>
      </w:r>
      <w:r>
        <w:t>效益。在建设过程中，由于地面设施建设等都需要占用一定量的土地，并因此带来一定的环境损失。因而在气田开发过程中，需要投入必要的资金用于污染防治和恢复地貌等，经估算该项目环境保护投资约</w:t>
      </w:r>
      <w:r>
        <w:rPr>
          <w:rFonts w:hint="eastAsia"/>
        </w:rPr>
        <w:t>43</w:t>
      </w:r>
      <w:r>
        <w:t>万元，环境保护投资占总投资的</w:t>
      </w:r>
      <w:r>
        <w:rPr>
          <w:rFonts w:hint="eastAsia"/>
        </w:rPr>
        <w:t>9</w:t>
      </w:r>
      <w:r>
        <w:rPr>
          <w:rFonts w:hint="eastAsia"/>
        </w:rPr>
        <w:t>.</w:t>
      </w:r>
      <w:r>
        <w:t>5%</w:t>
      </w:r>
      <w:r>
        <w:t>。实施相应的环保措施后，可以起到保护环境的效果</w:t>
      </w:r>
      <w:r>
        <w:rPr>
          <w:rFonts w:hint="eastAsia"/>
        </w:rPr>
        <w:t>。</w:t>
      </w:r>
    </w:p>
    <w:bookmarkStart w:id="1943" w:name="_Toc21380"/>
    <w:p w:rsidR="00C645C9" w:rsidRDefault="00F955D9">
      <w:pPr>
        <w:widowControl w:val="0"/>
        <w:adjustRightInd w:val="0"/>
        <w:snapToGrid w:val="0"/>
        <w:spacing w:line="360" w:lineRule="auto"/>
        <w:outlineLvl w:val="0"/>
        <w:rPr>
          <w:rFonts w:cs="Times New Roman"/>
          <w:b/>
          <w:bCs/>
          <w:sz w:val="36"/>
          <w:szCs w:val="36"/>
          <w:lang w:eastAsia="en-US"/>
        </w:rPr>
      </w:pPr>
      <w:r>
        <w:rPr>
          <w:rFonts w:cs="Times New Roman"/>
          <w:b/>
          <w:bCs/>
          <w:sz w:val="36"/>
          <w:szCs w:val="36"/>
          <w:lang w:eastAsia="en-US"/>
        </w:rPr>
        <w:lastRenderedPageBreak/>
        <w:fldChar w:fldCharType="begin"/>
      </w:r>
      <w:r>
        <w:rPr>
          <w:rFonts w:cs="Times New Roman"/>
          <w:b/>
          <w:bCs/>
          <w:sz w:val="36"/>
          <w:szCs w:val="36"/>
          <w:lang w:eastAsia="en-US"/>
        </w:rPr>
        <w:instrText xml:space="preserve"> HYPERLINK \l _Toc32640 </w:instrText>
      </w:r>
      <w:r>
        <w:rPr>
          <w:rFonts w:cs="Times New Roman"/>
          <w:b/>
          <w:bCs/>
          <w:sz w:val="36"/>
          <w:szCs w:val="36"/>
          <w:lang w:eastAsia="en-US"/>
        </w:rPr>
        <w:fldChar w:fldCharType="separate"/>
      </w:r>
      <w:r>
        <w:rPr>
          <w:rFonts w:cs="Times New Roman" w:hint="eastAsia"/>
          <w:b/>
          <w:bCs/>
          <w:sz w:val="36"/>
          <w:szCs w:val="36"/>
          <w:lang w:eastAsia="en-US"/>
        </w:rPr>
        <w:t>9</w:t>
      </w:r>
      <w:r>
        <w:rPr>
          <w:rFonts w:cs="Times New Roman" w:hint="eastAsia"/>
          <w:b/>
          <w:bCs/>
          <w:sz w:val="36"/>
          <w:szCs w:val="36"/>
          <w:lang w:eastAsia="en-US"/>
        </w:rPr>
        <w:t>环境管理与监测计划</w:t>
      </w:r>
      <w:r>
        <w:rPr>
          <w:rFonts w:cs="Times New Roman"/>
          <w:b/>
          <w:bCs/>
          <w:sz w:val="36"/>
          <w:szCs w:val="36"/>
          <w:lang w:eastAsia="en-US"/>
        </w:rPr>
        <w:fldChar w:fldCharType="end"/>
      </w:r>
      <w:bookmarkEnd w:id="1943"/>
    </w:p>
    <w:bookmarkStart w:id="1944" w:name="_Toc21227"/>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_Toc26206 </w:instrText>
      </w:r>
      <w:r>
        <w:rPr>
          <w:rFonts w:ascii="Times New Roman" w:hAnsi="Times New Roman" w:cs="Times New Roman"/>
          <w:color w:val="auto"/>
        </w:rPr>
        <w:fldChar w:fldCharType="separate"/>
      </w:r>
      <w:r>
        <w:rPr>
          <w:rFonts w:ascii="Times New Roman" w:hAnsi="Times New Roman" w:cs="Times New Roman" w:hint="eastAsia"/>
          <w:color w:val="auto"/>
        </w:rPr>
        <w:t>9.1</w:t>
      </w:r>
      <w:r>
        <w:rPr>
          <w:rFonts w:ascii="Times New Roman" w:hAnsi="Times New Roman" w:cs="Times New Roman" w:hint="eastAsia"/>
          <w:color w:val="auto"/>
        </w:rPr>
        <w:t>环境管理</w:t>
      </w:r>
      <w:r>
        <w:rPr>
          <w:rFonts w:ascii="Times New Roman" w:hAnsi="Times New Roman" w:cs="Times New Roman"/>
          <w:color w:val="auto"/>
        </w:rPr>
        <w:fldChar w:fldCharType="end"/>
      </w:r>
      <w:bookmarkEnd w:id="1944"/>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4931" w:history="1">
        <w:r>
          <w:rPr>
            <w:rFonts w:ascii="Times New Roman" w:hAnsi="Times New Roman" w:cs="Times New Roman" w:hint="eastAsia"/>
            <w:color w:val="auto"/>
          </w:rPr>
          <w:t>9.1.1</w:t>
        </w:r>
        <w:r>
          <w:rPr>
            <w:rFonts w:ascii="Times New Roman" w:hAnsi="Times New Roman" w:cs="Times New Roman" w:hint="eastAsia"/>
            <w:color w:val="auto"/>
            <w:lang w:eastAsia="zh-CN"/>
          </w:rPr>
          <w:t>环境</w:t>
        </w:r>
        <w:r>
          <w:rPr>
            <w:rFonts w:ascii="Times New Roman" w:hAnsi="Times New Roman" w:cs="Times New Roman" w:hint="eastAsia"/>
            <w:color w:val="auto"/>
          </w:rPr>
          <w:t>管理机构及职责</w:t>
        </w:r>
      </w:hyperlink>
    </w:p>
    <w:p w:rsidR="00C645C9" w:rsidRDefault="00F955D9">
      <w:pPr>
        <w:adjustRightInd w:val="0"/>
        <w:snapToGrid w:val="0"/>
        <w:spacing w:line="360" w:lineRule="auto"/>
        <w:ind w:firstLine="480"/>
        <w:jc w:val="both"/>
        <w:rPr>
          <w:rFonts w:cs="Times New Roman"/>
        </w:rPr>
      </w:pPr>
      <w:r>
        <w:rPr>
          <w:rFonts w:cs="Times New Roman"/>
        </w:rPr>
        <w:t>本工程由中国石油化工股份有限公司西北油田分公司</w:t>
      </w:r>
      <w:r>
        <w:rPr>
          <w:rFonts w:cs="Times New Roman" w:hint="eastAsia"/>
        </w:rPr>
        <w:t>雅克拉采气厂</w:t>
      </w:r>
      <w:r>
        <w:rPr>
          <w:rFonts w:cs="Times New Roman"/>
        </w:rPr>
        <w:t>运营管理。</w:t>
      </w:r>
      <w:r>
        <w:rPr>
          <w:rFonts w:cs="Times New Roman" w:hint="eastAsia"/>
        </w:rPr>
        <w:t>雅克拉采气厂</w:t>
      </w:r>
      <w:r>
        <w:rPr>
          <w:rFonts w:cs="Times New Roman"/>
        </w:rPr>
        <w:t>建立了三级环境保护管理机构，形成了环境管理网络。</w:t>
      </w:r>
      <w:bookmarkStart w:id="1945" w:name="OLE_LINK1527"/>
      <w:r>
        <w:rPr>
          <w:rFonts w:cs="Times New Roman" w:hint="eastAsia"/>
        </w:rPr>
        <w:t>雅克拉采气厂</w:t>
      </w:r>
      <w:bookmarkEnd w:id="1945"/>
      <w:r>
        <w:rPr>
          <w:rFonts w:cs="Times New Roman"/>
        </w:rPr>
        <w:t>HSE</w:t>
      </w:r>
      <w:r>
        <w:rPr>
          <w:rFonts w:cs="Times New Roman"/>
        </w:rPr>
        <w:t>管理委员会及其办公室为一级管理职能机构，</w:t>
      </w:r>
      <w:r>
        <w:rPr>
          <w:rFonts w:cs="Times New Roman" w:hint="eastAsia"/>
        </w:rPr>
        <w:t>雅克拉采气厂</w:t>
      </w:r>
      <w:r>
        <w:rPr>
          <w:rFonts w:cs="Times New Roman"/>
        </w:rPr>
        <w:t>环境保护领导小组为二级管理职能机构，班组为三级管理职能机构。</w:t>
      </w:r>
      <w:r>
        <w:rPr>
          <w:rFonts w:cs="Times New Roman"/>
        </w:rPr>
        <w:t xml:space="preserve"> </w:t>
      </w:r>
    </w:p>
    <w:p w:rsidR="00C645C9" w:rsidRDefault="00F955D9">
      <w:pPr>
        <w:adjustRightInd w:val="0"/>
        <w:snapToGrid w:val="0"/>
        <w:spacing w:line="360" w:lineRule="auto"/>
        <w:ind w:firstLine="480"/>
        <w:jc w:val="both"/>
        <w:rPr>
          <w:rFonts w:cs="Times New Roman"/>
        </w:rPr>
      </w:pPr>
      <w:r>
        <w:rPr>
          <w:rFonts w:cs="Times New Roman" w:hint="eastAsia"/>
        </w:rPr>
        <w:t>雅克拉采气厂</w:t>
      </w:r>
      <w:r>
        <w:rPr>
          <w:rFonts w:cs="Times New Roman"/>
        </w:rPr>
        <w:t>设置</w:t>
      </w:r>
      <w:bookmarkStart w:id="1946" w:name="OLE_LINK1519"/>
      <w:r>
        <w:rPr>
          <w:rFonts w:cs="Times New Roman" w:hint="eastAsia"/>
        </w:rPr>
        <w:t>安全环保中心</w:t>
      </w:r>
      <w:bookmarkEnd w:id="1946"/>
      <w:r>
        <w:rPr>
          <w:rFonts w:cs="Times New Roman"/>
        </w:rPr>
        <w:t>，负责</w:t>
      </w:r>
      <w:r>
        <w:rPr>
          <w:rFonts w:cs="Times New Roman" w:hint="eastAsia"/>
        </w:rPr>
        <w:t>雅克拉采气厂</w:t>
      </w:r>
      <w:r>
        <w:rPr>
          <w:rFonts w:cs="Times New Roman"/>
        </w:rPr>
        <w:t>工业现场</w:t>
      </w:r>
      <w:r>
        <w:rPr>
          <w:rFonts w:cs="Times New Roman"/>
        </w:rPr>
        <w:t>“</w:t>
      </w:r>
      <w:r>
        <w:rPr>
          <w:rFonts w:cs="Times New Roman"/>
        </w:rPr>
        <w:t>三标</w:t>
      </w:r>
      <w:r>
        <w:rPr>
          <w:rFonts w:cs="Times New Roman"/>
        </w:rPr>
        <w:t>”</w:t>
      </w:r>
      <w:r>
        <w:rPr>
          <w:rFonts w:cs="Times New Roman"/>
        </w:rPr>
        <w:t>、</w:t>
      </w:r>
      <w:r>
        <w:rPr>
          <w:rFonts w:cs="Times New Roman"/>
        </w:rPr>
        <w:t>HSE</w:t>
      </w:r>
      <w:r>
        <w:rPr>
          <w:rFonts w:cs="Times New Roman"/>
        </w:rPr>
        <w:t>管理体系执行、环境保护、井控管理、劳动保护等工作的管理，为采油厂有效地开展环保工作提供了依据。本工程日常环境管理工作纳入中国石油化工股份有限公司西北油田分公司</w:t>
      </w:r>
      <w:r>
        <w:rPr>
          <w:rFonts w:cs="Times New Roman" w:hint="eastAsia"/>
        </w:rPr>
        <w:t>雅克拉采气厂</w:t>
      </w:r>
      <w:r>
        <w:rPr>
          <w:rFonts w:cs="Times New Roman"/>
        </w:rPr>
        <w:t>现有</w:t>
      </w:r>
      <w:bookmarkStart w:id="1947" w:name="OLE_LINK1521"/>
      <w:r>
        <w:rPr>
          <w:rFonts w:cs="Times New Roman"/>
        </w:rPr>
        <w:t>HSE</w:t>
      </w:r>
      <w:bookmarkEnd w:id="1947"/>
      <w:r>
        <w:rPr>
          <w:rFonts w:cs="Times New Roman"/>
        </w:rPr>
        <w:t>管理体系</w:t>
      </w:r>
      <w:r>
        <w:rPr>
          <w:rFonts w:cs="Times New Roman"/>
        </w:rPr>
        <w:t>。</w:t>
      </w:r>
    </w:p>
    <w:p w:rsidR="00C645C9" w:rsidRDefault="00F955D9">
      <w:pPr>
        <w:adjustRightInd w:val="0"/>
        <w:snapToGrid w:val="0"/>
        <w:spacing w:line="360" w:lineRule="auto"/>
        <w:ind w:firstLine="480"/>
        <w:jc w:val="both"/>
        <w:rPr>
          <w:rFonts w:cs="Times New Roman"/>
        </w:rPr>
      </w:pPr>
      <w:r>
        <w:rPr>
          <w:rFonts w:cs="Times New Roman" w:hint="eastAsia"/>
        </w:rPr>
        <w:t>雅克拉采气厂</w:t>
      </w:r>
      <w:bookmarkStart w:id="1948" w:name="OLE_LINK1520"/>
      <w:r>
        <w:rPr>
          <w:rFonts w:cs="Times New Roman"/>
        </w:rPr>
        <w:t>安全环保中心</w:t>
      </w:r>
      <w:bookmarkEnd w:id="1948"/>
      <w:r>
        <w:rPr>
          <w:rFonts w:cs="Times New Roman"/>
        </w:rPr>
        <w:t>职责：</w:t>
      </w:r>
    </w:p>
    <w:p w:rsidR="00C645C9" w:rsidRDefault="00F955D9">
      <w:pPr>
        <w:adjustRightInd w:val="0"/>
        <w:snapToGrid w:val="0"/>
        <w:spacing w:line="360" w:lineRule="auto"/>
        <w:ind w:firstLine="480"/>
        <w:jc w:val="both"/>
        <w:rPr>
          <w:rFonts w:cs="Times New Roman"/>
        </w:rPr>
      </w:pPr>
      <w:r>
        <w:rPr>
          <w:rFonts w:cs="Times New Roman"/>
        </w:rPr>
        <w:t>（</w:t>
      </w:r>
      <w:r>
        <w:rPr>
          <w:rFonts w:cs="Times New Roman"/>
        </w:rPr>
        <w:t>1</w:t>
      </w:r>
      <w:r>
        <w:rPr>
          <w:rFonts w:cs="Times New Roman"/>
        </w:rPr>
        <w:t>）</w:t>
      </w:r>
      <w:r>
        <w:rPr>
          <w:rFonts w:cs="Times New Roman"/>
        </w:rPr>
        <w:t>负责领导采气厂</w:t>
      </w:r>
      <w:r>
        <w:rPr>
          <w:rFonts w:cs="Times New Roman"/>
        </w:rPr>
        <w:t>HSE</w:t>
      </w:r>
      <w:r>
        <w:rPr>
          <w:rFonts w:cs="Times New Roman"/>
        </w:rPr>
        <w:t>工作，负责审查批准采气厂</w:t>
      </w:r>
      <w:r>
        <w:rPr>
          <w:rFonts w:cs="Times New Roman"/>
        </w:rPr>
        <w:t>HSE</w:t>
      </w:r>
      <w:r>
        <w:rPr>
          <w:rFonts w:cs="Times New Roman"/>
        </w:rPr>
        <w:t>管理体系及内审报告。</w:t>
      </w:r>
    </w:p>
    <w:p w:rsidR="00C645C9" w:rsidRDefault="00F955D9">
      <w:pPr>
        <w:adjustRightInd w:val="0"/>
        <w:snapToGrid w:val="0"/>
        <w:spacing w:line="360" w:lineRule="auto"/>
        <w:ind w:firstLine="480"/>
        <w:jc w:val="both"/>
        <w:rPr>
          <w:rFonts w:cs="Times New Roman"/>
        </w:rPr>
      </w:pPr>
      <w:r>
        <w:rPr>
          <w:rFonts w:cs="Times New Roman"/>
        </w:rPr>
        <w:t>（</w:t>
      </w:r>
      <w:r>
        <w:rPr>
          <w:rFonts w:cs="Times New Roman"/>
        </w:rPr>
        <w:t>2</w:t>
      </w:r>
      <w:r>
        <w:rPr>
          <w:rFonts w:cs="Times New Roman"/>
        </w:rPr>
        <w:t>）</w:t>
      </w:r>
      <w:r>
        <w:rPr>
          <w:rFonts w:cs="Times New Roman"/>
        </w:rPr>
        <w:t>每季度召开</w:t>
      </w:r>
      <w:r>
        <w:rPr>
          <w:rFonts w:cs="Times New Roman"/>
        </w:rPr>
        <w:t>HSE</w:t>
      </w:r>
      <w:r>
        <w:rPr>
          <w:rFonts w:cs="Times New Roman"/>
        </w:rPr>
        <w:t>管理委员会会议，听取各专业部门、小组汇报，分析解决</w:t>
      </w:r>
      <w:r>
        <w:rPr>
          <w:rFonts w:cs="Times New Roman"/>
        </w:rPr>
        <w:t>HSE</w:t>
      </w:r>
      <w:r>
        <w:rPr>
          <w:rFonts w:cs="Times New Roman"/>
        </w:rPr>
        <w:t>重点问题，研究和决定采气厂</w:t>
      </w:r>
      <w:r>
        <w:rPr>
          <w:rFonts w:cs="Times New Roman"/>
        </w:rPr>
        <w:t>HSE</w:t>
      </w:r>
      <w:r>
        <w:rPr>
          <w:rFonts w:cs="Times New Roman"/>
        </w:rPr>
        <w:t>工作重大事项，保证</w:t>
      </w:r>
      <w:r>
        <w:rPr>
          <w:rFonts w:cs="Times New Roman"/>
        </w:rPr>
        <w:t>HSE</w:t>
      </w:r>
      <w:r>
        <w:rPr>
          <w:rFonts w:cs="Times New Roman"/>
        </w:rPr>
        <w:t>投入的有效实施。</w:t>
      </w:r>
    </w:p>
    <w:p w:rsidR="00C645C9" w:rsidRDefault="00F955D9">
      <w:pPr>
        <w:adjustRightInd w:val="0"/>
        <w:snapToGrid w:val="0"/>
        <w:spacing w:line="360" w:lineRule="auto"/>
        <w:ind w:firstLine="480"/>
        <w:jc w:val="both"/>
        <w:rPr>
          <w:rFonts w:cs="Times New Roman"/>
        </w:rPr>
      </w:pPr>
      <w:r>
        <w:rPr>
          <w:rFonts w:cs="Times New Roman"/>
        </w:rPr>
        <w:t>（</w:t>
      </w:r>
      <w:r>
        <w:rPr>
          <w:rFonts w:cs="Times New Roman"/>
        </w:rPr>
        <w:t>3</w:t>
      </w:r>
      <w:r>
        <w:rPr>
          <w:rFonts w:cs="Times New Roman"/>
        </w:rPr>
        <w:t>）</w:t>
      </w:r>
      <w:r>
        <w:rPr>
          <w:rFonts w:cs="Times New Roman"/>
        </w:rPr>
        <w:t>负责采气厂</w:t>
      </w:r>
      <w:r>
        <w:rPr>
          <w:rFonts w:cs="Times New Roman"/>
        </w:rPr>
        <w:t>HSE</w:t>
      </w:r>
      <w:r>
        <w:rPr>
          <w:rFonts w:cs="Times New Roman"/>
        </w:rPr>
        <w:t>目标管理、培训和考核工作，决定对集体和个人的奖惩。</w:t>
      </w:r>
    </w:p>
    <w:p w:rsidR="00C645C9" w:rsidRDefault="00F955D9">
      <w:pPr>
        <w:adjustRightInd w:val="0"/>
        <w:snapToGrid w:val="0"/>
        <w:spacing w:line="360" w:lineRule="auto"/>
        <w:ind w:firstLine="480"/>
        <w:jc w:val="both"/>
        <w:rPr>
          <w:rFonts w:cs="Times New Roman"/>
        </w:rPr>
      </w:pPr>
      <w:r>
        <w:rPr>
          <w:rFonts w:cs="Times New Roman"/>
        </w:rPr>
        <w:t>（</w:t>
      </w:r>
      <w:r>
        <w:rPr>
          <w:rFonts w:cs="Times New Roman"/>
        </w:rPr>
        <w:t>4</w:t>
      </w:r>
      <w:r>
        <w:rPr>
          <w:rFonts w:cs="Times New Roman"/>
        </w:rPr>
        <w:t>）</w:t>
      </w:r>
      <w:r>
        <w:rPr>
          <w:rFonts w:cs="Times New Roman"/>
        </w:rPr>
        <w:t>负责组织制定突发事件应急预案，组织开展应急演练，组织开展事故应急处置工作。</w:t>
      </w:r>
    </w:p>
    <w:p w:rsidR="00C645C9" w:rsidRDefault="00F955D9">
      <w:pPr>
        <w:adjustRightInd w:val="0"/>
        <w:snapToGrid w:val="0"/>
        <w:spacing w:line="360" w:lineRule="auto"/>
        <w:ind w:firstLine="480"/>
        <w:jc w:val="both"/>
        <w:rPr>
          <w:rFonts w:cs="Times New Roman"/>
        </w:rPr>
      </w:pPr>
      <w:r>
        <w:rPr>
          <w:rFonts w:cs="Times New Roman"/>
        </w:rPr>
        <w:t>（</w:t>
      </w:r>
      <w:r>
        <w:rPr>
          <w:rFonts w:cs="Times New Roman"/>
        </w:rPr>
        <w:t>5</w:t>
      </w:r>
      <w:r>
        <w:rPr>
          <w:rFonts w:cs="Times New Roman"/>
        </w:rPr>
        <w:t>）</w:t>
      </w:r>
      <w:r>
        <w:rPr>
          <w:rFonts w:cs="Times New Roman"/>
        </w:rPr>
        <w:t>负责协助国家、地方政府、集团公司及油田公司对事故进行调查处理。</w:t>
      </w:r>
    </w:p>
    <w:p w:rsidR="00C645C9" w:rsidRDefault="00F955D9">
      <w:pPr>
        <w:adjustRightInd w:val="0"/>
        <w:snapToGrid w:val="0"/>
        <w:spacing w:line="360" w:lineRule="auto"/>
        <w:ind w:firstLine="480"/>
        <w:jc w:val="both"/>
      </w:pPr>
      <w:r>
        <w:rPr>
          <w:rFonts w:cs="Times New Roman"/>
        </w:rPr>
        <w:t>（</w:t>
      </w:r>
      <w:r>
        <w:rPr>
          <w:rFonts w:cs="Times New Roman"/>
        </w:rPr>
        <w:t>6</w:t>
      </w:r>
      <w:r>
        <w:rPr>
          <w:rFonts w:cs="Times New Roman"/>
        </w:rPr>
        <w:t>）</w:t>
      </w:r>
      <w:r>
        <w:rPr>
          <w:rFonts w:cs="Times New Roman"/>
        </w:rPr>
        <w:t>建立健全全员安全环保责任制并监督落实；及时调整各领导小组成员；明确安全生产职能与职权；依法设置安全管理机构，配备专（兼）职安全生产管理人员</w:t>
      </w:r>
      <w:r>
        <w:rPr>
          <w:rFonts w:cs="Times New Roman" w:hint="eastAsia"/>
        </w:rPr>
        <w:t>。</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7752" w:history="1">
        <w:r>
          <w:rPr>
            <w:rFonts w:ascii="Times New Roman" w:hAnsi="Times New Roman" w:cs="Times New Roman" w:hint="eastAsia"/>
            <w:color w:val="auto"/>
          </w:rPr>
          <w:t>9.1.2</w:t>
        </w:r>
        <w:r>
          <w:rPr>
            <w:rFonts w:ascii="Times New Roman" w:hAnsi="Times New Roman" w:cs="Times New Roman" w:hint="eastAsia"/>
            <w:color w:val="auto"/>
          </w:rPr>
          <w:t>施工期的环境管理任务</w:t>
        </w:r>
      </w:hyperlink>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1</w:t>
      </w:r>
      <w:r>
        <w:rPr>
          <w:rFonts w:cs="Times New Roman"/>
        </w:rPr>
        <w:t>）</w:t>
      </w:r>
      <w:r>
        <w:rPr>
          <w:rFonts w:cs="Times New Roman"/>
        </w:rPr>
        <w:t>建立和实施施工作业队伍的</w:t>
      </w:r>
      <w:r>
        <w:rPr>
          <w:rFonts w:cs="Times New Roman"/>
        </w:rPr>
        <w:t>HSE</w:t>
      </w:r>
      <w:r>
        <w:rPr>
          <w:rFonts w:cs="Times New Roman"/>
        </w:rPr>
        <w:t>管理体系。</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2</w:t>
      </w:r>
      <w:r>
        <w:rPr>
          <w:rFonts w:cs="Times New Roman"/>
        </w:rPr>
        <w:t>）</w:t>
      </w:r>
      <w:r>
        <w:rPr>
          <w:rFonts w:cs="Times New Roman"/>
        </w:rPr>
        <w:t>工程建设单位应将项目建设计划表呈报环境管理部门，以便对工程建设全过程进行环境保护措施和环境保护工程的监督和检查。</w:t>
      </w:r>
    </w:p>
    <w:p w:rsidR="00C645C9" w:rsidRDefault="00F955D9">
      <w:pPr>
        <w:adjustRightInd w:val="0"/>
        <w:snapToGrid w:val="0"/>
        <w:spacing w:line="360" w:lineRule="auto"/>
        <w:ind w:firstLine="522"/>
        <w:jc w:val="both"/>
        <w:rPr>
          <w:rFonts w:cs="Times New Roman"/>
        </w:rPr>
      </w:pPr>
      <w:r>
        <w:rPr>
          <w:rFonts w:cs="Times New Roman"/>
        </w:rPr>
        <w:lastRenderedPageBreak/>
        <w:t>（</w:t>
      </w:r>
      <w:r>
        <w:rPr>
          <w:rFonts w:cs="Times New Roman"/>
        </w:rPr>
        <w:t>3</w:t>
      </w:r>
      <w:r>
        <w:rPr>
          <w:rFonts w:cs="Times New Roman"/>
        </w:rPr>
        <w:t>）</w:t>
      </w:r>
      <w:r>
        <w:rPr>
          <w:rFonts w:cs="Times New Roman"/>
        </w:rPr>
        <w:t>实施施工作业环境监理制度，以确保施工作业</w:t>
      </w:r>
      <w:r>
        <w:rPr>
          <w:rFonts w:cs="Times New Roman" w:hint="eastAsia"/>
        </w:rPr>
        <w:t>对</w:t>
      </w:r>
      <w:r>
        <w:rPr>
          <w:rFonts w:cs="Times New Roman"/>
        </w:rPr>
        <w:t>生态环境造成的破坏降到最低限度。</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3371" w:history="1">
        <w:r>
          <w:rPr>
            <w:rFonts w:ascii="Times New Roman" w:hAnsi="Times New Roman" w:cs="Times New Roman" w:hint="eastAsia"/>
            <w:color w:val="auto"/>
          </w:rPr>
          <w:t>9.1.3</w:t>
        </w:r>
        <w:r>
          <w:rPr>
            <w:rFonts w:ascii="Times New Roman" w:hAnsi="Times New Roman" w:cs="Times New Roman" w:hint="eastAsia"/>
            <w:color w:val="auto"/>
          </w:rPr>
          <w:t>运营期的环境管理任务</w:t>
        </w:r>
      </w:hyperlink>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1</w:t>
      </w:r>
      <w:r>
        <w:rPr>
          <w:rFonts w:cs="Times New Roman"/>
        </w:rPr>
        <w:t>）</w:t>
      </w:r>
      <w:r>
        <w:rPr>
          <w:rFonts w:cs="Times New Roman"/>
        </w:rPr>
        <w:t>本</w:t>
      </w:r>
      <w:r>
        <w:rPr>
          <w:rFonts w:cs="Times New Roman"/>
        </w:rPr>
        <w:t>工程运营</w:t>
      </w:r>
      <w:r>
        <w:rPr>
          <w:rFonts w:cs="Times New Roman"/>
        </w:rPr>
        <w:t>期的</w:t>
      </w:r>
      <w:r>
        <w:rPr>
          <w:rFonts w:cs="Times New Roman"/>
        </w:rPr>
        <w:t>HSE</w:t>
      </w:r>
      <w:r>
        <w:rPr>
          <w:rFonts w:cs="Times New Roman"/>
        </w:rPr>
        <w:t>管理体系纳入</w:t>
      </w:r>
      <w:r>
        <w:rPr>
          <w:rFonts w:cs="Times New Roman" w:hint="eastAsia"/>
        </w:rPr>
        <w:t>雅克拉采气厂</w:t>
      </w:r>
      <w:r>
        <w:rPr>
          <w:rFonts w:cs="Times New Roman"/>
        </w:rPr>
        <w:t>HSE</w:t>
      </w:r>
      <w:bookmarkStart w:id="1949" w:name="OLE_LINK1523"/>
      <w:r>
        <w:rPr>
          <w:rFonts w:cs="Times New Roman"/>
        </w:rPr>
        <w:t>系统统一管理</w:t>
      </w:r>
      <w:bookmarkEnd w:id="1949"/>
      <w:r>
        <w:rPr>
          <w:rFonts w:cs="Times New Roman"/>
        </w:rPr>
        <w:t>。</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2</w:t>
      </w:r>
      <w:r>
        <w:rPr>
          <w:rFonts w:cs="Times New Roman"/>
        </w:rPr>
        <w:t>）</w:t>
      </w:r>
      <w:bookmarkStart w:id="1950" w:name="OLE_LINK1524"/>
      <w:r>
        <w:rPr>
          <w:rFonts w:cs="Times New Roman" w:hint="eastAsia"/>
        </w:rPr>
        <w:t>根据</w:t>
      </w:r>
      <w:r>
        <w:rPr>
          <w:rFonts w:cs="Times New Roman"/>
        </w:rPr>
        <w:t>《建设项目竣工环境保护验收技术规范</w:t>
      </w:r>
      <w:r>
        <w:rPr>
          <w:rFonts w:cs="Times New Roman"/>
        </w:rPr>
        <w:t xml:space="preserve"> </w:t>
      </w:r>
      <w:r>
        <w:rPr>
          <w:rFonts w:cs="Times New Roman"/>
        </w:rPr>
        <w:t>石油天然气开采》（</w:t>
      </w:r>
      <w:r>
        <w:rPr>
          <w:rFonts w:cs="Times New Roman"/>
        </w:rPr>
        <w:t>HJ612-2011</w:t>
      </w:r>
      <w:r>
        <w:rPr>
          <w:rFonts w:cs="Times New Roman"/>
        </w:rPr>
        <w:t>）</w:t>
      </w:r>
      <w:bookmarkEnd w:id="1950"/>
      <w:r>
        <w:rPr>
          <w:rFonts w:cs="Times New Roman" w:hint="eastAsia"/>
        </w:rPr>
        <w:t>要求，开展企业自主验收，</w:t>
      </w:r>
      <w:r>
        <w:rPr>
          <w:rFonts w:cs="Times New Roman"/>
        </w:rPr>
        <w:t>贯彻执行国家、地方及上级部门有关环境保护方针、政</w:t>
      </w:r>
      <w:r>
        <w:rPr>
          <w:rFonts w:cs="Times New Roman"/>
        </w:rPr>
        <w:t>策、</w:t>
      </w:r>
      <w:r>
        <w:rPr>
          <w:rFonts w:cs="Times New Roman" w:hint="eastAsia"/>
        </w:rPr>
        <w:t>法律法规</w:t>
      </w:r>
      <w:r>
        <w:rPr>
          <w:rFonts w:cs="Times New Roman"/>
        </w:rPr>
        <w:t>。</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3</w:t>
      </w:r>
      <w:r>
        <w:rPr>
          <w:rFonts w:cs="Times New Roman"/>
        </w:rPr>
        <w:t>）</w:t>
      </w:r>
      <w:bookmarkStart w:id="1951" w:name="OLE_LINK956"/>
      <w:r>
        <w:rPr>
          <w:rFonts w:cs="Times New Roman"/>
        </w:rPr>
        <w:t>负责</w:t>
      </w:r>
      <w:r>
        <w:rPr>
          <w:rFonts w:cs="Times New Roman" w:hint="eastAsia"/>
        </w:rPr>
        <w:t>井</w:t>
      </w:r>
      <w:r>
        <w:rPr>
          <w:rFonts w:cs="Times New Roman"/>
        </w:rPr>
        <w:t>场</w:t>
      </w:r>
      <w:r>
        <w:rPr>
          <w:rFonts w:cs="Times New Roman"/>
        </w:rPr>
        <w:t>的日常环境保护管理工作及定期进行</w:t>
      </w:r>
      <w:bookmarkEnd w:id="1951"/>
      <w:r>
        <w:rPr>
          <w:rFonts w:cs="Times New Roman"/>
        </w:rPr>
        <w:t>环保安全检查，如生态恢复、环境监测等。</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4</w:t>
      </w:r>
      <w:r>
        <w:rPr>
          <w:rFonts w:cs="Times New Roman"/>
        </w:rPr>
        <w:t>）</w:t>
      </w:r>
      <w:r>
        <w:rPr>
          <w:rFonts w:cs="Times New Roman" w:hint="eastAsia"/>
        </w:rPr>
        <w:t>根据</w:t>
      </w:r>
      <w:r>
        <w:rPr>
          <w:rFonts w:cs="Times New Roman"/>
        </w:rPr>
        <w:t>《建设项目竣工环境保护验收技术规范</w:t>
      </w:r>
      <w:r>
        <w:rPr>
          <w:rFonts w:cs="Times New Roman"/>
        </w:rPr>
        <w:t xml:space="preserve"> </w:t>
      </w:r>
      <w:r>
        <w:rPr>
          <w:rFonts w:cs="Times New Roman"/>
        </w:rPr>
        <w:t>石油天然气开采》（</w:t>
      </w:r>
      <w:r>
        <w:rPr>
          <w:rFonts w:cs="Times New Roman"/>
        </w:rPr>
        <w:t>HJ612-2011</w:t>
      </w:r>
      <w:r>
        <w:rPr>
          <w:rFonts w:cs="Times New Roman"/>
        </w:rPr>
        <w:t>）</w:t>
      </w:r>
      <w:r>
        <w:rPr>
          <w:rFonts w:cs="Times New Roman" w:hint="eastAsia"/>
        </w:rPr>
        <w:t>，</w:t>
      </w:r>
      <w:r>
        <w:rPr>
          <w:rFonts w:cs="Times New Roman" w:hint="eastAsia"/>
        </w:rPr>
        <w:t>及时更新</w:t>
      </w:r>
      <w:r>
        <w:rPr>
          <w:rFonts w:cs="Times New Roman"/>
        </w:rPr>
        <w:t>企业事业单位突发环境事件应急预案备案表。</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5</w:t>
      </w:r>
      <w:r>
        <w:rPr>
          <w:rFonts w:cs="Times New Roman"/>
        </w:rPr>
        <w:t>）</w:t>
      </w:r>
      <w:r>
        <w:rPr>
          <w:rFonts w:cs="Times New Roman"/>
        </w:rPr>
        <w:t>组织开展环境保护宣传教育、技术和经验交流活动，推广先进技术和科研成果，对全体员工组织开展环境保护培训。</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6</w:t>
      </w:r>
      <w:r>
        <w:rPr>
          <w:rFonts w:cs="Times New Roman"/>
        </w:rPr>
        <w:t>）</w:t>
      </w:r>
      <w:r>
        <w:rPr>
          <w:rFonts w:cs="Times New Roman"/>
        </w:rPr>
        <w:t>强化基础工作，建立完整、规范、准确</w:t>
      </w:r>
      <w:r>
        <w:rPr>
          <w:rFonts w:cs="Times New Roman" w:hint="eastAsia"/>
        </w:rPr>
        <w:t>的</w:t>
      </w:r>
      <w:r>
        <w:rPr>
          <w:rFonts w:cs="Times New Roman"/>
        </w:rPr>
        <w:t>环境基础资料，环境统计报表和环境保护技术档案。</w:t>
      </w:r>
    </w:p>
    <w:p w:rsidR="00C645C9" w:rsidRDefault="00F955D9">
      <w:pPr>
        <w:adjustRightInd w:val="0"/>
        <w:snapToGrid w:val="0"/>
        <w:spacing w:line="360" w:lineRule="auto"/>
        <w:ind w:firstLine="522"/>
        <w:jc w:val="both"/>
        <w:rPr>
          <w:rFonts w:cs="Times New Roman"/>
        </w:rPr>
      </w:pPr>
      <w:bookmarkStart w:id="1952" w:name="OLE_LINK955"/>
      <w:r>
        <w:rPr>
          <w:rFonts w:cs="Times New Roman"/>
        </w:rPr>
        <w:t>（</w:t>
      </w:r>
      <w:r>
        <w:rPr>
          <w:rFonts w:cs="Times New Roman"/>
        </w:rPr>
        <w:t>7</w:t>
      </w:r>
      <w:r>
        <w:rPr>
          <w:rFonts w:cs="Times New Roman"/>
        </w:rPr>
        <w:t>）</w:t>
      </w:r>
      <w:r>
        <w:rPr>
          <w:rFonts w:cs="Times New Roman"/>
        </w:rPr>
        <w:t>参</w:t>
      </w:r>
      <w:bookmarkEnd w:id="1952"/>
      <w:r>
        <w:rPr>
          <w:rFonts w:cs="Times New Roman"/>
        </w:rPr>
        <w:t>加调查、分析、处理环境污染事故，并负责统计上报事故的基本情况及处理结果，协同有关部门制定防治污染事故的措施，并监督实施。</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3371" w:history="1">
        <w:r>
          <w:rPr>
            <w:rFonts w:ascii="Times New Roman" w:hAnsi="Times New Roman" w:cs="Times New Roman" w:hint="eastAsia"/>
            <w:color w:val="auto"/>
          </w:rPr>
          <w:t>9.1.</w:t>
        </w:r>
        <w:r>
          <w:rPr>
            <w:rFonts w:ascii="Times New Roman" w:hAnsi="Times New Roman" w:cs="Times New Roman" w:hint="eastAsia"/>
            <w:color w:val="auto"/>
            <w:lang w:eastAsia="zh-CN"/>
          </w:rPr>
          <w:t>4</w:t>
        </w:r>
        <w:bookmarkStart w:id="1953" w:name="OLE_LINK954"/>
        <w:bookmarkStart w:id="1954" w:name="OLE_LINK953"/>
        <w:r>
          <w:rPr>
            <w:rFonts w:ascii="Times New Roman" w:hAnsi="Times New Roman" w:cs="Times New Roman" w:hint="eastAsia"/>
            <w:color w:val="auto"/>
            <w:lang w:eastAsia="zh-CN"/>
          </w:rPr>
          <w:t>退役</w:t>
        </w:r>
        <w:r>
          <w:rPr>
            <w:rFonts w:ascii="Times New Roman" w:hAnsi="Times New Roman" w:cs="Times New Roman" w:hint="eastAsia"/>
            <w:color w:val="auto"/>
          </w:rPr>
          <w:t>期</w:t>
        </w:r>
        <w:bookmarkEnd w:id="1953"/>
        <w:r>
          <w:rPr>
            <w:rFonts w:ascii="Times New Roman" w:hAnsi="Times New Roman" w:cs="Times New Roman" w:hint="eastAsia"/>
            <w:color w:val="auto"/>
          </w:rPr>
          <w:t>的环境管理任务</w:t>
        </w:r>
        <w:bookmarkEnd w:id="1954"/>
      </w:hyperlink>
    </w:p>
    <w:p w:rsidR="00C645C9" w:rsidRDefault="00F955D9">
      <w:pPr>
        <w:adjustRightInd w:val="0"/>
        <w:snapToGrid w:val="0"/>
        <w:spacing w:line="360" w:lineRule="auto"/>
        <w:ind w:firstLine="522"/>
        <w:jc w:val="both"/>
        <w:rPr>
          <w:rFonts w:cs="Times New Roman"/>
        </w:rPr>
      </w:pPr>
      <w:r>
        <w:rPr>
          <w:rFonts w:cs="Times New Roman" w:hint="eastAsia"/>
        </w:rPr>
        <w:t>（</w:t>
      </w:r>
      <w:r>
        <w:rPr>
          <w:rFonts w:cs="Times New Roman" w:hint="eastAsia"/>
        </w:rPr>
        <w:t>1</w:t>
      </w:r>
      <w:r>
        <w:rPr>
          <w:rFonts w:cs="Times New Roman" w:hint="eastAsia"/>
        </w:rPr>
        <w:t>）</w:t>
      </w:r>
      <w:r>
        <w:rPr>
          <w:rFonts w:cs="Times New Roman"/>
        </w:rPr>
        <w:t>加强施工质量管理，避免出现封井不严等非正常工况的泄漏</w:t>
      </w:r>
      <w:r>
        <w:rPr>
          <w:rFonts w:cs="Times New Roman" w:hint="eastAsia"/>
        </w:rPr>
        <w:t>。</w:t>
      </w:r>
    </w:p>
    <w:p w:rsidR="00C645C9" w:rsidRDefault="00F955D9">
      <w:pPr>
        <w:adjustRightInd w:val="0"/>
        <w:snapToGrid w:val="0"/>
        <w:spacing w:line="360" w:lineRule="auto"/>
        <w:ind w:firstLine="522"/>
        <w:jc w:val="both"/>
        <w:rPr>
          <w:rFonts w:cs="Times New Roman"/>
        </w:rPr>
      </w:pPr>
      <w:r>
        <w:rPr>
          <w:rFonts w:cs="Times New Roman" w:hint="eastAsia"/>
        </w:rPr>
        <w:t>（</w:t>
      </w:r>
      <w:r>
        <w:rPr>
          <w:rFonts w:cs="Times New Roman" w:hint="eastAsia"/>
        </w:rPr>
        <w:t>2</w:t>
      </w:r>
      <w:r>
        <w:rPr>
          <w:rFonts w:cs="Times New Roman" w:hint="eastAsia"/>
        </w:rPr>
        <w:t>）</w:t>
      </w:r>
      <w:r>
        <w:rPr>
          <w:rFonts w:cs="Times New Roman"/>
        </w:rPr>
        <w:t>负责</w:t>
      </w:r>
      <w:r>
        <w:rPr>
          <w:rFonts w:cs="Times New Roman" w:hint="eastAsia"/>
        </w:rPr>
        <w:t>井</w:t>
      </w:r>
      <w:r>
        <w:rPr>
          <w:rFonts w:cs="Times New Roman"/>
        </w:rPr>
        <w:t>场</w:t>
      </w:r>
      <w:r>
        <w:rPr>
          <w:rFonts w:cs="Times New Roman"/>
        </w:rPr>
        <w:t>的定期进行</w:t>
      </w:r>
      <w:r>
        <w:rPr>
          <w:rFonts w:cs="Times New Roman" w:hint="eastAsia"/>
        </w:rPr>
        <w:t>检查，清除各种固体废弃物，不得遗留在场地内。</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4059" w:history="1">
        <w:r>
          <w:rPr>
            <w:rFonts w:ascii="Times New Roman" w:hAnsi="Times New Roman" w:cs="Times New Roman" w:hint="eastAsia"/>
            <w:color w:val="auto"/>
          </w:rPr>
          <w:t>9.1.</w:t>
        </w:r>
        <w:r>
          <w:rPr>
            <w:rFonts w:ascii="Times New Roman" w:hAnsi="Times New Roman" w:cs="Times New Roman" w:hint="eastAsia"/>
            <w:color w:val="auto"/>
            <w:lang w:eastAsia="zh-CN"/>
          </w:rPr>
          <w:t>5</w:t>
        </w:r>
        <w:r>
          <w:rPr>
            <w:rFonts w:ascii="Times New Roman" w:hAnsi="Times New Roman" w:cs="Times New Roman" w:hint="eastAsia"/>
            <w:color w:val="auto"/>
          </w:rPr>
          <w:t xml:space="preserve"> </w:t>
        </w:r>
        <w:r>
          <w:rPr>
            <w:rFonts w:ascii="Times New Roman" w:hAnsi="Times New Roman" w:cs="Times New Roman" w:hint="eastAsia"/>
            <w:color w:val="auto"/>
          </w:rPr>
          <w:t>环境管理计划</w:t>
        </w:r>
      </w:hyperlink>
    </w:p>
    <w:p w:rsidR="00C645C9" w:rsidRDefault="00F955D9">
      <w:pPr>
        <w:adjustRightInd w:val="0"/>
        <w:snapToGrid w:val="0"/>
        <w:spacing w:line="360" w:lineRule="auto"/>
        <w:ind w:firstLine="522"/>
        <w:jc w:val="both"/>
        <w:rPr>
          <w:rFonts w:cs="Times New Roman"/>
        </w:rPr>
      </w:pPr>
      <w:r>
        <w:rPr>
          <w:rFonts w:cs="Times New Roman"/>
        </w:rPr>
        <w:t>采用行政、经济、技术、教育等环境管理手段进行</w:t>
      </w:r>
      <w:r>
        <w:rPr>
          <w:rFonts w:cs="Times New Roman"/>
        </w:rPr>
        <w:t>本</w:t>
      </w:r>
      <w:r>
        <w:rPr>
          <w:rFonts w:cs="Times New Roman"/>
        </w:rPr>
        <w:t>工程</w:t>
      </w:r>
      <w:r>
        <w:rPr>
          <w:rFonts w:cs="Times New Roman"/>
        </w:rPr>
        <w:t>的环境管理工作。</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1</w:t>
      </w:r>
      <w:r>
        <w:rPr>
          <w:rFonts w:cs="Times New Roman"/>
        </w:rPr>
        <w:t>）</w:t>
      </w:r>
      <w:r>
        <w:rPr>
          <w:rFonts w:cs="Times New Roman"/>
        </w:rPr>
        <w:t>行政手段</w:t>
      </w:r>
    </w:p>
    <w:p w:rsidR="00C645C9" w:rsidRDefault="00F955D9">
      <w:pPr>
        <w:adjustRightInd w:val="0"/>
        <w:snapToGrid w:val="0"/>
        <w:spacing w:line="360" w:lineRule="auto"/>
        <w:ind w:firstLine="522"/>
        <w:jc w:val="both"/>
        <w:rPr>
          <w:rFonts w:cs="Times New Roman"/>
        </w:rPr>
      </w:pPr>
      <w:r>
        <w:rPr>
          <w:rFonts w:cs="Times New Roman"/>
        </w:rPr>
        <w:t>制定环境保护目标责任制，将环境保护列入岗位责任制及生产调度当中，不定期检查环境保护状况，以行政手段督促、检查、奖惩，促使生产岗位按要求完成环保任务。</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rPr>
        <w:t>2</w:t>
      </w:r>
      <w:r>
        <w:rPr>
          <w:rFonts w:cs="Times New Roman"/>
        </w:rPr>
        <w:t>）</w:t>
      </w:r>
      <w:r>
        <w:rPr>
          <w:rFonts w:cs="Times New Roman"/>
        </w:rPr>
        <w:t>技术手段</w:t>
      </w:r>
    </w:p>
    <w:p w:rsidR="00C645C9" w:rsidRDefault="00F955D9">
      <w:pPr>
        <w:adjustRightInd w:val="0"/>
        <w:snapToGrid w:val="0"/>
        <w:spacing w:line="360" w:lineRule="auto"/>
        <w:ind w:firstLine="522"/>
        <w:jc w:val="both"/>
        <w:rPr>
          <w:rFonts w:cs="Times New Roman"/>
        </w:rPr>
      </w:pPr>
      <w:r>
        <w:rPr>
          <w:rFonts w:cs="Times New Roman"/>
        </w:rPr>
        <w:t>从项目设计、施工到运营全过程采取先进的工艺、设备，同环境保护措施密切结合，积极推广应用新技术，解决环境问题，实现清洁生产。</w:t>
      </w:r>
    </w:p>
    <w:p w:rsidR="00C645C9" w:rsidRDefault="00F955D9">
      <w:pPr>
        <w:adjustRightInd w:val="0"/>
        <w:snapToGrid w:val="0"/>
        <w:spacing w:line="360" w:lineRule="auto"/>
        <w:ind w:firstLineChars="200" w:firstLine="480"/>
        <w:jc w:val="both"/>
        <w:rPr>
          <w:rFonts w:cs="Times New Roman"/>
        </w:rPr>
      </w:pPr>
      <w:r>
        <w:rPr>
          <w:rFonts w:cs="Times New Roman"/>
        </w:rPr>
        <w:lastRenderedPageBreak/>
        <w:t>（</w:t>
      </w:r>
      <w:r>
        <w:rPr>
          <w:rFonts w:cs="Times New Roman" w:hint="eastAsia"/>
        </w:rPr>
        <w:t>3</w:t>
      </w:r>
      <w:r>
        <w:rPr>
          <w:rFonts w:cs="Times New Roman"/>
        </w:rPr>
        <w:t>）</w:t>
      </w:r>
      <w:r>
        <w:rPr>
          <w:rFonts w:cs="Times New Roman"/>
        </w:rPr>
        <w:t>经济手段</w:t>
      </w:r>
    </w:p>
    <w:p w:rsidR="00C645C9" w:rsidRDefault="00F955D9">
      <w:pPr>
        <w:adjustRightInd w:val="0"/>
        <w:snapToGrid w:val="0"/>
        <w:spacing w:line="360" w:lineRule="auto"/>
        <w:ind w:firstLine="522"/>
        <w:jc w:val="both"/>
        <w:rPr>
          <w:rFonts w:cs="Times New Roman"/>
        </w:rPr>
      </w:pPr>
      <w:r>
        <w:rPr>
          <w:rFonts w:cs="Times New Roman"/>
        </w:rPr>
        <w:t>制定并严格按照《环境保护奖惩办法》开展工作，促进环保工作的定量考核，切实将防治污染和保护环境</w:t>
      </w:r>
      <w:r>
        <w:rPr>
          <w:rFonts w:cs="Times New Roman"/>
        </w:rPr>
        <w:t>落实到油田生产管理建设的各个工作环节，做到奖优罚劣，将环境保护与经济效益结合起来。</w:t>
      </w:r>
    </w:p>
    <w:p w:rsidR="00C645C9" w:rsidRDefault="00F955D9">
      <w:pPr>
        <w:adjustRightInd w:val="0"/>
        <w:snapToGrid w:val="0"/>
        <w:spacing w:line="360" w:lineRule="auto"/>
        <w:ind w:firstLine="522"/>
        <w:jc w:val="both"/>
        <w:rPr>
          <w:rFonts w:cs="Times New Roman"/>
        </w:rPr>
      </w:pPr>
      <w:r>
        <w:rPr>
          <w:rFonts w:cs="Times New Roman"/>
        </w:rPr>
        <w:t>（</w:t>
      </w:r>
      <w:r>
        <w:rPr>
          <w:rFonts w:cs="Times New Roman" w:hint="eastAsia"/>
        </w:rPr>
        <w:t>4</w:t>
      </w:r>
      <w:r>
        <w:rPr>
          <w:rFonts w:cs="Times New Roman"/>
        </w:rPr>
        <w:t>）教育手段</w:t>
      </w:r>
    </w:p>
    <w:p w:rsidR="00C645C9" w:rsidRDefault="00F955D9">
      <w:pPr>
        <w:adjustRightInd w:val="0"/>
        <w:snapToGrid w:val="0"/>
        <w:spacing w:line="360" w:lineRule="auto"/>
        <w:ind w:firstLine="522"/>
        <w:jc w:val="both"/>
        <w:rPr>
          <w:rFonts w:cs="Times New Roman"/>
          <w:lang w:eastAsia="en-US"/>
        </w:rPr>
      </w:pPr>
      <w:r>
        <w:rPr>
          <w:rFonts w:cs="Times New Roman"/>
        </w:rPr>
        <w:t>气藏开发、生产</w:t>
      </w:r>
      <w:r>
        <w:rPr>
          <w:rFonts w:cs="Times New Roman"/>
        </w:rPr>
        <w:t>过程中造成的环境污染部分与人为因素有关，要加强教育，通过环境保护宣传和教育提高全体职工的环保意识，做到自觉保护环境。</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5793" w:history="1">
        <w:r>
          <w:rPr>
            <w:rFonts w:ascii="Times New Roman" w:hAnsi="Times New Roman" w:cs="Times New Roman" w:hint="eastAsia"/>
            <w:color w:val="auto"/>
          </w:rPr>
          <w:t>9.1.</w:t>
        </w:r>
        <w:r>
          <w:rPr>
            <w:rFonts w:ascii="Times New Roman" w:hAnsi="Times New Roman" w:cs="Times New Roman" w:hint="eastAsia"/>
            <w:color w:val="auto"/>
            <w:lang w:eastAsia="zh-CN"/>
          </w:rPr>
          <w:t>6</w:t>
        </w:r>
        <w:r>
          <w:rPr>
            <w:rFonts w:ascii="Times New Roman" w:hAnsi="Times New Roman" w:cs="Times New Roman" w:hint="eastAsia"/>
            <w:color w:val="auto"/>
          </w:rPr>
          <w:t>环境监理</w:t>
        </w:r>
      </w:hyperlink>
    </w:p>
    <w:p w:rsidR="00C645C9" w:rsidRDefault="00F955D9">
      <w:pPr>
        <w:adjustRightInd w:val="0"/>
        <w:snapToGrid w:val="0"/>
        <w:spacing w:line="360" w:lineRule="auto"/>
        <w:ind w:firstLineChars="200" w:firstLine="480"/>
        <w:jc w:val="both"/>
        <w:rPr>
          <w:rFonts w:cs="Times New Roman"/>
        </w:rPr>
      </w:pPr>
      <w:r>
        <w:rPr>
          <w:rFonts w:cs="Times New Roman"/>
        </w:rPr>
        <w:t>为减轻国家重点工程对环境的影响，将环境管理制度从事后管理转变为全过程管理，建议</w:t>
      </w:r>
      <w:r>
        <w:rPr>
          <w:rFonts w:cs="Times New Roman"/>
        </w:rPr>
        <w:t>本</w:t>
      </w:r>
      <w:r>
        <w:rPr>
          <w:rFonts w:cs="Times New Roman"/>
        </w:rPr>
        <w:t>工程</w:t>
      </w:r>
      <w:r>
        <w:rPr>
          <w:rFonts w:cs="Times New Roman"/>
        </w:rPr>
        <w:t>充分借鉴同类相关工程环境监理经验，实行工程环境监理，或将环境监测</w:t>
      </w:r>
      <w:r>
        <w:rPr>
          <w:rFonts w:cs="Times New Roman" w:hint="eastAsia"/>
        </w:rPr>
        <w:t>纳入</w:t>
      </w:r>
      <w:r>
        <w:rPr>
          <w:rFonts w:cs="Times New Roman"/>
        </w:rPr>
        <w:t>工程监理中。</w:t>
      </w:r>
    </w:p>
    <w:p w:rsidR="00C645C9" w:rsidRDefault="00F955D9">
      <w:pPr>
        <w:adjustRightInd w:val="0"/>
        <w:snapToGrid w:val="0"/>
        <w:spacing w:line="360" w:lineRule="auto"/>
        <w:ind w:firstLineChars="200" w:firstLine="480"/>
        <w:jc w:val="both"/>
        <w:rPr>
          <w:rFonts w:cs="Times New Roman"/>
        </w:rPr>
      </w:pPr>
      <w:r>
        <w:rPr>
          <w:rFonts w:cs="Times New Roman"/>
        </w:rPr>
        <w:t>由建设单位聘请环境监理机构对施工单位、承包商、供应商和</w:t>
      </w:r>
      <w:r>
        <w:rPr>
          <w:rFonts w:cs="Times New Roman"/>
        </w:rPr>
        <w:t>中国石油化工股份有限公司</w:t>
      </w:r>
      <w:r>
        <w:rPr>
          <w:rFonts w:cs="Times New Roman"/>
        </w:rPr>
        <w:t>西北油田分公司环保</w:t>
      </w:r>
      <w:r>
        <w:rPr>
          <w:rFonts w:cs="Times New Roman" w:hint="eastAsia"/>
        </w:rPr>
        <w:t>法律法规</w:t>
      </w:r>
      <w:r>
        <w:rPr>
          <w:rFonts w:cs="Times New Roman"/>
        </w:rPr>
        <w:t>、制度、标准、规范的情况依法进行监督检查，特别是加强施工现场的环境监理检查工作，目的是协助建设单位落实施工期间的各项环境保护要求和施工合同中的环保规定，确保</w:t>
      </w:r>
      <w:r>
        <w:rPr>
          <w:rFonts w:cs="Times New Roman"/>
        </w:rPr>
        <w:t>本</w:t>
      </w:r>
      <w:r>
        <w:rPr>
          <w:rFonts w:cs="Times New Roman"/>
        </w:rPr>
        <w:t>工程</w:t>
      </w:r>
      <w:r>
        <w:rPr>
          <w:rFonts w:cs="Times New Roman"/>
        </w:rPr>
        <w:t>的建设符合有关环保法律法规的要求。</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rPr>
        <w:t>1</w:t>
      </w:r>
      <w:r>
        <w:rPr>
          <w:rFonts w:cs="Times New Roman"/>
        </w:rPr>
        <w:t>）</w:t>
      </w:r>
      <w:r>
        <w:rPr>
          <w:rFonts w:cs="Times New Roman"/>
        </w:rPr>
        <w:t>环境监理人员要求</w:t>
      </w:r>
    </w:p>
    <w:p w:rsidR="00C645C9" w:rsidRDefault="00F955D9">
      <w:pPr>
        <w:adjustRightInd w:val="0"/>
        <w:snapToGrid w:val="0"/>
        <w:spacing w:line="360" w:lineRule="auto"/>
        <w:ind w:firstLineChars="200" w:firstLine="480"/>
        <w:jc w:val="both"/>
        <w:rPr>
          <w:rFonts w:cs="Times New Roman"/>
        </w:rPr>
      </w:pPr>
      <w:r>
        <w:rPr>
          <w:rFonts w:cs="Times New Roman"/>
        </w:rPr>
        <w:t>①</w:t>
      </w:r>
      <w:r>
        <w:rPr>
          <w:rFonts w:cs="Times New Roman"/>
        </w:rPr>
        <w:t>环境监理人员必须具备环保专业知识，精通国家环境</w:t>
      </w:r>
      <w:r>
        <w:rPr>
          <w:rFonts w:cs="Times New Roman" w:hint="eastAsia"/>
        </w:rPr>
        <w:t>法律法规</w:t>
      </w:r>
      <w:r>
        <w:rPr>
          <w:rFonts w:cs="Times New Roman"/>
        </w:rPr>
        <w:t>和政策，了解当地环保部门的要求和环境标准。</w:t>
      </w:r>
    </w:p>
    <w:p w:rsidR="00C645C9" w:rsidRDefault="00F955D9">
      <w:pPr>
        <w:adjustRightInd w:val="0"/>
        <w:snapToGrid w:val="0"/>
        <w:spacing w:line="360" w:lineRule="auto"/>
        <w:ind w:firstLineChars="200" w:firstLine="480"/>
        <w:jc w:val="both"/>
        <w:rPr>
          <w:rFonts w:cs="Times New Roman"/>
        </w:rPr>
      </w:pPr>
      <w:r>
        <w:rPr>
          <w:rFonts w:cs="Times New Roman"/>
        </w:rPr>
        <w:t>②</w:t>
      </w:r>
      <w:r>
        <w:rPr>
          <w:rFonts w:cs="Times New Roman"/>
        </w:rPr>
        <w:t>必须接受过</w:t>
      </w:r>
      <w:r>
        <w:rPr>
          <w:rFonts w:cs="Times New Roman"/>
        </w:rPr>
        <w:t>HSE</w:t>
      </w:r>
      <w:r>
        <w:rPr>
          <w:rFonts w:cs="Times New Roman"/>
        </w:rPr>
        <w:t>专门培训，有较长的从事环保工作经历。</w:t>
      </w:r>
    </w:p>
    <w:p w:rsidR="00C645C9" w:rsidRDefault="00F955D9">
      <w:pPr>
        <w:adjustRightInd w:val="0"/>
        <w:snapToGrid w:val="0"/>
        <w:spacing w:line="360" w:lineRule="auto"/>
        <w:ind w:firstLineChars="200" w:firstLine="480"/>
        <w:jc w:val="both"/>
        <w:rPr>
          <w:rFonts w:cs="Times New Roman"/>
        </w:rPr>
      </w:pPr>
      <w:r>
        <w:rPr>
          <w:rFonts w:cs="Times New Roman"/>
        </w:rPr>
        <w:t>③</w:t>
      </w:r>
      <w:r>
        <w:rPr>
          <w:rFonts w:cs="Times New Roman"/>
        </w:rPr>
        <w:t>具有一定的油田开发建设的现场施工经验。</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rPr>
        <w:t>2</w:t>
      </w:r>
      <w:r>
        <w:rPr>
          <w:rFonts w:cs="Times New Roman"/>
        </w:rPr>
        <w:t>）</w:t>
      </w:r>
      <w:r>
        <w:rPr>
          <w:rFonts w:cs="Times New Roman"/>
        </w:rPr>
        <w:t>环境监理人员主要职责</w:t>
      </w:r>
    </w:p>
    <w:p w:rsidR="00C645C9" w:rsidRDefault="00F955D9">
      <w:pPr>
        <w:adjustRightInd w:val="0"/>
        <w:snapToGrid w:val="0"/>
        <w:spacing w:line="360" w:lineRule="auto"/>
        <w:ind w:firstLineChars="200" w:firstLine="480"/>
        <w:jc w:val="both"/>
        <w:rPr>
          <w:rFonts w:cs="Times New Roman"/>
        </w:rPr>
      </w:pPr>
      <w:r>
        <w:rPr>
          <w:rFonts w:cs="Times New Roman"/>
        </w:rPr>
        <w:t>①</w:t>
      </w:r>
      <w:r>
        <w:rPr>
          <w:rFonts w:cs="Times New Roman"/>
        </w:rPr>
        <w:t>监督施工现场对</w:t>
      </w:r>
      <w:r>
        <w:rPr>
          <w:rFonts w:cs="Times New Roman" w:hint="eastAsia"/>
        </w:rPr>
        <w:t>“</w:t>
      </w:r>
      <w:r>
        <w:rPr>
          <w:rFonts w:cs="Times New Roman"/>
        </w:rPr>
        <w:t>环境管理方案</w:t>
      </w:r>
      <w:r>
        <w:rPr>
          <w:rFonts w:cs="Times New Roman" w:hint="eastAsia"/>
        </w:rPr>
        <w:t>”</w:t>
      </w:r>
      <w:r>
        <w:rPr>
          <w:rFonts w:cs="Times New Roman"/>
        </w:rPr>
        <w:t>的落实。</w:t>
      </w:r>
    </w:p>
    <w:p w:rsidR="00C645C9" w:rsidRDefault="00F955D9">
      <w:pPr>
        <w:adjustRightInd w:val="0"/>
        <w:snapToGrid w:val="0"/>
        <w:spacing w:line="360" w:lineRule="auto"/>
        <w:ind w:firstLineChars="200" w:firstLine="480"/>
        <w:jc w:val="both"/>
        <w:rPr>
          <w:rFonts w:cs="Times New Roman"/>
        </w:rPr>
      </w:pPr>
      <w:r>
        <w:rPr>
          <w:rFonts w:cs="Times New Roman"/>
        </w:rPr>
        <w:t>②</w:t>
      </w:r>
      <w:r>
        <w:rPr>
          <w:rFonts w:cs="Times New Roman"/>
        </w:rPr>
        <w:t>及时向</w:t>
      </w:r>
      <w:r>
        <w:rPr>
          <w:rFonts w:cs="Times New Roman"/>
        </w:rPr>
        <w:t>HSE</w:t>
      </w:r>
      <w:r>
        <w:rPr>
          <w:rFonts w:cs="Times New Roman"/>
        </w:rPr>
        <w:t>部门负责</w:t>
      </w:r>
      <w:r>
        <w:rPr>
          <w:rFonts w:cs="Times New Roman"/>
        </w:rPr>
        <w:t>人汇报环境管理现状，并根据发现的问题提出合理化建议。</w:t>
      </w:r>
    </w:p>
    <w:p w:rsidR="00C645C9" w:rsidRDefault="00F955D9">
      <w:pPr>
        <w:adjustRightInd w:val="0"/>
        <w:snapToGrid w:val="0"/>
        <w:spacing w:line="360" w:lineRule="auto"/>
        <w:ind w:firstLineChars="200" w:firstLine="480"/>
        <w:jc w:val="both"/>
        <w:rPr>
          <w:rFonts w:cs="Times New Roman"/>
        </w:rPr>
      </w:pPr>
      <w:r>
        <w:rPr>
          <w:rFonts w:cs="Times New Roman"/>
        </w:rPr>
        <w:t>③</w:t>
      </w:r>
      <w:r>
        <w:rPr>
          <w:rFonts w:cs="Times New Roman"/>
        </w:rPr>
        <w:t>协助</w:t>
      </w:r>
      <w:r>
        <w:rPr>
          <w:rFonts w:cs="Times New Roman"/>
        </w:rPr>
        <w:t>HSE</w:t>
      </w:r>
      <w:r>
        <w:rPr>
          <w:rFonts w:cs="Times New Roman"/>
        </w:rPr>
        <w:t>部门负责人宣传贯彻国家和当地政府有关环境方面的法律和法规。</w:t>
      </w:r>
    </w:p>
    <w:p w:rsidR="00C645C9" w:rsidRDefault="00F955D9">
      <w:pPr>
        <w:adjustRightInd w:val="0"/>
        <w:snapToGrid w:val="0"/>
        <w:spacing w:line="360" w:lineRule="auto"/>
        <w:ind w:firstLineChars="200" w:firstLine="480"/>
        <w:jc w:val="both"/>
        <w:rPr>
          <w:rFonts w:cs="Times New Roman"/>
        </w:rPr>
      </w:pPr>
      <w:r>
        <w:rPr>
          <w:rFonts w:cs="Times New Roman"/>
        </w:rPr>
        <w:t>④</w:t>
      </w:r>
      <w:r>
        <w:rPr>
          <w:rFonts w:cs="Times New Roman"/>
        </w:rPr>
        <w:t>对</w:t>
      </w:r>
      <w:r>
        <w:rPr>
          <w:rFonts w:cs="Times New Roman"/>
        </w:rPr>
        <w:t>HSE</w:t>
      </w:r>
      <w:r>
        <w:rPr>
          <w:rFonts w:cs="Times New Roman"/>
        </w:rPr>
        <w:t>工作的真实性、合法性、效益性进行审查，评价其责任，并提出改进意见。</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rPr>
        <w:t>3</w:t>
      </w:r>
      <w:r>
        <w:rPr>
          <w:rFonts w:cs="Times New Roman"/>
        </w:rPr>
        <w:t>）</w:t>
      </w:r>
      <w:r>
        <w:rPr>
          <w:rFonts w:cs="Times New Roman"/>
        </w:rPr>
        <w:t>环境监理范围</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rPr>
        <w:lastRenderedPageBreak/>
        <w:t>本工程不涉及自然保护区、风景名胜区、水源保护区及文物保护区等特殊保护目标，环境监理范围为工程扰动范围</w:t>
      </w:r>
      <w:r>
        <w:rPr>
          <w:rFonts w:cs="Times New Roman"/>
        </w:rPr>
        <w:t>。</w:t>
      </w:r>
    </w:p>
    <w:p w:rsidR="00C645C9" w:rsidRDefault="00F955D9">
      <w:pPr>
        <w:adjustRightInd w:val="0"/>
        <w:snapToGrid w:val="0"/>
        <w:spacing w:line="360" w:lineRule="auto"/>
        <w:ind w:firstLineChars="200" w:firstLine="480"/>
        <w:jc w:val="both"/>
        <w:rPr>
          <w:rFonts w:cs="Times New Roman"/>
        </w:rPr>
      </w:pPr>
      <w:r>
        <w:rPr>
          <w:rFonts w:cs="Times New Roman"/>
        </w:rPr>
        <w:t>（</w:t>
      </w:r>
      <w:r>
        <w:rPr>
          <w:rFonts w:cs="Times New Roman"/>
        </w:rPr>
        <w:t>4</w:t>
      </w:r>
      <w:r>
        <w:rPr>
          <w:rFonts w:cs="Times New Roman"/>
        </w:rPr>
        <w:t>）</w:t>
      </w:r>
      <w:r>
        <w:rPr>
          <w:rFonts w:cs="Times New Roman"/>
        </w:rPr>
        <w:t>环境监理内容</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rPr>
        <w:t>①</w:t>
      </w:r>
      <w:r>
        <w:rPr>
          <w:rFonts w:cs="Times New Roman"/>
        </w:rPr>
        <w:t>施工期环境监理主要内容</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rPr>
        <w:t>针对施工期生活污水</w:t>
      </w:r>
      <w:r>
        <w:rPr>
          <w:rFonts w:cs="Times New Roman" w:hint="eastAsia"/>
        </w:rPr>
        <w:t>、钻井废水、酸化压裂废水、试压废水</w:t>
      </w:r>
      <w:r>
        <w:rPr>
          <w:rFonts w:cs="Times New Roman"/>
        </w:rPr>
        <w:t>的环境保护处理措施</w:t>
      </w:r>
      <w:r>
        <w:rPr>
          <w:rFonts w:cs="Times New Roman" w:hint="eastAsia"/>
        </w:rPr>
        <w:t>；钻井泥浆</w:t>
      </w:r>
      <w:r>
        <w:rPr>
          <w:rFonts w:cs="Times New Roman" w:hint="eastAsia"/>
        </w:rPr>
        <w:t>和岩屑、施工废料、落地油、废润滑油、生活垃圾</w:t>
      </w:r>
      <w:r>
        <w:rPr>
          <w:rFonts w:cs="Times New Roman"/>
        </w:rPr>
        <w:t>主要</w:t>
      </w:r>
      <w:r>
        <w:rPr>
          <w:rFonts w:cs="Times New Roman"/>
        </w:rPr>
        <w:t>处理</w:t>
      </w:r>
      <w:r>
        <w:rPr>
          <w:rFonts w:cs="Times New Roman"/>
        </w:rPr>
        <w:t>措施</w:t>
      </w:r>
      <w:r>
        <w:rPr>
          <w:rFonts w:cs="Times New Roman" w:hint="eastAsia"/>
        </w:rPr>
        <w:t>；</w:t>
      </w:r>
      <w:r>
        <w:rPr>
          <w:rFonts w:cs="Times New Roman" w:hint="eastAsia"/>
        </w:rPr>
        <w:t>钻井废气、</w:t>
      </w:r>
      <w:r>
        <w:rPr>
          <w:rFonts w:cs="Times New Roman"/>
        </w:rPr>
        <w:t>施工扬尘</w:t>
      </w:r>
      <w:r>
        <w:rPr>
          <w:rFonts w:cs="Times New Roman"/>
        </w:rPr>
        <w:t>、焊接废气</w:t>
      </w:r>
      <w:r>
        <w:rPr>
          <w:rFonts w:cs="Times New Roman" w:hint="eastAsia"/>
        </w:rPr>
        <w:t>、</w:t>
      </w:r>
      <w:r>
        <w:rPr>
          <w:rFonts w:cs="Times New Roman"/>
          <w:szCs w:val="20"/>
        </w:rPr>
        <w:t>施工机械废气</w:t>
      </w:r>
      <w:r>
        <w:rPr>
          <w:rFonts w:cs="Times New Roman" w:hint="eastAsia"/>
          <w:szCs w:val="20"/>
        </w:rPr>
        <w:t>及</w:t>
      </w:r>
      <w:r>
        <w:rPr>
          <w:rFonts w:cs="Times New Roman"/>
          <w:szCs w:val="20"/>
        </w:rPr>
        <w:t>运输车辆尾气</w:t>
      </w:r>
      <w:r>
        <w:rPr>
          <w:rFonts w:cs="Times New Roman"/>
        </w:rPr>
        <w:t>的大气环境影响控制措施</w:t>
      </w:r>
      <w:r>
        <w:rPr>
          <w:rFonts w:cs="Times New Roman" w:hint="eastAsia"/>
        </w:rPr>
        <w:t>；</w:t>
      </w:r>
      <w:r>
        <w:rPr>
          <w:rFonts w:cs="Times New Roman"/>
        </w:rPr>
        <w:t>土方施工、</w:t>
      </w:r>
      <w:r>
        <w:rPr>
          <w:rFonts w:cs="Times New Roman"/>
          <w:bCs/>
          <w:kern w:val="2"/>
          <w:lang w:val="zh-CN"/>
        </w:rPr>
        <w:t>各类施工机械和运输车辆</w:t>
      </w:r>
      <w:r>
        <w:rPr>
          <w:rFonts w:cs="Times New Roman"/>
        </w:rPr>
        <w:t>的声环境控制措施，进行环境监理，必要时采取旁站的形式完成监理工作。另外，还应对</w:t>
      </w:r>
      <w:r>
        <w:rPr>
          <w:rFonts w:cs="Times New Roman" w:hint="eastAsia"/>
        </w:rPr>
        <w:t>井场</w:t>
      </w:r>
      <w:r>
        <w:rPr>
          <w:rFonts w:cs="Times New Roman"/>
        </w:rPr>
        <w:t>、公路等施工期的生态保护措施及恢复方案进行监理。</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rPr>
        <w:t>②</w:t>
      </w:r>
      <w:r>
        <w:rPr>
          <w:rFonts w:cs="Times New Roman"/>
        </w:rPr>
        <w:t>运营期环境监理主要内容</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rPr>
        <w:t>按照竣工环境保护验收有关要求逐项核查环保措施、设施落实情况、效果，重点关注生态保护措施及作业带地貌恢复的情况。</w:t>
      </w:r>
      <w:r>
        <w:rPr>
          <w:rFonts w:cs="Times New Roman"/>
        </w:rPr>
        <w:t xml:space="preserve"> </w:t>
      </w:r>
    </w:p>
    <w:p w:rsidR="00C645C9" w:rsidRDefault="00F955D9">
      <w:pPr>
        <w:adjustRightInd w:val="0"/>
        <w:snapToGrid w:val="0"/>
        <w:spacing w:line="360" w:lineRule="auto"/>
        <w:ind w:firstLineChars="200" w:firstLine="480"/>
        <w:jc w:val="both"/>
        <w:rPr>
          <w:rFonts w:cs="Times New Roman"/>
        </w:rPr>
      </w:pPr>
      <w:r>
        <w:rPr>
          <w:rFonts w:cs="Times New Roman" w:hint="eastAsia"/>
        </w:rPr>
        <w:t>本工程</w:t>
      </w:r>
      <w:bookmarkStart w:id="1955" w:name="OLE_LINK957"/>
      <w:r>
        <w:rPr>
          <w:rFonts w:cs="Times New Roman" w:hint="eastAsia"/>
        </w:rPr>
        <w:t>运营期环境监督管理计划</w:t>
      </w:r>
      <w:bookmarkEnd w:id="1955"/>
      <w:r>
        <w:rPr>
          <w:rFonts w:cs="Times New Roman"/>
        </w:rPr>
        <w:t>见表</w:t>
      </w:r>
      <w:r>
        <w:rPr>
          <w:rFonts w:cs="Times New Roman"/>
        </w:rPr>
        <w:t>9</w:t>
      </w:r>
      <w:r>
        <w:rPr>
          <w:rFonts w:cs="Times New Roman"/>
        </w:rPr>
        <w:t>.</w:t>
      </w:r>
      <w:r>
        <w:rPr>
          <w:rFonts w:cs="Times New Roman" w:hint="eastAsia"/>
        </w:rPr>
        <w:t>1</w:t>
      </w:r>
      <w:r>
        <w:rPr>
          <w:rFonts w:cs="Times New Roman"/>
        </w:rPr>
        <w:t>-1</w:t>
      </w:r>
      <w:r>
        <w:rPr>
          <w:rFonts w:cs="Times New Roman"/>
        </w:rPr>
        <w:t>。</w:t>
      </w: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r>
        <w:rPr>
          <w:rFonts w:eastAsia="黑体" w:cs="Times New Roman"/>
          <w:sz w:val="21"/>
          <w:szCs w:val="21"/>
        </w:rPr>
        <w:t>9</w:t>
      </w:r>
      <w:r>
        <w:rPr>
          <w:rFonts w:eastAsia="黑体" w:cs="Times New Roman"/>
          <w:sz w:val="21"/>
          <w:szCs w:val="21"/>
        </w:rPr>
        <w:t>.</w:t>
      </w:r>
      <w:r>
        <w:rPr>
          <w:rFonts w:eastAsia="黑体" w:cs="Times New Roman" w:hint="eastAsia"/>
          <w:sz w:val="21"/>
          <w:szCs w:val="21"/>
        </w:rPr>
        <w:t>1</w:t>
      </w:r>
      <w:r>
        <w:rPr>
          <w:rFonts w:eastAsia="黑体" w:cs="Times New Roman"/>
          <w:sz w:val="21"/>
          <w:szCs w:val="21"/>
        </w:rPr>
        <w:t>-1</w:t>
      </w:r>
      <w:r>
        <w:rPr>
          <w:rFonts w:eastAsia="黑体" w:cs="Times New Roman"/>
          <w:sz w:val="21"/>
          <w:szCs w:val="21"/>
        </w:rPr>
        <w:t xml:space="preserve">   </w:t>
      </w:r>
      <w:r>
        <w:rPr>
          <w:rFonts w:eastAsia="黑体" w:cs="Times New Roman"/>
          <w:sz w:val="21"/>
          <w:szCs w:val="21"/>
        </w:rPr>
        <w:t>运营期环境监督管理计划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599"/>
        <w:gridCol w:w="3371"/>
        <w:gridCol w:w="1086"/>
        <w:gridCol w:w="1749"/>
      </w:tblGrid>
      <w:tr w:rsidR="00C645C9">
        <w:trPr>
          <w:tblHeader/>
          <w:jc w:val="center"/>
        </w:trPr>
        <w:tc>
          <w:tcPr>
            <w:tcW w:w="4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序号</w:t>
            </w:r>
          </w:p>
        </w:tc>
        <w:tc>
          <w:tcPr>
            <w:tcW w:w="9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监督管理项目</w:t>
            </w:r>
          </w:p>
        </w:tc>
        <w:tc>
          <w:tcPr>
            <w:tcW w:w="197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监督检查具体内容</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实施单位</w:t>
            </w:r>
          </w:p>
        </w:tc>
        <w:tc>
          <w:tcPr>
            <w:tcW w:w="102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监督单位</w:t>
            </w:r>
          </w:p>
        </w:tc>
      </w:tr>
      <w:tr w:rsidR="00C645C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1</w:t>
            </w:r>
          </w:p>
        </w:tc>
        <w:tc>
          <w:tcPr>
            <w:tcW w:w="9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环境计划管理</w:t>
            </w:r>
          </w:p>
        </w:tc>
        <w:tc>
          <w:tcPr>
            <w:tcW w:w="197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jc w:val="both"/>
            </w:pPr>
            <w:r>
              <w:t>环境管理计划的实施情况，包括井区环境整治、排污口规范化整治、环保治理方案的落实情况等</w:t>
            </w:r>
            <w:r>
              <w:rPr>
                <w:rFonts w:hint="eastAsia"/>
              </w:rPr>
              <w:t>。</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建设单位</w:t>
            </w:r>
          </w:p>
        </w:tc>
        <w:tc>
          <w:tcPr>
            <w:tcW w:w="102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阿克苏地区生态环境局、阿克苏地区生态环境局</w:t>
            </w:r>
            <w:r>
              <w:rPr>
                <w:rFonts w:hint="eastAsia"/>
              </w:rPr>
              <w:t>新和</w:t>
            </w:r>
            <w:r>
              <w:t>县分局</w:t>
            </w:r>
          </w:p>
        </w:tc>
      </w:tr>
      <w:tr w:rsidR="00C645C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2</w:t>
            </w:r>
          </w:p>
        </w:tc>
        <w:tc>
          <w:tcPr>
            <w:tcW w:w="9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污染源管理</w:t>
            </w:r>
          </w:p>
        </w:tc>
        <w:tc>
          <w:tcPr>
            <w:tcW w:w="197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jc w:val="both"/>
            </w:pPr>
            <w:r>
              <w:rPr>
                <w:rFonts w:hint="eastAsia"/>
              </w:rPr>
              <w:t>①</w:t>
            </w:r>
            <w:r>
              <w:t>环保设施的运行情况，防止闲置和不正常运行</w:t>
            </w:r>
            <w:r>
              <w:rPr>
                <w:rFonts w:hint="eastAsia"/>
              </w:rPr>
              <w:t>。</w:t>
            </w:r>
          </w:p>
          <w:p w:rsidR="00C645C9" w:rsidRDefault="00F955D9">
            <w:pPr>
              <w:pStyle w:val="AF-"/>
              <w:jc w:val="both"/>
            </w:pPr>
            <w:r>
              <w:rPr>
                <w:rFonts w:hint="eastAsia"/>
              </w:rPr>
              <w:t>②</w:t>
            </w:r>
            <w:r>
              <w:t>各废气排放源的排放情况，掌握排污动态，防止直接排放</w:t>
            </w:r>
            <w:r>
              <w:rPr>
                <w:rFonts w:hint="eastAsia"/>
              </w:rPr>
              <w:t>。</w:t>
            </w:r>
          </w:p>
          <w:p w:rsidR="00C645C9" w:rsidRDefault="00F955D9">
            <w:pPr>
              <w:pStyle w:val="AF-"/>
              <w:jc w:val="both"/>
            </w:pPr>
            <w:r>
              <w:rPr>
                <w:rFonts w:hint="eastAsia"/>
              </w:rPr>
              <w:t>③</w:t>
            </w:r>
            <w:r>
              <w:t>检查固废的堆放、运输、处置措施的执行情况，防止造成环境污染</w:t>
            </w:r>
            <w:r>
              <w:rPr>
                <w:rFonts w:hint="eastAsia"/>
              </w:rPr>
              <w:t>。</w:t>
            </w:r>
          </w:p>
          <w:p w:rsidR="00C645C9" w:rsidRDefault="00F955D9">
            <w:pPr>
              <w:pStyle w:val="AF-"/>
              <w:jc w:val="both"/>
            </w:pPr>
            <w:r>
              <w:rPr>
                <w:rFonts w:hint="eastAsia"/>
              </w:rPr>
              <w:t>④</w:t>
            </w:r>
            <w:r>
              <w:t>检查噪声排放源治理措施的消声、隔声效果，防止超标排放</w:t>
            </w:r>
            <w:r>
              <w:rPr>
                <w:rFonts w:hint="eastAsia"/>
              </w:rPr>
              <w:t>。</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建设单位</w:t>
            </w:r>
          </w:p>
        </w:tc>
        <w:tc>
          <w:tcPr>
            <w:tcW w:w="102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阿克苏地区生态环境局、阿克苏地区生态环境局</w:t>
            </w:r>
            <w:r>
              <w:rPr>
                <w:rFonts w:hint="eastAsia"/>
              </w:rPr>
              <w:t>新和</w:t>
            </w:r>
            <w:r>
              <w:t>县分局</w:t>
            </w:r>
          </w:p>
        </w:tc>
      </w:tr>
      <w:tr w:rsidR="00C645C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3</w:t>
            </w:r>
          </w:p>
        </w:tc>
        <w:tc>
          <w:tcPr>
            <w:tcW w:w="9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环境监测管理</w:t>
            </w:r>
          </w:p>
        </w:tc>
        <w:tc>
          <w:tcPr>
            <w:tcW w:w="197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jc w:val="both"/>
            </w:pPr>
            <w:r>
              <w:rPr>
                <w:rFonts w:hint="eastAsia"/>
              </w:rPr>
              <w:t>①</w:t>
            </w:r>
            <w:r>
              <w:t>组织废气污染源</w:t>
            </w:r>
            <w:r>
              <w:rPr>
                <w:rFonts w:hint="eastAsia"/>
              </w:rPr>
              <w:t>无组织排放厂界</w:t>
            </w:r>
            <w:r>
              <w:t>监测，防止废气影响</w:t>
            </w:r>
            <w:r>
              <w:rPr>
                <w:rFonts w:hint="eastAsia"/>
              </w:rPr>
              <w:t>。</w:t>
            </w:r>
          </w:p>
          <w:p w:rsidR="00C645C9" w:rsidRDefault="00F955D9">
            <w:pPr>
              <w:pStyle w:val="AF-"/>
              <w:jc w:val="both"/>
            </w:pPr>
            <w:r>
              <w:rPr>
                <w:rFonts w:hint="eastAsia"/>
              </w:rPr>
              <w:t>②</w:t>
            </w:r>
            <w:r>
              <w:t>组织地下水环境监测，防止水环境污染</w:t>
            </w:r>
            <w:r>
              <w:rPr>
                <w:rFonts w:hint="eastAsia"/>
              </w:rPr>
              <w:t>。</w:t>
            </w:r>
          </w:p>
          <w:p w:rsidR="00C645C9" w:rsidRDefault="00F955D9">
            <w:pPr>
              <w:pStyle w:val="AF-"/>
              <w:jc w:val="both"/>
            </w:pPr>
            <w:r>
              <w:rPr>
                <w:rFonts w:hint="eastAsia"/>
              </w:rPr>
              <w:t>③</w:t>
            </w:r>
            <w:r>
              <w:t>组织厂界环境噪声监测，防止</w:t>
            </w:r>
            <w:r>
              <w:rPr>
                <w:rFonts w:hint="eastAsia"/>
              </w:rPr>
              <w:t>厂界超标</w:t>
            </w:r>
            <w:r>
              <w:rPr>
                <w:rFonts w:hint="eastAsia"/>
              </w:rPr>
              <w:t>。</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建设单位</w:t>
            </w:r>
          </w:p>
        </w:tc>
        <w:tc>
          <w:tcPr>
            <w:tcW w:w="102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阿克苏地区生态环境局、阿克苏地区生态环境局</w:t>
            </w:r>
            <w:r>
              <w:rPr>
                <w:rFonts w:hint="eastAsia"/>
              </w:rPr>
              <w:t>新和</w:t>
            </w:r>
            <w:r>
              <w:t>县分局</w:t>
            </w:r>
          </w:p>
        </w:tc>
      </w:tr>
      <w:tr w:rsidR="00C645C9">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4</w:t>
            </w:r>
          </w:p>
        </w:tc>
        <w:tc>
          <w:tcPr>
            <w:tcW w:w="938"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生态环境管理</w:t>
            </w:r>
          </w:p>
        </w:tc>
        <w:tc>
          <w:tcPr>
            <w:tcW w:w="197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jc w:val="both"/>
            </w:pPr>
            <w:r>
              <w:t>定期检查受影响范围内生态系统的动态变化情况</w:t>
            </w:r>
          </w:p>
        </w:tc>
        <w:tc>
          <w:tcPr>
            <w:tcW w:w="637"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建设单位</w:t>
            </w:r>
          </w:p>
        </w:tc>
        <w:tc>
          <w:tcPr>
            <w:tcW w:w="1026" w:type="pct"/>
            <w:tcBorders>
              <w:top w:val="single" w:sz="4" w:space="0" w:color="auto"/>
              <w:left w:val="single" w:sz="4" w:space="0" w:color="auto"/>
              <w:bottom w:val="single" w:sz="4" w:space="0" w:color="auto"/>
              <w:right w:val="single" w:sz="4" w:space="0" w:color="auto"/>
            </w:tcBorders>
            <w:vAlign w:val="center"/>
          </w:tcPr>
          <w:p w:rsidR="00C645C9" w:rsidRDefault="00F955D9">
            <w:pPr>
              <w:pStyle w:val="AF-"/>
            </w:pPr>
            <w:r>
              <w:t>阿克苏地区生态环境局、阿克苏地区生态环境局</w:t>
            </w:r>
            <w:r>
              <w:rPr>
                <w:rFonts w:hint="eastAsia"/>
              </w:rPr>
              <w:t>新和</w:t>
            </w:r>
            <w:r>
              <w:t>县分局</w:t>
            </w:r>
          </w:p>
        </w:tc>
      </w:tr>
    </w:tbl>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4862" w:history="1">
        <w:r>
          <w:rPr>
            <w:rFonts w:ascii="Times New Roman" w:hAnsi="Times New Roman" w:cs="Times New Roman" w:hint="eastAsia"/>
            <w:color w:val="auto"/>
          </w:rPr>
          <w:t>9.1.</w:t>
        </w:r>
        <w:r>
          <w:rPr>
            <w:rFonts w:ascii="Times New Roman" w:hAnsi="Times New Roman" w:cs="Times New Roman" w:hint="eastAsia"/>
            <w:color w:val="auto"/>
            <w:lang w:eastAsia="zh-CN"/>
          </w:rPr>
          <w:t>7</w:t>
        </w:r>
        <w:r>
          <w:rPr>
            <w:rFonts w:ascii="Times New Roman" w:hAnsi="Times New Roman" w:cs="Times New Roman" w:hint="eastAsia"/>
            <w:color w:val="auto"/>
          </w:rPr>
          <w:t xml:space="preserve"> </w:t>
        </w:r>
        <w:bookmarkStart w:id="1956" w:name="OLE_LINK952"/>
        <w:r>
          <w:rPr>
            <w:rFonts w:ascii="Times New Roman" w:hAnsi="Times New Roman" w:cs="Times New Roman" w:hint="eastAsia"/>
            <w:color w:val="auto"/>
          </w:rPr>
          <w:t>环境影响后评价</w:t>
        </w:r>
        <w:bookmarkEnd w:id="1956"/>
      </w:hyperlink>
    </w:p>
    <w:p w:rsidR="00C645C9" w:rsidRDefault="00F955D9">
      <w:pPr>
        <w:widowControl w:val="0"/>
        <w:snapToGrid w:val="0"/>
        <w:spacing w:line="360" w:lineRule="auto"/>
        <w:ind w:firstLineChars="200" w:firstLine="480"/>
        <w:rPr>
          <w:rFonts w:cs="Times New Roman"/>
          <w:bCs/>
        </w:rPr>
      </w:pPr>
      <w:r>
        <w:rPr>
          <w:rFonts w:cs="Times New Roman"/>
          <w:bCs/>
        </w:rPr>
        <w:t>根据《中华人民共和国环境影响评价法》《建设项目环境影响后评价管理办法（试行）》《关于进一步加强和规范油气田开发项目环境保护管理工作的通知》《关于进一步加强石油天然气行业环境影响评价管理的通知》《关于加强建设项目环境影响后评价管理的通知》要求，油气田开发业主单位对区域内通过环境影响评价审批并通过环境保护设施竣工验收</w:t>
      </w:r>
      <w:r>
        <w:rPr>
          <w:rFonts w:cs="Times New Roman" w:hint="eastAsia"/>
          <w:bCs/>
        </w:rPr>
        <w:t>且</w:t>
      </w:r>
      <w:r>
        <w:rPr>
          <w:rFonts w:cs="Times New Roman"/>
          <w:bCs/>
        </w:rPr>
        <w:t>稳定运行满</w:t>
      </w:r>
      <w:r>
        <w:rPr>
          <w:rFonts w:cs="Times New Roman"/>
          <w:bCs/>
        </w:rPr>
        <w:t>5</w:t>
      </w:r>
      <w:r>
        <w:rPr>
          <w:rFonts w:cs="Times New Roman"/>
          <w:bCs/>
        </w:rPr>
        <w:t>年的建设项目，须组织开展环境影响后评价工作。</w:t>
      </w:r>
    </w:p>
    <w:p w:rsidR="00C645C9" w:rsidRDefault="00F955D9">
      <w:pPr>
        <w:widowControl w:val="0"/>
        <w:snapToGrid w:val="0"/>
        <w:spacing w:line="360" w:lineRule="auto"/>
        <w:ind w:firstLineChars="200" w:firstLine="480"/>
        <w:rPr>
          <w:rFonts w:cs="Times New Roman"/>
          <w:bCs/>
        </w:rPr>
      </w:pPr>
      <w:r>
        <w:rPr>
          <w:rFonts w:cs="Times New Roman"/>
          <w:bCs/>
        </w:rPr>
        <w:t>本</w:t>
      </w:r>
      <w:r>
        <w:rPr>
          <w:rFonts w:cs="Times New Roman" w:hint="eastAsia"/>
          <w:bCs/>
        </w:rPr>
        <w:t>工程</w:t>
      </w:r>
      <w:r>
        <w:rPr>
          <w:rFonts w:cs="Times New Roman"/>
          <w:bCs/>
        </w:rPr>
        <w:t>实施后，应在</w:t>
      </w:r>
      <w:r>
        <w:rPr>
          <w:rFonts w:cs="Times New Roman"/>
          <w:bCs/>
        </w:rPr>
        <w:t>5</w:t>
      </w:r>
      <w:r>
        <w:rPr>
          <w:rFonts w:cs="Times New Roman"/>
          <w:bCs/>
        </w:rPr>
        <w:t>年内开展环境影响后评价工作，对</w:t>
      </w:r>
      <w:r>
        <w:rPr>
          <w:rFonts w:cs="Times New Roman" w:hint="eastAsia"/>
          <w:bCs/>
        </w:rPr>
        <w:t>本工程</w:t>
      </w:r>
      <w:r>
        <w:rPr>
          <w:rFonts w:cs="Times New Roman"/>
          <w:bCs/>
        </w:rPr>
        <w:t>实际产生的环境影响以及污染防治、生态保护和风险防范措施的有效性进行跟踪监测和验证评价，对存在问题提出补救方案或者改进措施，不断完善和提高建设项目环境影响评价的有效性，切实落实各项环境保护措施接受生态环境部门的监督检查。</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4563" w:history="1">
        <w:r>
          <w:rPr>
            <w:rFonts w:ascii="Times New Roman" w:hAnsi="Times New Roman" w:cs="Times New Roman" w:hint="eastAsia"/>
            <w:color w:val="auto"/>
          </w:rPr>
          <w:t xml:space="preserve">9.1.8 </w:t>
        </w:r>
        <w:bookmarkStart w:id="1957" w:name="OLE_LINK951"/>
        <w:r>
          <w:rPr>
            <w:rFonts w:ascii="Times New Roman" w:hAnsi="Times New Roman" w:cs="Times New Roman" w:hint="eastAsia"/>
            <w:color w:val="auto"/>
          </w:rPr>
          <w:t>排污许可</w:t>
        </w:r>
        <w:bookmarkEnd w:id="1957"/>
      </w:hyperlink>
    </w:p>
    <w:p w:rsidR="00C645C9" w:rsidRDefault="00F955D9">
      <w:pPr>
        <w:widowControl w:val="0"/>
        <w:snapToGrid w:val="0"/>
        <w:spacing w:line="360" w:lineRule="auto"/>
        <w:ind w:firstLineChars="200" w:firstLine="480"/>
        <w:rPr>
          <w:rFonts w:cs="Times New Roman"/>
          <w:bCs/>
        </w:rPr>
      </w:pPr>
      <w:r>
        <w:rPr>
          <w:rFonts w:cs="Times New Roman"/>
          <w:bCs/>
        </w:rPr>
        <w:t>排污口是否规范，是项目验收的前提条件之一。从评价调查及收集资料可以看出，</w:t>
      </w:r>
      <w:r>
        <w:rPr>
          <w:rFonts w:cs="Times New Roman" w:hint="eastAsia"/>
        </w:rPr>
        <w:t>雅克拉采气厂</w:t>
      </w:r>
      <w:r>
        <w:rPr>
          <w:rFonts w:cs="Times New Roman"/>
          <w:bCs/>
        </w:rPr>
        <w:t>基本能做到排污口规范化。固体废物、危险废物贮存场所均设置有标志牌，废气排放口、噪声排放口规范化管理较规范，废气监测口的设置、噪声排放</w:t>
      </w:r>
      <w:r>
        <w:rPr>
          <w:rFonts w:cs="Times New Roman"/>
          <w:bCs/>
        </w:rPr>
        <w:t>口标志牌设置符合国家和自治区的相关要求进行规范管理，并自行开展了相关监测。</w:t>
      </w:r>
      <w:r>
        <w:rPr>
          <w:rFonts w:cs="Times New Roman" w:hint="eastAsia"/>
        </w:rPr>
        <w:t>雅克拉采气厂</w:t>
      </w:r>
      <w:r>
        <w:rPr>
          <w:rFonts w:cs="Times New Roman"/>
          <w:bCs/>
        </w:rPr>
        <w:t>按照《固定污染源排污许可分类管理名录（</w:t>
      </w:r>
      <w:r>
        <w:rPr>
          <w:rFonts w:cs="Times New Roman"/>
          <w:bCs/>
        </w:rPr>
        <w:t>2019</w:t>
      </w:r>
      <w:r>
        <w:rPr>
          <w:rFonts w:cs="Times New Roman"/>
          <w:bCs/>
        </w:rPr>
        <w:t>版）》规定的范围，已对加热炉等固定污染源办理了排污许可证。根据《排污口规范化整治技术要求（试行）》</w:t>
      </w:r>
      <w:r>
        <w:rPr>
          <w:rFonts w:cs="Times New Roman" w:hint="eastAsia"/>
          <w:bCs/>
        </w:rPr>
        <w:t>《</w:t>
      </w:r>
      <w:bookmarkStart w:id="1958" w:name="OLE_LINK1333"/>
      <w:r>
        <w:rPr>
          <w:rFonts w:cs="Times New Roman" w:hint="eastAsia"/>
          <w:bCs/>
        </w:rPr>
        <w:t>〈</w:t>
      </w:r>
      <w:r>
        <w:rPr>
          <w:rFonts w:cs="Times New Roman"/>
          <w:bCs/>
        </w:rPr>
        <w:t>环境保护图形标志〉实施细则</w:t>
      </w:r>
      <w:bookmarkEnd w:id="1958"/>
      <w:r>
        <w:rPr>
          <w:rFonts w:cs="Times New Roman"/>
          <w:bCs/>
        </w:rPr>
        <w:t>》《环境保护图形标志》《排污单位自行监测技术指南</w:t>
      </w:r>
      <w:r>
        <w:rPr>
          <w:rFonts w:cs="Times New Roman"/>
          <w:bCs/>
        </w:rPr>
        <w:t xml:space="preserve"> </w:t>
      </w:r>
      <w:r>
        <w:rPr>
          <w:rFonts w:cs="Times New Roman"/>
          <w:bCs/>
        </w:rPr>
        <w:t>总则》（</w:t>
      </w:r>
      <w:r>
        <w:rPr>
          <w:rFonts w:cs="Times New Roman"/>
          <w:bCs/>
        </w:rPr>
        <w:t>HJ819-2017</w:t>
      </w:r>
      <w:r>
        <w:rPr>
          <w:rFonts w:cs="Times New Roman"/>
          <w:bCs/>
        </w:rPr>
        <w:t>），</w:t>
      </w:r>
      <w:bookmarkStart w:id="1959" w:name="OLE_LINK959"/>
      <w:r>
        <w:rPr>
          <w:rFonts w:cs="Times New Roman" w:hint="eastAsia"/>
        </w:rPr>
        <w:t>雅克拉采气厂</w:t>
      </w:r>
      <w:bookmarkEnd w:id="1959"/>
      <w:r>
        <w:rPr>
          <w:rFonts w:cs="Times New Roman"/>
          <w:bCs/>
        </w:rPr>
        <w:t>进一步建立完善了自行监测制度及排污口规范化管理制度。</w:t>
      </w:r>
      <w:bookmarkStart w:id="1960" w:name="OLE_LINK958"/>
      <w:bookmarkStart w:id="1961" w:name="OLE_LINK1150"/>
      <w:r>
        <w:rPr>
          <w:rFonts w:cs="Times New Roman" w:hint="eastAsia"/>
        </w:rPr>
        <w:t>雅克拉采气厂</w:t>
      </w:r>
      <w:bookmarkEnd w:id="1960"/>
      <w:r>
        <w:rPr>
          <w:rFonts w:cs="Times New Roman"/>
          <w:bCs/>
        </w:rPr>
        <w:t>已取得排污</w:t>
      </w:r>
      <w:r>
        <w:rPr>
          <w:rFonts w:cs="Times New Roman" w:hint="eastAsia"/>
          <w:bCs/>
        </w:rPr>
        <w:t>登记回执</w:t>
      </w:r>
      <w:r>
        <w:rPr>
          <w:rFonts w:cs="Times New Roman"/>
          <w:bCs/>
        </w:rPr>
        <w:t>（</w:t>
      </w:r>
      <w:r>
        <w:rPr>
          <w:rFonts w:cs="Times New Roman" w:hint="eastAsia"/>
          <w:bCs/>
        </w:rPr>
        <w:t>登记</w:t>
      </w:r>
      <w:r>
        <w:rPr>
          <w:rFonts w:cs="Times New Roman"/>
          <w:bCs/>
        </w:rPr>
        <w:t>编号为：</w:t>
      </w:r>
      <w:bookmarkStart w:id="1962" w:name="OLE_LINK1149"/>
      <w:r>
        <w:rPr>
          <w:rFonts w:cs="Times New Roman"/>
          <w:bCs/>
        </w:rPr>
        <w:t>91650000742248144Q031X</w:t>
      </w:r>
      <w:bookmarkEnd w:id="1962"/>
      <w:r>
        <w:rPr>
          <w:rFonts w:cs="Times New Roman"/>
          <w:bCs/>
        </w:rPr>
        <w:t>）</w:t>
      </w:r>
      <w:bookmarkEnd w:id="1961"/>
      <w:r>
        <w:rPr>
          <w:rFonts w:cs="Times New Roman"/>
          <w:bCs/>
        </w:rPr>
        <w:t>。</w:t>
      </w:r>
    </w:p>
    <w:p w:rsidR="00C645C9" w:rsidRDefault="00F955D9">
      <w:pPr>
        <w:widowControl w:val="0"/>
        <w:snapToGrid w:val="0"/>
        <w:spacing w:line="360" w:lineRule="auto"/>
        <w:ind w:firstLineChars="200" w:firstLine="480"/>
        <w:rPr>
          <w:rFonts w:cs="Times New Roman"/>
          <w:bCs/>
        </w:rPr>
      </w:pPr>
      <w:r>
        <w:rPr>
          <w:rFonts w:cs="Times New Roman"/>
          <w:bCs/>
        </w:rPr>
        <w:t>随着国家、自治区环境管理要求的提高，</w:t>
      </w:r>
      <w:r>
        <w:rPr>
          <w:rFonts w:cs="Times New Roman" w:hint="eastAsia"/>
        </w:rPr>
        <w:t>雅克拉采气厂</w:t>
      </w:r>
      <w:r>
        <w:rPr>
          <w:rFonts w:cs="Times New Roman"/>
          <w:bCs/>
        </w:rPr>
        <w:t>围绕</w:t>
      </w:r>
      <w:r>
        <w:rPr>
          <w:rFonts w:cs="Times New Roman"/>
          <w:bCs/>
        </w:rPr>
        <w:t>HSE</w:t>
      </w:r>
      <w:r>
        <w:rPr>
          <w:rFonts w:cs="Times New Roman"/>
          <w:bCs/>
        </w:rPr>
        <w:t>制度体系，逐步健全了环境保护法律法规汇编、建设项目环境管理、污染防治设施运行管理、固体废弃物处置利用管理、环境安全隐患治理与风险管控、环境管理依法合规情况检查与整改等环境管理档案。根据《环境保护档案管理规范</w:t>
      </w:r>
      <w:r>
        <w:rPr>
          <w:rFonts w:cs="Times New Roman"/>
          <w:bCs/>
        </w:rPr>
        <w:t xml:space="preserve"> </w:t>
      </w:r>
      <w:r>
        <w:rPr>
          <w:rFonts w:cs="Times New Roman"/>
          <w:bCs/>
        </w:rPr>
        <w:t>环境监察</w:t>
      </w:r>
      <w:r>
        <w:rPr>
          <w:rFonts w:cs="Times New Roman" w:hint="eastAsia"/>
          <w:bCs/>
        </w:rPr>
        <w:t>》《</w:t>
      </w:r>
      <w:r>
        <w:rPr>
          <w:rFonts w:cs="Times New Roman"/>
          <w:bCs/>
        </w:rPr>
        <w:t>排污单位环境管理台账及排污许可证执行报告技术规范</w:t>
      </w:r>
      <w:r>
        <w:rPr>
          <w:rFonts w:cs="Times New Roman"/>
          <w:bCs/>
        </w:rPr>
        <w:t xml:space="preserve"> </w:t>
      </w:r>
      <w:r>
        <w:rPr>
          <w:rFonts w:cs="Times New Roman"/>
          <w:bCs/>
        </w:rPr>
        <w:t>总则》，</w:t>
      </w:r>
      <w:r>
        <w:rPr>
          <w:rFonts w:cs="Times New Roman" w:hint="eastAsia"/>
        </w:rPr>
        <w:t>雅克拉采气厂</w:t>
      </w:r>
      <w:r>
        <w:rPr>
          <w:rFonts w:cs="Times New Roman"/>
          <w:bCs/>
        </w:rPr>
        <w:t>建立并完善环境管理文件和档案管理制度，明确责任部门、人员、流程、形式、权限及各类环境管理档案及保存要求等，确保企业环境管理规章制度和操作规程编</w:t>
      </w:r>
      <w:r>
        <w:rPr>
          <w:rFonts w:cs="Times New Roman"/>
          <w:bCs/>
        </w:rPr>
        <w:lastRenderedPageBreak/>
        <w:t>制、使用、评审、修订符</w:t>
      </w:r>
      <w:r>
        <w:rPr>
          <w:rFonts w:cs="Times New Roman"/>
          <w:bCs/>
        </w:rPr>
        <w:t>合有关要求</w:t>
      </w:r>
      <w:r>
        <w:rPr>
          <w:rFonts w:cs="Times New Roman" w:hint="eastAsia"/>
          <w:bCs/>
        </w:rPr>
        <w:t>。</w:t>
      </w:r>
    </w:p>
    <w:bookmarkStart w:id="1963" w:name="_Toc20268"/>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_Toc6952 </w:instrText>
      </w:r>
      <w:r>
        <w:rPr>
          <w:rFonts w:ascii="Times New Roman" w:hAnsi="Times New Roman" w:cs="Times New Roman"/>
          <w:color w:val="auto"/>
        </w:rPr>
        <w:fldChar w:fldCharType="separate"/>
      </w:r>
      <w:r>
        <w:rPr>
          <w:rFonts w:ascii="Times New Roman" w:hAnsi="Times New Roman" w:cs="Times New Roman" w:hint="eastAsia"/>
          <w:color w:val="auto"/>
        </w:rPr>
        <w:t xml:space="preserve">9.2 </w:t>
      </w:r>
      <w:r>
        <w:rPr>
          <w:rFonts w:ascii="Times New Roman" w:hAnsi="Times New Roman" w:cs="Times New Roman" w:hint="eastAsia"/>
          <w:color w:val="auto"/>
        </w:rPr>
        <w:t>企业环境信息披露</w:t>
      </w:r>
      <w:r>
        <w:rPr>
          <w:rFonts w:ascii="Times New Roman" w:hAnsi="Times New Roman" w:cs="Times New Roman"/>
          <w:color w:val="auto"/>
        </w:rPr>
        <w:fldChar w:fldCharType="end"/>
      </w:r>
      <w:bookmarkEnd w:id="1963"/>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4802" w:history="1">
        <w:r>
          <w:rPr>
            <w:rFonts w:ascii="Times New Roman" w:hAnsi="Times New Roman" w:cs="Times New Roman" w:hint="eastAsia"/>
            <w:color w:val="auto"/>
          </w:rPr>
          <w:t xml:space="preserve">9.2.1 </w:t>
        </w:r>
        <w:r>
          <w:rPr>
            <w:rFonts w:ascii="Times New Roman" w:hAnsi="Times New Roman" w:cs="Times New Roman" w:hint="eastAsia"/>
            <w:color w:val="auto"/>
          </w:rPr>
          <w:t>披露内容</w:t>
        </w:r>
      </w:hyperlink>
    </w:p>
    <w:p w:rsidR="00C645C9" w:rsidRDefault="00F955D9">
      <w:pPr>
        <w:widowControl w:val="0"/>
        <w:snapToGrid w:val="0"/>
        <w:spacing w:line="360" w:lineRule="auto"/>
        <w:ind w:firstLineChars="200" w:firstLine="480"/>
        <w:rPr>
          <w:rFonts w:cs="Times New Roman"/>
          <w:bCs/>
        </w:rPr>
      </w:pPr>
      <w:r>
        <w:rPr>
          <w:rFonts w:cs="Times New Roman"/>
          <w:bCs/>
        </w:rPr>
        <w:t>（</w:t>
      </w:r>
      <w:r>
        <w:rPr>
          <w:rFonts w:cs="Times New Roman"/>
          <w:bCs/>
        </w:rPr>
        <w:t>1</w:t>
      </w:r>
      <w:r>
        <w:rPr>
          <w:rFonts w:cs="Times New Roman"/>
          <w:bCs/>
        </w:rPr>
        <w:t>）基础信息</w:t>
      </w:r>
    </w:p>
    <w:p w:rsidR="00C645C9" w:rsidRDefault="00F955D9">
      <w:pPr>
        <w:widowControl w:val="0"/>
        <w:snapToGrid w:val="0"/>
        <w:spacing w:line="360" w:lineRule="auto"/>
        <w:ind w:firstLineChars="200" w:firstLine="480"/>
        <w:rPr>
          <w:rFonts w:cs="Times New Roman"/>
          <w:bCs/>
        </w:rPr>
      </w:pPr>
      <w:r>
        <w:rPr>
          <w:rFonts w:cs="Times New Roman"/>
          <w:bCs/>
        </w:rPr>
        <w:t>企业名称：</w:t>
      </w:r>
      <w:bookmarkStart w:id="1964" w:name="OLE_LINK960"/>
      <w:r>
        <w:t>中国石油化工股份有限公司西北油田分公司</w:t>
      </w:r>
      <w:bookmarkEnd w:id="1964"/>
      <w:r>
        <w:rPr>
          <w:rFonts w:cs="Times New Roman"/>
          <w:bCs/>
        </w:rPr>
        <w:t xml:space="preserve"> </w:t>
      </w:r>
    </w:p>
    <w:p w:rsidR="00C645C9" w:rsidRDefault="00F955D9">
      <w:pPr>
        <w:widowControl w:val="0"/>
        <w:snapToGrid w:val="0"/>
        <w:spacing w:line="360" w:lineRule="auto"/>
        <w:ind w:firstLineChars="200" w:firstLine="480"/>
        <w:rPr>
          <w:rFonts w:cs="Times New Roman"/>
          <w:bCs/>
        </w:rPr>
      </w:pPr>
      <w:r>
        <w:rPr>
          <w:rFonts w:cs="Times New Roman"/>
          <w:bCs/>
        </w:rPr>
        <w:t>法人代表：</w:t>
      </w:r>
      <w:r>
        <w:rPr>
          <w:rFonts w:cs="Times New Roman" w:hint="eastAsia"/>
          <w:bCs/>
        </w:rPr>
        <w:t>王世洁</w:t>
      </w:r>
    </w:p>
    <w:p w:rsidR="00C645C9" w:rsidRDefault="00F955D9">
      <w:pPr>
        <w:widowControl w:val="0"/>
        <w:snapToGrid w:val="0"/>
        <w:spacing w:line="360" w:lineRule="auto"/>
        <w:ind w:firstLineChars="200" w:firstLine="480"/>
        <w:rPr>
          <w:rFonts w:cs="Times New Roman"/>
          <w:bCs/>
        </w:rPr>
      </w:pPr>
      <w:r>
        <w:rPr>
          <w:rFonts w:cs="Times New Roman"/>
          <w:bCs/>
        </w:rPr>
        <w:t>生产地址：新</w:t>
      </w:r>
      <w:bookmarkStart w:id="1965" w:name="_Hlk75973576"/>
      <w:r>
        <w:rPr>
          <w:rFonts w:cs="Times New Roman"/>
          <w:bCs/>
        </w:rPr>
        <w:t>疆</w:t>
      </w:r>
      <w:r>
        <w:rPr>
          <w:rFonts w:cs="Times New Roman" w:hint="eastAsia"/>
          <w:bCs/>
        </w:rPr>
        <w:t>维吾尔自治区</w:t>
      </w:r>
      <w:bookmarkEnd w:id="1965"/>
      <w:r>
        <w:rPr>
          <w:rFonts w:cs="Times New Roman" w:hint="eastAsia"/>
          <w:bCs/>
        </w:rPr>
        <w:t>阿克苏</w:t>
      </w:r>
      <w:r>
        <w:rPr>
          <w:rFonts w:cs="Times New Roman"/>
          <w:bCs/>
        </w:rPr>
        <w:t>地区</w:t>
      </w:r>
      <w:r>
        <w:rPr>
          <w:rFonts w:cs="Times New Roman" w:hint="eastAsia"/>
          <w:bCs/>
        </w:rPr>
        <w:t>新和县</w:t>
      </w:r>
      <w:r>
        <w:rPr>
          <w:rFonts w:cs="Times New Roman"/>
          <w:bCs/>
        </w:rPr>
        <w:t>境内。</w:t>
      </w:r>
    </w:p>
    <w:p w:rsidR="00C645C9" w:rsidRDefault="00F955D9">
      <w:pPr>
        <w:widowControl w:val="0"/>
        <w:snapToGrid w:val="0"/>
        <w:spacing w:line="360" w:lineRule="auto"/>
        <w:ind w:firstLineChars="200" w:firstLine="480"/>
        <w:rPr>
          <w:rFonts w:cs="Times New Roman"/>
          <w:bCs/>
        </w:rPr>
      </w:pPr>
      <w:r>
        <w:rPr>
          <w:rFonts w:cs="Times New Roman"/>
          <w:bCs/>
        </w:rPr>
        <w:t>主要产品及规模：实施部署</w:t>
      </w:r>
      <w:r>
        <w:rPr>
          <w:rFonts w:cs="Times New Roman" w:hint="eastAsia"/>
          <w:bCs/>
        </w:rPr>
        <w:t>2</w:t>
      </w:r>
      <w:r>
        <w:rPr>
          <w:rFonts w:cs="Times New Roman"/>
          <w:bCs/>
        </w:rPr>
        <w:t>口</w:t>
      </w:r>
      <w:r>
        <w:rPr>
          <w:rFonts w:cs="Times New Roman" w:hint="eastAsia"/>
          <w:bCs/>
        </w:rPr>
        <w:t>采气</w:t>
      </w:r>
      <w:r>
        <w:rPr>
          <w:rFonts w:cs="Times New Roman"/>
          <w:bCs/>
        </w:rPr>
        <w:t>井（</w:t>
      </w:r>
      <w:r>
        <w:rPr>
          <w:rFonts w:cs="Times New Roman" w:hint="eastAsia"/>
        </w:rPr>
        <w:t>新北</w:t>
      </w:r>
      <w:r>
        <w:rPr>
          <w:rFonts w:cs="Times New Roman" w:hint="eastAsia"/>
        </w:rPr>
        <w:t>7</w:t>
      </w:r>
      <w:r>
        <w:rPr>
          <w:rFonts w:cs="Times New Roman"/>
        </w:rPr>
        <w:t>井</w:t>
      </w:r>
      <w:r>
        <w:rPr>
          <w:rFonts w:cs="Times New Roman" w:hint="eastAsia"/>
        </w:rPr>
        <w:t>为新钻井</w:t>
      </w:r>
      <w:r>
        <w:rPr>
          <w:rFonts w:cs="Times New Roman"/>
          <w:bCs/>
        </w:rPr>
        <w:t>）、</w:t>
      </w:r>
      <w:r>
        <w:rPr>
          <w:rFonts w:cs="Times New Roman" w:hint="eastAsia"/>
        </w:rPr>
        <w:t>井场</w:t>
      </w:r>
      <w:r>
        <w:rPr>
          <w:rFonts w:cs="Times New Roman"/>
          <w:kern w:val="2"/>
        </w:rPr>
        <w:t>内</w:t>
      </w:r>
      <w:r>
        <w:rPr>
          <w:rFonts w:cs="Times New Roman" w:hint="eastAsia"/>
          <w:kern w:val="2"/>
        </w:rPr>
        <w:t>均</w:t>
      </w:r>
      <w:r>
        <w:rPr>
          <w:rFonts w:cs="Times New Roman"/>
          <w:kern w:val="2"/>
        </w:rPr>
        <w:t>建设油气分离</w:t>
      </w:r>
      <w:r>
        <w:rPr>
          <w:rFonts w:cs="Times New Roman"/>
          <w:kern w:val="2"/>
        </w:rPr>
        <w:t>+</w:t>
      </w:r>
      <w:r>
        <w:rPr>
          <w:rFonts w:cs="Times New Roman"/>
          <w:kern w:val="2"/>
        </w:rPr>
        <w:t>天然气处理流程</w:t>
      </w:r>
      <w:r>
        <w:rPr>
          <w:rFonts w:cs="Times New Roman"/>
          <w:bCs/>
        </w:rPr>
        <w:t>以及</w:t>
      </w:r>
      <w:r>
        <w:rPr>
          <w:rFonts w:cs="Times New Roman" w:hint="eastAsia"/>
          <w:bCs/>
        </w:rPr>
        <w:t>配套的</w:t>
      </w:r>
      <w:r>
        <w:rPr>
          <w:rFonts w:cs="Times New Roman"/>
          <w:kern w:val="2"/>
        </w:rPr>
        <w:t>电力、自控、</w:t>
      </w:r>
      <w:r>
        <w:rPr>
          <w:rFonts w:cs="Times New Roman"/>
          <w:kern w:val="2"/>
        </w:rPr>
        <w:t>结</w:t>
      </w:r>
      <w:r>
        <w:rPr>
          <w:rFonts w:cs="Times New Roman"/>
        </w:rPr>
        <w:t>构、通信、消防</w:t>
      </w:r>
      <w:r>
        <w:rPr>
          <w:rFonts w:cs="Times New Roman" w:hint="eastAsia"/>
          <w:bCs/>
        </w:rPr>
        <w:t>等</w:t>
      </w:r>
      <w:r>
        <w:rPr>
          <w:rFonts w:cs="Times New Roman"/>
        </w:rPr>
        <w:t>公辅</w:t>
      </w:r>
      <w:r>
        <w:rPr>
          <w:rFonts w:cs="Times New Roman" w:hint="eastAsia"/>
          <w:bCs/>
        </w:rPr>
        <w:t>工程</w:t>
      </w:r>
      <w:r>
        <w:rPr>
          <w:rFonts w:cs="Times New Roman"/>
          <w:bCs/>
        </w:rPr>
        <w:t>。新增产能</w:t>
      </w:r>
      <w:r>
        <w:rPr>
          <w:rFonts w:cs="Times New Roman" w:hint="eastAsia"/>
        </w:rPr>
        <w:t>凝析油</w:t>
      </w:r>
      <w:r>
        <w:rPr>
          <w:rFonts w:cs="Times New Roman" w:hint="eastAsia"/>
        </w:rPr>
        <w:t>40</w:t>
      </w:r>
      <w:r>
        <w:rPr>
          <w:rFonts w:cs="Times New Roman"/>
        </w:rPr>
        <w:t>t/</w:t>
      </w:r>
      <w:r>
        <w:rPr>
          <w:rFonts w:cs="Times New Roman" w:hint="eastAsia"/>
        </w:rPr>
        <w:t>d</w:t>
      </w:r>
      <w:r>
        <w:rPr>
          <w:rFonts w:cs="Times New Roman" w:hint="eastAsia"/>
        </w:rPr>
        <w:t>，天然气</w:t>
      </w:r>
      <w:r>
        <w:rPr>
          <w:rFonts w:cs="Times New Roman" w:hint="eastAsia"/>
        </w:rPr>
        <w:t>8</w:t>
      </w:r>
      <w:r>
        <w:rPr>
          <w:rFonts w:cs="Times New Roman" w:hint="eastAsia"/>
        </w:rPr>
        <w:t>×</w:t>
      </w:r>
      <w:r>
        <w:rPr>
          <w:rFonts w:cs="Times New Roman" w:hint="eastAsia"/>
        </w:rPr>
        <w:t>10</w:t>
      </w:r>
      <w:r>
        <w:rPr>
          <w:rFonts w:cs="Times New Roman" w:hint="eastAsia"/>
          <w:vertAlign w:val="superscript"/>
        </w:rPr>
        <w:t>4</w:t>
      </w:r>
      <w:r>
        <w:rPr>
          <w:rFonts w:cs="Times New Roman" w:hint="eastAsia"/>
        </w:rPr>
        <w:t>m</w:t>
      </w:r>
      <w:r>
        <w:rPr>
          <w:rFonts w:cs="Times New Roman"/>
          <w:vertAlign w:val="superscript"/>
        </w:rPr>
        <w:t>3</w:t>
      </w:r>
      <w:r>
        <w:rPr>
          <w:rFonts w:cs="Times New Roman"/>
        </w:rPr>
        <w:t>/</w:t>
      </w:r>
      <w:r>
        <w:rPr>
          <w:rFonts w:cs="Times New Roman" w:hint="eastAsia"/>
        </w:rPr>
        <w:t>d</w:t>
      </w:r>
      <w:r>
        <w:rPr>
          <w:rFonts w:cs="Times New Roman"/>
          <w:bCs/>
        </w:rPr>
        <w:t>。</w:t>
      </w:r>
    </w:p>
    <w:p w:rsidR="00C645C9" w:rsidRDefault="00F955D9">
      <w:pPr>
        <w:widowControl w:val="0"/>
        <w:snapToGrid w:val="0"/>
        <w:spacing w:line="360" w:lineRule="auto"/>
        <w:ind w:firstLineChars="200" w:firstLine="480"/>
        <w:rPr>
          <w:rFonts w:cs="Times New Roman"/>
          <w:bCs/>
        </w:rPr>
      </w:pPr>
      <w:r>
        <w:rPr>
          <w:rFonts w:cs="Times New Roman"/>
          <w:bCs/>
        </w:rPr>
        <w:t>（</w:t>
      </w:r>
      <w:r>
        <w:rPr>
          <w:rFonts w:cs="Times New Roman"/>
          <w:bCs/>
        </w:rPr>
        <w:t>2</w:t>
      </w:r>
      <w:r>
        <w:rPr>
          <w:rFonts w:cs="Times New Roman"/>
          <w:bCs/>
        </w:rPr>
        <w:t>）排污信息</w:t>
      </w:r>
    </w:p>
    <w:p w:rsidR="00C645C9" w:rsidRDefault="00F955D9">
      <w:pPr>
        <w:widowControl w:val="0"/>
        <w:snapToGrid w:val="0"/>
        <w:spacing w:line="360" w:lineRule="auto"/>
        <w:ind w:firstLineChars="200" w:firstLine="480"/>
        <w:rPr>
          <w:rFonts w:cs="Times New Roman"/>
          <w:bCs/>
        </w:rPr>
      </w:pPr>
      <w:r>
        <w:rPr>
          <w:rFonts w:cs="Times New Roman"/>
          <w:bCs/>
        </w:rPr>
        <w:t>本工程拟采取的环境保护措施、排放的污染物种类、排放浓度见表</w:t>
      </w:r>
      <w:r>
        <w:rPr>
          <w:rFonts w:cs="Times New Roman"/>
          <w:bCs/>
        </w:rPr>
        <w:t>3.3-17</w:t>
      </w:r>
      <w:r>
        <w:rPr>
          <w:rFonts w:cs="Times New Roman"/>
          <w:bCs/>
        </w:rPr>
        <w:t>。</w:t>
      </w:r>
    </w:p>
    <w:p w:rsidR="00C645C9" w:rsidRDefault="00F955D9">
      <w:pPr>
        <w:widowControl w:val="0"/>
        <w:snapToGrid w:val="0"/>
        <w:spacing w:line="360" w:lineRule="auto"/>
        <w:ind w:firstLineChars="200" w:firstLine="480"/>
        <w:rPr>
          <w:rFonts w:cs="Times New Roman"/>
          <w:bCs/>
        </w:rPr>
      </w:pPr>
      <w:r>
        <w:rPr>
          <w:rFonts w:cs="Times New Roman"/>
          <w:bCs/>
        </w:rPr>
        <w:t>（</w:t>
      </w:r>
      <w:r>
        <w:rPr>
          <w:rFonts w:cs="Times New Roman"/>
          <w:bCs/>
        </w:rPr>
        <w:t>3</w:t>
      </w:r>
      <w:r>
        <w:rPr>
          <w:rFonts w:cs="Times New Roman"/>
          <w:bCs/>
        </w:rPr>
        <w:t>）环境风险防范措施</w:t>
      </w:r>
    </w:p>
    <w:p w:rsidR="00C645C9" w:rsidRDefault="00F955D9">
      <w:pPr>
        <w:widowControl w:val="0"/>
        <w:snapToGrid w:val="0"/>
        <w:spacing w:line="360" w:lineRule="auto"/>
        <w:ind w:firstLineChars="200" w:firstLine="480"/>
        <w:rPr>
          <w:rFonts w:cs="Times New Roman"/>
          <w:bCs/>
        </w:rPr>
      </w:pPr>
      <w:r>
        <w:rPr>
          <w:rFonts w:cs="Times New Roman"/>
          <w:bCs/>
        </w:rPr>
        <w:t>本工程环境风险防范措施见</w:t>
      </w:r>
      <w:r>
        <w:t>中国石油化工股份有限公司西北油田分公司</w:t>
      </w:r>
      <w:r>
        <w:rPr>
          <w:rFonts w:cs="Times New Roman"/>
          <w:bCs/>
        </w:rPr>
        <w:t>现行突发环境风险应急预案。</w:t>
      </w:r>
    </w:p>
    <w:p w:rsidR="00C645C9" w:rsidRDefault="00F955D9">
      <w:pPr>
        <w:widowControl w:val="0"/>
        <w:snapToGrid w:val="0"/>
        <w:spacing w:line="360" w:lineRule="auto"/>
        <w:ind w:firstLineChars="200" w:firstLine="480"/>
        <w:rPr>
          <w:rFonts w:cs="Times New Roman"/>
          <w:bCs/>
        </w:rPr>
      </w:pPr>
      <w:r>
        <w:rPr>
          <w:rFonts w:cs="Times New Roman"/>
          <w:bCs/>
        </w:rPr>
        <w:t>（</w:t>
      </w:r>
      <w:r>
        <w:rPr>
          <w:rFonts w:cs="Times New Roman"/>
          <w:bCs/>
        </w:rPr>
        <w:t>4</w:t>
      </w:r>
      <w:r>
        <w:rPr>
          <w:rFonts w:cs="Times New Roman"/>
          <w:bCs/>
        </w:rPr>
        <w:t>）环境监测计划</w:t>
      </w:r>
    </w:p>
    <w:p w:rsidR="00C645C9" w:rsidRDefault="00F955D9">
      <w:pPr>
        <w:widowControl w:val="0"/>
        <w:snapToGrid w:val="0"/>
        <w:spacing w:line="360" w:lineRule="auto"/>
        <w:ind w:firstLineChars="200" w:firstLine="480"/>
        <w:rPr>
          <w:rFonts w:cs="Times New Roman"/>
          <w:bCs/>
        </w:rPr>
      </w:pPr>
      <w:r>
        <w:rPr>
          <w:rFonts w:cs="Times New Roman"/>
          <w:bCs/>
        </w:rPr>
        <w:t>本工程环境监测计划见表</w:t>
      </w:r>
      <w:bookmarkStart w:id="1966" w:name="OLE_LINK961"/>
      <w:r>
        <w:rPr>
          <w:rFonts w:cs="Times New Roman" w:hint="eastAsia"/>
          <w:bCs/>
        </w:rPr>
        <w:t>9</w:t>
      </w:r>
      <w:r>
        <w:rPr>
          <w:rFonts w:cs="Times New Roman"/>
          <w:bCs/>
        </w:rPr>
        <w:t>.4-1</w:t>
      </w:r>
      <w:bookmarkEnd w:id="1966"/>
      <w:r>
        <w:rPr>
          <w:rFonts w:cs="Times New Roman" w:hint="eastAsia"/>
          <w:bCs/>
        </w:rPr>
        <w:t>。</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14760" w:history="1">
        <w:r>
          <w:rPr>
            <w:rFonts w:ascii="Times New Roman" w:hAnsi="Times New Roman" w:cs="Times New Roman" w:hint="eastAsia"/>
            <w:color w:val="auto"/>
          </w:rPr>
          <w:t xml:space="preserve">9.2.2 </w:t>
        </w:r>
        <w:r>
          <w:rPr>
            <w:rFonts w:ascii="Times New Roman" w:hAnsi="Times New Roman" w:cs="Times New Roman" w:hint="eastAsia"/>
            <w:color w:val="auto"/>
          </w:rPr>
          <w:t>披露方式及时间要求</w:t>
        </w:r>
      </w:hyperlink>
    </w:p>
    <w:p w:rsidR="00C645C9" w:rsidRDefault="00F955D9">
      <w:pPr>
        <w:widowControl w:val="0"/>
        <w:snapToGrid w:val="0"/>
        <w:spacing w:line="360" w:lineRule="auto"/>
        <w:ind w:firstLineChars="200" w:firstLine="480"/>
        <w:rPr>
          <w:rFonts w:cs="Times New Roman"/>
          <w:bCs/>
        </w:rPr>
      </w:pPr>
      <w:r>
        <w:rPr>
          <w:rFonts w:cs="Times New Roman"/>
          <w:bCs/>
        </w:rPr>
        <w:t>（</w:t>
      </w:r>
      <w:r>
        <w:rPr>
          <w:rFonts w:cs="Times New Roman"/>
          <w:bCs/>
        </w:rPr>
        <w:t>1</w:t>
      </w:r>
      <w:r>
        <w:rPr>
          <w:rFonts w:cs="Times New Roman"/>
          <w:bCs/>
        </w:rPr>
        <w:t>）</w:t>
      </w:r>
      <w:r>
        <w:rPr>
          <w:rFonts w:cs="Times New Roman"/>
          <w:bCs/>
        </w:rPr>
        <w:t>公式方式</w:t>
      </w:r>
    </w:p>
    <w:p w:rsidR="00C645C9" w:rsidRDefault="00F955D9">
      <w:pPr>
        <w:widowControl w:val="0"/>
        <w:snapToGrid w:val="0"/>
        <w:spacing w:line="360" w:lineRule="auto"/>
        <w:ind w:firstLineChars="200" w:firstLine="480"/>
        <w:rPr>
          <w:rFonts w:cs="Times New Roman"/>
          <w:bCs/>
        </w:rPr>
      </w:pPr>
      <w:r>
        <w:rPr>
          <w:rFonts w:cs="Times New Roman"/>
          <w:bCs/>
        </w:rPr>
        <w:t>通过公司网站、信息公开平台或当地报刊等便于公众知晓的方式公开。</w:t>
      </w:r>
    </w:p>
    <w:p w:rsidR="00C645C9" w:rsidRDefault="00F955D9">
      <w:pPr>
        <w:widowControl w:val="0"/>
        <w:numPr>
          <w:ilvl w:val="0"/>
          <w:numId w:val="4"/>
        </w:numPr>
        <w:snapToGrid w:val="0"/>
        <w:spacing w:line="360" w:lineRule="auto"/>
        <w:ind w:firstLineChars="200" w:firstLine="480"/>
        <w:rPr>
          <w:rFonts w:cs="Times New Roman"/>
          <w:bCs/>
        </w:rPr>
      </w:pPr>
      <w:r>
        <w:rPr>
          <w:rFonts w:cs="Times New Roman"/>
          <w:bCs/>
        </w:rPr>
        <w:t>公开时间要求</w:t>
      </w:r>
    </w:p>
    <w:p w:rsidR="00C645C9" w:rsidRDefault="00F955D9">
      <w:pPr>
        <w:widowControl w:val="0"/>
        <w:snapToGrid w:val="0"/>
        <w:spacing w:line="360" w:lineRule="auto"/>
        <w:ind w:firstLineChars="200" w:firstLine="480"/>
        <w:rPr>
          <w:rFonts w:cs="Times New Roman"/>
          <w:bCs/>
          <w:lang w:eastAsia="en-US"/>
        </w:rPr>
      </w:pPr>
      <w:r>
        <w:rPr>
          <w:rFonts w:cs="Times New Roman"/>
          <w:bCs/>
        </w:rPr>
        <w:t>环境信息有新生成或者发生变更情形的，应当自环境信息生成或者变更之日起三十日内予以公开。</w:t>
      </w:r>
      <w:r>
        <w:rPr>
          <w:rFonts w:cs="Times New Roman" w:hint="eastAsia"/>
          <w:bCs/>
        </w:rPr>
        <w:t>法律法规</w:t>
      </w:r>
      <w:r>
        <w:rPr>
          <w:rFonts w:cs="Times New Roman"/>
          <w:bCs/>
        </w:rPr>
        <w:t>另有规定的，从其规定。</w:t>
      </w:r>
    </w:p>
    <w:bookmarkStart w:id="1967" w:name="_Toc20477"/>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_Toc8677 </w:instrText>
      </w:r>
      <w:r>
        <w:rPr>
          <w:rFonts w:ascii="Times New Roman" w:hAnsi="Times New Roman" w:cs="Times New Roman"/>
          <w:color w:val="auto"/>
        </w:rPr>
        <w:fldChar w:fldCharType="separate"/>
      </w:r>
      <w:r>
        <w:rPr>
          <w:rFonts w:ascii="Times New Roman" w:hAnsi="Times New Roman" w:cs="Times New Roman" w:hint="eastAsia"/>
          <w:color w:val="auto"/>
        </w:rPr>
        <w:t>9.3</w:t>
      </w:r>
      <w:r>
        <w:rPr>
          <w:rFonts w:ascii="Times New Roman" w:hAnsi="Times New Roman" w:cs="Times New Roman" w:hint="eastAsia"/>
          <w:color w:val="auto"/>
        </w:rPr>
        <w:t>污染物排放清单</w:t>
      </w:r>
      <w:r>
        <w:rPr>
          <w:rFonts w:ascii="Times New Roman" w:hAnsi="Times New Roman" w:cs="Times New Roman"/>
          <w:color w:val="auto"/>
        </w:rPr>
        <w:fldChar w:fldCharType="end"/>
      </w:r>
      <w:bookmarkEnd w:id="1967"/>
    </w:p>
    <w:p w:rsidR="00C645C9" w:rsidRDefault="00F955D9">
      <w:pPr>
        <w:widowControl w:val="0"/>
        <w:adjustRightInd w:val="0"/>
        <w:snapToGrid w:val="0"/>
        <w:spacing w:line="360" w:lineRule="auto"/>
        <w:ind w:firstLineChars="200" w:firstLine="480"/>
        <w:rPr>
          <w:rFonts w:cs="Times New Roman"/>
        </w:rPr>
      </w:pPr>
      <w:r>
        <w:rPr>
          <w:rFonts w:cs="Times New Roman"/>
        </w:rPr>
        <w:t>本</w:t>
      </w:r>
      <w:r>
        <w:rPr>
          <w:rFonts w:cs="Times New Roman"/>
        </w:rPr>
        <w:t>工程</w:t>
      </w:r>
      <w:r>
        <w:rPr>
          <w:rFonts w:cs="Times New Roman"/>
        </w:rPr>
        <w:t>运营期污染物产生及排放情况详见</w:t>
      </w:r>
      <w:r>
        <w:rPr>
          <w:rFonts w:cs="Times New Roman"/>
        </w:rPr>
        <w:t>表</w:t>
      </w:r>
      <w:r>
        <w:rPr>
          <w:rFonts w:cs="Times New Roman"/>
        </w:rPr>
        <w:t>9.</w:t>
      </w:r>
      <w:r>
        <w:rPr>
          <w:rFonts w:cs="Times New Roman" w:hint="eastAsia"/>
        </w:rPr>
        <w:t>3</w:t>
      </w:r>
      <w:r>
        <w:rPr>
          <w:rFonts w:cs="Times New Roman"/>
        </w:rPr>
        <w:t>-1</w:t>
      </w:r>
      <w:r>
        <w:rPr>
          <w:rFonts w:cs="Times New Roman"/>
        </w:rPr>
        <w:t>。</w:t>
      </w:r>
    </w:p>
    <w:p w:rsidR="00C645C9" w:rsidRDefault="00C645C9">
      <w:pPr>
        <w:adjustRightInd w:val="0"/>
        <w:snapToGrid w:val="0"/>
        <w:ind w:firstLineChars="200" w:firstLine="420"/>
        <w:jc w:val="center"/>
        <w:rPr>
          <w:rFonts w:eastAsia="黑体" w:cs="Times New Roman"/>
          <w:sz w:val="21"/>
          <w:szCs w:val="21"/>
        </w:rPr>
      </w:pPr>
    </w:p>
    <w:p w:rsidR="00C645C9" w:rsidRDefault="00C645C9">
      <w:pPr>
        <w:adjustRightInd w:val="0"/>
        <w:snapToGrid w:val="0"/>
        <w:ind w:firstLineChars="200" w:firstLine="420"/>
        <w:jc w:val="center"/>
        <w:rPr>
          <w:rFonts w:eastAsia="黑体" w:cs="Times New Roman"/>
          <w:sz w:val="21"/>
          <w:szCs w:val="21"/>
        </w:rPr>
      </w:pPr>
    </w:p>
    <w:p w:rsidR="00C645C9" w:rsidRDefault="00C645C9">
      <w:pPr>
        <w:adjustRightInd w:val="0"/>
        <w:snapToGrid w:val="0"/>
        <w:ind w:firstLineChars="200" w:firstLine="420"/>
        <w:jc w:val="center"/>
        <w:rPr>
          <w:rFonts w:eastAsia="黑体" w:cs="Times New Roman"/>
          <w:sz w:val="21"/>
          <w:szCs w:val="21"/>
        </w:rPr>
      </w:pP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r>
        <w:rPr>
          <w:rFonts w:eastAsia="黑体" w:cs="Times New Roman"/>
          <w:sz w:val="21"/>
          <w:szCs w:val="21"/>
        </w:rPr>
        <w:t>9.</w:t>
      </w:r>
      <w:r>
        <w:rPr>
          <w:rFonts w:eastAsia="黑体" w:cs="Times New Roman" w:hint="eastAsia"/>
          <w:sz w:val="21"/>
          <w:szCs w:val="21"/>
        </w:rPr>
        <w:t>3</w:t>
      </w:r>
      <w:r>
        <w:rPr>
          <w:rFonts w:eastAsia="黑体" w:cs="Times New Roman"/>
          <w:sz w:val="21"/>
          <w:szCs w:val="21"/>
        </w:rPr>
        <w:t xml:space="preserve">-1   </w:t>
      </w:r>
      <w:r>
        <w:rPr>
          <w:rFonts w:eastAsia="黑体" w:cs="Times New Roman"/>
          <w:sz w:val="21"/>
          <w:szCs w:val="21"/>
        </w:rPr>
        <w:t>污染源排放清单</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609"/>
        <w:gridCol w:w="1735"/>
        <w:gridCol w:w="1372"/>
        <w:gridCol w:w="1314"/>
        <w:gridCol w:w="2048"/>
      </w:tblGrid>
      <w:tr w:rsidR="00C645C9">
        <w:trPr>
          <w:trHeight w:val="91"/>
          <w:jc w:val="center"/>
        </w:trPr>
        <w:tc>
          <w:tcPr>
            <w:tcW w:w="664" w:type="dxa"/>
            <w:vAlign w:val="center"/>
          </w:tcPr>
          <w:p w:rsidR="00C645C9" w:rsidRDefault="00F955D9">
            <w:pPr>
              <w:pStyle w:val="afa"/>
              <w:shd w:val="clear" w:color="auto" w:fill="auto"/>
              <w:rPr>
                <w:szCs w:val="21"/>
              </w:rPr>
            </w:pPr>
            <w:r>
              <w:rPr>
                <w:rFonts w:hint="eastAsia"/>
                <w:szCs w:val="21"/>
              </w:rPr>
              <w:t>类别</w:t>
            </w:r>
          </w:p>
        </w:tc>
        <w:tc>
          <w:tcPr>
            <w:tcW w:w="1609" w:type="dxa"/>
            <w:vAlign w:val="center"/>
          </w:tcPr>
          <w:p w:rsidR="00C645C9" w:rsidRDefault="00F955D9">
            <w:pPr>
              <w:pStyle w:val="afa"/>
              <w:shd w:val="clear" w:color="auto" w:fill="auto"/>
              <w:rPr>
                <w:szCs w:val="21"/>
              </w:rPr>
            </w:pPr>
            <w:r>
              <w:rPr>
                <w:szCs w:val="21"/>
              </w:rPr>
              <w:t>污染源</w:t>
            </w:r>
          </w:p>
        </w:tc>
        <w:tc>
          <w:tcPr>
            <w:tcW w:w="1735" w:type="dxa"/>
            <w:vAlign w:val="center"/>
          </w:tcPr>
          <w:p w:rsidR="00C645C9" w:rsidRDefault="00F955D9">
            <w:pPr>
              <w:pStyle w:val="afa"/>
              <w:shd w:val="clear" w:color="auto" w:fill="auto"/>
              <w:rPr>
                <w:szCs w:val="21"/>
              </w:rPr>
            </w:pPr>
            <w:r>
              <w:rPr>
                <w:szCs w:val="21"/>
              </w:rPr>
              <w:t>主要污染物</w:t>
            </w:r>
          </w:p>
        </w:tc>
        <w:tc>
          <w:tcPr>
            <w:tcW w:w="1372" w:type="dxa"/>
            <w:vAlign w:val="center"/>
          </w:tcPr>
          <w:p w:rsidR="00C645C9" w:rsidRDefault="00F955D9">
            <w:pPr>
              <w:pStyle w:val="afa"/>
              <w:shd w:val="clear" w:color="auto" w:fill="auto"/>
              <w:rPr>
                <w:szCs w:val="21"/>
              </w:rPr>
            </w:pPr>
            <w:r>
              <w:rPr>
                <w:szCs w:val="21"/>
              </w:rPr>
              <w:t>产生量</w:t>
            </w:r>
          </w:p>
        </w:tc>
        <w:tc>
          <w:tcPr>
            <w:tcW w:w="1314" w:type="dxa"/>
            <w:vAlign w:val="center"/>
          </w:tcPr>
          <w:p w:rsidR="00C645C9" w:rsidRDefault="00F955D9">
            <w:pPr>
              <w:pStyle w:val="afa"/>
              <w:shd w:val="clear" w:color="auto" w:fill="auto"/>
              <w:rPr>
                <w:szCs w:val="21"/>
              </w:rPr>
            </w:pPr>
            <w:r>
              <w:rPr>
                <w:szCs w:val="21"/>
              </w:rPr>
              <w:t>排放量</w:t>
            </w:r>
          </w:p>
        </w:tc>
        <w:tc>
          <w:tcPr>
            <w:tcW w:w="2048" w:type="dxa"/>
            <w:vAlign w:val="center"/>
          </w:tcPr>
          <w:p w:rsidR="00C645C9" w:rsidRDefault="00F955D9">
            <w:pPr>
              <w:pStyle w:val="afa"/>
              <w:shd w:val="clear" w:color="auto" w:fill="auto"/>
              <w:rPr>
                <w:szCs w:val="21"/>
              </w:rPr>
            </w:pPr>
            <w:r>
              <w:rPr>
                <w:szCs w:val="21"/>
              </w:rPr>
              <w:t>排放去向</w:t>
            </w:r>
          </w:p>
        </w:tc>
      </w:tr>
      <w:tr w:rsidR="00C645C9">
        <w:trPr>
          <w:jc w:val="center"/>
        </w:trPr>
        <w:tc>
          <w:tcPr>
            <w:tcW w:w="664" w:type="dxa"/>
            <w:vMerge w:val="restart"/>
            <w:vAlign w:val="center"/>
          </w:tcPr>
          <w:p w:rsidR="00C645C9" w:rsidRDefault="00F955D9">
            <w:pPr>
              <w:pStyle w:val="afa"/>
              <w:shd w:val="clear" w:color="auto" w:fill="auto"/>
              <w:rPr>
                <w:szCs w:val="21"/>
              </w:rPr>
            </w:pPr>
            <w:r>
              <w:rPr>
                <w:szCs w:val="21"/>
              </w:rPr>
              <w:t>废气</w:t>
            </w:r>
          </w:p>
        </w:tc>
        <w:tc>
          <w:tcPr>
            <w:tcW w:w="1609" w:type="dxa"/>
            <w:vMerge w:val="restart"/>
            <w:vAlign w:val="center"/>
          </w:tcPr>
          <w:p w:rsidR="00C645C9" w:rsidRDefault="00F955D9">
            <w:pPr>
              <w:pStyle w:val="afa"/>
              <w:shd w:val="clear" w:color="auto" w:fill="auto"/>
              <w:rPr>
                <w:szCs w:val="21"/>
              </w:rPr>
            </w:pPr>
            <w:r>
              <w:rPr>
                <w:szCs w:val="21"/>
              </w:rPr>
              <w:t>有组织排放</w:t>
            </w:r>
          </w:p>
        </w:tc>
        <w:tc>
          <w:tcPr>
            <w:tcW w:w="1735" w:type="dxa"/>
            <w:vAlign w:val="center"/>
          </w:tcPr>
          <w:p w:rsidR="00C645C9" w:rsidRDefault="00F955D9">
            <w:pPr>
              <w:pStyle w:val="afa"/>
              <w:shd w:val="clear" w:color="auto" w:fill="auto"/>
              <w:rPr>
                <w:szCs w:val="21"/>
              </w:rPr>
            </w:pPr>
            <w:r>
              <w:rPr>
                <w:szCs w:val="21"/>
              </w:rPr>
              <w:t>SO</w:t>
            </w:r>
            <w:r>
              <w:rPr>
                <w:szCs w:val="21"/>
                <w:vertAlign w:val="subscript"/>
              </w:rPr>
              <w:t>2</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1314"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NOx</w:t>
            </w:r>
          </w:p>
        </w:tc>
        <w:tc>
          <w:tcPr>
            <w:tcW w:w="1372"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颗粒物</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r>
              <w:rPr>
                <w:szCs w:val="21"/>
              </w:rPr>
              <w:t>0.</w:t>
            </w:r>
            <w:r>
              <w:rPr>
                <w:rFonts w:hint="eastAsia"/>
                <w:szCs w:val="21"/>
              </w:rPr>
              <w:t>126</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126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bookmarkStart w:id="1968" w:name="OLE_LINK812" w:colFirst="3" w:colLast="3"/>
          </w:p>
        </w:tc>
        <w:tc>
          <w:tcPr>
            <w:tcW w:w="1609" w:type="dxa"/>
            <w:vMerge w:val="restart"/>
            <w:vAlign w:val="center"/>
          </w:tcPr>
          <w:p w:rsidR="00C645C9" w:rsidRDefault="00F955D9">
            <w:pPr>
              <w:pStyle w:val="afa"/>
              <w:shd w:val="clear" w:color="auto" w:fill="auto"/>
              <w:rPr>
                <w:szCs w:val="21"/>
              </w:rPr>
            </w:pPr>
            <w:r>
              <w:rPr>
                <w:szCs w:val="21"/>
              </w:rPr>
              <w:t>无组织排放</w:t>
            </w: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bookmarkStart w:id="1969" w:name="OLE_LINK991"/>
            <w:r>
              <w:rPr>
                <w:rFonts w:hint="eastAsia"/>
                <w:szCs w:val="21"/>
              </w:rPr>
              <w:t>8.336</w:t>
            </w:r>
            <w:r>
              <w:rPr>
                <w:szCs w:val="21"/>
              </w:rPr>
              <w:t>t/a</w:t>
            </w:r>
            <w:bookmarkEnd w:id="1969"/>
          </w:p>
        </w:tc>
        <w:tc>
          <w:tcPr>
            <w:tcW w:w="1314" w:type="dxa"/>
            <w:vAlign w:val="center"/>
          </w:tcPr>
          <w:p w:rsidR="00C645C9" w:rsidRDefault="00F955D9">
            <w:pPr>
              <w:pStyle w:val="afa"/>
              <w:shd w:val="clear" w:color="auto" w:fill="auto"/>
              <w:rPr>
                <w:szCs w:val="21"/>
              </w:rPr>
            </w:pPr>
            <w:r>
              <w:rPr>
                <w:rFonts w:hint="eastAsia"/>
                <w:szCs w:val="21"/>
              </w:rPr>
              <w:t>8.336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trHeight w:val="90"/>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硫化氢</w:t>
            </w:r>
          </w:p>
        </w:tc>
        <w:tc>
          <w:tcPr>
            <w:tcW w:w="1372" w:type="dxa"/>
            <w:vAlign w:val="center"/>
          </w:tcPr>
          <w:p w:rsidR="00C645C9" w:rsidRDefault="00F955D9">
            <w:pPr>
              <w:pStyle w:val="afa"/>
              <w:shd w:val="clear" w:color="auto" w:fill="auto"/>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t/a</w:t>
            </w:r>
          </w:p>
        </w:tc>
        <w:tc>
          <w:tcPr>
            <w:tcW w:w="1314" w:type="dxa"/>
            <w:vAlign w:val="center"/>
          </w:tcPr>
          <w:p w:rsidR="00C645C9" w:rsidRDefault="00F955D9">
            <w:pPr>
              <w:pStyle w:val="afa"/>
              <w:shd w:val="clear" w:color="auto" w:fill="auto"/>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bookmarkEnd w:id="1968"/>
      <w:tr w:rsidR="00C645C9">
        <w:trPr>
          <w:trHeight w:val="347"/>
          <w:jc w:val="center"/>
        </w:trPr>
        <w:tc>
          <w:tcPr>
            <w:tcW w:w="664" w:type="dxa"/>
            <w:vMerge w:val="restart"/>
            <w:vAlign w:val="center"/>
          </w:tcPr>
          <w:p w:rsidR="00C645C9" w:rsidRDefault="00F955D9">
            <w:pPr>
              <w:pStyle w:val="afa"/>
              <w:shd w:val="clear" w:color="auto" w:fill="auto"/>
              <w:rPr>
                <w:szCs w:val="21"/>
              </w:rPr>
            </w:pPr>
            <w:r>
              <w:rPr>
                <w:szCs w:val="21"/>
              </w:rPr>
              <w:t>废水</w:t>
            </w:r>
          </w:p>
        </w:tc>
        <w:tc>
          <w:tcPr>
            <w:tcW w:w="1609" w:type="dxa"/>
            <w:vAlign w:val="center"/>
          </w:tcPr>
          <w:p w:rsidR="00C645C9" w:rsidRDefault="00F955D9">
            <w:pPr>
              <w:pStyle w:val="afa"/>
              <w:shd w:val="clear" w:color="auto" w:fill="auto"/>
              <w:rPr>
                <w:szCs w:val="21"/>
              </w:rPr>
            </w:pPr>
            <w:r>
              <w:rPr>
                <w:szCs w:val="21"/>
              </w:rPr>
              <w:t>生产废水</w:t>
            </w:r>
          </w:p>
        </w:tc>
        <w:tc>
          <w:tcPr>
            <w:tcW w:w="1735" w:type="dxa"/>
            <w:vAlign w:val="center"/>
          </w:tcPr>
          <w:p w:rsidR="00C645C9" w:rsidRDefault="00F955D9">
            <w:pPr>
              <w:pStyle w:val="afa"/>
              <w:shd w:val="clear" w:color="auto" w:fill="auto"/>
              <w:rPr>
                <w:szCs w:val="21"/>
              </w:rPr>
            </w:pPr>
            <w:r>
              <w:rPr>
                <w:szCs w:val="21"/>
              </w:rPr>
              <w:t>生产废水</w:t>
            </w:r>
            <w:r>
              <w:rPr>
                <w:rFonts w:hint="eastAsia"/>
                <w:szCs w:val="21"/>
              </w:rPr>
              <w:t>、采出水</w:t>
            </w:r>
          </w:p>
        </w:tc>
        <w:tc>
          <w:tcPr>
            <w:tcW w:w="1372" w:type="dxa"/>
            <w:vAlign w:val="center"/>
          </w:tcPr>
          <w:p w:rsidR="00C645C9" w:rsidRDefault="00F955D9">
            <w:pPr>
              <w:jc w:val="center"/>
              <w:textAlignment w:val="center"/>
              <w:rPr>
                <w:rFonts w:cs="Times New Roman"/>
                <w:sz w:val="21"/>
                <w:szCs w:val="21"/>
              </w:rPr>
            </w:pPr>
            <w:r>
              <w:rPr>
                <w:rFonts w:cs="Times New Roman"/>
                <w:spacing w:val="4"/>
                <w:kern w:val="24"/>
                <w:sz w:val="21"/>
                <w:szCs w:val="21"/>
              </w:rPr>
              <w:t>0.5t/d</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kern w:val="0"/>
                <w:szCs w:val="21"/>
                <w:lang w:bidi="ar"/>
              </w:rPr>
              <w:t>由罐车拉运至塔河油田绿色环保工作站处理</w:t>
            </w:r>
            <w:r>
              <w:rPr>
                <w:kern w:val="0"/>
                <w:szCs w:val="21"/>
                <w:lang w:bidi="ar"/>
              </w:rPr>
              <w:t>。</w:t>
            </w:r>
          </w:p>
        </w:tc>
      </w:tr>
      <w:tr w:rsidR="00C645C9">
        <w:trPr>
          <w:trHeight w:val="493"/>
          <w:jc w:val="center"/>
        </w:trPr>
        <w:tc>
          <w:tcPr>
            <w:tcW w:w="664" w:type="dxa"/>
            <w:vMerge/>
            <w:vAlign w:val="center"/>
          </w:tcPr>
          <w:p w:rsidR="00C645C9" w:rsidRDefault="00C645C9">
            <w:pPr>
              <w:pStyle w:val="afa"/>
              <w:shd w:val="clear" w:color="auto" w:fill="auto"/>
              <w:rPr>
                <w:szCs w:val="21"/>
              </w:rPr>
            </w:pPr>
          </w:p>
        </w:tc>
        <w:tc>
          <w:tcPr>
            <w:tcW w:w="1609" w:type="dxa"/>
            <w:vMerge w:val="restart"/>
            <w:vAlign w:val="center"/>
          </w:tcPr>
          <w:p w:rsidR="00C645C9" w:rsidRDefault="00F955D9">
            <w:pPr>
              <w:pStyle w:val="afa"/>
              <w:shd w:val="clear" w:color="auto" w:fill="auto"/>
              <w:rPr>
                <w:szCs w:val="21"/>
              </w:rPr>
            </w:pPr>
            <w:r>
              <w:rPr>
                <w:szCs w:val="21"/>
              </w:rPr>
              <w:t>井下作业废水</w:t>
            </w:r>
          </w:p>
        </w:tc>
        <w:tc>
          <w:tcPr>
            <w:tcW w:w="1735" w:type="dxa"/>
            <w:vAlign w:val="center"/>
          </w:tcPr>
          <w:p w:rsidR="00C645C9" w:rsidRDefault="00F955D9">
            <w:pPr>
              <w:pStyle w:val="afa"/>
              <w:shd w:val="clear" w:color="auto" w:fill="auto"/>
              <w:rPr>
                <w:szCs w:val="21"/>
              </w:rPr>
            </w:pPr>
            <w:r>
              <w:rPr>
                <w:szCs w:val="21"/>
              </w:rPr>
              <w:t>井下作业废水量</w:t>
            </w:r>
          </w:p>
        </w:tc>
        <w:tc>
          <w:tcPr>
            <w:tcW w:w="1372" w:type="dxa"/>
            <w:vAlign w:val="center"/>
          </w:tcPr>
          <w:p w:rsidR="00C645C9" w:rsidRDefault="00F955D9">
            <w:pPr>
              <w:pStyle w:val="afa"/>
              <w:shd w:val="clear" w:color="auto" w:fill="auto"/>
              <w:rPr>
                <w:szCs w:val="21"/>
              </w:rPr>
            </w:pPr>
            <w:r>
              <w:rPr>
                <w:szCs w:val="21"/>
              </w:rPr>
              <w:t>13.565</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restart"/>
            <w:vAlign w:val="center"/>
          </w:tcPr>
          <w:p w:rsidR="00C645C9" w:rsidRDefault="00F955D9">
            <w:pPr>
              <w:pStyle w:val="afa"/>
              <w:shd w:val="clear" w:color="auto" w:fill="auto"/>
              <w:jc w:val="both"/>
              <w:rPr>
                <w:szCs w:val="21"/>
              </w:rPr>
            </w:pPr>
            <w:r>
              <w:rPr>
                <w:szCs w:val="21"/>
              </w:rPr>
              <w:t>井下作业废水自带回收罐回收井下作业废水，依托塔河油田绿色环保工作站处理</w:t>
            </w:r>
            <w:r>
              <w:rPr>
                <w:szCs w:val="21"/>
              </w:rPr>
              <w:t>。</w:t>
            </w:r>
          </w:p>
        </w:tc>
      </w:tr>
      <w:tr w:rsidR="00C645C9">
        <w:trPr>
          <w:trHeight w:val="437"/>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COD</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.017</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03</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trHeight w:val="90"/>
          <w:jc w:val="center"/>
        </w:trPr>
        <w:tc>
          <w:tcPr>
            <w:tcW w:w="664" w:type="dxa"/>
            <w:vMerge w:val="restart"/>
            <w:vAlign w:val="center"/>
          </w:tcPr>
          <w:p w:rsidR="00C645C9" w:rsidRDefault="00F955D9">
            <w:pPr>
              <w:pStyle w:val="afa"/>
              <w:shd w:val="clear" w:color="auto" w:fill="auto"/>
              <w:rPr>
                <w:szCs w:val="21"/>
              </w:rPr>
            </w:pPr>
            <w:r>
              <w:rPr>
                <w:szCs w:val="21"/>
              </w:rPr>
              <w:t>固体废物</w:t>
            </w:r>
          </w:p>
        </w:tc>
        <w:tc>
          <w:tcPr>
            <w:tcW w:w="1609" w:type="dxa"/>
            <w:vAlign w:val="center"/>
          </w:tcPr>
          <w:p w:rsidR="00C645C9" w:rsidRDefault="00F955D9">
            <w:pPr>
              <w:pStyle w:val="afa"/>
              <w:shd w:val="clear" w:color="auto" w:fill="auto"/>
              <w:rPr>
                <w:szCs w:val="21"/>
              </w:rPr>
            </w:pPr>
            <w:r>
              <w:rPr>
                <w:szCs w:val="21"/>
              </w:rPr>
              <w:t>落地油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w:t>
            </w:r>
            <w:r>
              <w:rPr>
                <w:rFonts w:hint="eastAsia"/>
                <w:szCs w:val="21"/>
              </w:rPr>
              <w:t>1</w:t>
            </w:r>
            <w:r>
              <w:rPr>
                <w:szCs w:val="21"/>
              </w:rPr>
              <w:t>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落地油不在施工井场储存，直接在作业施工现场由施工人员回收至密闭的专用罐车内，统一由塔河油田绿色环保站进行无害化处理。</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废防渗材料</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0.25t/a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施工单位将废弃的废防渗材料集中收集，不在井场贮存，委托持有危险废物经营许可证的单位利用处置</w:t>
            </w:r>
            <w:r>
              <w:rPr>
                <w:rFonts w:hint="eastAsia"/>
                <w:szCs w:val="21"/>
              </w:rPr>
              <w:t>。</w:t>
            </w:r>
          </w:p>
        </w:tc>
      </w:tr>
      <w:tr w:rsidR="00C645C9">
        <w:trPr>
          <w:trHeight w:val="1342"/>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清罐底泥</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t>0.1t/a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施工人员回收至密闭的专用罐车内，委托持有危险废物经营许可证的单位利用处置</w:t>
            </w:r>
            <w:r>
              <w:rPr>
                <w:szCs w:val="21"/>
              </w:rPr>
              <w:t>。</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废润滑油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委托持有危险废物经营许可证的单位利用处置</w:t>
            </w:r>
            <w:r>
              <w:rPr>
                <w:rFonts w:hint="eastAsia"/>
                <w:szCs w:val="21"/>
              </w:rPr>
              <w:t>。</w:t>
            </w:r>
          </w:p>
        </w:tc>
      </w:tr>
    </w:tbl>
    <w:bookmarkStart w:id="1970" w:name="_Toc32257"/>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_Toc32167 </w:instrText>
      </w:r>
      <w:r>
        <w:rPr>
          <w:rFonts w:ascii="Times New Roman" w:hAnsi="Times New Roman" w:cs="Times New Roman"/>
          <w:color w:val="auto"/>
        </w:rPr>
        <w:fldChar w:fldCharType="separate"/>
      </w:r>
      <w:r>
        <w:rPr>
          <w:rFonts w:ascii="Times New Roman" w:hAnsi="Times New Roman" w:cs="Times New Roman" w:hint="eastAsia"/>
          <w:color w:val="auto"/>
        </w:rPr>
        <w:t>9.4</w:t>
      </w:r>
      <w:r>
        <w:rPr>
          <w:rFonts w:ascii="Times New Roman" w:hAnsi="Times New Roman" w:cs="Times New Roman" w:hint="eastAsia"/>
          <w:color w:val="auto"/>
          <w:lang w:eastAsia="zh-CN"/>
        </w:rPr>
        <w:t>生态环境</w:t>
      </w:r>
      <w:r>
        <w:rPr>
          <w:rFonts w:ascii="Times New Roman" w:hAnsi="Times New Roman" w:cs="Times New Roman" w:hint="eastAsia"/>
          <w:color w:val="auto"/>
        </w:rPr>
        <w:t>监测</w:t>
      </w:r>
      <w:r>
        <w:rPr>
          <w:rFonts w:ascii="Times New Roman" w:hAnsi="Times New Roman" w:cs="Times New Roman"/>
          <w:color w:val="auto"/>
        </w:rPr>
        <w:fldChar w:fldCharType="end"/>
      </w:r>
      <w:bookmarkEnd w:id="1970"/>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1410" w:history="1">
        <w:r>
          <w:rPr>
            <w:rFonts w:ascii="Times New Roman" w:hAnsi="Times New Roman" w:cs="Times New Roman" w:hint="eastAsia"/>
            <w:color w:val="auto"/>
          </w:rPr>
          <w:t>9.4.1</w:t>
        </w:r>
        <w:r>
          <w:rPr>
            <w:rFonts w:ascii="Times New Roman" w:hAnsi="Times New Roman" w:cs="Times New Roman" w:hint="eastAsia"/>
            <w:color w:val="auto"/>
          </w:rPr>
          <w:t>监测目的</w:t>
        </w:r>
      </w:hyperlink>
    </w:p>
    <w:p w:rsidR="00C645C9" w:rsidRDefault="00F955D9">
      <w:pPr>
        <w:widowControl w:val="0"/>
        <w:snapToGrid w:val="0"/>
        <w:spacing w:line="360" w:lineRule="auto"/>
        <w:ind w:firstLineChars="200" w:firstLine="480"/>
        <w:rPr>
          <w:rFonts w:cs="Times New Roman"/>
          <w:bCs/>
        </w:rPr>
      </w:pPr>
      <w:r>
        <w:rPr>
          <w:rFonts w:cs="Times New Roman"/>
          <w:bCs/>
        </w:rPr>
        <w:t>环境监测是企业环境管理体系的重要组成部分，也是环境管理规范化的主要手段，通过对企业主要污染物进行分析、资料整理、编制报表、建立技术文件档案，可以为生态环境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rsidR="00C645C9" w:rsidRDefault="00F955D9">
      <w:pPr>
        <w:widowControl w:val="0"/>
        <w:snapToGrid w:val="0"/>
        <w:spacing w:line="360" w:lineRule="auto"/>
        <w:ind w:firstLineChars="200" w:firstLine="480"/>
        <w:rPr>
          <w:rFonts w:cs="Times New Roman"/>
          <w:bCs/>
          <w:lang w:eastAsia="en-US"/>
        </w:rPr>
      </w:pPr>
      <w:r>
        <w:rPr>
          <w:rFonts w:cs="Times New Roman"/>
          <w:bCs/>
        </w:rPr>
        <w:t>通过对本工程运行中环保设施进行监控，掌握废气、废水、噪声等污染源排放是否符合国家或地方排放标准的要求，做到达标排放，同时对废水、噪声防治</w:t>
      </w:r>
      <w:r>
        <w:rPr>
          <w:rFonts w:cs="Times New Roman"/>
          <w:bCs/>
        </w:rPr>
        <w:lastRenderedPageBreak/>
        <w:t>设施进行监督检查，保证正常运行</w:t>
      </w:r>
      <w:r>
        <w:rPr>
          <w:rFonts w:cs="Times New Roman" w:hint="eastAsia"/>
          <w:bCs/>
        </w:rPr>
        <w:t>。</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5052" w:history="1">
        <w:r>
          <w:rPr>
            <w:rFonts w:ascii="Times New Roman" w:hAnsi="Times New Roman" w:cs="Times New Roman" w:hint="eastAsia"/>
            <w:color w:val="auto"/>
          </w:rPr>
          <w:t>9.4.2</w:t>
        </w:r>
        <w:r>
          <w:rPr>
            <w:rFonts w:ascii="Times New Roman" w:hAnsi="Times New Roman" w:cs="Times New Roman" w:hint="eastAsia"/>
            <w:color w:val="auto"/>
          </w:rPr>
          <w:t>环境监测机构及设备配置</w:t>
        </w:r>
      </w:hyperlink>
    </w:p>
    <w:p w:rsidR="00C645C9" w:rsidRDefault="00F955D9">
      <w:pPr>
        <w:widowControl w:val="0"/>
        <w:snapToGrid w:val="0"/>
        <w:spacing w:line="360" w:lineRule="auto"/>
        <w:ind w:firstLineChars="200" w:firstLine="480"/>
        <w:rPr>
          <w:rFonts w:cs="Times New Roman"/>
          <w:bCs/>
          <w:lang w:eastAsia="en-US"/>
        </w:rPr>
      </w:pPr>
      <w:r>
        <w:rPr>
          <w:rFonts w:cs="Times New Roman"/>
          <w:bCs/>
        </w:rPr>
        <w:t>环境监测是环境保护的基础，是进行污染治理和监督管理的依据。本工程的环境监测工作可委托当地有资质的环境监测机构承担</w:t>
      </w:r>
      <w:r>
        <w:rPr>
          <w:rFonts w:cs="Times New Roman" w:hint="eastAsia"/>
          <w:bCs/>
        </w:rPr>
        <w:t>。</w:t>
      </w:r>
    </w:p>
    <w:p w:rsidR="00C645C9" w:rsidRDefault="00F955D9">
      <w:pPr>
        <w:pStyle w:val="3"/>
        <w:widowControl w:val="0"/>
        <w:adjustRightInd w:val="0"/>
        <w:snapToGrid w:val="0"/>
        <w:spacing w:before="0" w:after="0" w:line="360" w:lineRule="auto"/>
        <w:rPr>
          <w:rFonts w:ascii="Times New Roman" w:hAnsi="Times New Roman" w:cs="Times New Roman"/>
          <w:color w:val="auto"/>
        </w:rPr>
      </w:pPr>
      <w:hyperlink w:anchor="_Toc25314" w:history="1">
        <w:r>
          <w:rPr>
            <w:rFonts w:ascii="Times New Roman" w:hAnsi="Times New Roman" w:cs="Times New Roman" w:hint="eastAsia"/>
            <w:color w:val="auto"/>
          </w:rPr>
          <w:t>9.4.3</w:t>
        </w:r>
        <w:r>
          <w:rPr>
            <w:rFonts w:ascii="Times New Roman" w:hAnsi="Times New Roman" w:cs="Times New Roman" w:hint="eastAsia"/>
            <w:color w:val="auto"/>
          </w:rPr>
          <w:t>监测计划</w:t>
        </w:r>
      </w:hyperlink>
    </w:p>
    <w:p w:rsidR="00C645C9" w:rsidRDefault="00F955D9">
      <w:pPr>
        <w:adjustRightInd w:val="0"/>
        <w:snapToGrid w:val="0"/>
        <w:spacing w:line="360" w:lineRule="auto"/>
        <w:ind w:firstLine="522"/>
        <w:jc w:val="both"/>
        <w:rPr>
          <w:rFonts w:cs="Times New Roman"/>
          <w:szCs w:val="23"/>
        </w:rPr>
      </w:pPr>
      <w:r>
        <w:rPr>
          <w:rFonts w:cs="Times New Roman"/>
          <w:szCs w:val="23"/>
        </w:rPr>
        <w:t>本</w:t>
      </w:r>
      <w:r>
        <w:rPr>
          <w:rFonts w:cs="Times New Roman"/>
          <w:szCs w:val="23"/>
        </w:rPr>
        <w:t>工程</w:t>
      </w:r>
      <w:r>
        <w:rPr>
          <w:rFonts w:cs="Times New Roman"/>
          <w:szCs w:val="23"/>
        </w:rPr>
        <w:t>在运营期间，需对生产过程产生的</w:t>
      </w:r>
      <w:r>
        <w:rPr>
          <w:rFonts w:cs="Times New Roman" w:hint="eastAsia"/>
          <w:szCs w:val="23"/>
        </w:rPr>
        <w:t>“</w:t>
      </w:r>
      <w:r>
        <w:rPr>
          <w:rFonts w:cs="Times New Roman" w:hint="eastAsia"/>
          <w:szCs w:val="23"/>
        </w:rPr>
        <w:t>三废</w:t>
      </w:r>
      <w:r>
        <w:rPr>
          <w:rFonts w:cs="Times New Roman" w:hint="eastAsia"/>
          <w:szCs w:val="23"/>
        </w:rPr>
        <w:t>”</w:t>
      </w:r>
      <w:r>
        <w:rPr>
          <w:rFonts w:cs="Times New Roman"/>
          <w:szCs w:val="23"/>
        </w:rPr>
        <w:t>和生态影响进行严格监管，定期进行监测，减少对周围环境影响。根据《排污单位自行监测技术指南</w:t>
      </w:r>
      <w:r>
        <w:rPr>
          <w:rFonts w:cs="Times New Roman"/>
          <w:szCs w:val="23"/>
        </w:rPr>
        <w:t xml:space="preserve"> </w:t>
      </w:r>
      <w:r>
        <w:rPr>
          <w:rFonts w:cs="Times New Roman"/>
          <w:szCs w:val="23"/>
        </w:rPr>
        <w:t>陆上石油天然气开采工业》</w:t>
      </w:r>
      <w:r>
        <w:rPr>
          <w:rFonts w:cs="Times New Roman"/>
          <w:szCs w:val="23"/>
        </w:rPr>
        <w:t>（</w:t>
      </w:r>
      <w:r>
        <w:rPr>
          <w:rFonts w:cs="Times New Roman"/>
          <w:szCs w:val="23"/>
        </w:rPr>
        <w:t>HJ1248-2022</w:t>
      </w:r>
      <w:r>
        <w:rPr>
          <w:rFonts w:cs="Times New Roman"/>
          <w:szCs w:val="23"/>
        </w:rPr>
        <w:t>），</w:t>
      </w:r>
      <w:r>
        <w:rPr>
          <w:rFonts w:cs="Times New Roman"/>
          <w:szCs w:val="23"/>
        </w:rPr>
        <w:t>制定</w:t>
      </w:r>
      <w:r>
        <w:rPr>
          <w:rFonts w:cs="Times New Roman"/>
          <w:szCs w:val="23"/>
        </w:rPr>
        <w:t>环境监测计划见表</w:t>
      </w:r>
      <w:r>
        <w:rPr>
          <w:rFonts w:cs="Times New Roman"/>
          <w:szCs w:val="23"/>
        </w:rPr>
        <w:t>9</w:t>
      </w:r>
      <w:r>
        <w:rPr>
          <w:rFonts w:cs="Times New Roman"/>
          <w:szCs w:val="23"/>
        </w:rPr>
        <w:t>.</w:t>
      </w:r>
      <w:r>
        <w:rPr>
          <w:rFonts w:cs="Times New Roman" w:hint="eastAsia"/>
          <w:szCs w:val="23"/>
        </w:rPr>
        <w:t>4-1</w:t>
      </w:r>
      <w:r>
        <w:rPr>
          <w:rFonts w:cs="Times New Roman"/>
          <w:szCs w:val="23"/>
        </w:rPr>
        <w:t>。</w:t>
      </w:r>
      <w:r>
        <w:rPr>
          <w:rFonts w:cs="Times New Roman"/>
        </w:rPr>
        <w:t>企业应根据《中华人民共和国环境保护法》及《企业事业单位环境信息公开办法》，定期公开企业环境管理信息，积极通过网站、信息平台或当地报刊等便于公众知晓。将自行监测工作开展情况及监测结果向社会公众公开。</w:t>
      </w:r>
    </w:p>
    <w:p w:rsidR="00C645C9" w:rsidRDefault="00F955D9">
      <w:pPr>
        <w:adjustRightInd w:val="0"/>
        <w:snapToGrid w:val="0"/>
        <w:ind w:firstLineChars="200" w:firstLine="420"/>
        <w:jc w:val="center"/>
        <w:rPr>
          <w:rFonts w:eastAsia="黑体" w:cs="Times New Roman"/>
          <w:sz w:val="21"/>
          <w:szCs w:val="21"/>
        </w:rPr>
      </w:pPr>
      <w:r>
        <w:rPr>
          <w:rFonts w:eastAsia="黑体" w:cs="Times New Roman"/>
          <w:sz w:val="21"/>
          <w:szCs w:val="21"/>
        </w:rPr>
        <w:t>表</w:t>
      </w:r>
      <w:r>
        <w:rPr>
          <w:rFonts w:eastAsia="黑体" w:cs="Times New Roman"/>
          <w:sz w:val="21"/>
          <w:szCs w:val="21"/>
        </w:rPr>
        <w:t>9</w:t>
      </w:r>
      <w:r>
        <w:rPr>
          <w:rFonts w:eastAsia="黑体" w:cs="Times New Roman"/>
          <w:sz w:val="21"/>
          <w:szCs w:val="21"/>
        </w:rPr>
        <w:t>.</w:t>
      </w:r>
      <w:r>
        <w:rPr>
          <w:rFonts w:eastAsia="黑体" w:cs="Times New Roman" w:hint="eastAsia"/>
          <w:sz w:val="21"/>
          <w:szCs w:val="21"/>
        </w:rPr>
        <w:t>4-1</w:t>
      </w:r>
      <w:r>
        <w:rPr>
          <w:rFonts w:eastAsia="黑体" w:cs="Times New Roman"/>
          <w:sz w:val="21"/>
          <w:szCs w:val="21"/>
        </w:rPr>
        <w:t xml:space="preserve">   </w:t>
      </w:r>
      <w:r>
        <w:rPr>
          <w:rFonts w:eastAsia="黑体" w:cs="Times New Roman"/>
          <w:sz w:val="21"/>
          <w:szCs w:val="21"/>
        </w:rPr>
        <w:t>环境监测计划</w:t>
      </w:r>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4"/>
        <w:gridCol w:w="1589"/>
        <w:gridCol w:w="1422"/>
        <w:gridCol w:w="1867"/>
        <w:gridCol w:w="3361"/>
      </w:tblGrid>
      <w:tr w:rsidR="00C645C9">
        <w:trPr>
          <w:cantSplit/>
          <w:trHeight w:val="20"/>
          <w:jc w:val="center"/>
        </w:trPr>
        <w:tc>
          <w:tcPr>
            <w:tcW w:w="362"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类型</w:t>
            </w:r>
          </w:p>
        </w:tc>
        <w:tc>
          <w:tcPr>
            <w:tcW w:w="894"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监测地点</w:t>
            </w:r>
          </w:p>
        </w:tc>
        <w:tc>
          <w:tcPr>
            <w:tcW w:w="800"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监测频率</w:t>
            </w:r>
          </w:p>
        </w:tc>
        <w:tc>
          <w:tcPr>
            <w:tcW w:w="1051"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监测时间</w:t>
            </w:r>
          </w:p>
        </w:tc>
        <w:tc>
          <w:tcPr>
            <w:tcW w:w="1891"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监测项目</w:t>
            </w:r>
          </w:p>
        </w:tc>
      </w:tr>
      <w:tr w:rsidR="00C645C9">
        <w:trPr>
          <w:cantSplit/>
          <w:trHeight w:val="20"/>
          <w:jc w:val="center"/>
        </w:trPr>
        <w:tc>
          <w:tcPr>
            <w:tcW w:w="362"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废气</w:t>
            </w:r>
          </w:p>
        </w:tc>
        <w:tc>
          <w:tcPr>
            <w:tcW w:w="894" w:type="pct"/>
            <w:vAlign w:val="center"/>
          </w:tcPr>
          <w:p w:rsidR="00C645C9" w:rsidRDefault="00F955D9">
            <w:pPr>
              <w:adjustRightInd w:val="0"/>
              <w:snapToGrid w:val="0"/>
              <w:jc w:val="center"/>
              <w:rPr>
                <w:rFonts w:cs="Times New Roman"/>
                <w:spacing w:val="-4"/>
                <w:sz w:val="21"/>
                <w:szCs w:val="21"/>
              </w:rPr>
            </w:pPr>
            <w:r>
              <w:rPr>
                <w:rFonts w:cs="Times New Roman" w:hint="eastAsia"/>
                <w:spacing w:val="-4"/>
                <w:sz w:val="21"/>
                <w:szCs w:val="21"/>
              </w:rPr>
              <w:t>井</w:t>
            </w:r>
            <w:r>
              <w:rPr>
                <w:rFonts w:cs="Times New Roman"/>
                <w:spacing w:val="-4"/>
                <w:sz w:val="21"/>
                <w:szCs w:val="21"/>
              </w:rPr>
              <w:t>场</w:t>
            </w:r>
            <w:r>
              <w:rPr>
                <w:rFonts w:cs="Times New Roman" w:hint="eastAsia"/>
                <w:spacing w:val="-4"/>
                <w:sz w:val="21"/>
                <w:szCs w:val="21"/>
              </w:rPr>
              <w:t>加热炉</w:t>
            </w:r>
          </w:p>
        </w:tc>
        <w:tc>
          <w:tcPr>
            <w:tcW w:w="800"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1</w:t>
            </w:r>
            <w:r>
              <w:rPr>
                <w:rFonts w:cs="Times New Roman"/>
                <w:spacing w:val="-4"/>
                <w:sz w:val="21"/>
                <w:szCs w:val="21"/>
              </w:rPr>
              <w:t>次</w:t>
            </w:r>
            <w:r>
              <w:rPr>
                <w:rFonts w:cs="Times New Roman"/>
                <w:spacing w:val="-4"/>
                <w:sz w:val="21"/>
                <w:szCs w:val="21"/>
              </w:rPr>
              <w:t>/</w:t>
            </w:r>
            <w:r>
              <w:rPr>
                <w:rFonts w:cs="Times New Roman"/>
                <w:spacing w:val="-4"/>
                <w:sz w:val="21"/>
                <w:szCs w:val="21"/>
              </w:rPr>
              <w:t>季度</w:t>
            </w:r>
          </w:p>
        </w:tc>
        <w:tc>
          <w:tcPr>
            <w:tcW w:w="1051" w:type="pct"/>
            <w:vMerge w:val="restar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竣工环保验收后开始</w:t>
            </w:r>
          </w:p>
        </w:tc>
        <w:tc>
          <w:tcPr>
            <w:tcW w:w="1891"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非甲烷总烃、硫化氢</w:t>
            </w:r>
          </w:p>
        </w:tc>
      </w:tr>
      <w:tr w:rsidR="00C645C9">
        <w:trPr>
          <w:cantSplit/>
          <w:trHeight w:val="20"/>
          <w:jc w:val="center"/>
        </w:trPr>
        <w:tc>
          <w:tcPr>
            <w:tcW w:w="362"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噪声</w:t>
            </w:r>
          </w:p>
        </w:tc>
        <w:tc>
          <w:tcPr>
            <w:tcW w:w="894"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站场</w:t>
            </w:r>
            <w:r>
              <w:rPr>
                <w:rFonts w:cs="Times New Roman"/>
                <w:spacing w:val="-4"/>
                <w:sz w:val="21"/>
                <w:szCs w:val="21"/>
              </w:rPr>
              <w:t>边界</w:t>
            </w:r>
          </w:p>
        </w:tc>
        <w:tc>
          <w:tcPr>
            <w:tcW w:w="800"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1</w:t>
            </w:r>
            <w:r>
              <w:rPr>
                <w:rFonts w:cs="Times New Roman"/>
                <w:spacing w:val="-4"/>
                <w:sz w:val="21"/>
                <w:szCs w:val="21"/>
              </w:rPr>
              <w:t>次</w:t>
            </w:r>
            <w:r>
              <w:rPr>
                <w:rFonts w:cs="Times New Roman"/>
                <w:spacing w:val="-4"/>
                <w:sz w:val="21"/>
                <w:szCs w:val="21"/>
              </w:rPr>
              <w:t>/</w:t>
            </w:r>
            <w:r>
              <w:rPr>
                <w:rFonts w:cs="Times New Roman"/>
                <w:spacing w:val="-4"/>
                <w:sz w:val="21"/>
                <w:szCs w:val="21"/>
              </w:rPr>
              <w:t>季度</w:t>
            </w:r>
          </w:p>
        </w:tc>
        <w:tc>
          <w:tcPr>
            <w:tcW w:w="1051" w:type="pct"/>
            <w:vMerge/>
            <w:vAlign w:val="center"/>
          </w:tcPr>
          <w:p w:rsidR="00C645C9" w:rsidRDefault="00C645C9">
            <w:pPr>
              <w:adjustRightInd w:val="0"/>
              <w:snapToGrid w:val="0"/>
              <w:jc w:val="center"/>
              <w:rPr>
                <w:rFonts w:cs="Times New Roman"/>
                <w:spacing w:val="-4"/>
                <w:sz w:val="21"/>
                <w:szCs w:val="21"/>
              </w:rPr>
            </w:pPr>
          </w:p>
        </w:tc>
        <w:tc>
          <w:tcPr>
            <w:tcW w:w="1891" w:type="pct"/>
            <w:vAlign w:val="center"/>
          </w:tcPr>
          <w:p w:rsidR="00C645C9" w:rsidRDefault="00F955D9">
            <w:pPr>
              <w:pStyle w:val="affff1"/>
              <w:snapToGrid w:val="0"/>
              <w:rPr>
                <w:rFonts w:cs="Times New Roman"/>
                <w:spacing w:val="-4"/>
                <w:szCs w:val="21"/>
              </w:rPr>
            </w:pPr>
            <w:r>
              <w:rPr>
                <w:rFonts w:cs="Times New Roman"/>
                <w:szCs w:val="21"/>
              </w:rPr>
              <w:t>连续等效</w:t>
            </w:r>
            <w:r>
              <w:rPr>
                <w:rFonts w:cs="Times New Roman"/>
                <w:szCs w:val="21"/>
              </w:rPr>
              <w:t>A</w:t>
            </w:r>
            <w:r>
              <w:rPr>
                <w:rFonts w:cs="Times New Roman"/>
                <w:szCs w:val="21"/>
              </w:rPr>
              <w:t>声级</w:t>
            </w:r>
            <w:r>
              <w:rPr>
                <w:rFonts w:cs="Times New Roman"/>
                <w:szCs w:val="21"/>
              </w:rPr>
              <w:t>（</w:t>
            </w:r>
            <w:r>
              <w:rPr>
                <w:rFonts w:cs="Times New Roman"/>
                <w:szCs w:val="21"/>
              </w:rPr>
              <w:t>dB</w:t>
            </w:r>
            <w:r>
              <w:rPr>
                <w:rFonts w:cs="Times New Roman"/>
                <w:szCs w:val="21"/>
              </w:rPr>
              <w:t>）</w:t>
            </w:r>
          </w:p>
        </w:tc>
      </w:tr>
      <w:tr w:rsidR="00C645C9">
        <w:trPr>
          <w:cantSplit/>
          <w:trHeight w:val="20"/>
          <w:jc w:val="center"/>
        </w:trPr>
        <w:tc>
          <w:tcPr>
            <w:tcW w:w="362"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地下水</w:t>
            </w:r>
          </w:p>
        </w:tc>
        <w:tc>
          <w:tcPr>
            <w:tcW w:w="894" w:type="pct"/>
            <w:vAlign w:val="center"/>
          </w:tcPr>
          <w:p w:rsidR="00C645C9" w:rsidRDefault="00F955D9">
            <w:pPr>
              <w:adjustRightInd w:val="0"/>
              <w:snapToGrid w:val="0"/>
              <w:jc w:val="center"/>
              <w:rPr>
                <w:rFonts w:cs="Times New Roman"/>
                <w:spacing w:val="-4"/>
                <w:sz w:val="21"/>
                <w:szCs w:val="21"/>
              </w:rPr>
            </w:pPr>
            <w:r>
              <w:rPr>
                <w:rFonts w:cs="Times New Roman" w:hint="eastAsia"/>
                <w:spacing w:val="-4"/>
                <w:sz w:val="21"/>
                <w:szCs w:val="21"/>
              </w:rPr>
              <w:t>项目</w:t>
            </w:r>
            <w:r>
              <w:rPr>
                <w:rFonts w:cs="Times New Roman"/>
                <w:spacing w:val="-4"/>
                <w:sz w:val="21"/>
                <w:szCs w:val="21"/>
              </w:rPr>
              <w:t>区域</w:t>
            </w:r>
            <w:r>
              <w:rPr>
                <w:rFonts w:cs="Times New Roman" w:hint="eastAsia"/>
                <w:spacing w:val="-4"/>
                <w:sz w:val="21"/>
                <w:szCs w:val="21"/>
              </w:rPr>
              <w:t>、</w:t>
            </w:r>
            <w:r>
              <w:rPr>
                <w:rFonts w:cs="Times New Roman" w:hint="eastAsia"/>
                <w:spacing w:val="-4"/>
                <w:sz w:val="21"/>
                <w:szCs w:val="21"/>
              </w:rPr>
              <w:t>上游及</w:t>
            </w:r>
            <w:r>
              <w:rPr>
                <w:rFonts w:cs="Times New Roman"/>
                <w:spacing w:val="-4"/>
                <w:sz w:val="21"/>
                <w:szCs w:val="21"/>
              </w:rPr>
              <w:t>下游</w:t>
            </w:r>
          </w:p>
        </w:tc>
        <w:tc>
          <w:tcPr>
            <w:tcW w:w="800" w:type="pct"/>
            <w:vAlign w:val="center"/>
          </w:tcPr>
          <w:p w:rsidR="00C645C9" w:rsidRDefault="00F955D9">
            <w:pPr>
              <w:adjustRightInd w:val="0"/>
              <w:snapToGrid w:val="0"/>
              <w:jc w:val="center"/>
              <w:rPr>
                <w:rFonts w:cs="Times New Roman"/>
                <w:spacing w:val="-4"/>
                <w:sz w:val="21"/>
                <w:szCs w:val="21"/>
              </w:rPr>
            </w:pPr>
            <w:r>
              <w:rPr>
                <w:rFonts w:cs="Times New Roman"/>
                <w:spacing w:val="-4"/>
                <w:sz w:val="21"/>
                <w:szCs w:val="21"/>
              </w:rPr>
              <w:t>1</w:t>
            </w:r>
            <w:r>
              <w:rPr>
                <w:rFonts w:cs="Times New Roman"/>
                <w:spacing w:val="-4"/>
                <w:sz w:val="21"/>
                <w:szCs w:val="21"/>
              </w:rPr>
              <w:t>次</w:t>
            </w:r>
            <w:r>
              <w:rPr>
                <w:rFonts w:cs="Times New Roman"/>
                <w:spacing w:val="-4"/>
                <w:sz w:val="21"/>
                <w:szCs w:val="21"/>
              </w:rPr>
              <w:t>/</w:t>
            </w:r>
            <w:r>
              <w:rPr>
                <w:rFonts w:cs="Times New Roman"/>
                <w:spacing w:val="-4"/>
                <w:sz w:val="21"/>
                <w:szCs w:val="21"/>
              </w:rPr>
              <w:t>半</w:t>
            </w:r>
            <w:r>
              <w:rPr>
                <w:rFonts w:cs="Times New Roman"/>
                <w:spacing w:val="-4"/>
                <w:sz w:val="21"/>
                <w:szCs w:val="21"/>
              </w:rPr>
              <w:t>年</w:t>
            </w:r>
          </w:p>
        </w:tc>
        <w:tc>
          <w:tcPr>
            <w:tcW w:w="1051" w:type="pct"/>
            <w:vMerge/>
            <w:vAlign w:val="center"/>
          </w:tcPr>
          <w:p w:rsidR="00C645C9" w:rsidRDefault="00C645C9">
            <w:pPr>
              <w:adjustRightInd w:val="0"/>
              <w:snapToGrid w:val="0"/>
              <w:jc w:val="center"/>
              <w:rPr>
                <w:rFonts w:cs="Times New Roman"/>
                <w:spacing w:val="-4"/>
                <w:sz w:val="21"/>
                <w:szCs w:val="21"/>
              </w:rPr>
            </w:pPr>
          </w:p>
        </w:tc>
        <w:tc>
          <w:tcPr>
            <w:tcW w:w="1891" w:type="pct"/>
            <w:vAlign w:val="center"/>
          </w:tcPr>
          <w:p w:rsidR="00C645C9" w:rsidRDefault="00F955D9">
            <w:pPr>
              <w:pStyle w:val="affff1"/>
              <w:snapToGrid w:val="0"/>
              <w:rPr>
                <w:rFonts w:cs="Times New Roman"/>
                <w:spacing w:val="-4"/>
                <w:szCs w:val="21"/>
              </w:rPr>
            </w:pPr>
            <w:r>
              <w:rPr>
                <w:rFonts w:cs="Times New Roman"/>
                <w:szCs w:val="21"/>
              </w:rPr>
              <w:t>水位埋深、</w:t>
            </w:r>
            <w:r>
              <w:rPr>
                <w:rFonts w:cs="Times New Roman"/>
                <w:szCs w:val="21"/>
              </w:rPr>
              <w:t xml:space="preserve">pH </w:t>
            </w:r>
            <w:r>
              <w:rPr>
                <w:rFonts w:cs="Times New Roman"/>
                <w:szCs w:val="21"/>
              </w:rPr>
              <w:t>值、挥发酚、耗氧量、氨氮、硫化物、氯化物、石油类、总硬度、溶解性总固体、</w:t>
            </w:r>
            <w:r>
              <w:rPr>
                <w:rFonts w:cs="Times New Roman"/>
                <w:spacing w:val="-10"/>
                <w:szCs w:val="21"/>
              </w:rPr>
              <w:t>石油烃（</w:t>
            </w:r>
            <w:r>
              <w:rPr>
                <w:rFonts w:cs="Times New Roman"/>
                <w:spacing w:val="-10"/>
                <w:szCs w:val="21"/>
              </w:rPr>
              <w:t>C</w:t>
            </w:r>
            <w:r>
              <w:rPr>
                <w:rFonts w:cs="Times New Roman"/>
                <w:spacing w:val="-10"/>
                <w:szCs w:val="21"/>
                <w:vertAlign w:val="subscript"/>
              </w:rPr>
              <w:t>6</w:t>
            </w:r>
            <w:r>
              <w:rPr>
                <w:rFonts w:cs="Times New Roman"/>
                <w:spacing w:val="-10"/>
                <w:szCs w:val="21"/>
              </w:rPr>
              <w:t>-C</w:t>
            </w:r>
            <w:r>
              <w:rPr>
                <w:rFonts w:cs="Times New Roman"/>
                <w:spacing w:val="-10"/>
                <w:szCs w:val="21"/>
                <w:vertAlign w:val="subscript"/>
              </w:rPr>
              <w:t>9</w:t>
            </w:r>
            <w:r>
              <w:rPr>
                <w:rFonts w:cs="Times New Roman"/>
                <w:spacing w:val="-10"/>
                <w:szCs w:val="21"/>
              </w:rPr>
              <w:t>）</w:t>
            </w:r>
            <w:r>
              <w:rPr>
                <w:rFonts w:cs="Times New Roman"/>
                <w:spacing w:val="-10"/>
                <w:szCs w:val="21"/>
              </w:rPr>
              <w:t>、石油烃（</w:t>
            </w:r>
            <w:r>
              <w:rPr>
                <w:rFonts w:cs="Times New Roman"/>
                <w:spacing w:val="-10"/>
                <w:szCs w:val="21"/>
              </w:rPr>
              <w:t>C</w:t>
            </w:r>
            <w:r>
              <w:rPr>
                <w:rFonts w:cs="Times New Roman"/>
                <w:spacing w:val="-10"/>
                <w:szCs w:val="21"/>
                <w:vertAlign w:val="subscript"/>
              </w:rPr>
              <w:t>10</w:t>
            </w:r>
            <w:r>
              <w:rPr>
                <w:rFonts w:cs="Times New Roman"/>
                <w:spacing w:val="-10"/>
                <w:szCs w:val="21"/>
              </w:rPr>
              <w:t>-C</w:t>
            </w:r>
            <w:r>
              <w:rPr>
                <w:rFonts w:cs="Times New Roman"/>
                <w:spacing w:val="-10"/>
                <w:szCs w:val="21"/>
                <w:vertAlign w:val="subscript"/>
              </w:rPr>
              <w:t>40</w:t>
            </w:r>
            <w:r>
              <w:rPr>
                <w:rFonts w:cs="Times New Roman"/>
                <w:spacing w:val="-10"/>
                <w:szCs w:val="21"/>
              </w:rPr>
              <w:t>）</w:t>
            </w:r>
            <w:r>
              <w:rPr>
                <w:rFonts w:cs="Times New Roman"/>
                <w:spacing w:val="-10"/>
                <w:szCs w:val="21"/>
              </w:rPr>
              <w:t>、砷、六价铬</w:t>
            </w:r>
            <w:r>
              <w:rPr>
                <w:rFonts w:cs="Times New Roman"/>
                <w:szCs w:val="21"/>
              </w:rPr>
              <w:t>等</w:t>
            </w:r>
          </w:p>
        </w:tc>
      </w:tr>
    </w:tbl>
    <w:p w:rsidR="00C645C9" w:rsidRDefault="00F955D9">
      <w:pPr>
        <w:adjustRightInd w:val="0"/>
        <w:snapToGrid w:val="0"/>
        <w:spacing w:line="360" w:lineRule="auto"/>
        <w:ind w:firstLine="522"/>
        <w:jc w:val="both"/>
        <w:rPr>
          <w:rFonts w:cs="Times New Roman"/>
        </w:rPr>
      </w:pPr>
      <w:bookmarkStart w:id="1971" w:name="OLE_LINK935"/>
      <w:r>
        <w:rPr>
          <w:rFonts w:cs="Times New Roman" w:hint="eastAsia"/>
        </w:rPr>
        <w:t>本工程</w:t>
      </w:r>
      <w:bookmarkEnd w:id="1971"/>
      <w:r>
        <w:rPr>
          <w:rFonts w:cs="Times New Roman"/>
        </w:rPr>
        <w:t>事故预案中需包括应急监测程序，</w:t>
      </w:r>
      <w:r>
        <w:rPr>
          <w:rFonts w:cs="Times New Roman" w:hint="eastAsia"/>
        </w:rPr>
        <w:t>本工程</w:t>
      </w:r>
      <w:r>
        <w:rPr>
          <w:rFonts w:cs="Times New Roman"/>
        </w:rPr>
        <w:t>运行过程中一旦发生事故，应立即启动应急监测程序，直至事故影响根本消除，事故应急监测方案应与地方环境监测站共同制订和实施。</w:t>
      </w:r>
    </w:p>
    <w:bookmarkStart w:id="1972" w:name="_Toc28413"/>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HYPERLINK \l _Toc2082 </w:instrText>
      </w:r>
      <w:r>
        <w:rPr>
          <w:rFonts w:ascii="Times New Roman" w:hAnsi="Times New Roman" w:cs="Times New Roman"/>
          <w:color w:val="auto"/>
        </w:rPr>
        <w:fldChar w:fldCharType="separate"/>
      </w:r>
      <w:r>
        <w:rPr>
          <w:rFonts w:ascii="Times New Roman" w:hAnsi="Times New Roman" w:cs="Times New Roman" w:hint="eastAsia"/>
          <w:color w:val="auto"/>
        </w:rPr>
        <w:t xml:space="preserve">9.5 </w:t>
      </w:r>
      <w:r>
        <w:rPr>
          <w:rFonts w:ascii="Times New Roman" w:hAnsi="Times New Roman" w:cs="Times New Roman" w:hint="eastAsia"/>
          <w:color w:val="auto"/>
        </w:rPr>
        <w:t>环保设施“三同时”验收</w:t>
      </w:r>
      <w:r>
        <w:rPr>
          <w:rFonts w:ascii="Times New Roman" w:hAnsi="Times New Roman" w:cs="Times New Roman"/>
          <w:color w:val="auto"/>
        </w:rPr>
        <w:fldChar w:fldCharType="end"/>
      </w:r>
      <w:bookmarkEnd w:id="1972"/>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建设单位按照国务院</w:t>
      </w:r>
      <w:r>
        <w:rPr>
          <w:rFonts w:cs="Times New Roman" w:hint="eastAsia"/>
          <w:sz w:val="24"/>
        </w:rPr>
        <w:t>生态环境</w:t>
      </w:r>
      <w:r>
        <w:rPr>
          <w:rFonts w:cs="Times New Roman"/>
          <w:sz w:val="24"/>
        </w:rPr>
        <w:t>部门规定的标准和程序，如实查验、监测、记载建设项目环境保护设施的建设和调试情况，对配套建设的环境保护设施进行验收，编制验收报告。</w:t>
      </w:r>
    </w:p>
    <w:p w:rsidR="00C645C9" w:rsidRDefault="00F955D9">
      <w:pPr>
        <w:pStyle w:val="33"/>
        <w:adjustRightInd w:val="0"/>
        <w:snapToGrid w:val="0"/>
        <w:spacing w:before="0" w:after="0" w:line="360" w:lineRule="auto"/>
        <w:rPr>
          <w:bCs/>
          <w:color w:val="auto"/>
          <w:lang w:eastAsia="zh-CN"/>
        </w:rPr>
      </w:pPr>
      <w:bookmarkStart w:id="1973" w:name="_Toc3576"/>
      <w:bookmarkStart w:id="1974" w:name="_Toc25137"/>
      <w:r>
        <w:rPr>
          <w:rFonts w:hint="eastAsia"/>
          <w:bCs/>
          <w:color w:val="auto"/>
          <w:lang w:eastAsia="zh-CN"/>
        </w:rPr>
        <w:t>9</w:t>
      </w:r>
      <w:r>
        <w:rPr>
          <w:bCs/>
          <w:color w:val="auto"/>
          <w:lang w:eastAsia="zh-CN"/>
        </w:rPr>
        <w:t>.5.1</w:t>
      </w:r>
      <w:r>
        <w:rPr>
          <w:bCs/>
          <w:color w:val="auto"/>
          <w:lang w:eastAsia="zh-CN"/>
        </w:rPr>
        <w:t>验收调查范围</w:t>
      </w:r>
      <w:bookmarkEnd w:id="1973"/>
      <w:bookmarkEnd w:id="1974"/>
      <w:r>
        <w:rPr>
          <w:bCs/>
          <w:color w:val="auto"/>
          <w:lang w:eastAsia="zh-CN"/>
        </w:rPr>
        <w:t xml:space="preserve"> </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根据《建设项目竣工环境保护验收技术规范</w:t>
      </w:r>
      <w:r>
        <w:rPr>
          <w:rFonts w:cs="Times New Roman"/>
          <w:sz w:val="24"/>
        </w:rPr>
        <w:t xml:space="preserve"> </w:t>
      </w:r>
      <w:r>
        <w:rPr>
          <w:rFonts w:cs="Times New Roman"/>
          <w:sz w:val="24"/>
        </w:rPr>
        <w:t>生态影响类》（</w:t>
      </w:r>
      <w:r>
        <w:rPr>
          <w:rFonts w:cs="Times New Roman"/>
          <w:sz w:val="24"/>
        </w:rPr>
        <w:t>HJ/T394</w:t>
      </w:r>
      <w:r>
        <w:rPr>
          <w:rFonts w:cs="Times New Roman" w:hint="eastAsia"/>
          <w:sz w:val="24"/>
        </w:rPr>
        <w:t>-</w:t>
      </w:r>
      <w:r>
        <w:rPr>
          <w:rFonts w:cs="Times New Roman"/>
          <w:sz w:val="24"/>
        </w:rPr>
        <w:t>2007</w:t>
      </w:r>
      <w:r>
        <w:rPr>
          <w:rFonts w:cs="Times New Roman"/>
          <w:sz w:val="24"/>
        </w:rPr>
        <w:t>）和《建设项目竣工环境保护验收技术规范</w:t>
      </w:r>
      <w:r>
        <w:rPr>
          <w:rFonts w:cs="Times New Roman"/>
          <w:sz w:val="24"/>
        </w:rPr>
        <w:t xml:space="preserve"> </w:t>
      </w:r>
      <w:r>
        <w:rPr>
          <w:rFonts w:cs="Times New Roman"/>
          <w:sz w:val="24"/>
        </w:rPr>
        <w:t>石油天然气开采》（</w:t>
      </w:r>
      <w:r>
        <w:rPr>
          <w:rFonts w:cs="Times New Roman"/>
          <w:sz w:val="24"/>
        </w:rPr>
        <w:t>HJ612-2011</w:t>
      </w:r>
      <w:r>
        <w:rPr>
          <w:rFonts w:cs="Times New Roman"/>
          <w:sz w:val="24"/>
        </w:rPr>
        <w:t>），确定本工程竣工环境保护验收调查范围为</w:t>
      </w:r>
      <w:r>
        <w:rPr>
          <w:rFonts w:cs="Times New Roman" w:hint="eastAsia"/>
          <w:sz w:val="24"/>
        </w:rPr>
        <w:t>：</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①与项目有关的各项环保设施，包括为防治污染和保护环境所配套建成的治理工程、设备、装置和监测手段，以及各项生态保护设施等。</w:t>
      </w:r>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lastRenderedPageBreak/>
        <w:t>②环境影响报告书及批复文件和有关设计文件规定应采取的环保措施。</w:t>
      </w:r>
    </w:p>
    <w:p w:rsidR="00C645C9" w:rsidRDefault="00F955D9">
      <w:pPr>
        <w:pStyle w:val="33"/>
        <w:adjustRightInd w:val="0"/>
        <w:snapToGrid w:val="0"/>
        <w:spacing w:before="0" w:after="0" w:line="360" w:lineRule="auto"/>
        <w:rPr>
          <w:bCs/>
          <w:color w:val="auto"/>
          <w:lang w:eastAsia="zh-CN"/>
        </w:rPr>
      </w:pPr>
      <w:bookmarkStart w:id="1975" w:name="_Toc23445"/>
      <w:bookmarkStart w:id="1976" w:name="_Toc25187"/>
      <w:r>
        <w:rPr>
          <w:rFonts w:hint="eastAsia"/>
          <w:bCs/>
          <w:color w:val="auto"/>
          <w:lang w:eastAsia="zh-CN"/>
        </w:rPr>
        <w:t>9.5.2</w:t>
      </w:r>
      <w:r>
        <w:rPr>
          <w:rFonts w:hint="eastAsia"/>
          <w:bCs/>
          <w:color w:val="auto"/>
          <w:lang w:eastAsia="zh-CN"/>
        </w:rPr>
        <w:t>验收调查建议</w:t>
      </w:r>
      <w:bookmarkEnd w:id="1975"/>
      <w:bookmarkEnd w:id="1976"/>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hint="eastAsia"/>
          <w:sz w:val="24"/>
        </w:rPr>
        <w:t>按照《建设项目竣工环境保护验收技术规范</w:t>
      </w:r>
      <w:r>
        <w:rPr>
          <w:rFonts w:cs="Times New Roman" w:hint="eastAsia"/>
          <w:sz w:val="24"/>
        </w:rPr>
        <w:t xml:space="preserve"> </w:t>
      </w:r>
      <w:r>
        <w:rPr>
          <w:rFonts w:cs="Times New Roman" w:hint="eastAsia"/>
          <w:sz w:val="24"/>
        </w:rPr>
        <w:t>石油天然气开采》中有关规定开展验收。环保验收建议清单见表</w:t>
      </w:r>
      <w:r>
        <w:rPr>
          <w:rFonts w:cs="Times New Roman" w:hint="eastAsia"/>
          <w:sz w:val="24"/>
        </w:rPr>
        <w:t>9.5-1</w:t>
      </w:r>
      <w:r>
        <w:rPr>
          <w:rFonts w:cs="Times New Roman" w:hint="eastAsia"/>
          <w:sz w:val="24"/>
        </w:rPr>
        <w:t>。</w:t>
      </w:r>
    </w:p>
    <w:p w:rsidR="00C645C9" w:rsidRDefault="00F955D9">
      <w:pPr>
        <w:adjustRightInd w:val="0"/>
        <w:snapToGrid w:val="0"/>
        <w:ind w:firstLineChars="200" w:firstLine="420"/>
        <w:jc w:val="center"/>
        <w:rPr>
          <w:rFonts w:eastAsia="黑体" w:cs="Times New Roman"/>
          <w:sz w:val="21"/>
          <w:szCs w:val="21"/>
          <w:lang w:val="zh-CN"/>
        </w:rPr>
      </w:pPr>
      <w:r>
        <w:rPr>
          <w:rFonts w:eastAsia="黑体" w:cs="Times New Roman"/>
          <w:sz w:val="21"/>
          <w:szCs w:val="21"/>
          <w:lang w:val="zh-CN"/>
        </w:rPr>
        <w:t>表</w:t>
      </w:r>
      <w:r>
        <w:rPr>
          <w:rFonts w:eastAsia="黑体" w:cs="Times New Roman" w:hint="eastAsia"/>
          <w:sz w:val="21"/>
          <w:szCs w:val="21"/>
        </w:rPr>
        <w:t>9</w:t>
      </w:r>
      <w:r>
        <w:rPr>
          <w:rFonts w:eastAsia="黑体" w:cs="Times New Roman"/>
          <w:sz w:val="21"/>
          <w:szCs w:val="21"/>
          <w:lang w:val="zh-CN"/>
        </w:rPr>
        <w:t>.5-1</w:t>
      </w:r>
      <w:r>
        <w:rPr>
          <w:rFonts w:eastAsia="黑体" w:cs="Times New Roman" w:hint="eastAsia"/>
          <w:sz w:val="21"/>
          <w:szCs w:val="21"/>
        </w:rPr>
        <w:t xml:space="preserve">   </w:t>
      </w:r>
      <w:r>
        <w:rPr>
          <w:rFonts w:eastAsia="黑体" w:cs="Times New Roman"/>
          <w:sz w:val="21"/>
          <w:szCs w:val="21"/>
          <w:lang w:val="zh-CN"/>
        </w:rPr>
        <w:t>三同时验收一览表</w:t>
      </w:r>
      <w:r>
        <w:rPr>
          <w:rFonts w:eastAsia="黑体" w:cs="Times New Roman" w:hint="eastAsia"/>
          <w:sz w:val="21"/>
          <w:szCs w:val="21"/>
          <w:lang w:val="zh-CN"/>
        </w:rPr>
        <w:t>（建议）</w:t>
      </w:r>
    </w:p>
    <w:tbl>
      <w:tblPr>
        <w:tblW w:w="5052"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6"/>
        <w:gridCol w:w="266"/>
        <w:gridCol w:w="505"/>
        <w:gridCol w:w="934"/>
        <w:gridCol w:w="3016"/>
        <w:gridCol w:w="1514"/>
        <w:gridCol w:w="1948"/>
      </w:tblGrid>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类别</w:t>
            </w:r>
          </w:p>
        </w:tc>
        <w:tc>
          <w:tcPr>
            <w:tcW w:w="156" w:type="pct"/>
            <w:vAlign w:val="center"/>
          </w:tcPr>
          <w:p w:rsidR="00C645C9" w:rsidRDefault="00F955D9">
            <w:pPr>
              <w:jc w:val="center"/>
              <w:rPr>
                <w:rFonts w:cs="Times New Roman"/>
                <w:sz w:val="21"/>
                <w:szCs w:val="21"/>
              </w:rPr>
            </w:pPr>
            <w:r>
              <w:rPr>
                <w:rFonts w:cs="Times New Roman"/>
                <w:sz w:val="21"/>
                <w:szCs w:val="21"/>
              </w:rPr>
              <w:t>序号</w:t>
            </w:r>
          </w:p>
        </w:tc>
        <w:tc>
          <w:tcPr>
            <w:tcW w:w="851" w:type="pct"/>
            <w:gridSpan w:val="2"/>
            <w:vAlign w:val="center"/>
          </w:tcPr>
          <w:p w:rsidR="00C645C9" w:rsidRDefault="00F955D9">
            <w:pPr>
              <w:jc w:val="center"/>
              <w:rPr>
                <w:rFonts w:cs="Times New Roman"/>
                <w:sz w:val="21"/>
                <w:szCs w:val="21"/>
              </w:rPr>
            </w:pPr>
            <w:r>
              <w:rPr>
                <w:rFonts w:cs="Times New Roman"/>
                <w:sz w:val="21"/>
                <w:szCs w:val="21"/>
              </w:rPr>
              <w:t>污染源</w:t>
            </w:r>
          </w:p>
        </w:tc>
        <w:tc>
          <w:tcPr>
            <w:tcW w:w="1784" w:type="pct"/>
            <w:vAlign w:val="center"/>
          </w:tcPr>
          <w:p w:rsidR="00C645C9" w:rsidRDefault="00F955D9">
            <w:pPr>
              <w:jc w:val="center"/>
              <w:rPr>
                <w:rFonts w:cs="Times New Roman"/>
                <w:sz w:val="21"/>
                <w:szCs w:val="21"/>
              </w:rPr>
            </w:pPr>
            <w:r>
              <w:rPr>
                <w:rFonts w:cs="Times New Roman"/>
                <w:sz w:val="21"/>
                <w:szCs w:val="21"/>
              </w:rPr>
              <w:t>环保措施</w:t>
            </w:r>
          </w:p>
        </w:tc>
        <w:tc>
          <w:tcPr>
            <w:tcW w:w="896" w:type="pct"/>
            <w:vAlign w:val="center"/>
          </w:tcPr>
          <w:p w:rsidR="00C645C9" w:rsidRDefault="00F955D9">
            <w:pPr>
              <w:jc w:val="center"/>
              <w:rPr>
                <w:rFonts w:cs="Times New Roman"/>
                <w:sz w:val="21"/>
                <w:szCs w:val="21"/>
              </w:rPr>
            </w:pPr>
            <w:r>
              <w:rPr>
                <w:rFonts w:cs="Times New Roman"/>
                <w:sz w:val="21"/>
                <w:szCs w:val="21"/>
              </w:rPr>
              <w:t>治理效果</w:t>
            </w:r>
          </w:p>
        </w:tc>
        <w:tc>
          <w:tcPr>
            <w:tcW w:w="1153" w:type="pct"/>
            <w:vAlign w:val="center"/>
          </w:tcPr>
          <w:p w:rsidR="00C645C9" w:rsidRDefault="00F955D9">
            <w:pPr>
              <w:jc w:val="center"/>
              <w:rPr>
                <w:rFonts w:cs="Times New Roman"/>
                <w:sz w:val="21"/>
                <w:szCs w:val="21"/>
              </w:rPr>
            </w:pPr>
            <w:r>
              <w:rPr>
                <w:rFonts w:cs="Times New Roman"/>
                <w:sz w:val="21"/>
                <w:szCs w:val="21"/>
              </w:rPr>
              <w:t>验收标准</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废气</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施工扬尘</w:t>
            </w:r>
          </w:p>
        </w:tc>
        <w:tc>
          <w:tcPr>
            <w:tcW w:w="1784" w:type="pct"/>
            <w:vAlign w:val="center"/>
          </w:tcPr>
          <w:p w:rsidR="00C645C9" w:rsidRDefault="00F955D9">
            <w:pPr>
              <w:jc w:val="center"/>
              <w:rPr>
                <w:rFonts w:cs="Times New Roman"/>
                <w:sz w:val="21"/>
                <w:szCs w:val="21"/>
              </w:rPr>
            </w:pPr>
            <w:r>
              <w:rPr>
                <w:rFonts w:cs="Times New Roman"/>
                <w:sz w:val="21"/>
                <w:szCs w:val="21"/>
              </w:rPr>
              <w:t>洒水抑尘、车辆减速慢行、物料苫盖</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焊接废气、施工机械废气及运输车辆尾气</w:t>
            </w:r>
          </w:p>
        </w:tc>
        <w:tc>
          <w:tcPr>
            <w:tcW w:w="1784" w:type="pct"/>
            <w:vAlign w:val="center"/>
          </w:tcPr>
          <w:p w:rsidR="00C645C9" w:rsidRDefault="00F955D9">
            <w:pPr>
              <w:jc w:val="center"/>
              <w:rPr>
                <w:rFonts w:cs="Times New Roman"/>
                <w:sz w:val="21"/>
                <w:szCs w:val="21"/>
              </w:rPr>
            </w:pPr>
            <w:r>
              <w:rPr>
                <w:rFonts w:cs="Times New Roman"/>
                <w:sz w:val="21"/>
                <w:szCs w:val="21"/>
              </w:rPr>
              <w:t>使用合格燃料，加强施工管理</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废水</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试压废水</w:t>
            </w:r>
          </w:p>
        </w:tc>
        <w:tc>
          <w:tcPr>
            <w:tcW w:w="1784" w:type="pct"/>
            <w:vAlign w:val="center"/>
          </w:tcPr>
          <w:p w:rsidR="00C645C9" w:rsidRDefault="00F955D9">
            <w:pPr>
              <w:jc w:val="center"/>
              <w:rPr>
                <w:rFonts w:cs="Times New Roman"/>
                <w:sz w:val="21"/>
                <w:szCs w:val="21"/>
              </w:rPr>
            </w:pPr>
            <w:r>
              <w:rPr>
                <w:rFonts w:cs="Times New Roman"/>
                <w:sz w:val="21"/>
                <w:szCs w:val="21"/>
              </w:rPr>
              <w:t>循环利用，沉淀后场地降尘用水</w:t>
            </w:r>
          </w:p>
        </w:tc>
        <w:tc>
          <w:tcPr>
            <w:tcW w:w="896" w:type="pct"/>
            <w:vAlign w:val="center"/>
          </w:tcPr>
          <w:p w:rsidR="00C645C9" w:rsidRDefault="00F955D9">
            <w:pPr>
              <w:jc w:val="center"/>
              <w:rPr>
                <w:rFonts w:cs="Times New Roman"/>
                <w:sz w:val="21"/>
                <w:szCs w:val="21"/>
              </w:rPr>
            </w:pPr>
            <w:r>
              <w:rPr>
                <w:rFonts w:cs="Times New Roman"/>
                <w:sz w:val="21"/>
                <w:szCs w:val="21"/>
              </w:rPr>
              <w:t>不外排</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bookmarkStart w:id="1977" w:name="OLE_LINK962" w:colFirst="4" w:colLast="6"/>
          </w:p>
        </w:tc>
        <w:tc>
          <w:tcPr>
            <w:tcW w:w="156" w:type="pct"/>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生活污水</w:t>
            </w:r>
          </w:p>
        </w:tc>
        <w:tc>
          <w:tcPr>
            <w:tcW w:w="1784" w:type="pct"/>
            <w:vAlign w:val="center"/>
          </w:tcPr>
          <w:p w:rsidR="00C645C9" w:rsidRDefault="00F955D9">
            <w:pPr>
              <w:jc w:val="center"/>
              <w:rPr>
                <w:rFonts w:cs="Times New Roman"/>
                <w:sz w:val="21"/>
                <w:szCs w:val="21"/>
              </w:rPr>
            </w:pPr>
            <w:r>
              <w:rPr>
                <w:rFonts w:cs="Times New Roman"/>
                <w:sz w:val="21"/>
                <w:szCs w:val="21"/>
              </w:rPr>
              <w:t>经井场一体化污水处理装置处理后，水质达到《农村生活污水处理排放标准》（</w:t>
            </w:r>
            <w:r>
              <w:rPr>
                <w:rFonts w:cs="Times New Roman"/>
                <w:sz w:val="21"/>
                <w:szCs w:val="21"/>
              </w:rPr>
              <w:t>DB65 4275-2019</w:t>
            </w:r>
            <w:r>
              <w:rPr>
                <w:rFonts w:cs="Times New Roman"/>
                <w:sz w:val="21"/>
                <w:szCs w:val="21"/>
              </w:rPr>
              <w:t>）表二的</w:t>
            </w:r>
            <w:r>
              <w:rPr>
                <w:rFonts w:cs="Times New Roman"/>
                <w:sz w:val="21"/>
                <w:szCs w:val="21"/>
              </w:rPr>
              <w:t>B</w:t>
            </w:r>
            <w:r>
              <w:rPr>
                <w:rFonts w:cs="Times New Roman"/>
                <w:sz w:val="21"/>
                <w:szCs w:val="21"/>
              </w:rPr>
              <w:t>级标准、《农田灌溉水质标准》（</w:t>
            </w:r>
            <w:r>
              <w:rPr>
                <w:rFonts w:cs="Times New Roman"/>
                <w:sz w:val="21"/>
                <w:szCs w:val="21"/>
              </w:rPr>
              <w:t>GB 5084-2021</w:t>
            </w:r>
            <w:r>
              <w:rPr>
                <w:rFonts w:cs="Times New Roman"/>
                <w:sz w:val="21"/>
                <w:szCs w:val="21"/>
              </w:rPr>
              <w:t>）表一旱地作物标准后用于井场及道路降尘</w:t>
            </w:r>
          </w:p>
        </w:tc>
        <w:tc>
          <w:tcPr>
            <w:tcW w:w="896" w:type="pct"/>
            <w:vAlign w:val="center"/>
          </w:tcPr>
          <w:p w:rsidR="00C645C9" w:rsidRDefault="00F955D9">
            <w:pPr>
              <w:jc w:val="center"/>
              <w:rPr>
                <w:rFonts w:cs="Times New Roman"/>
                <w:sz w:val="21"/>
                <w:szCs w:val="21"/>
              </w:rPr>
            </w:pPr>
            <w:r>
              <w:rPr>
                <w:rFonts w:cs="Times New Roman"/>
                <w:sz w:val="21"/>
                <w:szCs w:val="21"/>
              </w:rPr>
              <w:t>不外排</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bookmarkStart w:id="1978" w:name="OLE_LINK963" w:colFirst="4" w:colLast="6"/>
            <w:bookmarkEnd w:id="1977"/>
          </w:p>
        </w:tc>
        <w:tc>
          <w:tcPr>
            <w:tcW w:w="156" w:type="pct"/>
            <w:vAlign w:val="center"/>
          </w:tcPr>
          <w:p w:rsidR="00C645C9" w:rsidRDefault="00F955D9">
            <w:pPr>
              <w:jc w:val="center"/>
              <w:rPr>
                <w:rFonts w:cs="Times New Roman"/>
                <w:sz w:val="21"/>
                <w:szCs w:val="21"/>
              </w:rPr>
            </w:pPr>
            <w:r>
              <w:rPr>
                <w:rFonts w:cs="Times New Roman" w:hint="eastAsia"/>
                <w:sz w:val="21"/>
                <w:szCs w:val="21"/>
              </w:rPr>
              <w:t>3</w:t>
            </w:r>
          </w:p>
        </w:tc>
        <w:tc>
          <w:tcPr>
            <w:tcW w:w="851" w:type="pct"/>
            <w:gridSpan w:val="2"/>
            <w:vAlign w:val="center"/>
          </w:tcPr>
          <w:p w:rsidR="00C645C9" w:rsidRDefault="00F955D9">
            <w:pPr>
              <w:jc w:val="center"/>
              <w:rPr>
                <w:rFonts w:cs="Times New Roman"/>
                <w:sz w:val="21"/>
                <w:szCs w:val="21"/>
              </w:rPr>
            </w:pPr>
            <w:r>
              <w:rPr>
                <w:rFonts w:cs="Times New Roman"/>
                <w:sz w:val="21"/>
                <w:szCs w:val="21"/>
              </w:rPr>
              <w:t>钻井废水</w:t>
            </w:r>
          </w:p>
        </w:tc>
        <w:tc>
          <w:tcPr>
            <w:tcW w:w="1784" w:type="pct"/>
            <w:vAlign w:val="center"/>
          </w:tcPr>
          <w:p w:rsidR="00C645C9" w:rsidRDefault="00F955D9">
            <w:pPr>
              <w:jc w:val="center"/>
              <w:rPr>
                <w:rFonts w:cs="Times New Roman"/>
                <w:sz w:val="21"/>
                <w:szCs w:val="21"/>
              </w:rPr>
            </w:pPr>
            <w:r>
              <w:rPr>
                <w:rFonts w:cs="Times New Roman"/>
                <w:sz w:val="21"/>
                <w:szCs w:val="21"/>
              </w:rPr>
              <w:t>进入泥浆不落地处理系统处理，处理后的废水全部回用</w:t>
            </w:r>
          </w:p>
        </w:tc>
        <w:tc>
          <w:tcPr>
            <w:tcW w:w="896" w:type="pct"/>
            <w:vAlign w:val="center"/>
          </w:tcPr>
          <w:p w:rsidR="00C645C9" w:rsidRDefault="00F955D9">
            <w:pPr>
              <w:jc w:val="center"/>
              <w:rPr>
                <w:rFonts w:cs="Times New Roman"/>
                <w:sz w:val="21"/>
                <w:szCs w:val="21"/>
              </w:rPr>
            </w:pPr>
            <w:r>
              <w:rPr>
                <w:rFonts w:cs="Times New Roman"/>
                <w:sz w:val="21"/>
                <w:szCs w:val="21"/>
              </w:rPr>
              <w:t>不外排</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bookmarkStart w:id="1979" w:name="OLE_LINK964" w:colFirst="4" w:colLast="6"/>
            <w:bookmarkEnd w:id="1978"/>
          </w:p>
        </w:tc>
        <w:tc>
          <w:tcPr>
            <w:tcW w:w="156" w:type="pct"/>
            <w:vAlign w:val="center"/>
          </w:tcPr>
          <w:p w:rsidR="00C645C9" w:rsidRDefault="00F955D9">
            <w:pPr>
              <w:jc w:val="center"/>
              <w:rPr>
                <w:rFonts w:cs="Times New Roman"/>
                <w:sz w:val="21"/>
                <w:szCs w:val="21"/>
              </w:rPr>
            </w:pPr>
            <w:r>
              <w:rPr>
                <w:rFonts w:cs="Times New Roman" w:hint="eastAsia"/>
                <w:sz w:val="21"/>
                <w:szCs w:val="21"/>
              </w:rPr>
              <w:t>4</w:t>
            </w:r>
          </w:p>
        </w:tc>
        <w:tc>
          <w:tcPr>
            <w:tcW w:w="851" w:type="pct"/>
            <w:gridSpan w:val="2"/>
            <w:vAlign w:val="center"/>
          </w:tcPr>
          <w:p w:rsidR="00C645C9" w:rsidRDefault="00F955D9">
            <w:pPr>
              <w:jc w:val="center"/>
              <w:rPr>
                <w:rFonts w:cs="Times New Roman"/>
                <w:sz w:val="21"/>
                <w:szCs w:val="21"/>
              </w:rPr>
            </w:pPr>
            <w:r>
              <w:rPr>
                <w:rFonts w:cs="Times New Roman"/>
                <w:sz w:val="21"/>
                <w:szCs w:val="21"/>
              </w:rPr>
              <w:t>酸化压裂废水</w:t>
            </w:r>
          </w:p>
        </w:tc>
        <w:tc>
          <w:tcPr>
            <w:tcW w:w="1784" w:type="pct"/>
            <w:vAlign w:val="center"/>
          </w:tcPr>
          <w:p w:rsidR="00C645C9" w:rsidRDefault="00F955D9">
            <w:pPr>
              <w:jc w:val="center"/>
              <w:rPr>
                <w:rFonts w:cs="Times New Roman"/>
                <w:sz w:val="21"/>
                <w:szCs w:val="21"/>
              </w:rPr>
            </w:pPr>
            <w:r>
              <w:rPr>
                <w:rFonts w:cs="Times New Roman"/>
                <w:sz w:val="21"/>
                <w:szCs w:val="21"/>
              </w:rPr>
              <w:t>采用专用废液收集罐收集后运至塔河油田绿色环保工作站处理</w:t>
            </w:r>
          </w:p>
        </w:tc>
        <w:tc>
          <w:tcPr>
            <w:tcW w:w="896" w:type="pct"/>
            <w:vAlign w:val="center"/>
          </w:tcPr>
          <w:p w:rsidR="00C645C9" w:rsidRDefault="00F955D9">
            <w:pPr>
              <w:jc w:val="center"/>
              <w:rPr>
                <w:rFonts w:cs="Times New Roman"/>
                <w:sz w:val="21"/>
                <w:szCs w:val="21"/>
              </w:rPr>
            </w:pPr>
            <w:r>
              <w:rPr>
                <w:rFonts w:cs="Times New Roman"/>
                <w:sz w:val="21"/>
                <w:szCs w:val="21"/>
              </w:rPr>
              <w:t>不外排</w:t>
            </w:r>
          </w:p>
        </w:tc>
        <w:tc>
          <w:tcPr>
            <w:tcW w:w="1153" w:type="pct"/>
            <w:vAlign w:val="center"/>
          </w:tcPr>
          <w:p w:rsidR="00C645C9" w:rsidRDefault="00F955D9">
            <w:pPr>
              <w:jc w:val="center"/>
              <w:rPr>
                <w:rFonts w:cs="Times New Roman"/>
                <w:sz w:val="21"/>
                <w:szCs w:val="21"/>
              </w:rPr>
            </w:pPr>
            <w:r>
              <w:rPr>
                <w:rFonts w:cs="Times New Roman"/>
                <w:sz w:val="21"/>
                <w:szCs w:val="21"/>
              </w:rPr>
              <w:t>-</w:t>
            </w:r>
          </w:p>
        </w:tc>
      </w:tr>
      <w:bookmarkEnd w:id="1979"/>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噪声</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土方施工、各类施工机械和运输车辆</w:t>
            </w:r>
          </w:p>
        </w:tc>
        <w:tc>
          <w:tcPr>
            <w:tcW w:w="1784" w:type="pct"/>
            <w:vAlign w:val="center"/>
          </w:tcPr>
          <w:p w:rsidR="00C645C9" w:rsidRDefault="00F955D9">
            <w:pPr>
              <w:jc w:val="center"/>
              <w:rPr>
                <w:rFonts w:cs="Times New Roman"/>
                <w:sz w:val="21"/>
                <w:szCs w:val="21"/>
              </w:rPr>
            </w:pPr>
            <w:r>
              <w:rPr>
                <w:rFonts w:cs="Times New Roman"/>
                <w:sz w:val="21"/>
                <w:szCs w:val="21"/>
              </w:rPr>
              <w:t>选用低噪声设备、合理安排施工作业时间</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固废</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钻井泥浆</w:t>
            </w:r>
            <w:r>
              <w:rPr>
                <w:rFonts w:cs="Times New Roman" w:hint="eastAsia"/>
                <w:sz w:val="21"/>
                <w:szCs w:val="21"/>
              </w:rPr>
              <w:t>、</w:t>
            </w:r>
            <w:r>
              <w:rPr>
                <w:rFonts w:cs="Times New Roman" w:hint="eastAsia"/>
                <w:sz w:val="21"/>
                <w:szCs w:val="21"/>
              </w:rPr>
              <w:t>岩屑</w:t>
            </w:r>
          </w:p>
        </w:tc>
        <w:tc>
          <w:tcPr>
            <w:tcW w:w="1784" w:type="pct"/>
            <w:vAlign w:val="center"/>
          </w:tcPr>
          <w:p w:rsidR="00C645C9" w:rsidRDefault="00F955D9">
            <w:pPr>
              <w:jc w:val="center"/>
              <w:rPr>
                <w:rFonts w:cs="Times New Roman"/>
                <w:sz w:val="21"/>
                <w:szCs w:val="21"/>
              </w:rPr>
            </w:pPr>
            <w:r>
              <w:rPr>
                <w:rFonts w:cs="Times New Roman"/>
                <w:sz w:val="21"/>
                <w:szCs w:val="21"/>
              </w:rPr>
              <w:t>进入泥浆不落地处理系统处理</w:t>
            </w:r>
            <w:r>
              <w:rPr>
                <w:rFonts w:cs="Times New Roman" w:hint="eastAsia"/>
                <w:sz w:val="21"/>
                <w:szCs w:val="21"/>
              </w:rPr>
              <w:t>，固相使用专用罐收集后，拉运至塔河油田绿色环保工作站</w:t>
            </w:r>
            <w:r>
              <w:rPr>
                <w:rFonts w:cs="Times New Roman" w:hint="eastAsia"/>
                <w:sz w:val="21"/>
                <w:szCs w:val="21"/>
              </w:rPr>
              <w:t>处理</w:t>
            </w:r>
          </w:p>
        </w:tc>
        <w:tc>
          <w:tcPr>
            <w:tcW w:w="896" w:type="pct"/>
            <w:vAlign w:val="center"/>
          </w:tcPr>
          <w:p w:rsidR="00C645C9" w:rsidRDefault="00F955D9">
            <w:pPr>
              <w:jc w:val="center"/>
              <w:rPr>
                <w:rFonts w:cs="Times New Roman"/>
                <w:sz w:val="21"/>
                <w:szCs w:val="21"/>
              </w:rPr>
            </w:pPr>
            <w:r>
              <w:rPr>
                <w:rFonts w:cs="Times New Roman"/>
                <w:sz w:val="21"/>
                <w:szCs w:val="21"/>
              </w:rPr>
              <w:t>不外排</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落地油</w:t>
            </w:r>
          </w:p>
        </w:tc>
        <w:tc>
          <w:tcPr>
            <w:tcW w:w="1784" w:type="pct"/>
            <w:vAlign w:val="center"/>
          </w:tcPr>
          <w:p w:rsidR="00C645C9" w:rsidRDefault="00F955D9">
            <w:pPr>
              <w:jc w:val="center"/>
              <w:rPr>
                <w:rFonts w:cs="Times New Roman"/>
                <w:sz w:val="21"/>
                <w:szCs w:val="21"/>
              </w:rPr>
            </w:pPr>
            <w:r>
              <w:rPr>
                <w:rFonts w:cs="Times New Roman"/>
                <w:sz w:val="21"/>
                <w:szCs w:val="21"/>
              </w:rPr>
              <w:t>回收至罐车内，由塔河油田绿色环保工作站进行无害化处理</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3</w:t>
            </w:r>
          </w:p>
        </w:tc>
        <w:tc>
          <w:tcPr>
            <w:tcW w:w="851" w:type="pct"/>
            <w:gridSpan w:val="2"/>
            <w:vAlign w:val="center"/>
          </w:tcPr>
          <w:p w:rsidR="00C645C9" w:rsidRDefault="00F955D9">
            <w:pPr>
              <w:jc w:val="center"/>
              <w:rPr>
                <w:rFonts w:cs="Times New Roman"/>
                <w:sz w:val="21"/>
                <w:szCs w:val="21"/>
              </w:rPr>
            </w:pPr>
            <w:r>
              <w:rPr>
                <w:rFonts w:cs="Times New Roman"/>
                <w:sz w:val="21"/>
                <w:szCs w:val="21"/>
              </w:rPr>
              <w:t>废润滑油</w:t>
            </w:r>
          </w:p>
        </w:tc>
        <w:tc>
          <w:tcPr>
            <w:tcW w:w="1784" w:type="pct"/>
            <w:vAlign w:val="center"/>
          </w:tcPr>
          <w:p w:rsidR="00C645C9" w:rsidRDefault="00F955D9">
            <w:pPr>
              <w:jc w:val="center"/>
              <w:rPr>
                <w:rFonts w:cs="Times New Roman"/>
                <w:sz w:val="21"/>
                <w:szCs w:val="21"/>
              </w:rPr>
            </w:pPr>
            <w:r>
              <w:rPr>
                <w:rFonts w:cs="Times New Roman"/>
                <w:sz w:val="21"/>
                <w:szCs w:val="21"/>
              </w:rPr>
              <w:t>收集后委托持有危险废物经营许可证的单位利用处置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bookmarkStart w:id="1980" w:name="OLE_LINK965" w:colFirst="4" w:colLast="6"/>
          </w:p>
        </w:tc>
        <w:tc>
          <w:tcPr>
            <w:tcW w:w="156" w:type="pct"/>
            <w:vAlign w:val="center"/>
          </w:tcPr>
          <w:p w:rsidR="00C645C9" w:rsidRDefault="00F955D9">
            <w:pPr>
              <w:jc w:val="center"/>
              <w:rPr>
                <w:rFonts w:cs="Times New Roman"/>
                <w:sz w:val="21"/>
                <w:szCs w:val="21"/>
              </w:rPr>
            </w:pPr>
            <w:r>
              <w:rPr>
                <w:rFonts w:cs="Times New Roman" w:hint="eastAsia"/>
                <w:sz w:val="21"/>
                <w:szCs w:val="21"/>
              </w:rPr>
              <w:t>4</w:t>
            </w:r>
          </w:p>
        </w:tc>
        <w:tc>
          <w:tcPr>
            <w:tcW w:w="851" w:type="pct"/>
            <w:gridSpan w:val="2"/>
            <w:vAlign w:val="center"/>
          </w:tcPr>
          <w:p w:rsidR="00C645C9" w:rsidRDefault="00F955D9">
            <w:pPr>
              <w:jc w:val="center"/>
              <w:rPr>
                <w:rFonts w:cs="Times New Roman"/>
                <w:sz w:val="21"/>
                <w:szCs w:val="21"/>
              </w:rPr>
            </w:pPr>
            <w:r>
              <w:rPr>
                <w:rFonts w:cs="Times New Roman"/>
                <w:sz w:val="21"/>
                <w:szCs w:val="21"/>
              </w:rPr>
              <w:t>施工土方</w:t>
            </w:r>
          </w:p>
        </w:tc>
        <w:tc>
          <w:tcPr>
            <w:tcW w:w="1784" w:type="pct"/>
            <w:vAlign w:val="center"/>
          </w:tcPr>
          <w:p w:rsidR="00C645C9" w:rsidRDefault="00F955D9">
            <w:pPr>
              <w:jc w:val="center"/>
              <w:rPr>
                <w:rFonts w:cs="Times New Roman"/>
                <w:sz w:val="21"/>
                <w:szCs w:val="21"/>
              </w:rPr>
            </w:pPr>
            <w:r>
              <w:rPr>
                <w:rFonts w:cs="Times New Roman"/>
                <w:sz w:val="21"/>
                <w:szCs w:val="21"/>
              </w:rPr>
              <w:t>全部用于</w:t>
            </w:r>
            <w:r>
              <w:rPr>
                <w:rFonts w:cs="Times New Roman" w:hint="eastAsia"/>
                <w:sz w:val="21"/>
                <w:szCs w:val="21"/>
              </w:rPr>
              <w:t>井</w:t>
            </w:r>
            <w:r>
              <w:rPr>
                <w:rFonts w:cs="Times New Roman"/>
                <w:sz w:val="21"/>
                <w:szCs w:val="21"/>
              </w:rPr>
              <w:t>场回填，场地平整</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bookmarkEnd w:id="1980"/>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5</w:t>
            </w:r>
          </w:p>
        </w:tc>
        <w:tc>
          <w:tcPr>
            <w:tcW w:w="851" w:type="pct"/>
            <w:gridSpan w:val="2"/>
            <w:vAlign w:val="center"/>
          </w:tcPr>
          <w:p w:rsidR="00C645C9" w:rsidRDefault="00F955D9">
            <w:pPr>
              <w:jc w:val="center"/>
              <w:rPr>
                <w:rFonts w:cs="Times New Roman"/>
                <w:sz w:val="21"/>
                <w:szCs w:val="21"/>
              </w:rPr>
            </w:pPr>
            <w:r>
              <w:rPr>
                <w:rFonts w:cs="Times New Roman"/>
                <w:sz w:val="21"/>
                <w:szCs w:val="21"/>
              </w:rPr>
              <w:t>施工废料</w:t>
            </w:r>
          </w:p>
        </w:tc>
        <w:tc>
          <w:tcPr>
            <w:tcW w:w="1784" w:type="pct"/>
            <w:vAlign w:val="center"/>
          </w:tcPr>
          <w:p w:rsidR="00C645C9" w:rsidRDefault="00F955D9">
            <w:pPr>
              <w:jc w:val="center"/>
              <w:rPr>
                <w:rFonts w:cs="Times New Roman"/>
                <w:sz w:val="21"/>
                <w:szCs w:val="21"/>
              </w:rPr>
            </w:pPr>
            <w:r>
              <w:rPr>
                <w:rFonts w:cs="Times New Roman"/>
                <w:sz w:val="21"/>
                <w:szCs w:val="21"/>
              </w:rPr>
              <w:t>首先考虑回收利用，不可回收利用部分由库车绿能环保科技有限公司拉运至库车经济开发区工业固废填埋场合规处置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6</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生活垃圾</w:t>
            </w:r>
          </w:p>
        </w:tc>
        <w:tc>
          <w:tcPr>
            <w:tcW w:w="1784" w:type="pct"/>
            <w:vAlign w:val="center"/>
          </w:tcPr>
          <w:p w:rsidR="00C645C9" w:rsidRDefault="00F955D9">
            <w:pPr>
              <w:jc w:val="center"/>
              <w:rPr>
                <w:rFonts w:cs="Times New Roman"/>
                <w:sz w:val="21"/>
                <w:szCs w:val="21"/>
              </w:rPr>
            </w:pPr>
            <w:r>
              <w:rPr>
                <w:rFonts w:cs="Times New Roman"/>
                <w:sz w:val="21"/>
                <w:szCs w:val="21"/>
              </w:rPr>
              <w:t>集中收集后，委托库车绿能环保科技有限公司清运处置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生</w:t>
            </w:r>
            <w:r>
              <w:rPr>
                <w:rFonts w:cs="Times New Roman"/>
                <w:sz w:val="21"/>
                <w:szCs w:val="21"/>
              </w:rPr>
              <w:lastRenderedPageBreak/>
              <w:t>态</w:t>
            </w:r>
          </w:p>
        </w:tc>
        <w:tc>
          <w:tcPr>
            <w:tcW w:w="156" w:type="pct"/>
            <w:vAlign w:val="center"/>
          </w:tcPr>
          <w:p w:rsidR="00C645C9" w:rsidRDefault="00F955D9">
            <w:pPr>
              <w:jc w:val="center"/>
              <w:rPr>
                <w:rFonts w:cs="Times New Roman"/>
                <w:sz w:val="21"/>
                <w:szCs w:val="21"/>
              </w:rPr>
            </w:pPr>
            <w:r>
              <w:rPr>
                <w:rFonts w:cs="Times New Roman"/>
                <w:sz w:val="21"/>
                <w:szCs w:val="21"/>
              </w:rPr>
              <w:lastRenderedPageBreak/>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生态恢复</w:t>
            </w:r>
          </w:p>
        </w:tc>
        <w:tc>
          <w:tcPr>
            <w:tcW w:w="1784" w:type="pct"/>
            <w:vAlign w:val="center"/>
          </w:tcPr>
          <w:p w:rsidR="00C645C9" w:rsidRDefault="00F955D9">
            <w:pPr>
              <w:jc w:val="center"/>
              <w:rPr>
                <w:rFonts w:cs="Times New Roman"/>
                <w:sz w:val="21"/>
                <w:szCs w:val="21"/>
              </w:rPr>
            </w:pPr>
            <w:r>
              <w:rPr>
                <w:rFonts w:cs="Times New Roman"/>
                <w:sz w:val="21"/>
                <w:szCs w:val="21"/>
              </w:rPr>
              <w:t>检查道路沿线生态恢复及水土保</w:t>
            </w:r>
            <w:r>
              <w:rPr>
                <w:rFonts w:cs="Times New Roman"/>
                <w:sz w:val="21"/>
                <w:szCs w:val="21"/>
              </w:rPr>
              <w:lastRenderedPageBreak/>
              <w:t>持措施落实情况</w:t>
            </w:r>
          </w:p>
        </w:tc>
        <w:tc>
          <w:tcPr>
            <w:tcW w:w="896" w:type="pct"/>
            <w:vAlign w:val="center"/>
          </w:tcPr>
          <w:p w:rsidR="00C645C9" w:rsidRDefault="00F955D9">
            <w:pPr>
              <w:jc w:val="center"/>
              <w:rPr>
                <w:rFonts w:cs="Times New Roman"/>
                <w:sz w:val="21"/>
                <w:szCs w:val="21"/>
              </w:rPr>
            </w:pPr>
            <w:r>
              <w:rPr>
                <w:rFonts w:cs="Times New Roman"/>
                <w:sz w:val="21"/>
                <w:szCs w:val="21"/>
              </w:rPr>
              <w:lastRenderedPageBreak/>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lastRenderedPageBreak/>
              <w:t>类别</w:t>
            </w:r>
          </w:p>
        </w:tc>
        <w:tc>
          <w:tcPr>
            <w:tcW w:w="156" w:type="pct"/>
            <w:vAlign w:val="center"/>
          </w:tcPr>
          <w:p w:rsidR="00C645C9" w:rsidRDefault="00F955D9">
            <w:pPr>
              <w:jc w:val="center"/>
              <w:rPr>
                <w:rFonts w:cs="Times New Roman"/>
                <w:sz w:val="21"/>
                <w:szCs w:val="21"/>
              </w:rPr>
            </w:pPr>
            <w:r>
              <w:rPr>
                <w:rFonts w:cs="Times New Roman"/>
                <w:sz w:val="21"/>
                <w:szCs w:val="21"/>
              </w:rPr>
              <w:t>序号</w:t>
            </w:r>
          </w:p>
        </w:tc>
        <w:tc>
          <w:tcPr>
            <w:tcW w:w="851" w:type="pct"/>
            <w:gridSpan w:val="2"/>
            <w:vAlign w:val="center"/>
          </w:tcPr>
          <w:p w:rsidR="00C645C9" w:rsidRDefault="00F955D9">
            <w:pPr>
              <w:jc w:val="center"/>
              <w:rPr>
                <w:rFonts w:cs="Times New Roman"/>
                <w:sz w:val="21"/>
                <w:szCs w:val="21"/>
              </w:rPr>
            </w:pPr>
            <w:r>
              <w:rPr>
                <w:rFonts w:cs="Times New Roman"/>
                <w:sz w:val="21"/>
                <w:szCs w:val="21"/>
              </w:rPr>
              <w:t>污染源</w:t>
            </w:r>
          </w:p>
        </w:tc>
        <w:tc>
          <w:tcPr>
            <w:tcW w:w="1784" w:type="pct"/>
            <w:vAlign w:val="center"/>
          </w:tcPr>
          <w:p w:rsidR="00C645C9" w:rsidRDefault="00F955D9">
            <w:pPr>
              <w:jc w:val="center"/>
              <w:rPr>
                <w:rFonts w:cs="Times New Roman"/>
                <w:sz w:val="21"/>
                <w:szCs w:val="21"/>
              </w:rPr>
            </w:pPr>
            <w:r>
              <w:rPr>
                <w:rFonts w:cs="Times New Roman"/>
                <w:sz w:val="21"/>
                <w:szCs w:val="21"/>
              </w:rPr>
              <w:t>环保措施</w:t>
            </w:r>
          </w:p>
        </w:tc>
        <w:tc>
          <w:tcPr>
            <w:tcW w:w="896" w:type="pct"/>
            <w:vAlign w:val="center"/>
          </w:tcPr>
          <w:p w:rsidR="00C645C9" w:rsidRDefault="00F955D9">
            <w:pPr>
              <w:jc w:val="center"/>
              <w:rPr>
                <w:rFonts w:cs="Times New Roman"/>
                <w:sz w:val="21"/>
                <w:szCs w:val="21"/>
              </w:rPr>
            </w:pPr>
            <w:r>
              <w:rPr>
                <w:rFonts w:cs="Times New Roman"/>
                <w:sz w:val="21"/>
                <w:szCs w:val="21"/>
              </w:rPr>
              <w:t>治理效果</w:t>
            </w:r>
          </w:p>
        </w:tc>
        <w:tc>
          <w:tcPr>
            <w:tcW w:w="1153" w:type="pct"/>
            <w:vAlign w:val="center"/>
          </w:tcPr>
          <w:p w:rsidR="00C645C9" w:rsidRDefault="00F955D9">
            <w:pPr>
              <w:jc w:val="center"/>
              <w:rPr>
                <w:rFonts w:cs="Times New Roman"/>
                <w:sz w:val="21"/>
                <w:szCs w:val="21"/>
              </w:rPr>
            </w:pPr>
            <w:r>
              <w:rPr>
                <w:rFonts w:cs="Times New Roman"/>
                <w:sz w:val="21"/>
                <w:szCs w:val="21"/>
              </w:rPr>
              <w:t>验收标准</w:t>
            </w:r>
          </w:p>
        </w:tc>
      </w:tr>
      <w:tr w:rsidR="00C645C9">
        <w:trPr>
          <w:trHeight w:val="23"/>
        </w:trPr>
        <w:tc>
          <w:tcPr>
            <w:tcW w:w="157" w:type="pct"/>
            <w:vMerge w:val="restart"/>
            <w:vAlign w:val="center"/>
          </w:tcPr>
          <w:p w:rsidR="00C645C9" w:rsidRDefault="00F955D9">
            <w:pPr>
              <w:jc w:val="center"/>
              <w:rPr>
                <w:rFonts w:cs="Times New Roman"/>
                <w:sz w:val="21"/>
                <w:szCs w:val="21"/>
              </w:rPr>
            </w:pPr>
            <w:bookmarkStart w:id="1981" w:name="OLE_LINK968" w:colFirst="4" w:colLast="5"/>
            <w:r>
              <w:rPr>
                <w:rFonts w:cs="Times New Roman"/>
                <w:sz w:val="21"/>
                <w:szCs w:val="21"/>
              </w:rPr>
              <w:t>废水</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生产废水</w:t>
            </w:r>
          </w:p>
        </w:tc>
        <w:tc>
          <w:tcPr>
            <w:tcW w:w="1784" w:type="pct"/>
            <w:vAlign w:val="center"/>
          </w:tcPr>
          <w:p w:rsidR="00C645C9" w:rsidRDefault="00F955D9">
            <w:pPr>
              <w:jc w:val="center"/>
              <w:rPr>
                <w:rFonts w:cs="Times New Roman"/>
                <w:sz w:val="21"/>
                <w:szCs w:val="21"/>
              </w:rPr>
            </w:pPr>
            <w:r>
              <w:rPr>
                <w:rFonts w:cs="Times New Roman"/>
                <w:sz w:val="21"/>
                <w:szCs w:val="21"/>
              </w:rPr>
              <w:t>罐车拉运至塔河油田绿色环保工作站处理</w:t>
            </w:r>
          </w:p>
        </w:tc>
        <w:tc>
          <w:tcPr>
            <w:tcW w:w="896" w:type="pct"/>
            <w:vAlign w:val="center"/>
          </w:tcPr>
          <w:p w:rsidR="00C645C9" w:rsidRDefault="00F955D9">
            <w:pPr>
              <w:jc w:val="center"/>
              <w:rPr>
                <w:rFonts w:cs="Times New Roman"/>
                <w:sz w:val="21"/>
                <w:szCs w:val="21"/>
              </w:rPr>
            </w:pPr>
            <w:r>
              <w:rPr>
                <w:rFonts w:cs="Times New Roman" w:hint="eastAsia"/>
                <w:sz w:val="21"/>
                <w:szCs w:val="21"/>
              </w:rPr>
              <w:t>-</w:t>
            </w:r>
          </w:p>
        </w:tc>
        <w:tc>
          <w:tcPr>
            <w:tcW w:w="1153" w:type="pct"/>
            <w:vAlign w:val="center"/>
          </w:tcPr>
          <w:p w:rsidR="00C645C9" w:rsidRDefault="00F955D9">
            <w:pPr>
              <w:jc w:val="center"/>
              <w:rPr>
                <w:rFonts w:cs="Times New Roman"/>
                <w:sz w:val="21"/>
                <w:szCs w:val="21"/>
              </w:rPr>
            </w:pPr>
            <w:r>
              <w:rPr>
                <w:rFonts w:cs="Times New Roman" w:hint="eastAsia"/>
                <w:sz w:val="21"/>
                <w:szCs w:val="21"/>
              </w:rPr>
              <w:t>-</w:t>
            </w:r>
          </w:p>
        </w:tc>
      </w:tr>
      <w:bookmarkEnd w:id="1981"/>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井下作业废水</w:t>
            </w:r>
          </w:p>
        </w:tc>
        <w:tc>
          <w:tcPr>
            <w:tcW w:w="1784" w:type="pct"/>
            <w:vAlign w:val="center"/>
          </w:tcPr>
          <w:p w:rsidR="00C645C9" w:rsidRDefault="00F955D9">
            <w:pPr>
              <w:jc w:val="center"/>
              <w:rPr>
                <w:rFonts w:cs="Times New Roman"/>
                <w:sz w:val="21"/>
                <w:szCs w:val="21"/>
              </w:rPr>
            </w:pPr>
            <w:r>
              <w:rPr>
                <w:rFonts w:cs="Times New Roman"/>
                <w:sz w:val="21"/>
                <w:szCs w:val="21"/>
              </w:rPr>
              <w:t>自带回收罐回收井下作业废水，依托塔河油田绿色环保工作站处理</w:t>
            </w:r>
          </w:p>
        </w:tc>
        <w:tc>
          <w:tcPr>
            <w:tcW w:w="896" w:type="pct"/>
            <w:vAlign w:val="center"/>
          </w:tcPr>
          <w:p w:rsidR="00C645C9" w:rsidRDefault="00F955D9">
            <w:pPr>
              <w:jc w:val="center"/>
              <w:rPr>
                <w:rFonts w:cs="Times New Roman"/>
                <w:sz w:val="21"/>
                <w:szCs w:val="21"/>
              </w:rPr>
            </w:pPr>
            <w:r>
              <w:rPr>
                <w:rFonts w:cs="Times New Roman" w:hint="eastAsia"/>
                <w:sz w:val="21"/>
                <w:szCs w:val="21"/>
              </w:rPr>
              <w:t>-</w:t>
            </w:r>
          </w:p>
        </w:tc>
        <w:tc>
          <w:tcPr>
            <w:tcW w:w="1153" w:type="pct"/>
            <w:vAlign w:val="center"/>
          </w:tcPr>
          <w:p w:rsidR="00C645C9" w:rsidRDefault="00F955D9">
            <w:pPr>
              <w:jc w:val="center"/>
              <w:rPr>
                <w:rFonts w:cs="Times New Roman"/>
                <w:sz w:val="21"/>
                <w:szCs w:val="21"/>
              </w:rPr>
            </w:pPr>
            <w:r>
              <w:rPr>
                <w:rFonts w:cs="Times New Roman" w:hint="eastAsia"/>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3</w:t>
            </w:r>
          </w:p>
        </w:tc>
        <w:tc>
          <w:tcPr>
            <w:tcW w:w="851" w:type="pct"/>
            <w:gridSpan w:val="2"/>
            <w:vAlign w:val="center"/>
          </w:tcPr>
          <w:p w:rsidR="00C645C9" w:rsidRDefault="00F955D9">
            <w:pPr>
              <w:jc w:val="center"/>
              <w:rPr>
                <w:rFonts w:cs="Times New Roman"/>
                <w:sz w:val="21"/>
                <w:szCs w:val="21"/>
              </w:rPr>
            </w:pPr>
            <w:r>
              <w:rPr>
                <w:rFonts w:cs="Times New Roman"/>
                <w:sz w:val="21"/>
                <w:szCs w:val="21"/>
              </w:rPr>
              <w:t>试油期采出水</w:t>
            </w:r>
          </w:p>
        </w:tc>
        <w:tc>
          <w:tcPr>
            <w:tcW w:w="1784" w:type="pct"/>
            <w:vAlign w:val="center"/>
          </w:tcPr>
          <w:p w:rsidR="00C645C9" w:rsidRDefault="00F955D9">
            <w:pPr>
              <w:jc w:val="center"/>
              <w:rPr>
                <w:rFonts w:cs="Times New Roman"/>
                <w:sz w:val="21"/>
                <w:szCs w:val="21"/>
              </w:rPr>
            </w:pPr>
            <w:r>
              <w:rPr>
                <w:rFonts w:cs="Times New Roman"/>
                <w:sz w:val="21"/>
                <w:szCs w:val="21"/>
              </w:rPr>
              <w:t>进入储液罐，定期拉运至塔河油田绿色环保工作站处理</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处理达到《碎屑岩油藏注水水质指标及分析方法》（</w:t>
            </w:r>
            <w:r>
              <w:rPr>
                <w:rFonts w:cs="Times New Roman"/>
                <w:sz w:val="21"/>
                <w:szCs w:val="21"/>
              </w:rPr>
              <w:t>SY/T5329-2012</w:t>
            </w:r>
            <w:r>
              <w:rPr>
                <w:rFonts w:cs="Times New Roman"/>
                <w:sz w:val="21"/>
                <w:szCs w:val="21"/>
              </w:rPr>
              <w:t>）中推荐水质标准要求后回注。</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hint="eastAsia"/>
                <w:sz w:val="21"/>
                <w:szCs w:val="21"/>
              </w:rPr>
              <w:t>4</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生活污水</w:t>
            </w:r>
          </w:p>
        </w:tc>
        <w:tc>
          <w:tcPr>
            <w:tcW w:w="1784" w:type="pct"/>
            <w:vAlign w:val="center"/>
          </w:tcPr>
          <w:p w:rsidR="00C645C9" w:rsidRDefault="00F955D9">
            <w:pPr>
              <w:jc w:val="center"/>
              <w:rPr>
                <w:rFonts w:cs="Times New Roman"/>
                <w:sz w:val="21"/>
                <w:szCs w:val="21"/>
              </w:rPr>
            </w:pPr>
            <w:r>
              <w:rPr>
                <w:rFonts w:cs="Times New Roman"/>
                <w:sz w:val="21"/>
                <w:szCs w:val="21"/>
              </w:rPr>
              <w:t>雅克拉采气厂内部调剂解决，故不新增生活污水</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563"/>
        </w:trPr>
        <w:tc>
          <w:tcPr>
            <w:tcW w:w="157" w:type="pct"/>
            <w:vMerge w:val="restart"/>
            <w:vAlign w:val="center"/>
          </w:tcPr>
          <w:p w:rsidR="00C645C9" w:rsidRDefault="00F955D9">
            <w:pPr>
              <w:jc w:val="center"/>
              <w:rPr>
                <w:rFonts w:cs="Times New Roman"/>
                <w:sz w:val="21"/>
                <w:szCs w:val="21"/>
              </w:rPr>
            </w:pPr>
            <w:r>
              <w:rPr>
                <w:rFonts w:cs="Times New Roman"/>
                <w:sz w:val="21"/>
                <w:szCs w:val="21"/>
              </w:rPr>
              <w:t>废气</w:t>
            </w:r>
          </w:p>
        </w:tc>
        <w:tc>
          <w:tcPr>
            <w:tcW w:w="156" w:type="pct"/>
            <w:vMerge w:val="restar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Merge w:val="restart"/>
            <w:vAlign w:val="center"/>
          </w:tcPr>
          <w:p w:rsidR="00C645C9" w:rsidRDefault="00F955D9">
            <w:pPr>
              <w:jc w:val="center"/>
              <w:rPr>
                <w:rFonts w:cs="Times New Roman"/>
                <w:sz w:val="21"/>
                <w:szCs w:val="21"/>
              </w:rPr>
            </w:pPr>
            <w:r>
              <w:rPr>
                <w:rFonts w:cs="Times New Roman"/>
                <w:sz w:val="21"/>
                <w:szCs w:val="21"/>
              </w:rPr>
              <w:t>井场加热炉</w:t>
            </w:r>
          </w:p>
        </w:tc>
        <w:tc>
          <w:tcPr>
            <w:tcW w:w="1784" w:type="pct"/>
            <w:vMerge w:val="restart"/>
            <w:vAlign w:val="center"/>
          </w:tcPr>
          <w:p w:rsidR="00C645C9" w:rsidRDefault="00F955D9">
            <w:pPr>
              <w:jc w:val="center"/>
              <w:rPr>
                <w:rFonts w:cs="Times New Roman"/>
                <w:sz w:val="21"/>
                <w:szCs w:val="21"/>
              </w:rPr>
            </w:pPr>
            <w:r>
              <w:rPr>
                <w:rFonts w:cs="Times New Roman"/>
                <w:sz w:val="21"/>
                <w:szCs w:val="21"/>
              </w:rPr>
              <w:t>使用净化后的天然气为燃料，</w:t>
            </w:r>
          </w:p>
          <w:p w:rsidR="00C645C9" w:rsidRDefault="00F955D9">
            <w:pPr>
              <w:jc w:val="center"/>
              <w:rPr>
                <w:rFonts w:cs="Times New Roman"/>
                <w:sz w:val="21"/>
                <w:szCs w:val="21"/>
              </w:rPr>
            </w:pPr>
            <w:r>
              <w:rPr>
                <w:rFonts w:cs="Times New Roman"/>
                <w:sz w:val="21"/>
                <w:szCs w:val="21"/>
              </w:rPr>
              <w:t>排气筒高度应不低于</w:t>
            </w:r>
            <w:r>
              <w:rPr>
                <w:rFonts w:cs="Times New Roman"/>
                <w:sz w:val="21"/>
                <w:szCs w:val="21"/>
              </w:rPr>
              <w:t>8m</w:t>
            </w:r>
          </w:p>
        </w:tc>
        <w:tc>
          <w:tcPr>
            <w:tcW w:w="896" w:type="pct"/>
            <w:vAlign w:val="center"/>
          </w:tcPr>
          <w:p w:rsidR="00C645C9" w:rsidRDefault="00F955D9">
            <w:pPr>
              <w:jc w:val="center"/>
              <w:rPr>
                <w:rFonts w:cs="Times New Roman"/>
                <w:sz w:val="21"/>
                <w:szCs w:val="21"/>
              </w:rPr>
            </w:pPr>
            <w:r>
              <w:rPr>
                <w:rFonts w:cs="Times New Roman"/>
                <w:sz w:val="21"/>
                <w:szCs w:val="21"/>
              </w:rPr>
              <w:t>颗粒物</w:t>
            </w:r>
            <w:r>
              <w:rPr>
                <w:rFonts w:cs="Times New Roman"/>
                <w:sz w:val="21"/>
                <w:szCs w:val="21"/>
              </w:rPr>
              <w:t>20mg/m³</w:t>
            </w:r>
          </w:p>
        </w:tc>
        <w:tc>
          <w:tcPr>
            <w:tcW w:w="1153" w:type="pct"/>
            <w:vMerge w:val="restart"/>
            <w:vAlign w:val="center"/>
          </w:tcPr>
          <w:p w:rsidR="00C645C9" w:rsidRDefault="00F955D9">
            <w:pPr>
              <w:jc w:val="center"/>
              <w:rPr>
                <w:rFonts w:cs="Times New Roman"/>
                <w:sz w:val="21"/>
                <w:szCs w:val="21"/>
              </w:rPr>
            </w:pPr>
            <w:r>
              <w:rPr>
                <w:rFonts w:cs="Times New Roman"/>
                <w:sz w:val="21"/>
                <w:szCs w:val="21"/>
              </w:rPr>
              <w:t>《锅炉大气污染物排放标准》（</w:t>
            </w:r>
            <w:r>
              <w:rPr>
                <w:rFonts w:cs="Times New Roman"/>
                <w:sz w:val="21"/>
                <w:szCs w:val="21"/>
              </w:rPr>
              <w:t>GB13271-2014</w:t>
            </w:r>
            <w:r>
              <w:rPr>
                <w:rFonts w:cs="Times New Roman"/>
                <w:sz w:val="21"/>
                <w:szCs w:val="21"/>
              </w:rPr>
              <w:t>）表</w:t>
            </w:r>
            <w:r>
              <w:rPr>
                <w:rFonts w:cs="Times New Roman"/>
                <w:sz w:val="21"/>
                <w:szCs w:val="21"/>
              </w:rPr>
              <w:t>3</w:t>
            </w:r>
            <w:r>
              <w:rPr>
                <w:rFonts w:cs="Times New Roman"/>
                <w:sz w:val="21"/>
                <w:szCs w:val="21"/>
              </w:rPr>
              <w:t>燃气锅炉大气污染物特别排放浓度限值</w:t>
            </w:r>
          </w:p>
        </w:tc>
      </w:tr>
      <w:tr w:rsidR="00C645C9">
        <w:trPr>
          <w:trHeight w:val="564"/>
        </w:trPr>
        <w:tc>
          <w:tcPr>
            <w:tcW w:w="157" w:type="pct"/>
            <w:vMerge/>
            <w:vAlign w:val="center"/>
          </w:tcPr>
          <w:p w:rsidR="00C645C9" w:rsidRDefault="00C645C9">
            <w:pPr>
              <w:jc w:val="center"/>
              <w:rPr>
                <w:rFonts w:cs="Times New Roman"/>
                <w:sz w:val="21"/>
                <w:szCs w:val="21"/>
              </w:rPr>
            </w:pPr>
          </w:p>
        </w:tc>
        <w:tc>
          <w:tcPr>
            <w:tcW w:w="156" w:type="pct"/>
            <w:vMerge/>
            <w:vAlign w:val="center"/>
          </w:tcPr>
          <w:p w:rsidR="00C645C9" w:rsidRDefault="00C645C9">
            <w:pPr>
              <w:jc w:val="center"/>
              <w:rPr>
                <w:rFonts w:cs="Times New Roman"/>
                <w:sz w:val="21"/>
                <w:szCs w:val="21"/>
              </w:rPr>
            </w:pPr>
          </w:p>
        </w:tc>
        <w:tc>
          <w:tcPr>
            <w:tcW w:w="851" w:type="pct"/>
            <w:gridSpan w:val="2"/>
            <w:vMerge/>
            <w:vAlign w:val="center"/>
          </w:tcPr>
          <w:p w:rsidR="00C645C9" w:rsidRDefault="00C645C9">
            <w:pPr>
              <w:jc w:val="center"/>
              <w:rPr>
                <w:rFonts w:cs="Times New Roman"/>
                <w:sz w:val="21"/>
                <w:szCs w:val="21"/>
              </w:rPr>
            </w:pPr>
          </w:p>
        </w:tc>
        <w:tc>
          <w:tcPr>
            <w:tcW w:w="1784" w:type="pct"/>
            <w:vMerge/>
            <w:vAlign w:val="center"/>
          </w:tcPr>
          <w:p w:rsidR="00C645C9" w:rsidRDefault="00C645C9">
            <w:pPr>
              <w:jc w:val="center"/>
              <w:rPr>
                <w:rFonts w:cs="Times New Roman"/>
                <w:sz w:val="21"/>
                <w:szCs w:val="21"/>
              </w:rPr>
            </w:pPr>
          </w:p>
        </w:tc>
        <w:tc>
          <w:tcPr>
            <w:tcW w:w="896" w:type="pct"/>
            <w:vAlign w:val="center"/>
          </w:tcPr>
          <w:p w:rsidR="00C645C9" w:rsidRDefault="00F955D9">
            <w:pPr>
              <w:jc w:val="center"/>
              <w:rPr>
                <w:rFonts w:cs="Times New Roman"/>
                <w:sz w:val="21"/>
                <w:szCs w:val="21"/>
              </w:rPr>
            </w:pPr>
            <w:r>
              <w:rPr>
                <w:rFonts w:cs="Times New Roman"/>
                <w:sz w:val="21"/>
                <w:szCs w:val="21"/>
              </w:rPr>
              <w:t>SO</w:t>
            </w:r>
            <w:r>
              <w:rPr>
                <w:rFonts w:cs="Times New Roman"/>
                <w:sz w:val="21"/>
                <w:szCs w:val="21"/>
                <w:vertAlign w:val="subscript"/>
              </w:rPr>
              <w:t xml:space="preserve">2 </w:t>
            </w:r>
            <w:r>
              <w:rPr>
                <w:rFonts w:cs="Times New Roman"/>
                <w:sz w:val="21"/>
                <w:szCs w:val="21"/>
              </w:rPr>
              <w:t>50mg/m³</w:t>
            </w:r>
          </w:p>
        </w:tc>
        <w:tc>
          <w:tcPr>
            <w:tcW w:w="1153" w:type="pct"/>
            <w:vMerge/>
            <w:vAlign w:val="center"/>
          </w:tcPr>
          <w:p w:rsidR="00C645C9" w:rsidRDefault="00C645C9">
            <w:pPr>
              <w:jc w:val="center"/>
              <w:rPr>
                <w:rFonts w:cs="Times New Roman"/>
                <w:sz w:val="21"/>
                <w:szCs w:val="21"/>
              </w:rPr>
            </w:pPr>
          </w:p>
        </w:tc>
      </w:tr>
      <w:tr w:rsidR="00C645C9">
        <w:trPr>
          <w:trHeight w:val="308"/>
        </w:trPr>
        <w:tc>
          <w:tcPr>
            <w:tcW w:w="157" w:type="pct"/>
            <w:vMerge/>
            <w:vAlign w:val="center"/>
          </w:tcPr>
          <w:p w:rsidR="00C645C9" w:rsidRDefault="00C645C9">
            <w:pPr>
              <w:jc w:val="center"/>
              <w:rPr>
                <w:rFonts w:cs="Times New Roman"/>
                <w:sz w:val="21"/>
                <w:szCs w:val="21"/>
              </w:rPr>
            </w:pPr>
          </w:p>
        </w:tc>
        <w:tc>
          <w:tcPr>
            <w:tcW w:w="156" w:type="pct"/>
            <w:vMerge/>
            <w:vAlign w:val="center"/>
          </w:tcPr>
          <w:p w:rsidR="00C645C9" w:rsidRDefault="00C645C9">
            <w:pPr>
              <w:jc w:val="center"/>
              <w:rPr>
                <w:rFonts w:cs="Times New Roman"/>
                <w:sz w:val="21"/>
                <w:szCs w:val="21"/>
              </w:rPr>
            </w:pPr>
          </w:p>
        </w:tc>
        <w:tc>
          <w:tcPr>
            <w:tcW w:w="851" w:type="pct"/>
            <w:gridSpan w:val="2"/>
            <w:vMerge/>
            <w:vAlign w:val="center"/>
          </w:tcPr>
          <w:p w:rsidR="00C645C9" w:rsidRDefault="00C645C9">
            <w:pPr>
              <w:jc w:val="center"/>
              <w:rPr>
                <w:rFonts w:cs="Times New Roman"/>
                <w:sz w:val="21"/>
                <w:szCs w:val="21"/>
              </w:rPr>
            </w:pPr>
          </w:p>
        </w:tc>
        <w:tc>
          <w:tcPr>
            <w:tcW w:w="1784" w:type="pct"/>
            <w:vMerge/>
            <w:vAlign w:val="center"/>
          </w:tcPr>
          <w:p w:rsidR="00C645C9" w:rsidRDefault="00C645C9">
            <w:pPr>
              <w:jc w:val="center"/>
              <w:rPr>
                <w:rFonts w:cs="Times New Roman"/>
                <w:sz w:val="21"/>
                <w:szCs w:val="21"/>
              </w:rPr>
            </w:pPr>
          </w:p>
        </w:tc>
        <w:tc>
          <w:tcPr>
            <w:tcW w:w="896" w:type="pct"/>
            <w:vAlign w:val="center"/>
          </w:tcPr>
          <w:p w:rsidR="00C645C9" w:rsidRDefault="00F955D9">
            <w:pPr>
              <w:jc w:val="center"/>
              <w:rPr>
                <w:rFonts w:cs="Times New Roman"/>
                <w:sz w:val="21"/>
                <w:szCs w:val="21"/>
              </w:rPr>
            </w:pPr>
            <w:r>
              <w:rPr>
                <w:rFonts w:cs="Times New Roman"/>
                <w:sz w:val="21"/>
                <w:szCs w:val="21"/>
              </w:rPr>
              <w:t>NOx 150mg/m³</w:t>
            </w:r>
          </w:p>
        </w:tc>
        <w:tc>
          <w:tcPr>
            <w:tcW w:w="1153" w:type="pct"/>
            <w:vMerge/>
            <w:vAlign w:val="center"/>
          </w:tcPr>
          <w:p w:rsidR="00C645C9" w:rsidRDefault="00C645C9">
            <w:pPr>
              <w:jc w:val="center"/>
              <w:rPr>
                <w:rFonts w:cs="Times New Roman"/>
                <w:sz w:val="21"/>
                <w:szCs w:val="21"/>
              </w:rPr>
            </w:pPr>
          </w:p>
        </w:tc>
      </w:tr>
      <w:tr w:rsidR="00C645C9">
        <w:trPr>
          <w:trHeight w:val="995"/>
        </w:trPr>
        <w:tc>
          <w:tcPr>
            <w:tcW w:w="157" w:type="pct"/>
            <w:vMerge/>
            <w:vAlign w:val="center"/>
          </w:tcPr>
          <w:p w:rsidR="00C645C9" w:rsidRDefault="00C645C9">
            <w:pPr>
              <w:jc w:val="center"/>
              <w:rPr>
                <w:rFonts w:cs="Times New Roman"/>
                <w:sz w:val="21"/>
                <w:szCs w:val="21"/>
              </w:rPr>
            </w:pPr>
          </w:p>
        </w:tc>
        <w:tc>
          <w:tcPr>
            <w:tcW w:w="156" w:type="pct"/>
            <w:tcBorders>
              <w:top w:val="single" w:sz="4" w:space="0" w:color="auto"/>
            </w:tcBorders>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井场、站场无组织</w:t>
            </w:r>
          </w:p>
          <w:p w:rsidR="00C645C9" w:rsidRDefault="00F955D9">
            <w:pPr>
              <w:jc w:val="center"/>
              <w:rPr>
                <w:rFonts w:cs="Times New Roman"/>
                <w:sz w:val="21"/>
                <w:szCs w:val="21"/>
              </w:rPr>
            </w:pPr>
            <w:r>
              <w:rPr>
                <w:rFonts w:cs="Times New Roman"/>
                <w:sz w:val="21"/>
                <w:szCs w:val="21"/>
              </w:rPr>
              <w:t>废气</w:t>
            </w:r>
          </w:p>
        </w:tc>
        <w:tc>
          <w:tcPr>
            <w:tcW w:w="1784" w:type="pct"/>
            <w:vAlign w:val="center"/>
          </w:tcPr>
          <w:p w:rsidR="00C645C9" w:rsidRDefault="00F955D9">
            <w:pPr>
              <w:jc w:val="center"/>
              <w:rPr>
                <w:rFonts w:cs="Times New Roman"/>
                <w:sz w:val="21"/>
                <w:szCs w:val="21"/>
              </w:rPr>
            </w:pPr>
            <w:r>
              <w:rPr>
                <w:rFonts w:cs="Times New Roman" w:hint="eastAsia"/>
                <w:sz w:val="21"/>
                <w:szCs w:val="21"/>
              </w:rPr>
              <w:t>凝析油</w:t>
            </w:r>
            <w:r>
              <w:rPr>
                <w:rFonts w:cs="Times New Roman"/>
                <w:sz w:val="21"/>
                <w:szCs w:val="21"/>
              </w:rPr>
              <w:t>装车设置气体回收处理装置、阀门的检修和维护。</w:t>
            </w:r>
          </w:p>
        </w:tc>
        <w:tc>
          <w:tcPr>
            <w:tcW w:w="896" w:type="pct"/>
            <w:vAlign w:val="center"/>
          </w:tcPr>
          <w:p w:rsidR="00C645C9" w:rsidRDefault="00F955D9">
            <w:pPr>
              <w:jc w:val="center"/>
              <w:rPr>
                <w:rFonts w:cs="Times New Roman"/>
                <w:sz w:val="21"/>
                <w:szCs w:val="21"/>
              </w:rPr>
            </w:pPr>
            <w:r>
              <w:rPr>
                <w:rFonts w:cs="Times New Roman"/>
                <w:sz w:val="21"/>
                <w:szCs w:val="21"/>
              </w:rPr>
              <w:t>厂界非甲烷总烃</w:t>
            </w:r>
            <w:r>
              <w:rPr>
                <w:rFonts w:cs="Times New Roman"/>
                <w:sz w:val="21"/>
                <w:szCs w:val="21"/>
              </w:rPr>
              <w:t>≤4.0mg/m</w:t>
            </w:r>
            <w:r>
              <w:rPr>
                <w:rFonts w:cs="Times New Roman"/>
                <w:sz w:val="21"/>
                <w:szCs w:val="21"/>
                <w:vertAlign w:val="superscript"/>
              </w:rPr>
              <w:t>3</w:t>
            </w:r>
          </w:p>
        </w:tc>
        <w:tc>
          <w:tcPr>
            <w:tcW w:w="1153" w:type="pct"/>
            <w:vAlign w:val="center"/>
          </w:tcPr>
          <w:p w:rsidR="00C645C9" w:rsidRDefault="00F955D9">
            <w:pPr>
              <w:jc w:val="center"/>
              <w:rPr>
                <w:rFonts w:cs="Times New Roman"/>
                <w:sz w:val="21"/>
                <w:szCs w:val="21"/>
              </w:rPr>
            </w:pPr>
            <w:r>
              <w:rPr>
                <w:rFonts w:cs="Times New Roman"/>
                <w:sz w:val="21"/>
                <w:szCs w:val="21"/>
              </w:rPr>
              <w:t>《陆上石油天然气开采工业大气污染物排放标准》（</w:t>
            </w:r>
            <w:r>
              <w:rPr>
                <w:rFonts w:cs="Times New Roman"/>
                <w:sz w:val="21"/>
                <w:szCs w:val="21"/>
              </w:rPr>
              <w:t>GB39728-</w:t>
            </w:r>
          </w:p>
          <w:p w:rsidR="00C645C9" w:rsidRDefault="00F955D9">
            <w:pPr>
              <w:jc w:val="center"/>
              <w:rPr>
                <w:rFonts w:cs="Times New Roman"/>
                <w:sz w:val="21"/>
                <w:szCs w:val="21"/>
              </w:rPr>
            </w:pPr>
            <w:r>
              <w:rPr>
                <w:rFonts w:cs="Times New Roman"/>
                <w:sz w:val="21"/>
                <w:szCs w:val="21"/>
              </w:rPr>
              <w:t>2020</w:t>
            </w:r>
            <w:r>
              <w:rPr>
                <w:rFonts w:cs="Times New Roman"/>
                <w:sz w:val="21"/>
                <w:szCs w:val="21"/>
              </w:rPr>
              <w:t>）</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噪声</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井场</w:t>
            </w:r>
          </w:p>
        </w:tc>
        <w:tc>
          <w:tcPr>
            <w:tcW w:w="1784" w:type="pct"/>
            <w:vAlign w:val="center"/>
          </w:tcPr>
          <w:p w:rsidR="00C645C9" w:rsidRDefault="00F955D9">
            <w:pPr>
              <w:jc w:val="center"/>
              <w:rPr>
                <w:rFonts w:cs="Times New Roman"/>
                <w:sz w:val="21"/>
                <w:szCs w:val="21"/>
              </w:rPr>
            </w:pPr>
            <w:r>
              <w:rPr>
                <w:rFonts w:cs="Times New Roman"/>
                <w:sz w:val="21"/>
                <w:szCs w:val="21"/>
              </w:rPr>
              <w:t>基础减震</w:t>
            </w:r>
          </w:p>
        </w:tc>
        <w:tc>
          <w:tcPr>
            <w:tcW w:w="896" w:type="pct"/>
            <w:vAlign w:val="center"/>
          </w:tcPr>
          <w:p w:rsidR="00C645C9" w:rsidRDefault="00F955D9">
            <w:pPr>
              <w:jc w:val="center"/>
              <w:rPr>
                <w:rFonts w:cs="Times New Roman"/>
                <w:sz w:val="21"/>
                <w:szCs w:val="21"/>
              </w:rPr>
            </w:pPr>
            <w:r>
              <w:rPr>
                <w:rFonts w:cs="Times New Roman"/>
                <w:sz w:val="21"/>
                <w:szCs w:val="21"/>
              </w:rPr>
              <w:t>昼间</w:t>
            </w:r>
            <w:r>
              <w:rPr>
                <w:rFonts w:cs="Times New Roman"/>
                <w:sz w:val="21"/>
                <w:szCs w:val="21"/>
              </w:rPr>
              <w:t>≤60dB</w:t>
            </w:r>
            <w:r>
              <w:rPr>
                <w:rFonts w:cs="Times New Roman" w:hint="eastAsia"/>
                <w:sz w:val="21"/>
                <w:szCs w:val="21"/>
              </w:rPr>
              <w:t>（</w:t>
            </w:r>
            <w:r>
              <w:rPr>
                <w:rFonts w:cs="Times New Roman"/>
                <w:sz w:val="21"/>
                <w:szCs w:val="21"/>
              </w:rPr>
              <w:t>A</w:t>
            </w:r>
            <w:r>
              <w:rPr>
                <w:rFonts w:cs="Times New Roman" w:hint="eastAsia"/>
                <w:sz w:val="21"/>
                <w:szCs w:val="21"/>
              </w:rPr>
              <w:t>）</w:t>
            </w:r>
          </w:p>
          <w:p w:rsidR="00C645C9" w:rsidRDefault="00F955D9">
            <w:pPr>
              <w:jc w:val="center"/>
              <w:rPr>
                <w:rFonts w:cs="Times New Roman"/>
                <w:sz w:val="21"/>
                <w:szCs w:val="21"/>
              </w:rPr>
            </w:pPr>
            <w:r>
              <w:rPr>
                <w:rFonts w:cs="Times New Roman"/>
                <w:sz w:val="21"/>
                <w:szCs w:val="21"/>
              </w:rPr>
              <w:t>夜间</w:t>
            </w:r>
            <w:r>
              <w:rPr>
                <w:rFonts w:cs="Times New Roman"/>
                <w:sz w:val="21"/>
                <w:szCs w:val="21"/>
              </w:rPr>
              <w:t>≤50dB</w:t>
            </w:r>
            <w:r>
              <w:rPr>
                <w:rFonts w:cs="Times New Roman" w:hint="eastAsia"/>
                <w:sz w:val="21"/>
                <w:szCs w:val="21"/>
              </w:rPr>
              <w:t>（</w:t>
            </w:r>
            <w:r>
              <w:rPr>
                <w:rFonts w:cs="Times New Roman"/>
                <w:sz w:val="21"/>
                <w:szCs w:val="21"/>
              </w:rPr>
              <w:t>A</w:t>
            </w:r>
            <w:r>
              <w:rPr>
                <w:rFonts w:cs="Times New Roman" w:hint="eastAsia"/>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《工业企业厂界环境噪声排放标准》</w:t>
            </w:r>
            <w:r>
              <w:rPr>
                <w:rFonts w:cs="Times New Roman" w:hint="eastAsia"/>
                <w:sz w:val="21"/>
                <w:szCs w:val="21"/>
              </w:rPr>
              <w:t>（</w:t>
            </w:r>
            <w:r>
              <w:rPr>
                <w:rFonts w:cs="Times New Roman"/>
                <w:sz w:val="21"/>
                <w:szCs w:val="21"/>
              </w:rPr>
              <w:t>GB12348-2008</w:t>
            </w:r>
            <w:r>
              <w:rPr>
                <w:rFonts w:cs="Times New Roman" w:hint="eastAsia"/>
                <w:sz w:val="21"/>
                <w:szCs w:val="21"/>
              </w:rPr>
              <w:t>）</w:t>
            </w:r>
          </w:p>
          <w:p w:rsidR="00C645C9" w:rsidRDefault="00F955D9">
            <w:pPr>
              <w:jc w:val="center"/>
              <w:rPr>
                <w:rFonts w:cs="Times New Roman"/>
                <w:sz w:val="21"/>
                <w:szCs w:val="21"/>
              </w:rPr>
            </w:pPr>
            <w:r>
              <w:rPr>
                <w:rFonts w:cs="Times New Roman"/>
                <w:sz w:val="21"/>
                <w:szCs w:val="21"/>
              </w:rPr>
              <w:t>2</w:t>
            </w:r>
            <w:r>
              <w:rPr>
                <w:rFonts w:cs="Times New Roman"/>
                <w:sz w:val="21"/>
                <w:szCs w:val="21"/>
              </w:rPr>
              <w:t>类区排放限值</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固废</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落地油</w:t>
            </w:r>
          </w:p>
        </w:tc>
        <w:tc>
          <w:tcPr>
            <w:tcW w:w="1784"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t>依托</w:t>
            </w:r>
            <w:r>
              <w:rPr>
                <w:rFonts w:cs="Times New Roman"/>
                <w:sz w:val="21"/>
                <w:szCs w:val="21"/>
              </w:rPr>
              <w:t>塔河油田绿色环保站清运处置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Merge w:val="restart"/>
            <w:vAlign w:val="center"/>
          </w:tcPr>
          <w:p w:rsidR="00C645C9" w:rsidRDefault="00F955D9">
            <w:pPr>
              <w:jc w:val="center"/>
              <w:rPr>
                <w:rFonts w:cs="Times New Roman"/>
                <w:sz w:val="21"/>
                <w:szCs w:val="21"/>
              </w:rPr>
            </w:pPr>
            <w:r>
              <w:rPr>
                <w:rFonts w:cs="Times New Roman"/>
                <w:sz w:val="21"/>
                <w:szCs w:val="21"/>
              </w:rPr>
              <w:t>《危险废物贮存污染控制标准》（</w:t>
            </w:r>
            <w:r>
              <w:rPr>
                <w:rFonts w:cs="Times New Roman"/>
                <w:sz w:val="21"/>
                <w:szCs w:val="21"/>
              </w:rPr>
              <w:t>GB18597-2023</w:t>
            </w: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废润滑油</w:t>
            </w:r>
          </w:p>
        </w:tc>
        <w:tc>
          <w:tcPr>
            <w:tcW w:w="1784" w:type="pct"/>
            <w:vAlign w:val="center"/>
          </w:tcPr>
          <w:p w:rsidR="00C645C9" w:rsidRDefault="00F955D9">
            <w:pPr>
              <w:adjustRightInd w:val="0"/>
              <w:snapToGrid w:val="0"/>
              <w:jc w:val="center"/>
              <w:rPr>
                <w:rFonts w:cs="Times New Roman"/>
                <w:sz w:val="21"/>
                <w:szCs w:val="21"/>
              </w:rPr>
            </w:pPr>
            <w:bookmarkStart w:id="1982" w:name="OLE_LINK974"/>
            <w:r>
              <w:rPr>
                <w:rFonts w:cs="Times New Roman"/>
                <w:sz w:val="21"/>
                <w:szCs w:val="21"/>
              </w:rPr>
              <w:t>委托持有危险废物经营许可证的单位利用处置</w:t>
            </w:r>
            <w:bookmarkEnd w:id="1982"/>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Merge/>
            <w:vAlign w:val="center"/>
          </w:tcPr>
          <w:p w:rsidR="00C645C9" w:rsidRDefault="00C645C9">
            <w:pPr>
              <w:jc w:val="center"/>
              <w:rPr>
                <w:rFonts w:cs="Times New Roman"/>
                <w:sz w:val="21"/>
                <w:szCs w:val="21"/>
              </w:rPr>
            </w:pP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3</w:t>
            </w:r>
          </w:p>
        </w:tc>
        <w:tc>
          <w:tcPr>
            <w:tcW w:w="851" w:type="pct"/>
            <w:gridSpan w:val="2"/>
            <w:vAlign w:val="center"/>
          </w:tcPr>
          <w:p w:rsidR="00C645C9" w:rsidRDefault="00F955D9">
            <w:pPr>
              <w:adjustRightInd w:val="0"/>
              <w:snapToGrid w:val="0"/>
              <w:jc w:val="center"/>
              <w:rPr>
                <w:rFonts w:cs="Times New Roman"/>
                <w:sz w:val="21"/>
                <w:szCs w:val="21"/>
              </w:rPr>
            </w:pPr>
            <w:r>
              <w:rPr>
                <w:rFonts w:cs="Times New Roman"/>
                <w:sz w:val="21"/>
                <w:szCs w:val="21"/>
              </w:rPr>
              <w:t>清罐底泥</w:t>
            </w:r>
          </w:p>
        </w:tc>
        <w:tc>
          <w:tcPr>
            <w:tcW w:w="1784" w:type="pct"/>
            <w:vAlign w:val="center"/>
          </w:tcPr>
          <w:p w:rsidR="00C645C9" w:rsidRDefault="00F955D9">
            <w:pPr>
              <w:adjustRightInd w:val="0"/>
              <w:snapToGrid w:val="0"/>
              <w:jc w:val="center"/>
              <w:rPr>
                <w:rFonts w:cs="Times New Roman"/>
                <w:sz w:val="21"/>
                <w:szCs w:val="21"/>
              </w:rPr>
            </w:pPr>
            <w:r>
              <w:rPr>
                <w:rFonts w:cs="Times New Roman"/>
                <w:sz w:val="21"/>
                <w:szCs w:val="21"/>
              </w:rPr>
              <w:t>回收至密闭的专用罐车内，委托持有危险废物经营许可证的单位利用处置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Merge/>
            <w:vAlign w:val="center"/>
          </w:tcPr>
          <w:p w:rsidR="00C645C9" w:rsidRDefault="00C645C9">
            <w:pPr>
              <w:jc w:val="center"/>
              <w:rPr>
                <w:rFonts w:cs="Times New Roman"/>
                <w:sz w:val="21"/>
                <w:szCs w:val="21"/>
              </w:rPr>
            </w:pP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4</w:t>
            </w:r>
          </w:p>
        </w:tc>
        <w:tc>
          <w:tcPr>
            <w:tcW w:w="851" w:type="pct"/>
            <w:gridSpan w:val="2"/>
            <w:vAlign w:val="center"/>
          </w:tcPr>
          <w:p w:rsidR="00C645C9" w:rsidRDefault="00F955D9">
            <w:pPr>
              <w:jc w:val="center"/>
              <w:rPr>
                <w:rFonts w:cs="Times New Roman"/>
                <w:sz w:val="21"/>
                <w:szCs w:val="21"/>
              </w:rPr>
            </w:pPr>
            <w:r>
              <w:rPr>
                <w:rFonts w:cs="Times New Roman"/>
                <w:sz w:val="21"/>
                <w:szCs w:val="21"/>
              </w:rPr>
              <w:t>废防渗材料</w:t>
            </w:r>
          </w:p>
        </w:tc>
        <w:tc>
          <w:tcPr>
            <w:tcW w:w="1784" w:type="pct"/>
            <w:vAlign w:val="center"/>
          </w:tcPr>
          <w:p w:rsidR="00C645C9" w:rsidRDefault="00F955D9">
            <w:pPr>
              <w:jc w:val="center"/>
              <w:rPr>
                <w:rFonts w:cs="Times New Roman"/>
                <w:sz w:val="21"/>
                <w:szCs w:val="21"/>
              </w:rPr>
            </w:pPr>
            <w:r>
              <w:rPr>
                <w:rFonts w:cs="Times New Roman"/>
                <w:sz w:val="21"/>
                <w:szCs w:val="21"/>
              </w:rPr>
              <w:t>委托持有危险废物经营许可证的单位利用处置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Merge/>
            <w:vAlign w:val="center"/>
          </w:tcPr>
          <w:p w:rsidR="00C645C9" w:rsidRDefault="00C645C9">
            <w:pPr>
              <w:jc w:val="center"/>
              <w:rPr>
                <w:rFonts w:cs="Times New Roman"/>
                <w:sz w:val="21"/>
                <w:szCs w:val="21"/>
              </w:rPr>
            </w:pP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5</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生活垃圾</w:t>
            </w:r>
          </w:p>
        </w:tc>
        <w:tc>
          <w:tcPr>
            <w:tcW w:w="1784" w:type="pct"/>
            <w:vAlign w:val="center"/>
          </w:tcPr>
          <w:p w:rsidR="00C645C9" w:rsidRDefault="00F955D9">
            <w:pPr>
              <w:jc w:val="center"/>
              <w:rPr>
                <w:rFonts w:cs="Times New Roman"/>
                <w:sz w:val="21"/>
                <w:szCs w:val="21"/>
              </w:rPr>
            </w:pPr>
            <w:r>
              <w:rPr>
                <w:rFonts w:cs="Times New Roman"/>
                <w:sz w:val="21"/>
                <w:szCs w:val="21"/>
              </w:rPr>
              <w:t>由雅克拉采气厂内部调剂解决，故不新增生活垃圾</w:t>
            </w:r>
          </w:p>
        </w:tc>
        <w:tc>
          <w:tcPr>
            <w:tcW w:w="896" w:type="pct"/>
            <w:vAlign w:val="center"/>
          </w:tcPr>
          <w:p w:rsidR="00C645C9" w:rsidRDefault="00F955D9">
            <w:pPr>
              <w:jc w:val="center"/>
              <w:rPr>
                <w:rFonts w:cs="Times New Roman"/>
                <w:sz w:val="21"/>
                <w:szCs w:val="21"/>
              </w:rPr>
            </w:pPr>
            <w:bookmarkStart w:id="1983" w:name="OLE_LINK970"/>
            <w:r>
              <w:rPr>
                <w:rFonts w:cs="Times New Roman"/>
                <w:sz w:val="21"/>
                <w:szCs w:val="21"/>
              </w:rPr>
              <w:t>-</w:t>
            </w:r>
            <w:bookmarkEnd w:id="1983"/>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619"/>
        </w:trPr>
        <w:tc>
          <w:tcPr>
            <w:tcW w:w="157" w:type="pct"/>
            <w:vMerge w:val="restart"/>
            <w:vAlign w:val="center"/>
          </w:tcPr>
          <w:p w:rsidR="00C645C9" w:rsidRDefault="00F955D9">
            <w:pPr>
              <w:jc w:val="center"/>
              <w:rPr>
                <w:rFonts w:cs="Times New Roman"/>
                <w:sz w:val="21"/>
                <w:szCs w:val="21"/>
              </w:rPr>
            </w:pPr>
            <w:bookmarkStart w:id="1984" w:name="OLE_LINK973" w:colFirst="6" w:colLast="7"/>
            <w:r>
              <w:rPr>
                <w:rFonts w:cs="Times New Roman"/>
                <w:sz w:val="21"/>
                <w:szCs w:val="21"/>
              </w:rPr>
              <w:t>防渗</w:t>
            </w:r>
          </w:p>
        </w:tc>
        <w:tc>
          <w:tcPr>
            <w:tcW w:w="156" w:type="pct"/>
            <w:vMerge w:val="restart"/>
            <w:vAlign w:val="center"/>
          </w:tcPr>
          <w:p w:rsidR="00C645C9" w:rsidRDefault="00F955D9">
            <w:pPr>
              <w:jc w:val="center"/>
              <w:rPr>
                <w:rFonts w:cs="Times New Roman"/>
                <w:sz w:val="21"/>
                <w:szCs w:val="21"/>
              </w:rPr>
            </w:pPr>
            <w:r>
              <w:rPr>
                <w:rFonts w:cs="Times New Roman"/>
                <w:sz w:val="21"/>
                <w:szCs w:val="21"/>
              </w:rPr>
              <w:t>1</w:t>
            </w:r>
          </w:p>
        </w:tc>
        <w:tc>
          <w:tcPr>
            <w:tcW w:w="298" w:type="pct"/>
            <w:vAlign w:val="center"/>
          </w:tcPr>
          <w:p w:rsidR="00C645C9" w:rsidRDefault="00F955D9">
            <w:pPr>
              <w:adjustRightInd w:val="0"/>
              <w:snapToGrid w:val="0"/>
              <w:jc w:val="center"/>
              <w:rPr>
                <w:rFonts w:cs="Times New Roman"/>
                <w:sz w:val="21"/>
                <w:szCs w:val="21"/>
              </w:rPr>
            </w:pPr>
            <w:r>
              <w:rPr>
                <w:rFonts w:cs="Times New Roman"/>
                <w:sz w:val="21"/>
                <w:szCs w:val="21"/>
              </w:rPr>
              <w:t>一般防渗区</w:t>
            </w:r>
          </w:p>
        </w:tc>
        <w:tc>
          <w:tcPr>
            <w:tcW w:w="552" w:type="pct"/>
            <w:vAlign w:val="center"/>
          </w:tcPr>
          <w:p w:rsidR="00C645C9" w:rsidRDefault="00F955D9">
            <w:pPr>
              <w:adjustRightInd w:val="0"/>
              <w:snapToGrid w:val="0"/>
              <w:jc w:val="center"/>
              <w:rPr>
                <w:rFonts w:cs="Times New Roman"/>
                <w:sz w:val="21"/>
                <w:szCs w:val="21"/>
              </w:rPr>
            </w:pPr>
            <w:r>
              <w:rPr>
                <w:rFonts w:cs="Times New Roman"/>
                <w:sz w:val="21"/>
                <w:szCs w:val="21"/>
              </w:rPr>
              <w:t>多功能集油器</w:t>
            </w:r>
            <w:r>
              <w:rPr>
                <w:rFonts w:cs="Times New Roman" w:hint="eastAsia"/>
                <w:sz w:val="21"/>
                <w:szCs w:val="21"/>
              </w:rPr>
              <w:t>等</w:t>
            </w:r>
          </w:p>
        </w:tc>
        <w:tc>
          <w:tcPr>
            <w:tcW w:w="1784" w:type="pct"/>
            <w:vAlign w:val="center"/>
          </w:tcPr>
          <w:p w:rsidR="00C645C9" w:rsidRDefault="00F955D9">
            <w:pPr>
              <w:adjustRightInd w:val="0"/>
              <w:snapToGrid w:val="0"/>
              <w:jc w:val="center"/>
              <w:rPr>
                <w:rFonts w:cs="Times New Roman"/>
                <w:sz w:val="21"/>
                <w:szCs w:val="21"/>
              </w:rPr>
            </w:pPr>
            <w:r>
              <w:rPr>
                <w:rFonts w:cs="Times New Roman"/>
                <w:sz w:val="21"/>
                <w:szCs w:val="21"/>
              </w:rPr>
              <w:t>防渗层防渗性能不应低于</w:t>
            </w:r>
            <w:r>
              <w:rPr>
                <w:rFonts w:cs="Times New Roman"/>
                <w:sz w:val="21"/>
                <w:szCs w:val="21"/>
              </w:rPr>
              <w:t>1.5m</w:t>
            </w:r>
            <w:r>
              <w:rPr>
                <w:rFonts w:cs="Times New Roman"/>
                <w:sz w:val="21"/>
                <w:szCs w:val="21"/>
              </w:rPr>
              <w:t>厚渗透系数为</w:t>
            </w:r>
            <w:r>
              <w:rPr>
                <w:rFonts w:cs="Times New Roman"/>
                <w:sz w:val="21"/>
                <w:szCs w:val="21"/>
              </w:rPr>
              <w:t>1×10</w:t>
            </w:r>
            <w:r>
              <w:rPr>
                <w:rFonts w:cs="Times New Roman"/>
                <w:sz w:val="21"/>
                <w:szCs w:val="21"/>
                <w:vertAlign w:val="superscript"/>
              </w:rPr>
              <w:t>-7</w:t>
            </w:r>
            <w:r>
              <w:rPr>
                <w:rFonts w:cs="Times New Roman"/>
                <w:sz w:val="21"/>
                <w:szCs w:val="21"/>
              </w:rPr>
              <w:t xml:space="preserve">cm/s </w:t>
            </w:r>
            <w:r>
              <w:rPr>
                <w:rFonts w:cs="Times New Roman"/>
                <w:sz w:val="21"/>
                <w:szCs w:val="21"/>
              </w:rPr>
              <w:t>黏土层的防渗性能</w:t>
            </w:r>
          </w:p>
        </w:tc>
        <w:tc>
          <w:tcPr>
            <w:tcW w:w="896" w:type="pct"/>
            <w:vAlign w:val="center"/>
          </w:tcPr>
          <w:p w:rsidR="00C645C9" w:rsidRDefault="00F955D9">
            <w:pPr>
              <w:jc w:val="center"/>
              <w:rPr>
                <w:rFonts w:cs="Times New Roman"/>
                <w:sz w:val="21"/>
                <w:szCs w:val="21"/>
              </w:rPr>
            </w:pPr>
            <w:r>
              <w:rPr>
                <w:rFonts w:cs="Times New Roman"/>
                <w:sz w:val="21"/>
                <w:szCs w:val="21"/>
              </w:rPr>
              <w:t>满足防渗要求</w:t>
            </w:r>
          </w:p>
        </w:tc>
        <w:tc>
          <w:tcPr>
            <w:tcW w:w="1153" w:type="pct"/>
            <w:vAlign w:val="center"/>
          </w:tcPr>
          <w:p w:rsidR="00C645C9" w:rsidRDefault="00F955D9">
            <w:pPr>
              <w:jc w:val="center"/>
              <w:rPr>
                <w:rFonts w:cs="Times New Roman"/>
                <w:sz w:val="21"/>
                <w:szCs w:val="21"/>
              </w:rPr>
            </w:pPr>
            <w:bookmarkStart w:id="1985" w:name="OLE_LINK972"/>
            <w:r>
              <w:rPr>
                <w:rFonts w:cs="Times New Roman"/>
                <w:sz w:val="21"/>
                <w:szCs w:val="21"/>
              </w:rPr>
              <w:t>-</w:t>
            </w:r>
            <w:bookmarkEnd w:id="1985"/>
          </w:p>
        </w:tc>
      </w:tr>
      <w:bookmarkEnd w:id="1984"/>
      <w:tr w:rsidR="00C645C9">
        <w:trPr>
          <w:trHeight w:val="619"/>
        </w:trPr>
        <w:tc>
          <w:tcPr>
            <w:tcW w:w="157" w:type="pct"/>
            <w:vMerge/>
            <w:vAlign w:val="center"/>
          </w:tcPr>
          <w:p w:rsidR="00C645C9" w:rsidRDefault="00C645C9">
            <w:pPr>
              <w:jc w:val="center"/>
            </w:pPr>
          </w:p>
        </w:tc>
        <w:tc>
          <w:tcPr>
            <w:tcW w:w="156" w:type="pct"/>
            <w:vMerge/>
            <w:vAlign w:val="center"/>
          </w:tcPr>
          <w:p w:rsidR="00C645C9" w:rsidRDefault="00C645C9">
            <w:pPr>
              <w:jc w:val="center"/>
            </w:pPr>
          </w:p>
        </w:tc>
        <w:tc>
          <w:tcPr>
            <w:tcW w:w="298" w:type="pct"/>
            <w:vAlign w:val="center"/>
          </w:tcPr>
          <w:p w:rsidR="00C645C9" w:rsidRDefault="00F955D9">
            <w:pPr>
              <w:adjustRightInd w:val="0"/>
              <w:snapToGrid w:val="0"/>
              <w:jc w:val="center"/>
              <w:rPr>
                <w:rFonts w:cs="Times New Roman"/>
                <w:sz w:val="21"/>
                <w:szCs w:val="21"/>
              </w:rPr>
            </w:pPr>
            <w:r>
              <w:rPr>
                <w:rFonts w:cs="Times New Roman"/>
                <w:sz w:val="21"/>
                <w:szCs w:val="21"/>
              </w:rPr>
              <w:t>简单防渗</w:t>
            </w:r>
            <w:r>
              <w:rPr>
                <w:rFonts w:cs="Times New Roman"/>
                <w:sz w:val="21"/>
                <w:szCs w:val="21"/>
              </w:rPr>
              <w:lastRenderedPageBreak/>
              <w:t>区</w:t>
            </w:r>
          </w:p>
        </w:tc>
        <w:tc>
          <w:tcPr>
            <w:tcW w:w="552" w:type="pct"/>
            <w:vAlign w:val="center"/>
          </w:tcPr>
          <w:p w:rsidR="00C645C9" w:rsidRDefault="00F955D9">
            <w:pPr>
              <w:adjustRightInd w:val="0"/>
              <w:snapToGrid w:val="0"/>
              <w:jc w:val="center"/>
              <w:rPr>
                <w:rFonts w:cs="Times New Roman"/>
                <w:sz w:val="21"/>
                <w:szCs w:val="21"/>
              </w:rPr>
            </w:pPr>
            <w:r>
              <w:rPr>
                <w:rFonts w:cs="Times New Roman" w:hint="eastAsia"/>
                <w:sz w:val="21"/>
                <w:szCs w:val="21"/>
              </w:rPr>
              <w:lastRenderedPageBreak/>
              <w:t>井场</w:t>
            </w:r>
            <w:r>
              <w:rPr>
                <w:rFonts w:cs="Times New Roman"/>
                <w:sz w:val="21"/>
                <w:szCs w:val="21"/>
              </w:rPr>
              <w:t>永久占地</w:t>
            </w:r>
          </w:p>
        </w:tc>
        <w:tc>
          <w:tcPr>
            <w:tcW w:w="1784" w:type="pct"/>
            <w:vAlign w:val="center"/>
          </w:tcPr>
          <w:p w:rsidR="00C645C9" w:rsidRDefault="00F955D9">
            <w:pPr>
              <w:adjustRightInd w:val="0"/>
              <w:snapToGrid w:val="0"/>
              <w:jc w:val="center"/>
              <w:rPr>
                <w:rFonts w:cs="Times New Roman"/>
                <w:sz w:val="21"/>
                <w:szCs w:val="21"/>
              </w:rPr>
            </w:pPr>
            <w:r>
              <w:rPr>
                <w:rFonts w:cs="Times New Roman"/>
                <w:sz w:val="21"/>
                <w:szCs w:val="21"/>
              </w:rPr>
              <w:t>实施地面硬化</w:t>
            </w:r>
          </w:p>
        </w:tc>
        <w:tc>
          <w:tcPr>
            <w:tcW w:w="896" w:type="pct"/>
            <w:vAlign w:val="center"/>
          </w:tcPr>
          <w:p w:rsidR="00C645C9" w:rsidRDefault="00F955D9">
            <w:pPr>
              <w:jc w:val="center"/>
              <w:rPr>
                <w:rFonts w:cs="Times New Roman"/>
                <w:sz w:val="21"/>
                <w:szCs w:val="21"/>
              </w:rPr>
            </w:pPr>
            <w:r>
              <w:rPr>
                <w:rFonts w:cs="Times New Roman"/>
                <w:sz w:val="21"/>
                <w:szCs w:val="21"/>
              </w:rPr>
              <w:t>满足防渗要求</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314" w:type="pct"/>
            <w:gridSpan w:val="2"/>
            <w:vAlign w:val="center"/>
          </w:tcPr>
          <w:p w:rsidR="00C645C9" w:rsidRDefault="00F955D9">
            <w:pPr>
              <w:jc w:val="center"/>
              <w:rPr>
                <w:rFonts w:cs="Times New Roman"/>
                <w:sz w:val="21"/>
                <w:szCs w:val="21"/>
              </w:rPr>
            </w:pPr>
            <w:r>
              <w:rPr>
                <w:rFonts w:cs="Times New Roman"/>
                <w:sz w:val="21"/>
                <w:szCs w:val="21"/>
              </w:rPr>
              <w:lastRenderedPageBreak/>
              <w:t>风险防范措施</w:t>
            </w:r>
          </w:p>
        </w:tc>
        <w:tc>
          <w:tcPr>
            <w:tcW w:w="851" w:type="pct"/>
            <w:gridSpan w:val="2"/>
            <w:vAlign w:val="center"/>
          </w:tcPr>
          <w:p w:rsidR="00C645C9" w:rsidRDefault="00F955D9">
            <w:pPr>
              <w:jc w:val="center"/>
              <w:rPr>
                <w:rFonts w:cs="Times New Roman"/>
                <w:sz w:val="21"/>
                <w:szCs w:val="21"/>
              </w:rPr>
            </w:pPr>
            <w:r>
              <w:rPr>
                <w:rFonts w:cs="Times New Roman"/>
                <w:sz w:val="21"/>
                <w:szCs w:val="21"/>
              </w:rPr>
              <w:t>井场</w:t>
            </w:r>
          </w:p>
        </w:tc>
        <w:tc>
          <w:tcPr>
            <w:tcW w:w="1784" w:type="pct"/>
            <w:vAlign w:val="center"/>
          </w:tcPr>
          <w:p w:rsidR="00C645C9" w:rsidRDefault="00F955D9">
            <w:pPr>
              <w:jc w:val="center"/>
              <w:rPr>
                <w:rFonts w:cs="Times New Roman"/>
                <w:sz w:val="21"/>
                <w:szCs w:val="21"/>
              </w:rPr>
            </w:pPr>
            <w:r>
              <w:rPr>
                <w:snapToGrid w:val="0"/>
                <w:sz w:val="21"/>
                <w:szCs w:val="21"/>
              </w:rPr>
              <w:t>消防器材、警戒标语标牌、设置可燃气体检测报警仪等防范设施</w:t>
            </w:r>
          </w:p>
        </w:tc>
        <w:tc>
          <w:tcPr>
            <w:tcW w:w="896" w:type="pct"/>
            <w:vAlign w:val="center"/>
          </w:tcPr>
          <w:p w:rsidR="00C645C9" w:rsidRDefault="00F955D9">
            <w:pPr>
              <w:jc w:val="center"/>
              <w:rPr>
                <w:rFonts w:cs="Times New Roman"/>
                <w:sz w:val="21"/>
                <w:szCs w:val="21"/>
              </w:rPr>
            </w:pPr>
            <w:r>
              <w:rPr>
                <w:rFonts w:cs="Times New Roman"/>
                <w:sz w:val="21"/>
                <w:szCs w:val="21"/>
              </w:rPr>
              <w:t>风险防范设施数量按照消防、安全等相关要求设置</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环境管理与监测</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排污口规范化</w:t>
            </w:r>
          </w:p>
        </w:tc>
        <w:tc>
          <w:tcPr>
            <w:tcW w:w="1784" w:type="pct"/>
            <w:vAlign w:val="center"/>
          </w:tcPr>
          <w:p w:rsidR="00C645C9" w:rsidRDefault="00F955D9">
            <w:pPr>
              <w:jc w:val="center"/>
              <w:rPr>
                <w:rFonts w:cs="Times New Roman"/>
                <w:sz w:val="21"/>
                <w:szCs w:val="21"/>
              </w:rPr>
            </w:pPr>
            <w:r>
              <w:rPr>
                <w:rFonts w:cs="Times New Roman"/>
                <w:sz w:val="21"/>
                <w:szCs w:val="21"/>
              </w:rPr>
              <w:t>按照《排污口规范化整治技术要求（试行）》《环境保护图形标志》及排污许可技术规范等文件规范排污口设置。</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保证实施</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井场</w:t>
            </w:r>
          </w:p>
        </w:tc>
        <w:tc>
          <w:tcPr>
            <w:tcW w:w="1784" w:type="pct"/>
            <w:vAlign w:val="center"/>
          </w:tcPr>
          <w:p w:rsidR="00C645C9" w:rsidRDefault="00F955D9">
            <w:pPr>
              <w:jc w:val="center"/>
              <w:rPr>
                <w:rFonts w:cs="Times New Roman"/>
                <w:sz w:val="21"/>
                <w:szCs w:val="21"/>
              </w:rPr>
            </w:pPr>
            <w:r>
              <w:rPr>
                <w:rFonts w:cs="Times New Roman"/>
                <w:sz w:val="21"/>
                <w:szCs w:val="21"/>
              </w:rPr>
              <w:t>按照监测计划，委托有监测资质的单位开展监测。</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污染源达标排放</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3</w:t>
            </w:r>
          </w:p>
        </w:tc>
        <w:tc>
          <w:tcPr>
            <w:tcW w:w="851" w:type="pct"/>
            <w:gridSpan w:val="2"/>
            <w:vAlign w:val="center"/>
          </w:tcPr>
          <w:p w:rsidR="00C645C9" w:rsidRDefault="00F955D9">
            <w:pPr>
              <w:jc w:val="center"/>
              <w:rPr>
                <w:rFonts w:cs="Times New Roman"/>
                <w:sz w:val="21"/>
                <w:szCs w:val="21"/>
              </w:rPr>
            </w:pPr>
            <w:r>
              <w:rPr>
                <w:rFonts w:cs="Times New Roman"/>
                <w:sz w:val="21"/>
                <w:szCs w:val="21"/>
              </w:rPr>
              <w:t>环境影响</w:t>
            </w:r>
          </w:p>
          <w:p w:rsidR="00C645C9" w:rsidRDefault="00F955D9">
            <w:pPr>
              <w:jc w:val="center"/>
              <w:rPr>
                <w:rFonts w:cs="Times New Roman"/>
                <w:sz w:val="21"/>
                <w:szCs w:val="21"/>
              </w:rPr>
            </w:pPr>
            <w:r>
              <w:rPr>
                <w:rFonts w:cs="Times New Roman"/>
                <w:sz w:val="21"/>
                <w:szCs w:val="21"/>
              </w:rPr>
              <w:t>后评价</w:t>
            </w:r>
          </w:p>
        </w:tc>
        <w:tc>
          <w:tcPr>
            <w:tcW w:w="1784" w:type="pct"/>
            <w:vAlign w:val="center"/>
          </w:tcPr>
          <w:p w:rsidR="00C645C9" w:rsidRDefault="00F955D9">
            <w:pPr>
              <w:jc w:val="center"/>
              <w:rPr>
                <w:rFonts w:cs="Times New Roman"/>
                <w:sz w:val="21"/>
                <w:szCs w:val="21"/>
              </w:rPr>
            </w:pPr>
            <w:r>
              <w:rPr>
                <w:rFonts w:cs="Times New Roman"/>
                <w:sz w:val="21"/>
                <w:szCs w:val="21"/>
              </w:rPr>
              <w:t>根据《建设项目环境影响后评价管理办法（试行）》《关于进一步加强和规范油气田开发项目环境保护管理工作的通知》等文件组织开展环境影响后评价。</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保证实施</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废气</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施工扬尘</w:t>
            </w:r>
          </w:p>
        </w:tc>
        <w:tc>
          <w:tcPr>
            <w:tcW w:w="1784" w:type="pct"/>
            <w:vAlign w:val="center"/>
          </w:tcPr>
          <w:p w:rsidR="00C645C9" w:rsidRDefault="00F955D9">
            <w:pPr>
              <w:jc w:val="center"/>
              <w:rPr>
                <w:rFonts w:cs="Times New Roman"/>
                <w:sz w:val="21"/>
                <w:szCs w:val="21"/>
              </w:rPr>
            </w:pPr>
            <w:r>
              <w:rPr>
                <w:rFonts w:cs="Times New Roman"/>
                <w:sz w:val="21"/>
                <w:szCs w:val="21"/>
              </w:rPr>
              <w:t>洒水抑尘</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噪声</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车辆</w:t>
            </w:r>
          </w:p>
        </w:tc>
        <w:tc>
          <w:tcPr>
            <w:tcW w:w="1784" w:type="pct"/>
            <w:vAlign w:val="center"/>
          </w:tcPr>
          <w:p w:rsidR="00C645C9" w:rsidRDefault="00F955D9">
            <w:pPr>
              <w:jc w:val="center"/>
              <w:rPr>
                <w:rFonts w:cs="Times New Roman"/>
                <w:sz w:val="21"/>
                <w:szCs w:val="21"/>
              </w:rPr>
            </w:pPr>
            <w:r>
              <w:rPr>
                <w:rFonts w:cs="Times New Roman"/>
                <w:sz w:val="21"/>
                <w:szCs w:val="21"/>
              </w:rPr>
              <w:t>合理安排作业时间。</w:t>
            </w:r>
          </w:p>
        </w:tc>
        <w:tc>
          <w:tcPr>
            <w:tcW w:w="896" w:type="pct"/>
            <w:vAlign w:val="center"/>
          </w:tcPr>
          <w:p w:rsidR="00C645C9" w:rsidRDefault="00F955D9">
            <w:pPr>
              <w:jc w:val="center"/>
              <w:rPr>
                <w:rFonts w:cs="Times New Roman"/>
                <w:sz w:val="21"/>
                <w:szCs w:val="21"/>
              </w:rPr>
            </w:pPr>
            <w:r>
              <w:rPr>
                <w:rFonts w:cs="Times New Roman"/>
                <w:sz w:val="21"/>
                <w:szCs w:val="21"/>
              </w:rPr>
              <w:t>-</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restart"/>
            <w:vAlign w:val="center"/>
          </w:tcPr>
          <w:p w:rsidR="00C645C9" w:rsidRDefault="00F955D9">
            <w:pPr>
              <w:jc w:val="center"/>
              <w:rPr>
                <w:rFonts w:cs="Times New Roman"/>
                <w:sz w:val="21"/>
                <w:szCs w:val="21"/>
              </w:rPr>
            </w:pPr>
            <w:r>
              <w:rPr>
                <w:rFonts w:cs="Times New Roman"/>
                <w:sz w:val="21"/>
                <w:szCs w:val="21"/>
              </w:rPr>
              <w:t>固废</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废弃建筑垃圾</w:t>
            </w:r>
          </w:p>
        </w:tc>
        <w:tc>
          <w:tcPr>
            <w:tcW w:w="1784" w:type="pct"/>
            <w:vAlign w:val="center"/>
          </w:tcPr>
          <w:p w:rsidR="00C645C9" w:rsidRDefault="00F955D9">
            <w:pPr>
              <w:jc w:val="center"/>
              <w:rPr>
                <w:rFonts w:cs="Times New Roman"/>
                <w:sz w:val="21"/>
                <w:szCs w:val="21"/>
              </w:rPr>
            </w:pPr>
            <w:r>
              <w:rPr>
                <w:rFonts w:cs="Times New Roman"/>
                <w:sz w:val="21"/>
                <w:szCs w:val="21"/>
              </w:rPr>
              <w:t>收集后委托手续完备的处置场所合规处置</w:t>
            </w:r>
          </w:p>
        </w:tc>
        <w:tc>
          <w:tcPr>
            <w:tcW w:w="896" w:type="pct"/>
            <w:vAlign w:val="center"/>
          </w:tcPr>
          <w:p w:rsidR="00C645C9" w:rsidRDefault="00F955D9">
            <w:pPr>
              <w:jc w:val="center"/>
              <w:rPr>
                <w:rFonts w:cs="Times New Roman"/>
                <w:sz w:val="21"/>
                <w:szCs w:val="21"/>
              </w:rPr>
            </w:pPr>
            <w:r>
              <w:rPr>
                <w:rFonts w:cs="Times New Roman"/>
                <w:sz w:val="21"/>
                <w:szCs w:val="21"/>
              </w:rPr>
              <w:t>妥善处置</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Merge/>
            <w:vAlign w:val="center"/>
          </w:tcPr>
          <w:p w:rsidR="00C645C9" w:rsidRDefault="00C645C9">
            <w:pPr>
              <w:jc w:val="center"/>
              <w:rPr>
                <w:rFonts w:cs="Times New Roman"/>
                <w:sz w:val="21"/>
                <w:szCs w:val="21"/>
              </w:rPr>
            </w:pPr>
          </w:p>
        </w:tc>
        <w:tc>
          <w:tcPr>
            <w:tcW w:w="156" w:type="pct"/>
            <w:vAlign w:val="center"/>
          </w:tcPr>
          <w:p w:rsidR="00C645C9" w:rsidRDefault="00F955D9">
            <w:pPr>
              <w:jc w:val="center"/>
              <w:rPr>
                <w:rFonts w:cs="Times New Roman"/>
                <w:sz w:val="21"/>
                <w:szCs w:val="21"/>
              </w:rPr>
            </w:pPr>
            <w:r>
              <w:rPr>
                <w:rFonts w:cs="Times New Roman"/>
                <w:sz w:val="21"/>
                <w:szCs w:val="21"/>
              </w:rPr>
              <w:t>2</w:t>
            </w:r>
          </w:p>
        </w:tc>
        <w:tc>
          <w:tcPr>
            <w:tcW w:w="851" w:type="pct"/>
            <w:gridSpan w:val="2"/>
            <w:vAlign w:val="center"/>
          </w:tcPr>
          <w:p w:rsidR="00C645C9" w:rsidRDefault="00F955D9">
            <w:pPr>
              <w:jc w:val="center"/>
              <w:rPr>
                <w:rFonts w:cs="Times New Roman"/>
                <w:sz w:val="21"/>
                <w:szCs w:val="21"/>
              </w:rPr>
            </w:pPr>
            <w:r>
              <w:rPr>
                <w:rFonts w:cs="Times New Roman"/>
                <w:sz w:val="21"/>
                <w:szCs w:val="21"/>
              </w:rPr>
              <w:t>设施拆除过程产生的油泥</w:t>
            </w:r>
          </w:p>
        </w:tc>
        <w:tc>
          <w:tcPr>
            <w:tcW w:w="1784" w:type="pct"/>
            <w:vAlign w:val="center"/>
          </w:tcPr>
          <w:p w:rsidR="00C645C9" w:rsidRDefault="00F955D9">
            <w:pPr>
              <w:jc w:val="center"/>
              <w:rPr>
                <w:rFonts w:cs="Times New Roman"/>
                <w:sz w:val="21"/>
                <w:szCs w:val="21"/>
              </w:rPr>
            </w:pPr>
            <w:r>
              <w:rPr>
                <w:rFonts w:cs="Times New Roman"/>
                <w:sz w:val="21"/>
                <w:szCs w:val="21"/>
              </w:rPr>
              <w:t>委托持有危险废物经营许可证的单位利用处置</w:t>
            </w:r>
          </w:p>
        </w:tc>
        <w:tc>
          <w:tcPr>
            <w:tcW w:w="896" w:type="pct"/>
            <w:vAlign w:val="center"/>
          </w:tcPr>
          <w:p w:rsidR="00C645C9" w:rsidRDefault="00F955D9">
            <w:pPr>
              <w:jc w:val="center"/>
              <w:rPr>
                <w:rFonts w:cs="Times New Roman"/>
                <w:sz w:val="21"/>
                <w:szCs w:val="21"/>
              </w:rPr>
            </w:pPr>
            <w:r>
              <w:rPr>
                <w:rFonts w:cs="Times New Roman"/>
                <w:sz w:val="21"/>
                <w:szCs w:val="21"/>
              </w:rPr>
              <w:t>妥善处置</w:t>
            </w:r>
          </w:p>
        </w:tc>
        <w:tc>
          <w:tcPr>
            <w:tcW w:w="1153" w:type="pct"/>
            <w:vAlign w:val="center"/>
          </w:tcPr>
          <w:p w:rsidR="00C645C9" w:rsidRDefault="00F955D9">
            <w:pPr>
              <w:jc w:val="center"/>
              <w:rPr>
                <w:rFonts w:cs="Times New Roman"/>
                <w:sz w:val="21"/>
                <w:szCs w:val="21"/>
              </w:rPr>
            </w:pPr>
            <w:r>
              <w:rPr>
                <w:rFonts w:cs="Times New Roman"/>
                <w:sz w:val="21"/>
                <w:szCs w:val="21"/>
              </w:rPr>
              <w:t>-</w:t>
            </w:r>
          </w:p>
        </w:tc>
      </w:tr>
      <w:tr w:rsidR="00C645C9">
        <w:trPr>
          <w:trHeight w:val="23"/>
        </w:trPr>
        <w:tc>
          <w:tcPr>
            <w:tcW w:w="157" w:type="pct"/>
            <w:vAlign w:val="center"/>
          </w:tcPr>
          <w:p w:rsidR="00C645C9" w:rsidRDefault="00F955D9">
            <w:pPr>
              <w:jc w:val="center"/>
              <w:rPr>
                <w:rFonts w:cs="Times New Roman"/>
                <w:sz w:val="21"/>
                <w:szCs w:val="21"/>
              </w:rPr>
            </w:pPr>
            <w:r>
              <w:rPr>
                <w:rFonts w:cs="Times New Roman"/>
                <w:sz w:val="21"/>
                <w:szCs w:val="21"/>
              </w:rPr>
              <w:t>生态</w:t>
            </w:r>
          </w:p>
        </w:tc>
        <w:tc>
          <w:tcPr>
            <w:tcW w:w="156" w:type="pct"/>
            <w:vAlign w:val="center"/>
          </w:tcPr>
          <w:p w:rsidR="00C645C9" w:rsidRDefault="00F955D9">
            <w:pPr>
              <w:jc w:val="center"/>
              <w:rPr>
                <w:rFonts w:cs="Times New Roman"/>
                <w:sz w:val="21"/>
                <w:szCs w:val="21"/>
              </w:rPr>
            </w:pPr>
            <w:r>
              <w:rPr>
                <w:rFonts w:cs="Times New Roman"/>
                <w:sz w:val="21"/>
                <w:szCs w:val="21"/>
              </w:rPr>
              <w:t>1</w:t>
            </w:r>
          </w:p>
        </w:tc>
        <w:tc>
          <w:tcPr>
            <w:tcW w:w="851" w:type="pct"/>
            <w:gridSpan w:val="2"/>
            <w:vAlign w:val="center"/>
          </w:tcPr>
          <w:p w:rsidR="00C645C9" w:rsidRDefault="00F955D9">
            <w:pPr>
              <w:jc w:val="center"/>
              <w:rPr>
                <w:rFonts w:cs="Times New Roman"/>
                <w:sz w:val="21"/>
                <w:szCs w:val="21"/>
              </w:rPr>
            </w:pPr>
            <w:r>
              <w:rPr>
                <w:rFonts w:cs="Times New Roman"/>
                <w:sz w:val="21"/>
                <w:szCs w:val="21"/>
              </w:rPr>
              <w:t>生态恢复</w:t>
            </w:r>
          </w:p>
        </w:tc>
        <w:tc>
          <w:tcPr>
            <w:tcW w:w="1784" w:type="pct"/>
            <w:vAlign w:val="center"/>
          </w:tcPr>
          <w:p w:rsidR="00C645C9" w:rsidRDefault="00F955D9">
            <w:pPr>
              <w:jc w:val="center"/>
              <w:rPr>
                <w:rFonts w:cs="Times New Roman"/>
                <w:sz w:val="21"/>
                <w:szCs w:val="21"/>
              </w:rPr>
            </w:pPr>
            <w:r>
              <w:rPr>
                <w:rFonts w:cs="Times New Roman"/>
                <w:sz w:val="21"/>
                <w:szCs w:val="21"/>
              </w:rPr>
              <w:t>地面设施拆除、水泥条清理，恢复原有自然状况。</w:t>
            </w:r>
          </w:p>
        </w:tc>
        <w:tc>
          <w:tcPr>
            <w:tcW w:w="896" w:type="pct"/>
            <w:vAlign w:val="center"/>
          </w:tcPr>
          <w:p w:rsidR="00C645C9" w:rsidRDefault="00F955D9">
            <w:pPr>
              <w:jc w:val="center"/>
              <w:rPr>
                <w:rFonts w:cs="Times New Roman"/>
                <w:sz w:val="21"/>
                <w:szCs w:val="21"/>
              </w:rPr>
            </w:pPr>
            <w:r>
              <w:rPr>
                <w:rFonts w:cs="Times New Roman"/>
                <w:sz w:val="21"/>
                <w:szCs w:val="21"/>
              </w:rPr>
              <w:t>恢复原貌</w:t>
            </w:r>
          </w:p>
        </w:tc>
        <w:tc>
          <w:tcPr>
            <w:tcW w:w="1153" w:type="pct"/>
            <w:vAlign w:val="center"/>
          </w:tcPr>
          <w:p w:rsidR="00C645C9" w:rsidRDefault="00F955D9">
            <w:pPr>
              <w:jc w:val="center"/>
              <w:rPr>
                <w:rFonts w:cs="Times New Roman"/>
                <w:sz w:val="21"/>
                <w:szCs w:val="21"/>
              </w:rPr>
            </w:pPr>
            <w:r>
              <w:rPr>
                <w:rFonts w:cs="Times New Roman"/>
                <w:sz w:val="21"/>
                <w:szCs w:val="21"/>
              </w:rPr>
              <w:t>《废弃井封井回填技术指南（试行）》</w:t>
            </w:r>
          </w:p>
        </w:tc>
      </w:tr>
    </w:tbl>
    <w:p w:rsidR="00C645C9" w:rsidRDefault="00C645C9">
      <w:pPr>
        <w:widowControl w:val="0"/>
        <w:adjustRightInd w:val="0"/>
        <w:snapToGrid w:val="0"/>
        <w:spacing w:line="360" w:lineRule="auto"/>
        <w:rPr>
          <w:rFonts w:cs="Times New Roman"/>
          <w:b/>
          <w:bCs/>
          <w:sz w:val="36"/>
          <w:szCs w:val="36"/>
          <w:lang w:eastAsia="en-US"/>
        </w:rPr>
      </w:pPr>
    </w:p>
    <w:p w:rsidR="00C645C9" w:rsidRDefault="00C645C9">
      <w:pPr>
        <w:widowControl w:val="0"/>
        <w:adjustRightInd w:val="0"/>
        <w:snapToGrid w:val="0"/>
        <w:spacing w:line="360" w:lineRule="auto"/>
        <w:rPr>
          <w:rFonts w:cs="Times New Roman"/>
          <w:b/>
          <w:bCs/>
          <w:sz w:val="36"/>
          <w:szCs w:val="36"/>
          <w:lang w:eastAsia="en-US"/>
        </w:rPr>
      </w:pPr>
    </w:p>
    <w:p w:rsidR="00C645C9" w:rsidRDefault="00C645C9">
      <w:pPr>
        <w:widowControl w:val="0"/>
        <w:adjustRightInd w:val="0"/>
        <w:snapToGrid w:val="0"/>
        <w:spacing w:line="360" w:lineRule="auto"/>
        <w:rPr>
          <w:rFonts w:cs="Times New Roman"/>
          <w:b/>
          <w:bCs/>
          <w:sz w:val="36"/>
          <w:szCs w:val="36"/>
          <w:lang w:eastAsia="en-US"/>
        </w:rPr>
      </w:pPr>
    </w:p>
    <w:p w:rsidR="00C645C9" w:rsidRDefault="00C645C9">
      <w:pPr>
        <w:widowControl w:val="0"/>
        <w:adjustRightInd w:val="0"/>
        <w:snapToGrid w:val="0"/>
        <w:spacing w:line="360" w:lineRule="auto"/>
        <w:outlineLvl w:val="0"/>
        <w:rPr>
          <w:rFonts w:cs="Times New Roman"/>
          <w:b/>
          <w:bCs/>
          <w:sz w:val="36"/>
          <w:szCs w:val="36"/>
          <w:lang w:eastAsia="en-US"/>
        </w:rPr>
        <w:sectPr w:rsidR="00C645C9">
          <w:pgSz w:w="11906" w:h="16838"/>
          <w:pgMar w:top="1440" w:right="1800" w:bottom="1440" w:left="1800" w:header="851" w:footer="992" w:gutter="0"/>
          <w:cols w:space="425"/>
          <w:docGrid w:type="lines" w:linePitch="312"/>
        </w:sectPr>
      </w:pPr>
    </w:p>
    <w:bookmarkStart w:id="1986" w:name="_Toc17826"/>
    <w:p w:rsidR="00C645C9" w:rsidRDefault="00F955D9">
      <w:pPr>
        <w:widowControl w:val="0"/>
        <w:adjustRightInd w:val="0"/>
        <w:snapToGrid w:val="0"/>
        <w:spacing w:line="360" w:lineRule="auto"/>
        <w:outlineLvl w:val="0"/>
        <w:rPr>
          <w:rFonts w:cs="Times New Roman"/>
          <w:b/>
          <w:bCs/>
          <w:sz w:val="36"/>
          <w:szCs w:val="36"/>
          <w:lang w:eastAsia="en-US"/>
        </w:rPr>
      </w:pPr>
      <w:r>
        <w:rPr>
          <w:rFonts w:cs="Times New Roman"/>
          <w:b/>
          <w:bCs/>
          <w:sz w:val="36"/>
          <w:szCs w:val="36"/>
          <w:lang w:eastAsia="en-US"/>
        </w:rPr>
        <w:lastRenderedPageBreak/>
        <w:fldChar w:fldCharType="begin"/>
      </w:r>
      <w:r>
        <w:rPr>
          <w:rFonts w:cs="Times New Roman"/>
          <w:b/>
          <w:bCs/>
          <w:sz w:val="36"/>
          <w:szCs w:val="36"/>
          <w:lang w:eastAsia="en-US"/>
        </w:rPr>
        <w:instrText xml:space="preserve"> HYPERLINK \l _Toc23833 </w:instrText>
      </w:r>
      <w:r>
        <w:rPr>
          <w:rFonts w:cs="Times New Roman"/>
          <w:b/>
          <w:bCs/>
          <w:sz w:val="36"/>
          <w:szCs w:val="36"/>
          <w:lang w:eastAsia="en-US"/>
        </w:rPr>
        <w:fldChar w:fldCharType="separate"/>
      </w:r>
      <w:r>
        <w:rPr>
          <w:rFonts w:cs="Times New Roman" w:hint="eastAsia"/>
          <w:b/>
          <w:bCs/>
          <w:sz w:val="36"/>
          <w:szCs w:val="36"/>
          <w:lang w:eastAsia="en-US"/>
        </w:rPr>
        <w:t>10</w:t>
      </w:r>
      <w:r>
        <w:rPr>
          <w:rFonts w:cs="Times New Roman" w:hint="eastAsia"/>
          <w:b/>
          <w:bCs/>
          <w:sz w:val="36"/>
          <w:szCs w:val="36"/>
          <w:lang w:eastAsia="en-US"/>
        </w:rPr>
        <w:t>结论</w:t>
      </w:r>
      <w:r>
        <w:rPr>
          <w:rFonts w:cs="Times New Roman"/>
          <w:b/>
          <w:bCs/>
          <w:sz w:val="36"/>
          <w:szCs w:val="36"/>
          <w:lang w:eastAsia="en-US"/>
        </w:rPr>
        <w:fldChar w:fldCharType="end"/>
      </w:r>
      <w:bookmarkEnd w:id="1986"/>
    </w:p>
    <w:bookmarkStart w:id="1987" w:name="_Toc13522"/>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_Toc5893 </w:instrText>
      </w:r>
      <w:r>
        <w:rPr>
          <w:rFonts w:ascii="Times New Roman" w:hAnsi="Times New Roman" w:cs="Times New Roman" w:hint="eastAsia"/>
          <w:color w:val="auto"/>
        </w:rPr>
        <w:fldChar w:fldCharType="separate"/>
      </w:r>
      <w:r>
        <w:rPr>
          <w:rFonts w:ascii="Times New Roman" w:hAnsi="Times New Roman" w:cs="Times New Roman" w:hint="eastAsia"/>
          <w:color w:val="auto"/>
        </w:rPr>
        <w:t>10.1</w:t>
      </w:r>
      <w:r>
        <w:rPr>
          <w:rFonts w:ascii="Times New Roman" w:hAnsi="Times New Roman" w:cs="Times New Roman" w:hint="eastAsia"/>
          <w:color w:val="auto"/>
        </w:rPr>
        <w:t>建设项目情况</w:t>
      </w:r>
      <w:r>
        <w:rPr>
          <w:rFonts w:ascii="Times New Roman" w:hAnsi="Times New Roman" w:cs="Times New Roman" w:hint="eastAsia"/>
          <w:color w:val="auto"/>
        </w:rPr>
        <w:fldChar w:fldCharType="end"/>
      </w:r>
      <w:bookmarkEnd w:id="1987"/>
    </w:p>
    <w:p w:rsidR="00C645C9" w:rsidRDefault="00F955D9" w:rsidP="005718BB">
      <w:pPr>
        <w:pStyle w:val="afff3"/>
        <w:adjustRightInd w:val="0"/>
        <w:snapToGrid w:val="0"/>
        <w:spacing w:beforeLines="0" w:before="0" w:afterLines="0" w:after="0" w:line="360" w:lineRule="auto"/>
        <w:ind w:firstLine="480"/>
      </w:pPr>
      <w:r>
        <w:rPr>
          <w:rFonts w:hint="eastAsia"/>
          <w:sz w:val="24"/>
        </w:rPr>
        <w:t>本工程主要建设内容为</w:t>
      </w:r>
      <w:r>
        <w:rPr>
          <w:rFonts w:cs="Times New Roman"/>
          <w:sz w:val="24"/>
        </w:rPr>
        <w:t>部署采</w:t>
      </w:r>
      <w:r>
        <w:rPr>
          <w:rFonts w:cs="Times New Roman" w:hint="eastAsia"/>
          <w:sz w:val="24"/>
        </w:rPr>
        <w:t>气</w:t>
      </w:r>
      <w:r>
        <w:rPr>
          <w:rFonts w:cs="Times New Roman"/>
          <w:sz w:val="24"/>
        </w:rPr>
        <w:t>井</w:t>
      </w:r>
      <w:r>
        <w:rPr>
          <w:rFonts w:cs="Times New Roman" w:hint="eastAsia"/>
          <w:sz w:val="24"/>
        </w:rPr>
        <w:t>2</w:t>
      </w:r>
      <w:r>
        <w:rPr>
          <w:rFonts w:cs="Times New Roman"/>
          <w:sz w:val="24"/>
        </w:rPr>
        <w:t>口（包括新北</w:t>
      </w:r>
      <w:r>
        <w:rPr>
          <w:rFonts w:cs="Times New Roman"/>
          <w:sz w:val="24"/>
        </w:rPr>
        <w:t>1X</w:t>
      </w:r>
      <w:r>
        <w:rPr>
          <w:rFonts w:cs="Times New Roman"/>
          <w:sz w:val="24"/>
        </w:rPr>
        <w:t>井、</w:t>
      </w:r>
      <w:r>
        <w:rPr>
          <w:rFonts w:cs="Times New Roman" w:hint="eastAsia"/>
          <w:sz w:val="24"/>
        </w:rPr>
        <w:t>新北</w:t>
      </w:r>
      <w:r>
        <w:rPr>
          <w:rFonts w:cs="Times New Roman" w:hint="eastAsia"/>
          <w:sz w:val="24"/>
        </w:rPr>
        <w:t>7</w:t>
      </w:r>
      <w:r>
        <w:rPr>
          <w:rFonts w:cs="Times New Roman"/>
          <w:sz w:val="24"/>
        </w:rPr>
        <w:t>井），其中</w:t>
      </w:r>
      <w:r>
        <w:rPr>
          <w:rFonts w:cs="Times New Roman" w:hint="eastAsia"/>
          <w:sz w:val="24"/>
        </w:rPr>
        <w:t>新北</w:t>
      </w:r>
      <w:r>
        <w:rPr>
          <w:rFonts w:cs="Times New Roman" w:hint="eastAsia"/>
          <w:sz w:val="24"/>
        </w:rPr>
        <w:t>7</w:t>
      </w:r>
      <w:r>
        <w:rPr>
          <w:rFonts w:cs="Times New Roman"/>
          <w:sz w:val="24"/>
        </w:rPr>
        <w:t>井为新钻井</w:t>
      </w:r>
      <w:r>
        <w:rPr>
          <w:rFonts w:cs="Times New Roman" w:hint="eastAsia"/>
          <w:sz w:val="24"/>
        </w:rPr>
        <w:t>，</w:t>
      </w:r>
      <w:r>
        <w:rPr>
          <w:rFonts w:cs="Times New Roman" w:hint="eastAsia"/>
          <w:sz w:val="24"/>
        </w:rPr>
        <w:t>新北</w:t>
      </w:r>
      <w:r>
        <w:rPr>
          <w:rFonts w:cs="Times New Roman" w:hint="eastAsia"/>
          <w:sz w:val="24"/>
        </w:rPr>
        <w:t>1X</w:t>
      </w:r>
      <w:r>
        <w:rPr>
          <w:rFonts w:cs="Times New Roman" w:hint="eastAsia"/>
          <w:sz w:val="24"/>
        </w:rPr>
        <w:t>井由勘探井转为产能井</w:t>
      </w:r>
      <w:r>
        <w:rPr>
          <w:rFonts w:cs="Times New Roman"/>
          <w:sz w:val="24"/>
        </w:rPr>
        <w:t>。</w:t>
      </w:r>
      <w:r>
        <w:rPr>
          <w:rFonts w:cs="Times New Roman" w:hint="eastAsia"/>
          <w:sz w:val="24"/>
        </w:rPr>
        <w:t>2</w:t>
      </w:r>
      <w:r>
        <w:rPr>
          <w:rFonts w:cs="Times New Roman" w:hint="eastAsia"/>
          <w:sz w:val="24"/>
        </w:rPr>
        <w:t>座</w:t>
      </w:r>
      <w:r>
        <w:rPr>
          <w:rFonts w:cs="Times New Roman" w:hint="eastAsia"/>
          <w:sz w:val="24"/>
        </w:rPr>
        <w:t>井场</w:t>
      </w:r>
      <w:r>
        <w:rPr>
          <w:rFonts w:cs="Times New Roman"/>
          <w:kern w:val="2"/>
          <w:sz w:val="24"/>
        </w:rPr>
        <w:t>内</w:t>
      </w:r>
      <w:r>
        <w:rPr>
          <w:rFonts w:cs="Times New Roman" w:hint="eastAsia"/>
          <w:kern w:val="2"/>
          <w:sz w:val="24"/>
        </w:rPr>
        <w:t>均</w:t>
      </w:r>
      <w:r>
        <w:rPr>
          <w:rFonts w:cs="Times New Roman"/>
          <w:kern w:val="2"/>
          <w:sz w:val="24"/>
        </w:rPr>
        <w:t>建设油气分离流程</w:t>
      </w:r>
      <w:r>
        <w:rPr>
          <w:rFonts w:cs="Times New Roman" w:hint="eastAsia"/>
          <w:kern w:val="2"/>
          <w:sz w:val="24"/>
        </w:rPr>
        <w:t>1</w:t>
      </w:r>
      <w:r>
        <w:rPr>
          <w:rFonts w:cs="Times New Roman" w:hint="eastAsia"/>
          <w:kern w:val="2"/>
          <w:sz w:val="24"/>
        </w:rPr>
        <w:t>套</w:t>
      </w:r>
      <w:r>
        <w:rPr>
          <w:rFonts w:cs="Times New Roman" w:hint="eastAsia"/>
          <w:sz w:val="24"/>
        </w:rPr>
        <w:t>（</w:t>
      </w:r>
      <w:r>
        <w:rPr>
          <w:rFonts w:cs="Times New Roman" w:hint="eastAsia"/>
          <w:sz w:val="24"/>
        </w:rPr>
        <w:t>凝析油处理规模</w:t>
      </w:r>
      <w:r>
        <w:rPr>
          <w:rFonts w:cs="Times New Roman" w:hint="eastAsia"/>
          <w:sz w:val="24"/>
        </w:rPr>
        <w:t>50t/d</w:t>
      </w:r>
      <w:r>
        <w:rPr>
          <w:rFonts w:cs="Times New Roman" w:hint="eastAsia"/>
          <w:sz w:val="24"/>
        </w:rPr>
        <w:t>；</w:t>
      </w:r>
      <w:r>
        <w:rPr>
          <w:rFonts w:cs="Times New Roman" w:hint="eastAsia"/>
          <w:sz w:val="24"/>
        </w:rPr>
        <w:t>天然气处理规模</w:t>
      </w:r>
      <w:r>
        <w:rPr>
          <w:rFonts w:cs="Times New Roman" w:hint="eastAsia"/>
          <w:sz w:val="24"/>
        </w:rPr>
        <w:t>10</w:t>
      </w:r>
      <w:r>
        <w:rPr>
          <w:rFonts w:cs="Times New Roman" w:hint="eastAsia"/>
          <w:sz w:val="24"/>
        </w:rPr>
        <w:t>×</w:t>
      </w:r>
      <w:r>
        <w:rPr>
          <w:rFonts w:cs="Times New Roman" w:hint="eastAsia"/>
          <w:sz w:val="24"/>
        </w:rPr>
        <w:t>10</w:t>
      </w:r>
      <w:r>
        <w:rPr>
          <w:rFonts w:cs="Times New Roman" w:hint="eastAsia"/>
          <w:sz w:val="24"/>
          <w:vertAlign w:val="superscript"/>
        </w:rPr>
        <w:t>4</w:t>
      </w:r>
      <w:r>
        <w:rPr>
          <w:rFonts w:cs="Times New Roman" w:hint="eastAsia"/>
          <w:sz w:val="24"/>
        </w:rPr>
        <w:t>Nm</w:t>
      </w:r>
      <w:r>
        <w:rPr>
          <w:rFonts w:cs="Times New Roman" w:hint="eastAsia"/>
          <w:sz w:val="24"/>
          <w:vertAlign w:val="superscript"/>
        </w:rPr>
        <w:t>3</w:t>
      </w:r>
      <w:r>
        <w:rPr>
          <w:rFonts w:cs="Times New Roman" w:hint="eastAsia"/>
          <w:sz w:val="24"/>
        </w:rPr>
        <w:t>/d</w:t>
      </w:r>
      <w:r>
        <w:rPr>
          <w:rFonts w:cs="Times New Roman" w:hint="eastAsia"/>
          <w:sz w:val="24"/>
        </w:rPr>
        <w:t>）</w:t>
      </w:r>
      <w:r>
        <w:rPr>
          <w:rFonts w:cs="Times New Roman"/>
          <w:sz w:val="24"/>
        </w:rPr>
        <w:t>，</w:t>
      </w:r>
      <w:r>
        <w:rPr>
          <w:rFonts w:cs="Times New Roman"/>
          <w:sz w:val="24"/>
        </w:rPr>
        <w:t>新建</w:t>
      </w:r>
      <w:r>
        <w:rPr>
          <w:rFonts w:cs="Times New Roman" w:hint="eastAsia"/>
          <w:sz w:val="24"/>
        </w:rPr>
        <w:t>水套炉</w:t>
      </w:r>
      <w:r>
        <w:rPr>
          <w:rFonts w:cs="Times New Roman" w:hint="eastAsia"/>
          <w:sz w:val="24"/>
        </w:rPr>
        <w:t>1</w:t>
      </w:r>
      <w:r>
        <w:rPr>
          <w:rFonts w:cs="Times New Roman" w:hint="eastAsia"/>
          <w:sz w:val="24"/>
        </w:rPr>
        <w:t>座、高压分离器</w:t>
      </w:r>
      <w:r>
        <w:rPr>
          <w:rFonts w:cs="Times New Roman" w:hint="eastAsia"/>
          <w:sz w:val="24"/>
        </w:rPr>
        <w:t>1</w:t>
      </w:r>
      <w:r>
        <w:rPr>
          <w:rFonts w:cs="Times New Roman" w:hint="eastAsia"/>
          <w:sz w:val="24"/>
        </w:rPr>
        <w:t>座、闪蒸分离器</w:t>
      </w:r>
      <w:r>
        <w:rPr>
          <w:rFonts w:cs="Times New Roman" w:hint="eastAsia"/>
          <w:sz w:val="24"/>
        </w:rPr>
        <w:t>1</w:t>
      </w:r>
      <w:r>
        <w:rPr>
          <w:rFonts w:cs="Times New Roman" w:hint="eastAsia"/>
          <w:sz w:val="24"/>
        </w:rPr>
        <w:t>座、多功能储集器</w:t>
      </w:r>
      <w:r>
        <w:rPr>
          <w:rFonts w:cs="Times New Roman" w:hint="eastAsia"/>
          <w:sz w:val="24"/>
        </w:rPr>
        <w:t>2</w:t>
      </w:r>
      <w:r>
        <w:rPr>
          <w:rFonts w:cs="Times New Roman" w:hint="eastAsia"/>
          <w:sz w:val="24"/>
        </w:rPr>
        <w:t>座、一体化污水处理装置</w:t>
      </w:r>
      <w:r>
        <w:rPr>
          <w:rFonts w:cs="Times New Roman" w:hint="eastAsia"/>
          <w:sz w:val="24"/>
        </w:rPr>
        <w:t>1</w:t>
      </w:r>
      <w:r>
        <w:rPr>
          <w:rFonts w:cs="Times New Roman" w:hint="eastAsia"/>
          <w:sz w:val="24"/>
        </w:rPr>
        <w:t>座、过滤分离器橇</w:t>
      </w:r>
      <w:r>
        <w:rPr>
          <w:rFonts w:cs="Times New Roman" w:hint="eastAsia"/>
          <w:sz w:val="24"/>
        </w:rPr>
        <w:t>1</w:t>
      </w:r>
      <w:r>
        <w:rPr>
          <w:rFonts w:cs="Times New Roman" w:hint="eastAsia"/>
          <w:sz w:val="24"/>
        </w:rPr>
        <w:t>座、</w:t>
      </w:r>
      <w:r>
        <w:rPr>
          <w:rFonts w:cs="Times New Roman"/>
          <w:sz w:val="24"/>
        </w:rPr>
        <w:t>分子筛脱水撬</w:t>
      </w:r>
      <w:r>
        <w:rPr>
          <w:rFonts w:cs="Times New Roman" w:hint="eastAsia"/>
          <w:sz w:val="24"/>
        </w:rPr>
        <w:t>1</w:t>
      </w:r>
      <w:r>
        <w:rPr>
          <w:rFonts w:cs="Times New Roman" w:hint="eastAsia"/>
          <w:sz w:val="24"/>
        </w:rPr>
        <w:t>座、低温分离橇</w:t>
      </w:r>
      <w:r>
        <w:rPr>
          <w:rFonts w:cs="Times New Roman" w:hint="eastAsia"/>
          <w:sz w:val="24"/>
        </w:rPr>
        <w:t>1</w:t>
      </w:r>
      <w:r>
        <w:rPr>
          <w:rFonts w:cs="Times New Roman" w:hint="eastAsia"/>
          <w:sz w:val="24"/>
        </w:rPr>
        <w:t>座、外输计量橇</w:t>
      </w:r>
      <w:r>
        <w:rPr>
          <w:rFonts w:cs="Times New Roman" w:hint="eastAsia"/>
          <w:sz w:val="24"/>
        </w:rPr>
        <w:t>1</w:t>
      </w:r>
      <w:r>
        <w:rPr>
          <w:rFonts w:cs="Times New Roman" w:hint="eastAsia"/>
          <w:sz w:val="24"/>
        </w:rPr>
        <w:t>座、</w:t>
      </w:r>
      <w:r>
        <w:rPr>
          <w:rFonts w:cs="Times New Roman"/>
          <w:sz w:val="24"/>
        </w:rPr>
        <w:t>火炬</w:t>
      </w:r>
      <w:r>
        <w:rPr>
          <w:rFonts w:cs="Times New Roman" w:hint="eastAsia"/>
          <w:sz w:val="24"/>
        </w:rPr>
        <w:t>1</w:t>
      </w:r>
      <w:r>
        <w:rPr>
          <w:rFonts w:cs="Times New Roman" w:hint="eastAsia"/>
          <w:sz w:val="24"/>
        </w:rPr>
        <w:t>座</w:t>
      </w:r>
      <w:r>
        <w:rPr>
          <w:rFonts w:cs="Times New Roman"/>
          <w:sz w:val="24"/>
        </w:rPr>
        <w:t>、站内管网</w:t>
      </w:r>
      <w:r>
        <w:rPr>
          <w:rFonts w:cs="Times New Roman"/>
          <w:sz w:val="24"/>
        </w:rPr>
        <w:t>。</w:t>
      </w:r>
      <w:r>
        <w:rPr>
          <w:rFonts w:cs="Times New Roman"/>
          <w:sz w:val="24"/>
        </w:rPr>
        <w:t>天然气脱水脱烃后就地销售给地方企业。油气分离后凝析油装车外运至雅克拉集气处理站处理。</w:t>
      </w:r>
      <w:r>
        <w:rPr>
          <w:rFonts w:cs="Times New Roman"/>
          <w:kern w:val="2"/>
          <w:sz w:val="24"/>
        </w:rPr>
        <w:t>建设电力、自控、</w:t>
      </w:r>
      <w:r>
        <w:rPr>
          <w:rFonts w:cs="Times New Roman"/>
          <w:kern w:val="2"/>
          <w:sz w:val="24"/>
        </w:rPr>
        <w:t>结</w:t>
      </w:r>
      <w:r>
        <w:rPr>
          <w:rFonts w:cs="Times New Roman"/>
          <w:sz w:val="24"/>
        </w:rPr>
        <w:t>构、通信、消防等公辅工程。</w:t>
      </w:r>
      <w:r>
        <w:rPr>
          <w:rFonts w:cs="Times New Roman" w:hint="eastAsia"/>
          <w:sz w:val="24"/>
        </w:rPr>
        <w:t>本工程产能规模为凝析油</w:t>
      </w:r>
      <w:r>
        <w:rPr>
          <w:rFonts w:cs="Times New Roman" w:hint="eastAsia"/>
          <w:sz w:val="24"/>
        </w:rPr>
        <w:t>40</w:t>
      </w:r>
      <w:r>
        <w:rPr>
          <w:rFonts w:cs="Times New Roman"/>
          <w:sz w:val="24"/>
        </w:rPr>
        <w:t>t/</w:t>
      </w:r>
      <w:r>
        <w:rPr>
          <w:rFonts w:cs="Times New Roman" w:hint="eastAsia"/>
          <w:sz w:val="24"/>
        </w:rPr>
        <w:t>d</w:t>
      </w:r>
      <w:r>
        <w:rPr>
          <w:rFonts w:cs="Times New Roman" w:hint="eastAsia"/>
          <w:sz w:val="24"/>
        </w:rPr>
        <w:t>，天然气</w:t>
      </w:r>
      <w:r>
        <w:rPr>
          <w:rFonts w:cs="Times New Roman" w:hint="eastAsia"/>
          <w:sz w:val="24"/>
        </w:rPr>
        <w:t>8</w:t>
      </w:r>
      <w:r>
        <w:rPr>
          <w:rFonts w:cs="Times New Roman" w:hint="eastAsia"/>
          <w:sz w:val="24"/>
        </w:rPr>
        <w:t>×</w:t>
      </w:r>
      <w:r>
        <w:rPr>
          <w:rFonts w:cs="Times New Roman" w:hint="eastAsia"/>
          <w:sz w:val="24"/>
        </w:rPr>
        <w:t>10</w:t>
      </w:r>
      <w:r>
        <w:rPr>
          <w:rFonts w:cs="Times New Roman" w:hint="eastAsia"/>
          <w:sz w:val="24"/>
          <w:vertAlign w:val="superscript"/>
        </w:rPr>
        <w:t>4</w:t>
      </w:r>
      <w:r>
        <w:rPr>
          <w:rFonts w:cs="Times New Roman" w:hint="eastAsia"/>
          <w:sz w:val="24"/>
        </w:rPr>
        <w:t>m</w:t>
      </w:r>
      <w:r>
        <w:rPr>
          <w:rFonts w:cs="Times New Roman"/>
          <w:sz w:val="24"/>
          <w:vertAlign w:val="superscript"/>
        </w:rPr>
        <w:t>3</w:t>
      </w:r>
      <w:r>
        <w:rPr>
          <w:rFonts w:cs="Times New Roman"/>
          <w:sz w:val="24"/>
        </w:rPr>
        <w:t>/</w:t>
      </w:r>
      <w:r>
        <w:rPr>
          <w:rFonts w:cs="Times New Roman" w:hint="eastAsia"/>
          <w:sz w:val="24"/>
        </w:rPr>
        <w:t>d</w:t>
      </w:r>
      <w:r>
        <w:rPr>
          <w:rFonts w:hint="eastAsia"/>
        </w:rPr>
        <w:t>。</w:t>
      </w:r>
    </w:p>
    <w:p w:rsidR="00C645C9" w:rsidRDefault="00F955D9">
      <w:pPr>
        <w:pStyle w:val="2"/>
        <w:adjustRightInd w:val="0"/>
        <w:snapToGrid w:val="0"/>
        <w:spacing w:after="0" w:line="360" w:lineRule="auto"/>
        <w:rPr>
          <w:rFonts w:ascii="Times New Roman" w:hAnsi="Times New Roman" w:cs="Times New Roman"/>
          <w:color w:val="auto"/>
        </w:rPr>
      </w:pPr>
      <w:bookmarkStart w:id="1988" w:name="_Toc32279"/>
      <w:r>
        <w:rPr>
          <w:rFonts w:ascii="Times New Roman" w:hAnsi="Times New Roman" w:cs="Times New Roman" w:hint="eastAsia"/>
          <w:color w:val="auto"/>
          <w:lang w:eastAsia="zh-CN"/>
        </w:rPr>
        <w:t>10.2</w:t>
      </w:r>
      <w:hyperlink w:anchor="_Toc13157" w:history="1">
        <w:r>
          <w:rPr>
            <w:rFonts w:ascii="Times New Roman" w:hAnsi="Times New Roman" w:cs="Times New Roman" w:hint="eastAsia"/>
            <w:color w:val="auto"/>
          </w:rPr>
          <w:t>产业政策</w:t>
        </w:r>
        <w:r>
          <w:rPr>
            <w:rFonts w:ascii="Times New Roman" w:hAnsi="Times New Roman" w:cs="Times New Roman" w:hint="eastAsia"/>
            <w:color w:val="auto"/>
            <w:lang w:eastAsia="zh-CN"/>
          </w:rPr>
          <w:t>、选址</w:t>
        </w:r>
        <w:r>
          <w:rPr>
            <w:rFonts w:ascii="Times New Roman" w:hAnsi="Times New Roman" w:cs="Times New Roman" w:hint="eastAsia"/>
            <w:color w:val="auto"/>
          </w:rPr>
          <w:t>符合性</w:t>
        </w:r>
      </w:hyperlink>
      <w:bookmarkEnd w:id="1988"/>
    </w:p>
    <w:p w:rsidR="00C645C9" w:rsidRDefault="00F955D9" w:rsidP="005718BB">
      <w:pPr>
        <w:pStyle w:val="afff3"/>
        <w:adjustRightInd w:val="0"/>
        <w:snapToGrid w:val="0"/>
        <w:spacing w:beforeLines="0" w:before="0" w:afterLines="0" w:after="0" w:line="360" w:lineRule="auto"/>
        <w:ind w:firstLine="480"/>
        <w:jc w:val="both"/>
        <w:rPr>
          <w:sz w:val="24"/>
        </w:rPr>
      </w:pPr>
      <w:r>
        <w:rPr>
          <w:rFonts w:cs="Times New Roman"/>
          <w:sz w:val="24"/>
          <w:lang w:val="zh-CN"/>
        </w:rPr>
        <w:t>本</w:t>
      </w:r>
      <w:r>
        <w:rPr>
          <w:rFonts w:cs="Times New Roman" w:hint="eastAsia"/>
          <w:sz w:val="24"/>
        </w:rPr>
        <w:t>工程</w:t>
      </w:r>
      <w:r>
        <w:rPr>
          <w:rFonts w:cs="Times New Roman"/>
          <w:sz w:val="24"/>
          <w:lang w:val="zh-CN"/>
        </w:rPr>
        <w:t>属于</w:t>
      </w:r>
      <w:r>
        <w:rPr>
          <w:rFonts w:cs="Times New Roman"/>
          <w:bCs/>
          <w:sz w:val="24"/>
        </w:rPr>
        <w:t>石油和天然气开采项目</w:t>
      </w:r>
      <w:r>
        <w:rPr>
          <w:rFonts w:cs="Times New Roman"/>
          <w:sz w:val="24"/>
          <w:lang w:val="zh-CN"/>
        </w:rPr>
        <w:t>，</w:t>
      </w:r>
      <w:r>
        <w:rPr>
          <w:sz w:val="24"/>
        </w:rPr>
        <w:t>属于</w:t>
      </w:r>
      <w:r>
        <w:rPr>
          <w:rFonts w:cs="Times New Roman"/>
          <w:sz w:val="24"/>
          <w:lang w:val="zh-CN"/>
        </w:rPr>
        <w:t>《产业结构调整指导目录（</w:t>
      </w:r>
      <w:r>
        <w:rPr>
          <w:rFonts w:cs="Times New Roman"/>
          <w:sz w:val="24"/>
          <w:lang w:val="zh-CN"/>
        </w:rPr>
        <w:t>20</w:t>
      </w:r>
      <w:r>
        <w:rPr>
          <w:rFonts w:cs="Times New Roman"/>
          <w:sz w:val="24"/>
        </w:rPr>
        <w:t>24</w:t>
      </w:r>
      <w:r>
        <w:rPr>
          <w:rFonts w:cs="Times New Roman"/>
          <w:sz w:val="24"/>
          <w:lang w:val="zh-CN"/>
        </w:rPr>
        <w:t>年本）》</w:t>
      </w:r>
      <w:r>
        <w:rPr>
          <w:sz w:val="24"/>
        </w:rPr>
        <w:t>中国家鼓励发展的产业，项目建设</w:t>
      </w:r>
      <w:r>
        <w:rPr>
          <w:rFonts w:hint="eastAsia"/>
          <w:sz w:val="24"/>
        </w:rPr>
        <w:t>符合《</w:t>
      </w:r>
      <w:bookmarkStart w:id="1989" w:name="OLE_LINK966"/>
      <w:r>
        <w:rPr>
          <w:rFonts w:hint="eastAsia"/>
          <w:sz w:val="24"/>
        </w:rPr>
        <w:t>新疆维吾尔自治区重点行业生态环境准入条件</w:t>
      </w:r>
      <w:bookmarkEnd w:id="1989"/>
      <w:r>
        <w:rPr>
          <w:rFonts w:hint="eastAsia"/>
          <w:sz w:val="24"/>
        </w:rPr>
        <w:t>（</w:t>
      </w:r>
      <w:r>
        <w:rPr>
          <w:rFonts w:hint="eastAsia"/>
          <w:sz w:val="24"/>
        </w:rPr>
        <w:t>2024</w:t>
      </w:r>
      <w:r>
        <w:rPr>
          <w:rFonts w:hint="eastAsia"/>
          <w:sz w:val="24"/>
        </w:rPr>
        <w:t>年）》（新环环评发〔</w:t>
      </w:r>
      <w:r>
        <w:rPr>
          <w:rFonts w:hint="eastAsia"/>
          <w:sz w:val="24"/>
        </w:rPr>
        <w:t>2024</w:t>
      </w:r>
      <w:r>
        <w:rPr>
          <w:rFonts w:hint="eastAsia"/>
          <w:sz w:val="24"/>
        </w:rPr>
        <w:t>〕</w:t>
      </w:r>
      <w:r>
        <w:rPr>
          <w:rFonts w:hint="eastAsia"/>
          <w:sz w:val="24"/>
        </w:rPr>
        <w:t>93</w:t>
      </w:r>
      <w:r>
        <w:rPr>
          <w:rFonts w:hint="eastAsia"/>
          <w:sz w:val="24"/>
        </w:rPr>
        <w:t>号）要求，</w:t>
      </w:r>
      <w:r>
        <w:rPr>
          <w:sz w:val="24"/>
        </w:rPr>
        <w:t>符合国家</w:t>
      </w:r>
      <w:r>
        <w:rPr>
          <w:rFonts w:hint="eastAsia"/>
          <w:sz w:val="24"/>
        </w:rPr>
        <w:t>和自治区</w:t>
      </w:r>
      <w:r>
        <w:rPr>
          <w:sz w:val="24"/>
        </w:rPr>
        <w:t>的相关产业政策。</w:t>
      </w:r>
      <w:r>
        <w:rPr>
          <w:rFonts w:cs="Times New Roman"/>
          <w:sz w:val="24"/>
          <w:lang w:val="zh-CN"/>
        </w:rPr>
        <w:t>本</w:t>
      </w:r>
      <w:r>
        <w:rPr>
          <w:rFonts w:cs="Times New Roman" w:hint="eastAsia"/>
          <w:sz w:val="24"/>
        </w:rPr>
        <w:t>工程</w:t>
      </w:r>
      <w:r>
        <w:rPr>
          <w:rFonts w:cs="Times New Roman"/>
          <w:sz w:val="24"/>
        </w:rPr>
        <w:t>选址符合生态环境分区管控要求</w:t>
      </w:r>
      <w:r>
        <w:rPr>
          <w:rFonts w:cs="Times New Roman" w:hint="eastAsia"/>
          <w:sz w:val="24"/>
        </w:rPr>
        <w:t>，</w:t>
      </w:r>
      <w:r>
        <w:rPr>
          <w:rFonts w:cs="Times New Roman"/>
          <w:sz w:val="24"/>
        </w:rPr>
        <w:t>建成后所在区域的环境功能不会降低，对环境的影响属可接受的范围，选址基本合理</w:t>
      </w:r>
      <w:r>
        <w:rPr>
          <w:rFonts w:cs="Times New Roman"/>
          <w:sz w:val="24"/>
        </w:rPr>
        <w:t>。</w:t>
      </w:r>
    </w:p>
    <w:bookmarkStart w:id="1990" w:name="_Toc19769"/>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_Toc14513 </w:instrText>
      </w:r>
      <w:r>
        <w:rPr>
          <w:rFonts w:ascii="Times New Roman" w:hAnsi="Times New Roman" w:cs="Times New Roman" w:hint="eastAsia"/>
          <w:color w:val="auto"/>
        </w:rPr>
        <w:fldChar w:fldCharType="separate"/>
      </w:r>
      <w:r>
        <w:rPr>
          <w:rFonts w:ascii="Times New Roman" w:hAnsi="Times New Roman" w:cs="Times New Roman" w:hint="eastAsia"/>
          <w:color w:val="auto"/>
        </w:rPr>
        <w:t>10.</w:t>
      </w:r>
      <w:r>
        <w:rPr>
          <w:rFonts w:ascii="Times New Roman" w:hAnsi="Times New Roman" w:cs="Times New Roman" w:hint="eastAsia"/>
          <w:color w:val="auto"/>
          <w:lang w:eastAsia="zh-CN"/>
        </w:rPr>
        <w:t>3</w:t>
      </w:r>
      <w:r>
        <w:rPr>
          <w:rFonts w:ascii="Times New Roman" w:hAnsi="Times New Roman" w:cs="Times New Roman" w:hint="eastAsia"/>
          <w:color w:val="auto"/>
        </w:rPr>
        <w:t>环境</w:t>
      </w:r>
      <w:r>
        <w:rPr>
          <w:rFonts w:ascii="Times New Roman" w:hAnsi="Times New Roman" w:cs="Times New Roman" w:hint="eastAsia"/>
          <w:color w:val="auto"/>
          <w:lang w:eastAsia="zh-CN"/>
        </w:rPr>
        <w:t>质量</w:t>
      </w:r>
      <w:r>
        <w:rPr>
          <w:rFonts w:ascii="Times New Roman" w:hAnsi="Times New Roman" w:cs="Times New Roman" w:hint="eastAsia"/>
          <w:color w:val="auto"/>
        </w:rPr>
        <w:t>现状</w:t>
      </w:r>
      <w:r>
        <w:rPr>
          <w:rFonts w:ascii="Times New Roman" w:hAnsi="Times New Roman" w:cs="Times New Roman" w:hint="eastAsia"/>
          <w:color w:val="auto"/>
        </w:rPr>
        <w:fldChar w:fldCharType="end"/>
      </w:r>
      <w:bookmarkEnd w:id="1990"/>
    </w:p>
    <w:p w:rsidR="00C645C9" w:rsidRDefault="00F955D9" w:rsidP="005718BB">
      <w:pPr>
        <w:pStyle w:val="afff3"/>
        <w:adjustRightInd w:val="0"/>
        <w:snapToGrid w:val="0"/>
        <w:spacing w:beforeLines="0" w:before="0" w:afterLines="0" w:after="0" w:line="360" w:lineRule="auto"/>
        <w:ind w:firstLine="480"/>
        <w:outlineLvl w:val="2"/>
        <w:rPr>
          <w:rFonts w:cs="Times New Roman"/>
          <w:sz w:val="24"/>
        </w:rPr>
      </w:pPr>
      <w:bookmarkStart w:id="1991" w:name="_Toc2759"/>
      <w:bookmarkStart w:id="1992" w:name="_Toc3240"/>
      <w:r>
        <w:rPr>
          <w:rFonts w:cs="Times New Roman"/>
          <w:sz w:val="24"/>
        </w:rPr>
        <w:t>（</w:t>
      </w:r>
      <w:r>
        <w:rPr>
          <w:rFonts w:cs="Times New Roman"/>
          <w:sz w:val="24"/>
        </w:rPr>
        <w:t>1</w:t>
      </w:r>
      <w:r>
        <w:rPr>
          <w:rFonts w:cs="Times New Roman"/>
          <w:sz w:val="24"/>
        </w:rPr>
        <w:t>）环境空气质量现状</w:t>
      </w:r>
      <w:bookmarkEnd w:id="1991"/>
      <w:bookmarkEnd w:id="1992"/>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本工程所在区域为非达标区，监测期间非甲烷总烃</w:t>
      </w:r>
      <w:r>
        <w:rPr>
          <w:rFonts w:cs="Times New Roman"/>
          <w:sz w:val="24"/>
        </w:rPr>
        <w:t>1</w:t>
      </w:r>
      <w:r>
        <w:rPr>
          <w:rFonts w:cs="Times New Roman"/>
          <w:sz w:val="24"/>
        </w:rPr>
        <w:t>小时平均浓度未超过《大气污染物综合排放标准详解》中参考限值，</w:t>
      </w:r>
      <w:r>
        <w:rPr>
          <w:rFonts w:cs="Times New Roman"/>
          <w:sz w:val="24"/>
        </w:rPr>
        <w:t>H</w:t>
      </w:r>
      <w:r>
        <w:rPr>
          <w:rFonts w:cs="Times New Roman"/>
          <w:sz w:val="24"/>
          <w:vertAlign w:val="subscript"/>
        </w:rPr>
        <w:t>2</w:t>
      </w:r>
      <w:r>
        <w:rPr>
          <w:rFonts w:cs="Times New Roman"/>
          <w:sz w:val="24"/>
        </w:rPr>
        <w:t>S 1</w:t>
      </w:r>
      <w:r>
        <w:rPr>
          <w:rFonts w:cs="Times New Roman"/>
          <w:sz w:val="24"/>
        </w:rPr>
        <w:t>小时平均浓度未超过《环境影响评价技术导则大气环境》（</w:t>
      </w:r>
      <w:r>
        <w:rPr>
          <w:rFonts w:cs="Times New Roman"/>
          <w:sz w:val="24"/>
        </w:rPr>
        <w:t>HJ2.2-2018</w:t>
      </w:r>
      <w:r>
        <w:rPr>
          <w:rFonts w:cs="Times New Roman"/>
          <w:sz w:val="24"/>
        </w:rPr>
        <w:t>）附录</w:t>
      </w:r>
      <w:r>
        <w:rPr>
          <w:rFonts w:cs="Times New Roman"/>
          <w:sz w:val="24"/>
        </w:rPr>
        <w:t>D</w:t>
      </w:r>
      <w:r>
        <w:rPr>
          <w:rFonts w:cs="Times New Roman"/>
          <w:sz w:val="24"/>
        </w:rPr>
        <w:t>中的浓度限值。</w:t>
      </w:r>
    </w:p>
    <w:p w:rsidR="00C645C9" w:rsidRDefault="00F955D9" w:rsidP="005718BB">
      <w:pPr>
        <w:pStyle w:val="afff3"/>
        <w:adjustRightInd w:val="0"/>
        <w:snapToGrid w:val="0"/>
        <w:spacing w:beforeLines="0" w:before="0" w:afterLines="0" w:after="0" w:line="360" w:lineRule="auto"/>
        <w:ind w:firstLine="480"/>
        <w:outlineLvl w:val="2"/>
        <w:rPr>
          <w:rFonts w:cs="Times New Roman"/>
          <w:sz w:val="24"/>
        </w:rPr>
      </w:pPr>
      <w:bookmarkStart w:id="1993" w:name="_Toc22392"/>
      <w:bookmarkStart w:id="1994" w:name="_Toc26296"/>
      <w:r>
        <w:rPr>
          <w:rFonts w:cs="Times New Roman"/>
          <w:sz w:val="24"/>
        </w:rPr>
        <w:t>（</w:t>
      </w:r>
      <w:r>
        <w:rPr>
          <w:rFonts w:cs="Times New Roman"/>
          <w:sz w:val="24"/>
        </w:rPr>
        <w:t>2</w:t>
      </w:r>
      <w:r>
        <w:rPr>
          <w:rFonts w:cs="Times New Roman"/>
          <w:sz w:val="24"/>
        </w:rPr>
        <w:t>）水环境质量现状</w:t>
      </w:r>
      <w:bookmarkEnd w:id="1993"/>
      <w:bookmarkEnd w:id="1994"/>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地下水监测结果表明：在监测期，评价范围的各水井各项监测因子除</w:t>
      </w:r>
      <w:r>
        <w:rPr>
          <w:rFonts w:cs="Times New Roman"/>
          <w:sz w:val="24"/>
        </w:rPr>
        <w:t>总硬度、溶解性总固体、硫酸盐、氯化物</w:t>
      </w:r>
      <w:r>
        <w:rPr>
          <w:rFonts w:cs="Times New Roman"/>
          <w:sz w:val="24"/>
        </w:rPr>
        <w:t>等出现不同程度的超标，超出《地下水质量标准》（</w:t>
      </w:r>
      <w:r>
        <w:rPr>
          <w:rFonts w:cs="Times New Roman"/>
          <w:sz w:val="24"/>
        </w:rPr>
        <w:t>GB/T14848-2017</w:t>
      </w:r>
      <w:r>
        <w:rPr>
          <w:rFonts w:cs="Times New Roman"/>
          <w:sz w:val="24"/>
        </w:rPr>
        <w:t>）的</w:t>
      </w:r>
      <w:r>
        <w:rPr>
          <w:rFonts w:cs="Times New Roman"/>
          <w:sz w:val="24"/>
        </w:rPr>
        <w:t>Ⅲ</w:t>
      </w:r>
      <w:r>
        <w:rPr>
          <w:rFonts w:cs="Times New Roman"/>
          <w:sz w:val="24"/>
        </w:rPr>
        <w:t>类标准限值，除此之外的其他项目均符合《地下水质量标准》（</w:t>
      </w:r>
      <w:r>
        <w:rPr>
          <w:rFonts w:cs="Times New Roman"/>
          <w:sz w:val="24"/>
        </w:rPr>
        <w:t>GB/T14848-2017</w:t>
      </w:r>
      <w:r>
        <w:rPr>
          <w:rFonts w:cs="Times New Roman"/>
          <w:sz w:val="24"/>
        </w:rPr>
        <w:t>）中</w:t>
      </w:r>
      <w:r>
        <w:rPr>
          <w:rFonts w:cs="Times New Roman"/>
          <w:sz w:val="24"/>
        </w:rPr>
        <w:t>Ⅲ</w:t>
      </w:r>
      <w:r>
        <w:rPr>
          <w:rFonts w:cs="Times New Roman"/>
          <w:sz w:val="24"/>
        </w:rPr>
        <w:t>类标准限值的要求（</w:t>
      </w:r>
      <w:r>
        <w:rPr>
          <w:rFonts w:cs="Times New Roman"/>
          <w:sz w:val="24"/>
          <w:lang w:bidi="ar"/>
        </w:rPr>
        <w:t>石油类符合《地表水环境质量标准》（</w:t>
      </w:r>
      <w:r>
        <w:rPr>
          <w:rFonts w:cs="Times New Roman"/>
          <w:sz w:val="24"/>
          <w:lang w:bidi="ar"/>
        </w:rPr>
        <w:t>GB3838-2002</w:t>
      </w:r>
      <w:r>
        <w:rPr>
          <w:rFonts w:cs="Times New Roman"/>
          <w:sz w:val="24"/>
          <w:lang w:bidi="ar"/>
        </w:rPr>
        <w:t>）中的</w:t>
      </w:r>
      <w:r>
        <w:rPr>
          <w:rFonts w:cs="Times New Roman"/>
          <w:sz w:val="24"/>
          <w:lang w:bidi="ar"/>
        </w:rPr>
        <w:t>Ⅲ</w:t>
      </w:r>
      <w:r>
        <w:rPr>
          <w:rFonts w:cs="Times New Roman"/>
          <w:sz w:val="24"/>
          <w:lang w:bidi="ar"/>
        </w:rPr>
        <w:t>类标准</w:t>
      </w:r>
      <w:r>
        <w:rPr>
          <w:rFonts w:cs="Times New Roman"/>
          <w:sz w:val="24"/>
        </w:rPr>
        <w:t>）。超标原因与区域原生水文地质条件有关。</w:t>
      </w:r>
    </w:p>
    <w:p w:rsidR="00C645C9" w:rsidRDefault="00F955D9" w:rsidP="005718BB">
      <w:pPr>
        <w:pStyle w:val="afff3"/>
        <w:adjustRightInd w:val="0"/>
        <w:snapToGrid w:val="0"/>
        <w:spacing w:beforeLines="0" w:before="0" w:afterLines="0" w:after="0" w:line="360" w:lineRule="auto"/>
        <w:ind w:firstLine="480"/>
        <w:outlineLvl w:val="2"/>
        <w:rPr>
          <w:rFonts w:cs="Times New Roman"/>
          <w:sz w:val="24"/>
        </w:rPr>
      </w:pPr>
      <w:bookmarkStart w:id="1995" w:name="_Toc32166"/>
      <w:bookmarkStart w:id="1996" w:name="_Toc19228"/>
      <w:r>
        <w:rPr>
          <w:rFonts w:cs="Times New Roman"/>
          <w:sz w:val="24"/>
        </w:rPr>
        <w:lastRenderedPageBreak/>
        <w:t>（</w:t>
      </w:r>
      <w:r>
        <w:rPr>
          <w:rFonts w:cs="Times New Roman"/>
          <w:sz w:val="24"/>
        </w:rPr>
        <w:t>3</w:t>
      </w:r>
      <w:r>
        <w:rPr>
          <w:rFonts w:cs="Times New Roman"/>
          <w:sz w:val="24"/>
        </w:rPr>
        <w:t>）声环境质量现状</w:t>
      </w:r>
      <w:bookmarkEnd w:id="1995"/>
      <w:bookmarkEnd w:id="1996"/>
    </w:p>
    <w:p w:rsidR="00C645C9" w:rsidRDefault="00F955D9" w:rsidP="005718BB">
      <w:pPr>
        <w:pStyle w:val="afff3"/>
        <w:adjustRightInd w:val="0"/>
        <w:snapToGrid w:val="0"/>
        <w:spacing w:beforeLines="0" w:before="0" w:afterLines="0" w:after="0" w:line="360" w:lineRule="auto"/>
        <w:ind w:firstLine="480"/>
        <w:jc w:val="both"/>
        <w:rPr>
          <w:rFonts w:cs="Times New Roman"/>
          <w:sz w:val="24"/>
        </w:rPr>
      </w:pPr>
      <w:r>
        <w:rPr>
          <w:rFonts w:cs="Times New Roman"/>
          <w:sz w:val="24"/>
        </w:rPr>
        <w:t>在评价期内，</w:t>
      </w:r>
      <w:r>
        <w:rPr>
          <w:rFonts w:cs="Times New Roman" w:hint="eastAsia"/>
          <w:sz w:val="24"/>
        </w:rPr>
        <w:t>本工程</w:t>
      </w:r>
      <w:r>
        <w:rPr>
          <w:rFonts w:cs="Times New Roman"/>
          <w:sz w:val="24"/>
        </w:rPr>
        <w:t>所在区域声环境质量均满足《声环境质量标准》（</w:t>
      </w:r>
      <w:r>
        <w:rPr>
          <w:rFonts w:cs="Times New Roman"/>
          <w:sz w:val="24"/>
        </w:rPr>
        <w:t>GB3096-2008</w:t>
      </w:r>
      <w:r>
        <w:rPr>
          <w:rFonts w:cs="Times New Roman"/>
          <w:sz w:val="24"/>
        </w:rPr>
        <w:t>）中</w:t>
      </w:r>
      <w:r>
        <w:rPr>
          <w:rFonts w:cs="Times New Roman"/>
          <w:sz w:val="24"/>
        </w:rPr>
        <w:t>2</w:t>
      </w:r>
      <w:r>
        <w:rPr>
          <w:rFonts w:cs="Times New Roman"/>
          <w:sz w:val="24"/>
        </w:rPr>
        <w:t>类标准要求，已建井场的厂界噪声能满足《工业企业厂界环境噪声排放标准》（</w:t>
      </w:r>
      <w:r>
        <w:rPr>
          <w:rFonts w:cs="Times New Roman"/>
          <w:sz w:val="24"/>
        </w:rPr>
        <w:t>GB 12348-2008</w:t>
      </w:r>
      <w:r>
        <w:rPr>
          <w:rFonts w:cs="Times New Roman"/>
          <w:sz w:val="24"/>
        </w:rPr>
        <w:t>）中</w:t>
      </w:r>
      <w:r>
        <w:rPr>
          <w:rFonts w:cs="Times New Roman"/>
          <w:sz w:val="24"/>
        </w:rPr>
        <w:t>2</w:t>
      </w:r>
      <w:r>
        <w:rPr>
          <w:rFonts w:cs="Times New Roman"/>
          <w:sz w:val="24"/>
        </w:rPr>
        <w:t>类标准要求。</w:t>
      </w:r>
    </w:p>
    <w:p w:rsidR="00C645C9" w:rsidRDefault="00F955D9" w:rsidP="005718BB">
      <w:pPr>
        <w:pStyle w:val="afff3"/>
        <w:adjustRightInd w:val="0"/>
        <w:snapToGrid w:val="0"/>
        <w:spacing w:beforeLines="0" w:before="0" w:afterLines="0" w:after="0" w:line="360" w:lineRule="auto"/>
        <w:ind w:firstLine="480"/>
        <w:outlineLvl w:val="2"/>
        <w:rPr>
          <w:rFonts w:cs="Times New Roman"/>
          <w:sz w:val="24"/>
        </w:rPr>
      </w:pPr>
      <w:bookmarkStart w:id="1997" w:name="_Toc17164"/>
      <w:bookmarkStart w:id="1998" w:name="_Toc29414"/>
      <w:r>
        <w:rPr>
          <w:rFonts w:cs="Times New Roman"/>
          <w:sz w:val="24"/>
        </w:rPr>
        <w:t>（</w:t>
      </w:r>
      <w:r>
        <w:rPr>
          <w:rFonts w:cs="Times New Roman"/>
          <w:sz w:val="24"/>
        </w:rPr>
        <w:t>4</w:t>
      </w:r>
      <w:r>
        <w:rPr>
          <w:rFonts w:cs="Times New Roman"/>
          <w:sz w:val="24"/>
        </w:rPr>
        <w:t>）土壤环境质量现状</w:t>
      </w:r>
      <w:bookmarkEnd w:id="1997"/>
      <w:bookmarkEnd w:id="1998"/>
    </w:p>
    <w:p w:rsidR="00C645C9" w:rsidRDefault="00F955D9" w:rsidP="005718BB">
      <w:pPr>
        <w:pStyle w:val="afff3"/>
        <w:adjustRightInd w:val="0"/>
        <w:snapToGrid w:val="0"/>
        <w:spacing w:beforeLines="0" w:before="0" w:afterLines="0" w:after="0" w:line="360" w:lineRule="auto"/>
        <w:ind w:firstLine="480"/>
        <w:rPr>
          <w:rFonts w:cs="Times New Roman"/>
          <w:sz w:val="24"/>
        </w:rPr>
      </w:pPr>
      <w:r>
        <w:rPr>
          <w:rFonts w:cs="Times New Roman"/>
          <w:sz w:val="24"/>
        </w:rPr>
        <w:t>土壤环境质量监测结果表明，本工程占地范围内各监测点位的所有监测因子的污染指数均小于</w:t>
      </w:r>
      <w:r>
        <w:rPr>
          <w:rFonts w:cs="Times New Roman"/>
          <w:sz w:val="24"/>
        </w:rPr>
        <w:t>1</w:t>
      </w:r>
      <w:r>
        <w:rPr>
          <w:rFonts w:cs="Times New Roman"/>
          <w:sz w:val="24"/>
        </w:rPr>
        <w:t>，满足《土壤环境质量</w:t>
      </w:r>
      <w:r>
        <w:rPr>
          <w:rFonts w:cs="Times New Roman"/>
          <w:sz w:val="24"/>
        </w:rPr>
        <w:t xml:space="preserve"> </w:t>
      </w:r>
      <w:r>
        <w:rPr>
          <w:rFonts w:cs="Times New Roman"/>
          <w:sz w:val="24"/>
        </w:rPr>
        <w:t>建设用地土壤污染风险管控标准</w:t>
      </w:r>
      <w:r>
        <w:rPr>
          <w:rFonts w:cs="Times New Roman"/>
          <w:sz w:val="24"/>
        </w:rPr>
        <w:t>（试行）</w:t>
      </w:r>
      <w:r w:rsidR="005718BB">
        <w:rPr>
          <w:rFonts w:cs="Times New Roman"/>
          <w:sz w:val="24"/>
        </w:rPr>
        <w:t>》</w:t>
      </w:r>
      <w:bookmarkStart w:id="1999" w:name="_GoBack"/>
      <w:bookmarkEnd w:id="1999"/>
      <w:r>
        <w:rPr>
          <w:rFonts w:cs="Times New Roman"/>
          <w:sz w:val="24"/>
        </w:rPr>
        <w:t>第二类用地筛选值标准；项目区占地范围外各监测点小于《土壤环境质量农用地土壤污染风险管控标准（试行）》（</w:t>
      </w:r>
      <w:r>
        <w:rPr>
          <w:rFonts w:cs="Times New Roman"/>
          <w:sz w:val="24"/>
        </w:rPr>
        <w:t>GB156 18-2018</w:t>
      </w:r>
      <w:r>
        <w:rPr>
          <w:rFonts w:cs="Times New Roman"/>
          <w:sz w:val="24"/>
        </w:rPr>
        <w:t>）中</w:t>
      </w:r>
      <w:r>
        <w:rPr>
          <w:rFonts w:cs="Times New Roman"/>
          <w:sz w:val="24"/>
        </w:rPr>
        <w:t>“</w:t>
      </w:r>
      <w:r>
        <w:rPr>
          <w:rFonts w:cs="Times New Roman"/>
          <w:sz w:val="24"/>
        </w:rPr>
        <w:t>表</w:t>
      </w:r>
      <w:r>
        <w:rPr>
          <w:rFonts w:cs="Times New Roman"/>
          <w:sz w:val="24"/>
        </w:rPr>
        <w:t>1</w:t>
      </w:r>
      <w:r>
        <w:rPr>
          <w:rFonts w:cs="Times New Roman"/>
          <w:sz w:val="24"/>
        </w:rPr>
        <w:t>农用地土壤污染风险</w:t>
      </w:r>
      <w:r>
        <w:rPr>
          <w:rFonts w:cs="Times New Roman"/>
          <w:sz w:val="24"/>
        </w:rPr>
        <w:t>筛选值（基本工程）</w:t>
      </w:r>
      <w:r>
        <w:rPr>
          <w:rFonts w:cs="Times New Roman"/>
          <w:sz w:val="24"/>
        </w:rPr>
        <w:t>”</w:t>
      </w:r>
      <w:r>
        <w:rPr>
          <w:rFonts w:cs="Times New Roman"/>
          <w:sz w:val="24"/>
        </w:rPr>
        <w:t>的</w:t>
      </w:r>
      <w:r>
        <w:rPr>
          <w:rFonts w:cs="Times New Roman"/>
          <w:sz w:val="24"/>
        </w:rPr>
        <w:t>6.5&lt;pH≤7.5</w:t>
      </w:r>
      <w:r>
        <w:rPr>
          <w:rFonts w:cs="Times New Roman"/>
          <w:sz w:val="24"/>
        </w:rPr>
        <w:t>所列标准；土壤中石油烃含量较低，满足《土壤环境质量建设用地土壤污染风险管控标准（试行）》（</w:t>
      </w:r>
      <w:r>
        <w:rPr>
          <w:rFonts w:cs="Times New Roman"/>
          <w:sz w:val="24"/>
        </w:rPr>
        <w:t>GB36600-2018</w:t>
      </w:r>
      <w:r>
        <w:rPr>
          <w:rFonts w:cs="Times New Roman"/>
          <w:sz w:val="24"/>
        </w:rPr>
        <w:t>）第二类用地风险筛选值要求。</w:t>
      </w:r>
    </w:p>
    <w:p w:rsidR="00C645C9" w:rsidRDefault="00F955D9" w:rsidP="005718BB">
      <w:pPr>
        <w:pStyle w:val="afff3"/>
        <w:adjustRightInd w:val="0"/>
        <w:snapToGrid w:val="0"/>
        <w:spacing w:beforeLines="0" w:before="0" w:afterLines="0" w:after="0" w:line="360" w:lineRule="auto"/>
        <w:ind w:firstLine="480"/>
        <w:outlineLvl w:val="2"/>
        <w:rPr>
          <w:rFonts w:cs="Times New Roman"/>
          <w:sz w:val="24"/>
        </w:rPr>
      </w:pPr>
      <w:bookmarkStart w:id="2000" w:name="_Toc13971"/>
      <w:bookmarkStart w:id="2001" w:name="_Toc29944"/>
      <w:r>
        <w:rPr>
          <w:rFonts w:cs="Times New Roman"/>
          <w:sz w:val="24"/>
        </w:rPr>
        <w:t>（</w:t>
      </w:r>
      <w:r>
        <w:rPr>
          <w:rFonts w:cs="Times New Roman"/>
          <w:sz w:val="24"/>
        </w:rPr>
        <w:t>5</w:t>
      </w:r>
      <w:r>
        <w:rPr>
          <w:rFonts w:cs="Times New Roman"/>
          <w:sz w:val="24"/>
        </w:rPr>
        <w:t>）生态环境质量现状</w:t>
      </w:r>
      <w:bookmarkEnd w:id="2000"/>
      <w:bookmarkEnd w:id="2001"/>
    </w:p>
    <w:p w:rsidR="00C645C9" w:rsidRDefault="00F955D9">
      <w:pPr>
        <w:adjustRightInd w:val="0"/>
        <w:snapToGrid w:val="0"/>
        <w:spacing w:line="360" w:lineRule="auto"/>
        <w:ind w:firstLineChars="200" w:firstLine="480"/>
        <w:rPr>
          <w:rFonts w:cs="Times New Roman"/>
        </w:rPr>
      </w:pPr>
      <w:r>
        <w:rPr>
          <w:rFonts w:hint="eastAsia"/>
        </w:rPr>
        <w:t>本工程主体工程分布在中国石油化工股份有限公司西北油田分公司天山南缘区块油气勘查区，项目所在区域地势较为平坦，属于渭干河三角洲绿洲农业盐渍化敏感生态功能区。评价区域内不涉及国家公园、自然保护区、自然公园等自然保护地、世界自然遗产、生态保护红线等法定生态保护区域，也没有重要物种的天然集中分布区、栖息地等重</w:t>
      </w:r>
      <w:r>
        <w:rPr>
          <w:rFonts w:hint="eastAsia"/>
        </w:rPr>
        <w:t>要生境，项目距离最近的生态保护红线是北侧</w:t>
      </w:r>
      <w:r>
        <w:rPr>
          <w:rFonts w:hint="eastAsia"/>
        </w:rPr>
        <w:t>36.7km</w:t>
      </w:r>
      <w:r>
        <w:rPr>
          <w:rFonts w:hint="eastAsia"/>
        </w:rPr>
        <w:t>的天山水源涵养与生物多样性维护生态保护红线区。生态保护目标主要为区域重要野生动植物、永久基本农田及水土流失重点治理区等</w:t>
      </w:r>
      <w:r>
        <w:rPr>
          <w:rFonts w:cs="Times New Roman"/>
        </w:rPr>
        <w:t>。</w:t>
      </w:r>
    </w:p>
    <w:p w:rsidR="00C645C9" w:rsidRDefault="00F955D9">
      <w:pPr>
        <w:pStyle w:val="2"/>
        <w:adjustRightInd w:val="0"/>
        <w:snapToGrid w:val="0"/>
        <w:spacing w:after="0" w:line="360" w:lineRule="auto"/>
        <w:rPr>
          <w:rFonts w:ascii="Times New Roman" w:hAnsi="Times New Roman" w:cs="Times New Roman"/>
          <w:color w:val="auto"/>
          <w:lang w:eastAsia="zh-CN"/>
        </w:rPr>
      </w:pPr>
      <w:bookmarkStart w:id="2002" w:name="_Toc20656"/>
      <w:r>
        <w:rPr>
          <w:rFonts w:ascii="Times New Roman" w:hAnsi="Times New Roman" w:cs="Times New Roman" w:hint="eastAsia"/>
          <w:color w:val="auto"/>
          <w:lang w:eastAsia="zh-CN"/>
        </w:rPr>
        <w:t>10.4</w:t>
      </w:r>
      <w:r>
        <w:rPr>
          <w:rFonts w:ascii="Times New Roman" w:hAnsi="Times New Roman" w:cs="Times New Roman" w:hint="eastAsia"/>
          <w:color w:val="auto"/>
          <w:lang w:eastAsia="zh-CN"/>
        </w:rPr>
        <w:t>污染物排放情况</w:t>
      </w:r>
      <w:bookmarkEnd w:id="2002"/>
    </w:p>
    <w:p w:rsidR="00C645C9" w:rsidRDefault="00F955D9" w:rsidP="005718BB">
      <w:pPr>
        <w:pStyle w:val="afff3"/>
        <w:adjustRightInd w:val="0"/>
        <w:snapToGrid w:val="0"/>
        <w:spacing w:beforeLines="0" w:before="0" w:afterLines="0" w:after="0" w:line="360" w:lineRule="auto"/>
        <w:ind w:firstLine="480"/>
        <w:rPr>
          <w:sz w:val="24"/>
        </w:rPr>
      </w:pPr>
      <w:r>
        <w:rPr>
          <w:sz w:val="24"/>
        </w:rPr>
        <w:t>本工程运营期污染物产生及排放情况详见表</w:t>
      </w:r>
      <w:r>
        <w:rPr>
          <w:rFonts w:hint="eastAsia"/>
          <w:sz w:val="24"/>
        </w:rPr>
        <w:t>10</w:t>
      </w:r>
      <w:r>
        <w:rPr>
          <w:sz w:val="24"/>
        </w:rPr>
        <w:t>.</w:t>
      </w:r>
      <w:r>
        <w:rPr>
          <w:rFonts w:hint="eastAsia"/>
          <w:sz w:val="24"/>
        </w:rPr>
        <w:t>4</w:t>
      </w:r>
      <w:r>
        <w:rPr>
          <w:sz w:val="24"/>
        </w:rPr>
        <w:t>-1</w:t>
      </w:r>
      <w:r>
        <w:rPr>
          <w:sz w:val="24"/>
        </w:rPr>
        <w:t>。</w:t>
      </w:r>
    </w:p>
    <w:p w:rsidR="00C645C9" w:rsidRDefault="00F955D9">
      <w:pPr>
        <w:pStyle w:val="af9"/>
        <w:adjustRightInd w:val="0"/>
        <w:snapToGrid w:val="0"/>
        <w:spacing w:line="240" w:lineRule="auto"/>
        <w:rPr>
          <w:rFonts w:eastAsia="黑体"/>
          <w:b w:val="0"/>
        </w:rPr>
      </w:pPr>
      <w:bookmarkStart w:id="2003" w:name="_Toc4304"/>
      <w:bookmarkStart w:id="2004" w:name="_Toc20160"/>
      <w:r>
        <w:rPr>
          <w:rFonts w:eastAsia="黑体"/>
          <w:b w:val="0"/>
        </w:rPr>
        <w:t>表</w:t>
      </w:r>
      <w:r>
        <w:rPr>
          <w:rFonts w:eastAsia="黑体" w:hint="eastAsia"/>
          <w:b w:val="0"/>
        </w:rPr>
        <w:t>10</w:t>
      </w:r>
      <w:r>
        <w:rPr>
          <w:rFonts w:eastAsia="黑体"/>
          <w:b w:val="0"/>
        </w:rPr>
        <w:t>.</w:t>
      </w:r>
      <w:r>
        <w:rPr>
          <w:rFonts w:eastAsia="黑体" w:hint="eastAsia"/>
          <w:b w:val="0"/>
        </w:rPr>
        <w:t>4</w:t>
      </w:r>
      <w:r>
        <w:rPr>
          <w:rFonts w:eastAsia="黑体"/>
          <w:b w:val="0"/>
        </w:rPr>
        <w:t xml:space="preserve">-1    </w:t>
      </w:r>
      <w:r>
        <w:rPr>
          <w:rFonts w:eastAsia="黑体"/>
          <w:b w:val="0"/>
        </w:rPr>
        <w:t>污染物产排情况一览表</w:t>
      </w:r>
      <w:bookmarkEnd w:id="2003"/>
      <w:bookmarkEnd w:id="2004"/>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609"/>
        <w:gridCol w:w="1735"/>
        <w:gridCol w:w="1372"/>
        <w:gridCol w:w="1314"/>
        <w:gridCol w:w="2048"/>
      </w:tblGrid>
      <w:tr w:rsidR="00C645C9">
        <w:trPr>
          <w:trHeight w:val="91"/>
          <w:jc w:val="center"/>
        </w:trPr>
        <w:tc>
          <w:tcPr>
            <w:tcW w:w="664" w:type="dxa"/>
            <w:vAlign w:val="center"/>
          </w:tcPr>
          <w:p w:rsidR="00C645C9" w:rsidRDefault="00F955D9">
            <w:pPr>
              <w:pStyle w:val="afa"/>
              <w:shd w:val="clear" w:color="auto" w:fill="auto"/>
              <w:rPr>
                <w:szCs w:val="21"/>
              </w:rPr>
            </w:pPr>
            <w:r>
              <w:rPr>
                <w:szCs w:val="21"/>
              </w:rPr>
              <w:t>工段</w:t>
            </w:r>
          </w:p>
        </w:tc>
        <w:tc>
          <w:tcPr>
            <w:tcW w:w="1609" w:type="dxa"/>
            <w:vAlign w:val="center"/>
          </w:tcPr>
          <w:p w:rsidR="00C645C9" w:rsidRDefault="00F955D9">
            <w:pPr>
              <w:pStyle w:val="afa"/>
              <w:shd w:val="clear" w:color="auto" w:fill="auto"/>
              <w:rPr>
                <w:szCs w:val="21"/>
              </w:rPr>
            </w:pPr>
            <w:r>
              <w:rPr>
                <w:szCs w:val="21"/>
              </w:rPr>
              <w:t>污染源</w:t>
            </w:r>
          </w:p>
        </w:tc>
        <w:tc>
          <w:tcPr>
            <w:tcW w:w="1735" w:type="dxa"/>
            <w:vAlign w:val="center"/>
          </w:tcPr>
          <w:p w:rsidR="00C645C9" w:rsidRDefault="00F955D9">
            <w:pPr>
              <w:pStyle w:val="afa"/>
              <w:shd w:val="clear" w:color="auto" w:fill="auto"/>
              <w:rPr>
                <w:szCs w:val="21"/>
              </w:rPr>
            </w:pPr>
            <w:r>
              <w:rPr>
                <w:szCs w:val="21"/>
              </w:rPr>
              <w:t>主要污染物</w:t>
            </w:r>
          </w:p>
        </w:tc>
        <w:tc>
          <w:tcPr>
            <w:tcW w:w="1372" w:type="dxa"/>
            <w:vAlign w:val="center"/>
          </w:tcPr>
          <w:p w:rsidR="00C645C9" w:rsidRDefault="00F955D9">
            <w:pPr>
              <w:pStyle w:val="afa"/>
              <w:shd w:val="clear" w:color="auto" w:fill="auto"/>
              <w:rPr>
                <w:szCs w:val="21"/>
              </w:rPr>
            </w:pPr>
            <w:r>
              <w:rPr>
                <w:szCs w:val="21"/>
              </w:rPr>
              <w:t>产生量</w:t>
            </w:r>
          </w:p>
        </w:tc>
        <w:tc>
          <w:tcPr>
            <w:tcW w:w="1314" w:type="dxa"/>
            <w:vAlign w:val="center"/>
          </w:tcPr>
          <w:p w:rsidR="00C645C9" w:rsidRDefault="00F955D9">
            <w:pPr>
              <w:pStyle w:val="afa"/>
              <w:shd w:val="clear" w:color="auto" w:fill="auto"/>
              <w:rPr>
                <w:szCs w:val="21"/>
              </w:rPr>
            </w:pPr>
            <w:r>
              <w:rPr>
                <w:szCs w:val="21"/>
              </w:rPr>
              <w:t>排放量</w:t>
            </w:r>
          </w:p>
        </w:tc>
        <w:tc>
          <w:tcPr>
            <w:tcW w:w="2048" w:type="dxa"/>
            <w:vAlign w:val="center"/>
          </w:tcPr>
          <w:p w:rsidR="00C645C9" w:rsidRDefault="00F955D9">
            <w:pPr>
              <w:pStyle w:val="afa"/>
              <w:shd w:val="clear" w:color="auto" w:fill="auto"/>
              <w:rPr>
                <w:szCs w:val="21"/>
              </w:rPr>
            </w:pPr>
            <w:r>
              <w:rPr>
                <w:szCs w:val="21"/>
              </w:rPr>
              <w:t>排放去向</w:t>
            </w:r>
          </w:p>
        </w:tc>
      </w:tr>
      <w:tr w:rsidR="00C645C9">
        <w:trPr>
          <w:jc w:val="center"/>
        </w:trPr>
        <w:tc>
          <w:tcPr>
            <w:tcW w:w="664" w:type="dxa"/>
            <w:vMerge w:val="restart"/>
            <w:vAlign w:val="center"/>
          </w:tcPr>
          <w:p w:rsidR="00C645C9" w:rsidRDefault="00F955D9">
            <w:pPr>
              <w:pStyle w:val="afa"/>
              <w:shd w:val="clear" w:color="auto" w:fill="auto"/>
              <w:rPr>
                <w:szCs w:val="21"/>
              </w:rPr>
            </w:pPr>
            <w:r>
              <w:rPr>
                <w:szCs w:val="21"/>
              </w:rPr>
              <w:t>废气</w:t>
            </w:r>
          </w:p>
        </w:tc>
        <w:tc>
          <w:tcPr>
            <w:tcW w:w="1609" w:type="dxa"/>
            <w:vMerge w:val="restart"/>
            <w:vAlign w:val="center"/>
          </w:tcPr>
          <w:p w:rsidR="00C645C9" w:rsidRDefault="00F955D9">
            <w:pPr>
              <w:pStyle w:val="afa"/>
              <w:shd w:val="clear" w:color="auto" w:fill="auto"/>
              <w:rPr>
                <w:szCs w:val="21"/>
              </w:rPr>
            </w:pPr>
            <w:r>
              <w:rPr>
                <w:szCs w:val="21"/>
              </w:rPr>
              <w:t>有组织排放</w:t>
            </w:r>
          </w:p>
        </w:tc>
        <w:tc>
          <w:tcPr>
            <w:tcW w:w="1735" w:type="dxa"/>
            <w:vAlign w:val="center"/>
          </w:tcPr>
          <w:p w:rsidR="00C645C9" w:rsidRDefault="00F955D9">
            <w:pPr>
              <w:pStyle w:val="afa"/>
              <w:shd w:val="clear" w:color="auto" w:fill="auto"/>
              <w:rPr>
                <w:szCs w:val="21"/>
              </w:rPr>
            </w:pPr>
            <w:r>
              <w:rPr>
                <w:szCs w:val="21"/>
              </w:rPr>
              <w:t>SO</w:t>
            </w:r>
            <w:r>
              <w:rPr>
                <w:szCs w:val="21"/>
                <w:vertAlign w:val="subscript"/>
              </w:rPr>
              <w:t>2</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1314" w:type="dxa"/>
            <w:vAlign w:val="center"/>
          </w:tcPr>
          <w:p w:rsidR="00C645C9" w:rsidRDefault="00F955D9">
            <w:pPr>
              <w:pStyle w:val="afa"/>
              <w:shd w:val="clear" w:color="auto" w:fill="auto"/>
              <w:rPr>
                <w:szCs w:val="21"/>
              </w:rPr>
            </w:pPr>
            <w:r>
              <w:rPr>
                <w:szCs w:val="21"/>
              </w:rPr>
              <w:t>0.0</w:t>
            </w:r>
            <w:r>
              <w:rPr>
                <w:rFonts w:hint="eastAsia"/>
                <w:szCs w:val="21"/>
              </w:rPr>
              <w:t>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NOx</w:t>
            </w:r>
          </w:p>
        </w:tc>
        <w:tc>
          <w:tcPr>
            <w:tcW w:w="1372"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颗粒物</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08</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r>
              <w:rPr>
                <w:szCs w:val="21"/>
              </w:rPr>
              <w:t>0.</w:t>
            </w:r>
            <w:r>
              <w:rPr>
                <w:rFonts w:hint="eastAsia"/>
                <w:szCs w:val="21"/>
              </w:rPr>
              <w:t>126</w:t>
            </w:r>
            <w:r>
              <w:rPr>
                <w:szCs w:val="21"/>
              </w:rPr>
              <w:t>t/a</w:t>
            </w:r>
          </w:p>
        </w:tc>
        <w:tc>
          <w:tcPr>
            <w:tcW w:w="1314" w:type="dxa"/>
            <w:vAlign w:val="center"/>
          </w:tcPr>
          <w:p w:rsidR="00C645C9" w:rsidRDefault="00F955D9">
            <w:pPr>
              <w:pStyle w:val="afa"/>
              <w:shd w:val="clear" w:color="auto" w:fill="auto"/>
              <w:rPr>
                <w:szCs w:val="21"/>
              </w:rPr>
            </w:pPr>
            <w:r>
              <w:rPr>
                <w:szCs w:val="21"/>
              </w:rPr>
              <w:t>0.</w:t>
            </w:r>
            <w:r>
              <w:rPr>
                <w:rFonts w:hint="eastAsia"/>
                <w:szCs w:val="21"/>
              </w:rPr>
              <w:t>126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restart"/>
            <w:vAlign w:val="center"/>
          </w:tcPr>
          <w:p w:rsidR="00C645C9" w:rsidRDefault="00F955D9">
            <w:pPr>
              <w:pStyle w:val="afa"/>
              <w:shd w:val="clear" w:color="auto" w:fill="auto"/>
              <w:rPr>
                <w:szCs w:val="21"/>
              </w:rPr>
            </w:pPr>
            <w:r>
              <w:rPr>
                <w:szCs w:val="21"/>
              </w:rPr>
              <w:t>无组织排放</w:t>
            </w:r>
          </w:p>
        </w:tc>
        <w:tc>
          <w:tcPr>
            <w:tcW w:w="1735" w:type="dxa"/>
            <w:vAlign w:val="center"/>
          </w:tcPr>
          <w:p w:rsidR="00C645C9" w:rsidRDefault="00F955D9">
            <w:pPr>
              <w:pStyle w:val="afa"/>
              <w:shd w:val="clear" w:color="auto" w:fill="auto"/>
              <w:rPr>
                <w:szCs w:val="21"/>
              </w:rPr>
            </w:pPr>
            <w:r>
              <w:rPr>
                <w:szCs w:val="21"/>
              </w:rPr>
              <w:t>非甲烷总烃</w:t>
            </w:r>
          </w:p>
        </w:tc>
        <w:tc>
          <w:tcPr>
            <w:tcW w:w="1372" w:type="dxa"/>
            <w:vAlign w:val="center"/>
          </w:tcPr>
          <w:p w:rsidR="00C645C9" w:rsidRDefault="00F955D9">
            <w:pPr>
              <w:pStyle w:val="afa"/>
              <w:shd w:val="clear" w:color="auto" w:fill="auto"/>
              <w:rPr>
                <w:szCs w:val="21"/>
              </w:rPr>
            </w:pPr>
            <w:r>
              <w:rPr>
                <w:rFonts w:hint="eastAsia"/>
                <w:szCs w:val="21"/>
              </w:rPr>
              <w:t>8.336</w:t>
            </w:r>
            <w:r>
              <w:rPr>
                <w:szCs w:val="21"/>
              </w:rPr>
              <w:t>t/a</w:t>
            </w:r>
          </w:p>
        </w:tc>
        <w:tc>
          <w:tcPr>
            <w:tcW w:w="1314" w:type="dxa"/>
            <w:vAlign w:val="center"/>
          </w:tcPr>
          <w:p w:rsidR="00C645C9" w:rsidRDefault="00F955D9">
            <w:pPr>
              <w:pStyle w:val="afa"/>
              <w:shd w:val="clear" w:color="auto" w:fill="auto"/>
              <w:rPr>
                <w:szCs w:val="21"/>
              </w:rPr>
            </w:pPr>
            <w:r>
              <w:rPr>
                <w:rFonts w:hint="eastAsia"/>
                <w:szCs w:val="21"/>
              </w:rPr>
              <w:t>8.336</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trHeight w:val="90"/>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硫化氢</w:t>
            </w:r>
          </w:p>
        </w:tc>
        <w:tc>
          <w:tcPr>
            <w:tcW w:w="1372" w:type="dxa"/>
            <w:vAlign w:val="center"/>
          </w:tcPr>
          <w:p w:rsidR="00C645C9" w:rsidRDefault="00F955D9">
            <w:pPr>
              <w:pStyle w:val="afa"/>
              <w:shd w:val="clear" w:color="auto" w:fill="auto"/>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t/a</w:t>
            </w:r>
          </w:p>
        </w:tc>
        <w:tc>
          <w:tcPr>
            <w:tcW w:w="1314" w:type="dxa"/>
            <w:vAlign w:val="center"/>
          </w:tcPr>
          <w:p w:rsidR="00C645C9" w:rsidRDefault="00F955D9">
            <w:pPr>
              <w:pStyle w:val="afa"/>
              <w:shd w:val="clear" w:color="auto" w:fill="auto"/>
              <w:rPr>
                <w:szCs w:val="21"/>
              </w:rPr>
            </w:pPr>
            <w:r>
              <w:rPr>
                <w:rFonts w:hint="eastAsia"/>
                <w:szCs w:val="21"/>
              </w:rPr>
              <w:t>2</w:t>
            </w:r>
            <w:r>
              <w:rPr>
                <w:szCs w:val="21"/>
              </w:rPr>
              <w:t>×</w:t>
            </w:r>
            <w:r>
              <w:rPr>
                <w:rFonts w:hint="eastAsia"/>
                <w:szCs w:val="21"/>
              </w:rPr>
              <w:t>10</w:t>
            </w:r>
            <w:r>
              <w:rPr>
                <w:rFonts w:hint="eastAsia"/>
                <w:szCs w:val="21"/>
                <w:vertAlign w:val="superscript"/>
              </w:rPr>
              <w:t>-4</w:t>
            </w:r>
            <w:r>
              <w:rPr>
                <w:szCs w:val="21"/>
              </w:rPr>
              <w:t>t/a</w:t>
            </w:r>
          </w:p>
        </w:tc>
        <w:tc>
          <w:tcPr>
            <w:tcW w:w="2048" w:type="dxa"/>
            <w:vAlign w:val="center"/>
          </w:tcPr>
          <w:p w:rsidR="00C645C9" w:rsidRDefault="00F955D9">
            <w:pPr>
              <w:pStyle w:val="afa"/>
              <w:shd w:val="clear" w:color="auto" w:fill="auto"/>
              <w:rPr>
                <w:szCs w:val="21"/>
              </w:rPr>
            </w:pPr>
            <w:r>
              <w:rPr>
                <w:szCs w:val="21"/>
              </w:rPr>
              <w:t>大气</w:t>
            </w:r>
          </w:p>
        </w:tc>
      </w:tr>
      <w:tr w:rsidR="00C645C9">
        <w:trPr>
          <w:trHeight w:val="347"/>
          <w:jc w:val="center"/>
        </w:trPr>
        <w:tc>
          <w:tcPr>
            <w:tcW w:w="664" w:type="dxa"/>
            <w:vMerge w:val="restart"/>
            <w:vAlign w:val="center"/>
          </w:tcPr>
          <w:p w:rsidR="00C645C9" w:rsidRDefault="00F955D9">
            <w:pPr>
              <w:pStyle w:val="afa"/>
              <w:shd w:val="clear" w:color="auto" w:fill="auto"/>
              <w:rPr>
                <w:szCs w:val="21"/>
              </w:rPr>
            </w:pPr>
            <w:r>
              <w:rPr>
                <w:szCs w:val="21"/>
              </w:rPr>
              <w:t>废水</w:t>
            </w:r>
          </w:p>
        </w:tc>
        <w:tc>
          <w:tcPr>
            <w:tcW w:w="1609" w:type="dxa"/>
            <w:vAlign w:val="center"/>
          </w:tcPr>
          <w:p w:rsidR="00C645C9" w:rsidRDefault="00F955D9">
            <w:pPr>
              <w:pStyle w:val="afa"/>
              <w:shd w:val="clear" w:color="auto" w:fill="auto"/>
              <w:rPr>
                <w:szCs w:val="21"/>
              </w:rPr>
            </w:pPr>
            <w:r>
              <w:rPr>
                <w:szCs w:val="21"/>
              </w:rPr>
              <w:t>生产废水</w:t>
            </w:r>
          </w:p>
        </w:tc>
        <w:tc>
          <w:tcPr>
            <w:tcW w:w="1735" w:type="dxa"/>
            <w:vAlign w:val="center"/>
          </w:tcPr>
          <w:p w:rsidR="00C645C9" w:rsidRDefault="00F955D9">
            <w:pPr>
              <w:pStyle w:val="afa"/>
              <w:shd w:val="clear" w:color="auto" w:fill="auto"/>
              <w:rPr>
                <w:szCs w:val="21"/>
              </w:rPr>
            </w:pPr>
            <w:r>
              <w:rPr>
                <w:szCs w:val="21"/>
              </w:rPr>
              <w:t>生产废水</w:t>
            </w:r>
          </w:p>
        </w:tc>
        <w:tc>
          <w:tcPr>
            <w:tcW w:w="1372" w:type="dxa"/>
            <w:vAlign w:val="center"/>
          </w:tcPr>
          <w:p w:rsidR="00C645C9" w:rsidRDefault="00F955D9">
            <w:pPr>
              <w:adjustRightInd w:val="0"/>
              <w:snapToGrid w:val="0"/>
              <w:jc w:val="center"/>
              <w:textAlignment w:val="center"/>
              <w:rPr>
                <w:rFonts w:cs="Times New Roman"/>
                <w:sz w:val="21"/>
                <w:szCs w:val="21"/>
              </w:rPr>
            </w:pPr>
            <w:r>
              <w:rPr>
                <w:rFonts w:cs="Times New Roman"/>
                <w:spacing w:val="4"/>
                <w:kern w:val="24"/>
                <w:sz w:val="21"/>
                <w:szCs w:val="21"/>
              </w:rPr>
              <w:t>0.5t/d</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rFonts w:hint="eastAsia"/>
                <w:kern w:val="0"/>
                <w:szCs w:val="21"/>
                <w:lang w:bidi="ar"/>
              </w:rPr>
              <w:t>生产废水</w:t>
            </w:r>
            <w:r>
              <w:rPr>
                <w:kern w:val="0"/>
                <w:szCs w:val="21"/>
                <w:lang w:bidi="ar"/>
              </w:rPr>
              <w:t>由罐车拉运至塔河油田绿色环保工作站处理</w:t>
            </w:r>
            <w:r>
              <w:rPr>
                <w:kern w:val="0"/>
                <w:szCs w:val="21"/>
                <w:lang w:bidi="ar"/>
              </w:rPr>
              <w:t>。</w:t>
            </w:r>
          </w:p>
        </w:tc>
      </w:tr>
      <w:tr w:rsidR="00C645C9">
        <w:trPr>
          <w:trHeight w:val="493"/>
          <w:jc w:val="center"/>
        </w:trPr>
        <w:tc>
          <w:tcPr>
            <w:tcW w:w="664" w:type="dxa"/>
            <w:vMerge/>
            <w:vAlign w:val="center"/>
          </w:tcPr>
          <w:p w:rsidR="00C645C9" w:rsidRDefault="00C645C9">
            <w:pPr>
              <w:pStyle w:val="afa"/>
              <w:shd w:val="clear" w:color="auto" w:fill="auto"/>
              <w:rPr>
                <w:szCs w:val="21"/>
              </w:rPr>
            </w:pPr>
          </w:p>
        </w:tc>
        <w:tc>
          <w:tcPr>
            <w:tcW w:w="1609" w:type="dxa"/>
            <w:vMerge w:val="restart"/>
            <w:vAlign w:val="center"/>
          </w:tcPr>
          <w:p w:rsidR="00C645C9" w:rsidRDefault="00F955D9">
            <w:pPr>
              <w:pStyle w:val="afa"/>
              <w:shd w:val="clear" w:color="auto" w:fill="auto"/>
              <w:rPr>
                <w:szCs w:val="21"/>
              </w:rPr>
            </w:pPr>
            <w:r>
              <w:rPr>
                <w:szCs w:val="21"/>
              </w:rPr>
              <w:t>井下作业废水</w:t>
            </w:r>
          </w:p>
        </w:tc>
        <w:tc>
          <w:tcPr>
            <w:tcW w:w="1735" w:type="dxa"/>
            <w:vAlign w:val="center"/>
          </w:tcPr>
          <w:p w:rsidR="00C645C9" w:rsidRDefault="00F955D9">
            <w:pPr>
              <w:pStyle w:val="afa"/>
              <w:shd w:val="clear" w:color="auto" w:fill="auto"/>
              <w:rPr>
                <w:szCs w:val="21"/>
              </w:rPr>
            </w:pPr>
            <w:r>
              <w:rPr>
                <w:szCs w:val="21"/>
              </w:rPr>
              <w:t>井下作业废水量</w:t>
            </w:r>
          </w:p>
        </w:tc>
        <w:tc>
          <w:tcPr>
            <w:tcW w:w="1372" w:type="dxa"/>
            <w:vAlign w:val="center"/>
          </w:tcPr>
          <w:p w:rsidR="00C645C9" w:rsidRDefault="00F955D9">
            <w:pPr>
              <w:pStyle w:val="afa"/>
              <w:shd w:val="clear" w:color="auto" w:fill="auto"/>
              <w:rPr>
                <w:szCs w:val="21"/>
              </w:rPr>
            </w:pPr>
            <w:r>
              <w:rPr>
                <w:szCs w:val="21"/>
              </w:rPr>
              <w:t>13.565</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restart"/>
            <w:vAlign w:val="center"/>
          </w:tcPr>
          <w:p w:rsidR="00C645C9" w:rsidRDefault="00F955D9">
            <w:pPr>
              <w:pStyle w:val="afa"/>
              <w:shd w:val="clear" w:color="auto" w:fill="auto"/>
              <w:jc w:val="both"/>
              <w:rPr>
                <w:szCs w:val="21"/>
              </w:rPr>
            </w:pPr>
            <w:r>
              <w:rPr>
                <w:szCs w:val="21"/>
              </w:rPr>
              <w:t>井下作业废水自带回收罐回收井下作业废水，依托塔河油田绿色环保工作站处理</w:t>
            </w:r>
            <w:r>
              <w:rPr>
                <w:szCs w:val="21"/>
              </w:rPr>
              <w:t>。</w:t>
            </w:r>
          </w:p>
        </w:tc>
      </w:tr>
      <w:tr w:rsidR="00C645C9">
        <w:trPr>
          <w:trHeight w:val="437"/>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COD</w:t>
            </w:r>
          </w:p>
        </w:tc>
        <w:tc>
          <w:tcPr>
            <w:tcW w:w="1372" w:type="dxa"/>
            <w:vAlign w:val="center"/>
          </w:tcPr>
          <w:p w:rsidR="00C645C9" w:rsidRDefault="00F955D9">
            <w:pPr>
              <w:pStyle w:val="afa"/>
              <w:shd w:val="clear" w:color="auto" w:fill="auto"/>
              <w:rPr>
                <w:szCs w:val="21"/>
              </w:rPr>
            </w:pPr>
            <w:r>
              <w:rPr>
                <w:szCs w:val="21"/>
              </w:rPr>
              <w:t>0</w:t>
            </w:r>
            <w:r>
              <w:rPr>
                <w:rFonts w:hint="eastAsia"/>
                <w:szCs w:val="21"/>
              </w:rPr>
              <w:t>.017</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Merge/>
            <w:vAlign w:val="center"/>
          </w:tcPr>
          <w:p w:rsidR="00C645C9" w:rsidRDefault="00C645C9">
            <w:pPr>
              <w:pStyle w:val="afa"/>
              <w:shd w:val="clear" w:color="auto" w:fill="auto"/>
              <w:rPr>
                <w:szCs w:val="21"/>
              </w:rPr>
            </w:pP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0.0</w:t>
            </w:r>
            <w:r>
              <w:rPr>
                <w:rFonts w:hint="eastAsia"/>
                <w:szCs w:val="21"/>
              </w:rPr>
              <w:t>03</w:t>
            </w:r>
            <w:r>
              <w:rPr>
                <w:kern w:val="0"/>
                <w:szCs w:val="21"/>
                <w:lang w:bidi="ar"/>
              </w:rPr>
              <w:t>t/a</w:t>
            </w:r>
          </w:p>
        </w:tc>
        <w:tc>
          <w:tcPr>
            <w:tcW w:w="1314" w:type="dxa"/>
            <w:vAlign w:val="center"/>
          </w:tcPr>
          <w:p w:rsidR="00C645C9" w:rsidRDefault="00F955D9">
            <w:pPr>
              <w:pStyle w:val="afa"/>
              <w:shd w:val="clear" w:color="auto" w:fill="auto"/>
              <w:rPr>
                <w:szCs w:val="21"/>
              </w:rPr>
            </w:pPr>
            <w:r>
              <w:rPr>
                <w:szCs w:val="21"/>
              </w:rPr>
              <w:t>0</w:t>
            </w:r>
          </w:p>
        </w:tc>
        <w:tc>
          <w:tcPr>
            <w:tcW w:w="2048" w:type="dxa"/>
            <w:vMerge/>
            <w:vAlign w:val="center"/>
          </w:tcPr>
          <w:p w:rsidR="00C645C9" w:rsidRDefault="00C645C9">
            <w:pPr>
              <w:pStyle w:val="afa"/>
              <w:shd w:val="clear" w:color="auto" w:fill="auto"/>
              <w:jc w:val="both"/>
              <w:rPr>
                <w:szCs w:val="21"/>
              </w:rPr>
            </w:pPr>
          </w:p>
        </w:tc>
      </w:tr>
      <w:tr w:rsidR="00C645C9">
        <w:trPr>
          <w:trHeight w:val="90"/>
          <w:jc w:val="center"/>
        </w:trPr>
        <w:tc>
          <w:tcPr>
            <w:tcW w:w="664" w:type="dxa"/>
            <w:vMerge w:val="restart"/>
            <w:vAlign w:val="center"/>
          </w:tcPr>
          <w:p w:rsidR="00C645C9" w:rsidRDefault="00F955D9">
            <w:pPr>
              <w:pStyle w:val="afa"/>
              <w:shd w:val="clear" w:color="auto" w:fill="auto"/>
              <w:rPr>
                <w:szCs w:val="21"/>
              </w:rPr>
            </w:pPr>
            <w:r>
              <w:rPr>
                <w:szCs w:val="21"/>
              </w:rPr>
              <w:t>固体废物</w:t>
            </w:r>
          </w:p>
        </w:tc>
        <w:tc>
          <w:tcPr>
            <w:tcW w:w="1609" w:type="dxa"/>
            <w:vAlign w:val="center"/>
          </w:tcPr>
          <w:p w:rsidR="00C645C9" w:rsidRDefault="00F955D9">
            <w:pPr>
              <w:pStyle w:val="afa"/>
              <w:shd w:val="clear" w:color="auto" w:fill="auto"/>
              <w:rPr>
                <w:szCs w:val="21"/>
              </w:rPr>
            </w:pPr>
            <w:r>
              <w:rPr>
                <w:szCs w:val="21"/>
              </w:rPr>
              <w:t>落地油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rPr>
                <w:szCs w:val="21"/>
              </w:rPr>
              <w:t>0.</w:t>
            </w:r>
            <w:r>
              <w:rPr>
                <w:rFonts w:hint="eastAsia"/>
                <w:szCs w:val="21"/>
              </w:rPr>
              <w:t>1</w:t>
            </w:r>
            <w:r>
              <w:rPr>
                <w:szCs w:val="21"/>
              </w:rPr>
              <w:t>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落地油不在施工井场储存，直接在作业施工现场由施工人员回收至密闭的专用罐车内，统一由塔河油田绿色环保站进行无害化处理。</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废防渗材料</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0.25t/a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施工单位将废弃的废防渗材料集中收集，不在井场贮存，委托持有危险废物经营许可证的单位利用处置</w:t>
            </w:r>
            <w:r>
              <w:rPr>
                <w:rFonts w:hint="eastAsia"/>
                <w:szCs w:val="21"/>
              </w:rPr>
              <w:t>。</w:t>
            </w:r>
          </w:p>
        </w:tc>
      </w:tr>
      <w:tr w:rsidR="00C645C9">
        <w:trPr>
          <w:trHeight w:val="1342"/>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清罐底泥</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rPr>
                <w:szCs w:val="21"/>
              </w:rPr>
            </w:pPr>
            <w:r>
              <w:t>0.1t/a</w:t>
            </w:r>
          </w:p>
        </w:tc>
        <w:tc>
          <w:tcPr>
            <w:tcW w:w="1314" w:type="dxa"/>
            <w:vAlign w:val="center"/>
          </w:tcPr>
          <w:p w:rsidR="00C645C9" w:rsidRDefault="00F955D9">
            <w:pPr>
              <w:pStyle w:val="afa"/>
              <w:shd w:val="clear" w:color="auto" w:fill="auto"/>
              <w:rPr>
                <w:szCs w:val="21"/>
              </w:rPr>
            </w:pPr>
            <w:r>
              <w:rPr>
                <w:szCs w:val="21"/>
              </w:rPr>
              <w:t>0</w:t>
            </w:r>
          </w:p>
        </w:tc>
        <w:tc>
          <w:tcPr>
            <w:tcW w:w="2048" w:type="dxa"/>
            <w:vAlign w:val="center"/>
          </w:tcPr>
          <w:p w:rsidR="00C645C9" w:rsidRDefault="00F955D9">
            <w:pPr>
              <w:pStyle w:val="afa"/>
              <w:shd w:val="clear" w:color="auto" w:fill="auto"/>
              <w:jc w:val="both"/>
              <w:rPr>
                <w:szCs w:val="21"/>
              </w:rPr>
            </w:pPr>
            <w:r>
              <w:rPr>
                <w:szCs w:val="21"/>
              </w:rPr>
              <w:t>施工人员回收至密闭的专用罐车内，委托持有危险废物经营许可证的单位利用处置</w:t>
            </w:r>
            <w:r>
              <w:rPr>
                <w:szCs w:val="21"/>
              </w:rPr>
              <w:t>。</w:t>
            </w:r>
          </w:p>
        </w:tc>
      </w:tr>
      <w:tr w:rsidR="00C645C9">
        <w:trPr>
          <w:jc w:val="center"/>
        </w:trPr>
        <w:tc>
          <w:tcPr>
            <w:tcW w:w="664" w:type="dxa"/>
            <w:vMerge/>
            <w:vAlign w:val="center"/>
          </w:tcPr>
          <w:p w:rsidR="00C645C9" w:rsidRDefault="00C645C9">
            <w:pPr>
              <w:pStyle w:val="afa"/>
              <w:shd w:val="clear" w:color="auto" w:fill="auto"/>
              <w:rPr>
                <w:szCs w:val="21"/>
              </w:rPr>
            </w:pPr>
          </w:p>
        </w:tc>
        <w:tc>
          <w:tcPr>
            <w:tcW w:w="1609" w:type="dxa"/>
            <w:vAlign w:val="center"/>
          </w:tcPr>
          <w:p w:rsidR="00C645C9" w:rsidRDefault="00F955D9">
            <w:pPr>
              <w:pStyle w:val="afa"/>
              <w:shd w:val="clear" w:color="auto" w:fill="auto"/>
              <w:rPr>
                <w:szCs w:val="21"/>
              </w:rPr>
            </w:pPr>
            <w:r>
              <w:rPr>
                <w:szCs w:val="21"/>
              </w:rPr>
              <w:t>废润滑油</w:t>
            </w:r>
          </w:p>
        </w:tc>
        <w:tc>
          <w:tcPr>
            <w:tcW w:w="1735" w:type="dxa"/>
            <w:vAlign w:val="center"/>
          </w:tcPr>
          <w:p w:rsidR="00C645C9" w:rsidRDefault="00F955D9">
            <w:pPr>
              <w:pStyle w:val="afa"/>
              <w:shd w:val="clear" w:color="auto" w:fill="auto"/>
              <w:rPr>
                <w:szCs w:val="21"/>
              </w:rPr>
            </w:pPr>
            <w:r>
              <w:rPr>
                <w:szCs w:val="21"/>
              </w:rPr>
              <w:t>石油类</w:t>
            </w:r>
          </w:p>
        </w:tc>
        <w:tc>
          <w:tcPr>
            <w:tcW w:w="1372" w:type="dxa"/>
            <w:vAlign w:val="center"/>
          </w:tcPr>
          <w:p w:rsidR="00C645C9" w:rsidRDefault="00F955D9">
            <w:pPr>
              <w:pStyle w:val="afa"/>
              <w:shd w:val="clear" w:color="auto" w:fill="auto"/>
            </w:pPr>
            <w:r>
              <w:t>0.5t/a</w:t>
            </w:r>
          </w:p>
        </w:tc>
        <w:tc>
          <w:tcPr>
            <w:tcW w:w="1314" w:type="dxa"/>
            <w:vAlign w:val="center"/>
          </w:tcPr>
          <w:p w:rsidR="00C645C9" w:rsidRDefault="00F955D9">
            <w:pPr>
              <w:pStyle w:val="afa"/>
              <w:shd w:val="clear" w:color="auto" w:fill="auto"/>
              <w:rPr>
                <w:szCs w:val="21"/>
              </w:rPr>
            </w:pPr>
            <w:r>
              <w:rPr>
                <w:rFonts w:hint="eastAsia"/>
                <w:szCs w:val="21"/>
              </w:rPr>
              <w:t>0</w:t>
            </w:r>
          </w:p>
        </w:tc>
        <w:tc>
          <w:tcPr>
            <w:tcW w:w="2048" w:type="dxa"/>
            <w:vAlign w:val="center"/>
          </w:tcPr>
          <w:p w:rsidR="00C645C9" w:rsidRDefault="00F955D9">
            <w:pPr>
              <w:pStyle w:val="afa"/>
              <w:shd w:val="clear" w:color="auto" w:fill="auto"/>
              <w:jc w:val="both"/>
              <w:rPr>
                <w:szCs w:val="21"/>
              </w:rPr>
            </w:pPr>
            <w:r>
              <w:rPr>
                <w:szCs w:val="21"/>
              </w:rPr>
              <w:t>委托持有危险废物经营许可证的单位利用处置</w:t>
            </w:r>
            <w:r>
              <w:rPr>
                <w:rFonts w:hint="eastAsia"/>
                <w:szCs w:val="21"/>
              </w:rPr>
              <w:t>。</w:t>
            </w:r>
          </w:p>
        </w:tc>
      </w:tr>
    </w:tbl>
    <w:bookmarkStart w:id="2005" w:name="_Toc24225"/>
    <w:p w:rsidR="00C645C9" w:rsidRDefault="00F955D9">
      <w:pPr>
        <w:pStyle w:val="2"/>
        <w:adjustRightInd w:val="0"/>
        <w:snapToGrid w:val="0"/>
        <w:spacing w:after="0" w:line="360" w:lineRule="auto"/>
        <w:rPr>
          <w:rFonts w:ascii="Times New Roman" w:hAnsi="Times New Roman" w:cs="Times New Roman"/>
          <w:color w:val="auto"/>
          <w:lang w:eastAsia="zh-CN"/>
        </w:rPr>
      </w:pPr>
      <w:r>
        <w:rPr>
          <w:rFonts w:ascii="Times New Roman" w:hAnsi="Times New Roman" w:cs="Times New Roman" w:hint="eastAsia"/>
          <w:color w:val="auto"/>
        </w:rPr>
        <w:fldChar w:fldCharType="begin"/>
      </w:r>
      <w:r>
        <w:rPr>
          <w:rFonts w:ascii="Times New Roman" w:hAnsi="Times New Roman" w:cs="Times New Roman" w:hint="eastAsia"/>
          <w:color w:val="auto"/>
          <w:lang w:eastAsia="zh-CN"/>
        </w:rPr>
        <w:instrText xml:space="preserve"> HYPERLINK \l _Toc12467 </w:instrText>
      </w:r>
      <w:r>
        <w:rPr>
          <w:rFonts w:ascii="Times New Roman" w:hAnsi="Times New Roman" w:cs="Times New Roman" w:hint="eastAsia"/>
          <w:color w:val="auto"/>
        </w:rPr>
        <w:fldChar w:fldCharType="separate"/>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5</w:t>
      </w:r>
      <w:r>
        <w:rPr>
          <w:rFonts w:ascii="Times New Roman" w:hAnsi="Times New Roman" w:cs="Times New Roman" w:hint="eastAsia"/>
          <w:color w:val="auto"/>
          <w:lang w:eastAsia="zh-CN"/>
        </w:rPr>
        <w:t xml:space="preserve"> </w:t>
      </w:r>
      <w:r>
        <w:rPr>
          <w:rFonts w:ascii="Times New Roman" w:hAnsi="Times New Roman" w:cs="Times New Roman" w:hint="eastAsia"/>
          <w:color w:val="auto"/>
          <w:lang w:eastAsia="zh-CN"/>
        </w:rPr>
        <w:t>主要</w:t>
      </w:r>
      <w:r>
        <w:rPr>
          <w:rFonts w:ascii="Times New Roman" w:hAnsi="Times New Roman" w:cs="Times New Roman" w:hint="eastAsia"/>
          <w:color w:val="auto"/>
          <w:lang w:eastAsia="zh-CN"/>
        </w:rPr>
        <w:t>环境影响</w:t>
      </w:r>
      <w:r>
        <w:rPr>
          <w:rFonts w:ascii="Times New Roman" w:hAnsi="Times New Roman" w:cs="Times New Roman" w:hint="eastAsia"/>
          <w:color w:val="auto"/>
        </w:rPr>
        <w:fldChar w:fldCharType="end"/>
      </w:r>
      <w:bookmarkEnd w:id="2005"/>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06" w:name="_Toc12776"/>
      <w:bookmarkStart w:id="2007" w:name="_Toc22871"/>
      <w:r>
        <w:rPr>
          <w:sz w:val="24"/>
        </w:rPr>
        <w:t>（</w:t>
      </w:r>
      <w:r>
        <w:rPr>
          <w:sz w:val="24"/>
        </w:rPr>
        <w:t>1</w:t>
      </w:r>
      <w:r>
        <w:rPr>
          <w:sz w:val="24"/>
        </w:rPr>
        <w:t>）生态环境影响分析</w:t>
      </w:r>
      <w:bookmarkEnd w:id="2006"/>
      <w:bookmarkEnd w:id="2007"/>
    </w:p>
    <w:p w:rsidR="00C645C9" w:rsidRDefault="00F955D9" w:rsidP="005718BB">
      <w:pPr>
        <w:pStyle w:val="afff3"/>
        <w:adjustRightInd w:val="0"/>
        <w:snapToGrid w:val="0"/>
        <w:spacing w:beforeLines="0" w:before="0" w:afterLines="0" w:after="0" w:line="360" w:lineRule="auto"/>
        <w:ind w:firstLine="480"/>
        <w:rPr>
          <w:rFonts w:cs="Times New Roman"/>
          <w:sz w:val="24"/>
          <w:szCs w:val="21"/>
        </w:rPr>
      </w:pPr>
      <w:r>
        <w:rPr>
          <w:rFonts w:cs="Times New Roman" w:hint="eastAsia"/>
          <w:sz w:val="24"/>
          <w:szCs w:val="21"/>
        </w:rPr>
        <w:t>本工程对生态环境的影响主要在施工期，为永久占地平整及地面工程建设等带来的生态环境影响。本工程永久占地约</w:t>
      </w:r>
      <w:r>
        <w:rPr>
          <w:rFonts w:cs="Times New Roman" w:hint="eastAsia"/>
          <w:sz w:val="24"/>
          <w:szCs w:val="21"/>
        </w:rPr>
        <w:t>3.43hm</w:t>
      </w:r>
      <w:r>
        <w:rPr>
          <w:rFonts w:cs="Times New Roman" w:hint="eastAsia"/>
          <w:sz w:val="24"/>
          <w:szCs w:val="21"/>
          <w:vertAlign w:val="superscript"/>
        </w:rPr>
        <w:t>2</w:t>
      </w:r>
      <w:r>
        <w:rPr>
          <w:rFonts w:cs="Times New Roman" w:hint="eastAsia"/>
          <w:sz w:val="24"/>
          <w:szCs w:val="21"/>
        </w:rPr>
        <w:t>，永久性工程占地对工程区的土地利用影响较小。临时占地</w:t>
      </w:r>
      <w:r>
        <w:rPr>
          <w:rFonts w:cs="Times New Roman" w:hint="eastAsia"/>
          <w:sz w:val="24"/>
          <w:szCs w:val="21"/>
        </w:rPr>
        <w:t>0.66hm</w:t>
      </w:r>
      <w:r>
        <w:rPr>
          <w:rFonts w:cs="Times New Roman" w:hint="eastAsia"/>
          <w:sz w:val="24"/>
          <w:szCs w:val="21"/>
          <w:vertAlign w:val="superscript"/>
        </w:rPr>
        <w:t>2</w:t>
      </w:r>
      <w:r>
        <w:rPr>
          <w:rFonts w:cs="Times New Roman" w:hint="eastAsia"/>
          <w:sz w:val="24"/>
          <w:szCs w:val="21"/>
        </w:rPr>
        <w:t>，临时性工程占地仅在施工阶段对工程区及周边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rsidR="00C645C9" w:rsidRDefault="00F955D9" w:rsidP="005718BB">
      <w:pPr>
        <w:pStyle w:val="afff3"/>
        <w:adjustRightInd w:val="0"/>
        <w:snapToGrid w:val="0"/>
        <w:spacing w:beforeLines="0" w:before="0" w:afterLines="0" w:after="0" w:line="360" w:lineRule="auto"/>
        <w:ind w:firstLine="480"/>
        <w:rPr>
          <w:spacing w:val="4"/>
          <w:kern w:val="24"/>
          <w:sz w:val="24"/>
        </w:rPr>
      </w:pPr>
      <w:r>
        <w:rPr>
          <w:rFonts w:cs="Times New Roman" w:hint="eastAsia"/>
          <w:sz w:val="24"/>
          <w:szCs w:val="21"/>
        </w:rPr>
        <w:t>本工程位于阿克苏地区新和县境内，项目评价范围和占地范围内均不涉及法定生态保护区域、重要生境以及其他具有重要生态功能、对保护生物多样性具有重要意义的区域等生态敏感区。由于本区域的野生动物种类较少，少有大型野生动物在本区域出现，项目对野生动物的影响较小</w:t>
      </w:r>
      <w:r>
        <w:rPr>
          <w:spacing w:val="4"/>
          <w:kern w:val="24"/>
          <w:sz w:val="24"/>
        </w:rPr>
        <w:t>。</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08" w:name="_Toc15407"/>
      <w:bookmarkStart w:id="2009" w:name="_Toc23130"/>
      <w:r>
        <w:rPr>
          <w:sz w:val="24"/>
        </w:rPr>
        <w:t>（</w:t>
      </w:r>
      <w:r>
        <w:rPr>
          <w:sz w:val="24"/>
        </w:rPr>
        <w:t>2</w:t>
      </w:r>
      <w:r>
        <w:rPr>
          <w:sz w:val="24"/>
        </w:rPr>
        <w:t>）大气环</w:t>
      </w:r>
      <w:r>
        <w:rPr>
          <w:sz w:val="24"/>
        </w:rPr>
        <w:t>境影响分析</w:t>
      </w:r>
      <w:bookmarkEnd w:id="2008"/>
      <w:bookmarkEnd w:id="2009"/>
    </w:p>
    <w:p w:rsidR="00C645C9" w:rsidRDefault="00F955D9" w:rsidP="005718BB">
      <w:pPr>
        <w:pStyle w:val="afff3"/>
        <w:adjustRightInd w:val="0"/>
        <w:snapToGrid w:val="0"/>
        <w:spacing w:beforeLines="0" w:before="0" w:afterLines="0" w:after="0" w:line="360" w:lineRule="auto"/>
        <w:ind w:firstLine="496"/>
        <w:rPr>
          <w:sz w:val="24"/>
        </w:rPr>
      </w:pPr>
      <w:r>
        <w:rPr>
          <w:rFonts w:cs="Times New Roman" w:hint="eastAsia"/>
          <w:spacing w:val="4"/>
          <w:kern w:val="24"/>
          <w:sz w:val="24"/>
        </w:rPr>
        <w:lastRenderedPageBreak/>
        <w:t>本工程</w:t>
      </w:r>
      <w:r>
        <w:rPr>
          <w:rFonts w:cs="Times New Roman"/>
          <w:spacing w:val="4"/>
          <w:kern w:val="24"/>
          <w:sz w:val="24"/>
        </w:rPr>
        <w:t>位于环境质量不达标区，污染源正常排放下非甲烷总烃短期浓度贡献值的最大浓度占标率均小于</w:t>
      </w:r>
      <w:r>
        <w:rPr>
          <w:rFonts w:cs="Times New Roman"/>
          <w:spacing w:val="4"/>
          <w:kern w:val="24"/>
          <w:sz w:val="24"/>
        </w:rPr>
        <w:t>10%</w:t>
      </w:r>
      <w:r>
        <w:rPr>
          <w:rFonts w:cs="Times New Roman"/>
          <w:spacing w:val="4"/>
          <w:kern w:val="24"/>
          <w:sz w:val="24"/>
        </w:rPr>
        <w:t>，污染物的贡献浓度较低，且出现距离较近，影响范围较小。本工程废气污染源对井场四周的贡献浓度均满足相应标准要求</w:t>
      </w:r>
      <w:r>
        <w:rPr>
          <w:sz w:val="24"/>
        </w:rPr>
        <w:t>。</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10" w:name="_Toc23629"/>
      <w:bookmarkStart w:id="2011" w:name="_Toc14610"/>
      <w:r>
        <w:rPr>
          <w:sz w:val="24"/>
        </w:rPr>
        <w:t>（</w:t>
      </w:r>
      <w:r>
        <w:rPr>
          <w:sz w:val="24"/>
        </w:rPr>
        <w:t>3</w:t>
      </w:r>
      <w:r>
        <w:rPr>
          <w:sz w:val="24"/>
        </w:rPr>
        <w:t>）声环境影响分析</w:t>
      </w:r>
      <w:bookmarkEnd w:id="2010"/>
      <w:bookmarkEnd w:id="2011"/>
    </w:p>
    <w:p w:rsidR="00C645C9" w:rsidRDefault="00F955D9">
      <w:pPr>
        <w:spacing w:line="360" w:lineRule="auto"/>
        <w:ind w:firstLineChars="200" w:firstLine="496"/>
        <w:rPr>
          <w:rFonts w:cs="Times New Roman"/>
          <w:spacing w:val="4"/>
          <w:kern w:val="24"/>
        </w:rPr>
      </w:pPr>
      <w:r>
        <w:rPr>
          <w:rFonts w:cs="Times New Roman" w:hint="eastAsia"/>
          <w:spacing w:val="4"/>
          <w:kern w:val="24"/>
        </w:rPr>
        <w:t>本工程施工期噪声源主要是各类施工机械和运输车辆。施工期噪声影响是短暂的，随施工结束即消失。</w:t>
      </w:r>
    </w:p>
    <w:p w:rsidR="00C645C9" w:rsidRDefault="00F955D9" w:rsidP="005718BB">
      <w:pPr>
        <w:pStyle w:val="afff3"/>
        <w:adjustRightInd w:val="0"/>
        <w:snapToGrid w:val="0"/>
        <w:spacing w:beforeLines="0" w:before="0" w:afterLines="0" w:after="0" w:line="360" w:lineRule="auto"/>
        <w:ind w:firstLine="496"/>
        <w:rPr>
          <w:sz w:val="24"/>
        </w:rPr>
      </w:pPr>
      <w:r>
        <w:rPr>
          <w:rFonts w:cs="Times New Roman" w:hint="eastAsia"/>
          <w:spacing w:val="4"/>
          <w:kern w:val="24"/>
          <w:sz w:val="24"/>
        </w:rPr>
        <w:t>本工程运营期产生的噪声主要包括井口装置等设备产生的噪声，以及井下作业噪声等。井场设备噪声源强较低，影响范围有限，类比同类井场，正常生产时，单井井场厂界噪声值较低，能够满足</w:t>
      </w:r>
      <w:r>
        <w:rPr>
          <w:rFonts w:cs="Times New Roman" w:hint="eastAsia"/>
          <w:spacing w:val="4"/>
          <w:kern w:val="24"/>
          <w:sz w:val="24"/>
          <w:lang w:val="zh-CN"/>
        </w:rPr>
        <w:t>《工业企业厂界环境噪声排放标准》（</w:t>
      </w:r>
      <w:r>
        <w:rPr>
          <w:rFonts w:cs="Times New Roman" w:hint="eastAsia"/>
          <w:spacing w:val="4"/>
          <w:kern w:val="24"/>
          <w:sz w:val="24"/>
          <w:lang w:val="zh-CN"/>
        </w:rPr>
        <w:t>GB12348-2008</w:t>
      </w:r>
      <w:r>
        <w:rPr>
          <w:rFonts w:cs="Times New Roman" w:hint="eastAsia"/>
          <w:spacing w:val="4"/>
          <w:kern w:val="24"/>
          <w:sz w:val="24"/>
          <w:lang w:val="zh-CN"/>
        </w:rPr>
        <w:t>）中的</w:t>
      </w:r>
      <w:r>
        <w:rPr>
          <w:rFonts w:cs="Times New Roman" w:hint="eastAsia"/>
          <w:spacing w:val="4"/>
          <w:kern w:val="24"/>
          <w:sz w:val="24"/>
          <w:lang w:val="zh-CN"/>
        </w:rPr>
        <w:t>2</w:t>
      </w:r>
      <w:r>
        <w:rPr>
          <w:rFonts w:cs="Times New Roman" w:hint="eastAsia"/>
          <w:spacing w:val="4"/>
          <w:kern w:val="24"/>
          <w:sz w:val="24"/>
          <w:lang w:val="zh-CN"/>
        </w:rPr>
        <w:t>类区标准要求；井下作业将产生高强度噪声，厂界噪声会出现短期超标现象，但井下作业具有阶段性特征，井下作业结束其噪声影响即消失。井场周边范围内</w:t>
      </w:r>
      <w:r>
        <w:rPr>
          <w:rFonts w:cs="Times New Roman" w:hint="eastAsia"/>
          <w:spacing w:val="4"/>
          <w:kern w:val="24"/>
          <w:sz w:val="24"/>
        </w:rPr>
        <w:t>无居民区，不会出现噪声扰民现象</w:t>
      </w:r>
      <w:r>
        <w:rPr>
          <w:rFonts w:hint="eastAsia"/>
          <w:sz w:val="24"/>
        </w:rPr>
        <w:t>。</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12" w:name="_Toc22963"/>
      <w:bookmarkStart w:id="2013" w:name="_Toc8819"/>
      <w:r>
        <w:rPr>
          <w:sz w:val="24"/>
        </w:rPr>
        <w:t>（</w:t>
      </w:r>
      <w:r>
        <w:rPr>
          <w:sz w:val="24"/>
        </w:rPr>
        <w:t>4</w:t>
      </w:r>
      <w:r>
        <w:rPr>
          <w:sz w:val="24"/>
        </w:rPr>
        <w:t>）水环境影响分析</w:t>
      </w:r>
      <w:bookmarkEnd w:id="2012"/>
      <w:bookmarkEnd w:id="2013"/>
    </w:p>
    <w:p w:rsidR="00C645C9" w:rsidRDefault="00F955D9" w:rsidP="005718BB">
      <w:pPr>
        <w:pStyle w:val="afff3"/>
        <w:adjustRightInd w:val="0"/>
        <w:snapToGrid w:val="0"/>
        <w:spacing w:beforeLines="0" w:before="0" w:afterLines="0" w:after="0" w:line="360" w:lineRule="auto"/>
        <w:ind w:firstLine="480"/>
        <w:rPr>
          <w:sz w:val="24"/>
        </w:rPr>
      </w:pPr>
      <w:r>
        <w:rPr>
          <w:rFonts w:cs="Times New Roman" w:hint="eastAsia"/>
          <w:kern w:val="2"/>
          <w:sz w:val="24"/>
        </w:rPr>
        <w:t>本工程</w:t>
      </w:r>
      <w:r>
        <w:rPr>
          <w:rFonts w:cs="Times New Roman"/>
          <w:kern w:val="2"/>
          <w:sz w:val="24"/>
        </w:rPr>
        <w:t>正常状况下，</w:t>
      </w:r>
      <w:r>
        <w:rPr>
          <w:rFonts w:cs="Times New Roman" w:hint="eastAsia"/>
          <w:kern w:val="2"/>
          <w:sz w:val="24"/>
        </w:rPr>
        <w:t>本工程</w:t>
      </w:r>
      <w:r>
        <w:rPr>
          <w:rFonts w:cs="Times New Roman"/>
          <w:kern w:val="2"/>
          <w:sz w:val="24"/>
        </w:rPr>
        <w:t>各阶段的废水均不外排，各类废水及固废均得到了妥善处置，</w:t>
      </w:r>
      <w:r>
        <w:rPr>
          <w:rFonts w:cs="Times New Roman" w:hint="eastAsia"/>
          <w:kern w:val="2"/>
          <w:sz w:val="24"/>
        </w:rPr>
        <w:t>本工程</w:t>
      </w:r>
      <w:r>
        <w:rPr>
          <w:rFonts w:cs="Times New Roman"/>
          <w:kern w:val="2"/>
          <w:sz w:val="24"/>
        </w:rPr>
        <w:t>在设计、施工和运行时，严把质量验收关，</w:t>
      </w:r>
      <w:r>
        <w:rPr>
          <w:rFonts w:cs="Times New Roman" w:hint="eastAsia"/>
          <w:kern w:val="2"/>
          <w:sz w:val="24"/>
        </w:rPr>
        <w:t>杜绝</w:t>
      </w:r>
      <w:r>
        <w:rPr>
          <w:rFonts w:cs="Times New Roman"/>
          <w:kern w:val="2"/>
          <w:sz w:val="24"/>
        </w:rPr>
        <w:t>因管道材质、制管、防腐涂层、焊接缺陷及运行失误而造成管线泄漏。在生产运行过程中，强化监控手段，定期检查检验，检漏控漏，尽量杜绝事故性排放源的存在，</w:t>
      </w:r>
      <w:r>
        <w:rPr>
          <w:rFonts w:cs="Times New Roman" w:hint="eastAsia"/>
          <w:kern w:val="2"/>
          <w:sz w:val="24"/>
        </w:rPr>
        <w:t>本工程</w:t>
      </w:r>
      <w:r>
        <w:rPr>
          <w:rFonts w:cs="Times New Roman"/>
          <w:kern w:val="2"/>
          <w:sz w:val="24"/>
        </w:rPr>
        <w:t>对地下水环境的影响较小；钻井采用了套管，采取固井措施，有效防止了钻井液漏失污染地下水</w:t>
      </w:r>
      <w:r>
        <w:rPr>
          <w:rFonts w:hint="eastAsia"/>
          <w:sz w:val="24"/>
        </w:rPr>
        <w:t>。</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14" w:name="_Toc6961"/>
      <w:r>
        <w:rPr>
          <w:sz w:val="24"/>
        </w:rPr>
        <w:t>（</w:t>
      </w:r>
      <w:r>
        <w:rPr>
          <w:sz w:val="24"/>
        </w:rPr>
        <w:t>5</w:t>
      </w:r>
      <w:r>
        <w:rPr>
          <w:sz w:val="24"/>
        </w:rPr>
        <w:t>）固体废物影响分析</w:t>
      </w:r>
      <w:bookmarkEnd w:id="2014"/>
    </w:p>
    <w:p w:rsidR="00C645C9" w:rsidRDefault="00F955D9" w:rsidP="005718BB">
      <w:pPr>
        <w:pStyle w:val="afff3"/>
        <w:adjustRightInd w:val="0"/>
        <w:snapToGrid w:val="0"/>
        <w:spacing w:beforeLines="0" w:before="0" w:afterLines="0" w:after="0" w:line="360" w:lineRule="auto"/>
        <w:ind w:firstLine="480"/>
        <w:jc w:val="both"/>
        <w:rPr>
          <w:sz w:val="24"/>
        </w:rPr>
      </w:pPr>
      <w:bookmarkStart w:id="2015" w:name="OLE_LINK977"/>
      <w:bookmarkStart w:id="2016" w:name="OLE_LINK984"/>
      <w:r>
        <w:rPr>
          <w:sz w:val="24"/>
        </w:rPr>
        <w:t>施工期固废主要为</w:t>
      </w:r>
      <w:bookmarkEnd w:id="2015"/>
      <w:r>
        <w:rPr>
          <w:rFonts w:hint="eastAsia"/>
          <w:sz w:val="24"/>
        </w:rPr>
        <w:t>钻井</w:t>
      </w:r>
      <w:bookmarkStart w:id="2017" w:name="OLE_LINK976"/>
      <w:r>
        <w:rPr>
          <w:rFonts w:hint="eastAsia"/>
          <w:sz w:val="24"/>
        </w:rPr>
        <w:t>泥浆</w:t>
      </w:r>
      <w:bookmarkEnd w:id="2017"/>
      <w:r>
        <w:rPr>
          <w:rFonts w:hint="eastAsia"/>
          <w:sz w:val="24"/>
        </w:rPr>
        <w:t>、钻井岩屑、落地油、废润滑油、生活垃圾、施工废料和土石方</w:t>
      </w:r>
      <w:r>
        <w:rPr>
          <w:sz w:val="24"/>
        </w:rPr>
        <w:t>。</w:t>
      </w:r>
      <w:bookmarkStart w:id="2018" w:name="OLE_LINK1424"/>
      <w:bookmarkStart w:id="2019" w:name="OLE_LINK1425"/>
      <w:r>
        <w:rPr>
          <w:rFonts w:cs="Times New Roman"/>
          <w:sz w:val="24"/>
        </w:rPr>
        <w:t>钻井岩屑随泥浆一同进入泥浆不落地处理系统处理</w:t>
      </w:r>
      <w:bookmarkEnd w:id="2018"/>
      <w:r>
        <w:rPr>
          <w:rFonts w:cs="Times New Roman"/>
          <w:sz w:val="24"/>
        </w:rPr>
        <w:t>；非磺化水基泥浆采用泥浆不落地系统在井场进行固液分离，分离后的液相用于钻井液配制，分离后的固相经检测满足《油气田钻井固体废</w:t>
      </w:r>
      <w:r>
        <w:rPr>
          <w:rFonts w:cs="Times New Roman"/>
          <w:sz w:val="24"/>
        </w:rPr>
        <w:t>物综合利用污染控制要求》（</w:t>
      </w:r>
      <w:r>
        <w:rPr>
          <w:rFonts w:cs="Times New Roman"/>
          <w:sz w:val="24"/>
        </w:rPr>
        <w:t>DB65/T 3997-2017</w:t>
      </w:r>
      <w:r>
        <w:rPr>
          <w:rFonts w:cs="Times New Roman"/>
          <w:sz w:val="24"/>
        </w:rPr>
        <w:t>）中综合利用污染物限值要求，同时石油烃满足《土壤环境质量</w:t>
      </w:r>
      <w:r>
        <w:rPr>
          <w:rFonts w:cs="Times New Roman"/>
          <w:sz w:val="24"/>
        </w:rPr>
        <w:t xml:space="preserve"> </w:t>
      </w:r>
      <w:r>
        <w:rPr>
          <w:rFonts w:cs="Times New Roman"/>
          <w:sz w:val="24"/>
        </w:rPr>
        <w:t>建设用地土壤污染风险管控标准（试行）》（</w:t>
      </w:r>
      <w:r>
        <w:rPr>
          <w:rFonts w:cs="Times New Roman"/>
          <w:sz w:val="24"/>
        </w:rPr>
        <w:t>GB36600-2018</w:t>
      </w:r>
      <w:r>
        <w:rPr>
          <w:rFonts w:cs="Times New Roman"/>
          <w:sz w:val="24"/>
        </w:rPr>
        <w:t>）中表</w:t>
      </w:r>
      <w:r>
        <w:rPr>
          <w:rFonts w:cs="Times New Roman"/>
          <w:sz w:val="24"/>
        </w:rPr>
        <w:t>2</w:t>
      </w:r>
      <w:r>
        <w:rPr>
          <w:rFonts w:cs="Times New Roman"/>
          <w:sz w:val="24"/>
        </w:rPr>
        <w:t>第二类用地风险筛选值后，可用于铺垫油区内的井场等；磺化水基泥浆在现场进行固液分离，分离后的液体用于钻井液配备，固相拉运至塔河油田绿色环保工作站的含油污泥处理系统处置。油基泥浆采用油基泥浆不落地系统在井场进行固液分离，</w:t>
      </w:r>
      <w:r>
        <w:rPr>
          <w:rFonts w:cs="Times New Roman"/>
          <w:sz w:val="24"/>
        </w:rPr>
        <w:lastRenderedPageBreak/>
        <w:t>液相回用于钻井，固相使用专用罐收集后，拉运至塔河油田绿色环保工作站的含油污泥处理系统处置</w:t>
      </w:r>
      <w:bookmarkEnd w:id="2019"/>
      <w:r>
        <w:rPr>
          <w:rFonts w:cs="Times New Roman" w:hint="eastAsia"/>
          <w:sz w:val="24"/>
        </w:rPr>
        <w:t>。</w:t>
      </w:r>
      <w:r>
        <w:rPr>
          <w:rFonts w:cs="Times New Roman"/>
          <w:sz w:val="24"/>
        </w:rPr>
        <w:t>落地油回收至罐车内</w:t>
      </w:r>
      <w:r>
        <w:rPr>
          <w:rFonts w:cs="Times New Roman"/>
          <w:sz w:val="24"/>
        </w:rPr>
        <w:t>，罐车采用密闭的专用罐车，统一由塔河油田绿色环保</w:t>
      </w:r>
      <w:r>
        <w:rPr>
          <w:rFonts w:cs="Times New Roman" w:hint="eastAsia"/>
          <w:sz w:val="24"/>
        </w:rPr>
        <w:t>工作</w:t>
      </w:r>
      <w:r>
        <w:rPr>
          <w:rFonts w:cs="Times New Roman"/>
          <w:sz w:val="24"/>
        </w:rPr>
        <w:t>站进行无害化处理。</w:t>
      </w:r>
      <w:r>
        <w:rPr>
          <w:rFonts w:cs="Times New Roman" w:hint="eastAsia"/>
          <w:sz w:val="24"/>
        </w:rPr>
        <w:t>废润滑油</w:t>
      </w:r>
      <w:r>
        <w:rPr>
          <w:rFonts w:cs="Times New Roman"/>
          <w:sz w:val="24"/>
        </w:rPr>
        <w:t>，</w:t>
      </w:r>
      <w:r>
        <w:rPr>
          <w:rFonts w:cs="Times New Roman" w:hint="eastAsia"/>
          <w:sz w:val="24"/>
        </w:rPr>
        <w:t>收集后委托持有危险废物经营许可证的单位利用处置</w:t>
      </w:r>
      <w:r>
        <w:rPr>
          <w:rFonts w:cs="Times New Roman"/>
          <w:sz w:val="24"/>
        </w:rPr>
        <w:t>。</w:t>
      </w:r>
      <w:r>
        <w:rPr>
          <w:rFonts w:cs="Times New Roman"/>
          <w:sz w:val="24"/>
        </w:rPr>
        <w:t>生活垃圾集中收集后，委托库车绿能环保科技有限公司清运处置</w:t>
      </w:r>
      <w:r>
        <w:rPr>
          <w:rFonts w:cs="Times New Roman"/>
          <w:sz w:val="24"/>
        </w:rPr>
        <w:t>。</w:t>
      </w:r>
      <w:r>
        <w:rPr>
          <w:rFonts w:cs="Times New Roman"/>
          <w:sz w:val="24"/>
        </w:rPr>
        <w:t>施工废料应首先考虑回收利用，不可回收利用部分由库车绿能环保科技有限公司拉运至库车经济开发区工业固废填埋场合规处置。</w:t>
      </w:r>
      <w:r>
        <w:rPr>
          <w:rFonts w:cs="Times New Roman"/>
          <w:sz w:val="24"/>
        </w:rPr>
        <w:t>土石方</w:t>
      </w:r>
      <w:r>
        <w:rPr>
          <w:rFonts w:cs="Times New Roman"/>
          <w:sz w:val="24"/>
        </w:rPr>
        <w:t>全部用于</w:t>
      </w:r>
      <w:r>
        <w:rPr>
          <w:rFonts w:cs="Times New Roman" w:hint="eastAsia"/>
          <w:sz w:val="24"/>
        </w:rPr>
        <w:t>井</w:t>
      </w:r>
      <w:r>
        <w:rPr>
          <w:rFonts w:cs="Times New Roman"/>
          <w:sz w:val="24"/>
        </w:rPr>
        <w:t>场回填</w:t>
      </w:r>
      <w:r>
        <w:rPr>
          <w:rFonts w:cs="Times New Roman" w:hint="eastAsia"/>
          <w:sz w:val="24"/>
        </w:rPr>
        <w:t>，</w:t>
      </w:r>
      <w:r>
        <w:rPr>
          <w:rFonts w:cs="Times New Roman"/>
          <w:sz w:val="24"/>
        </w:rPr>
        <w:t>场地平整</w:t>
      </w:r>
      <w:r>
        <w:rPr>
          <w:rFonts w:cs="Times New Roman" w:hint="eastAsia"/>
          <w:sz w:val="24"/>
        </w:rPr>
        <w:t>。</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运营</w:t>
      </w:r>
      <w:r>
        <w:rPr>
          <w:sz w:val="24"/>
        </w:rPr>
        <w:t>期固废主要为落地油</w:t>
      </w:r>
      <w:r>
        <w:rPr>
          <w:rFonts w:hint="eastAsia"/>
          <w:sz w:val="24"/>
        </w:rPr>
        <w:t>、</w:t>
      </w:r>
      <w:bookmarkStart w:id="2020" w:name="OLE_LINK979"/>
      <w:r>
        <w:rPr>
          <w:sz w:val="24"/>
        </w:rPr>
        <w:t>废防渗材料</w:t>
      </w:r>
      <w:r>
        <w:rPr>
          <w:rFonts w:hint="eastAsia"/>
          <w:sz w:val="24"/>
        </w:rPr>
        <w:t>、清罐底泥</w:t>
      </w:r>
      <w:r>
        <w:rPr>
          <w:rFonts w:hint="eastAsia"/>
          <w:sz w:val="24"/>
        </w:rPr>
        <w:t>和废润滑油</w:t>
      </w:r>
      <w:bookmarkEnd w:id="2020"/>
      <w:r>
        <w:rPr>
          <w:rFonts w:hint="eastAsia"/>
          <w:sz w:val="24"/>
        </w:rPr>
        <w:t>。</w:t>
      </w:r>
      <w:bookmarkStart w:id="2021" w:name="OLE_LINK978"/>
      <w:r>
        <w:rPr>
          <w:sz w:val="24"/>
        </w:rPr>
        <w:t>落地油</w:t>
      </w:r>
      <w:bookmarkEnd w:id="2021"/>
      <w:r>
        <w:rPr>
          <w:rFonts w:hint="eastAsia"/>
          <w:sz w:val="24"/>
        </w:rPr>
        <w:t>由塔河油田绿色环保站处理</w:t>
      </w:r>
      <w:r>
        <w:rPr>
          <w:rFonts w:hint="eastAsia"/>
          <w:sz w:val="24"/>
        </w:rPr>
        <w:t>。</w:t>
      </w:r>
      <w:r>
        <w:rPr>
          <w:sz w:val="24"/>
        </w:rPr>
        <w:t>废防渗材料</w:t>
      </w:r>
      <w:r>
        <w:rPr>
          <w:rFonts w:hint="eastAsia"/>
          <w:sz w:val="24"/>
        </w:rPr>
        <w:t>、清罐底泥</w:t>
      </w:r>
      <w:r>
        <w:rPr>
          <w:rFonts w:hint="eastAsia"/>
          <w:sz w:val="24"/>
        </w:rPr>
        <w:t>和废润滑油</w:t>
      </w:r>
      <w:r>
        <w:rPr>
          <w:sz w:val="24"/>
        </w:rPr>
        <w:t>由</w:t>
      </w:r>
      <w:bookmarkStart w:id="2022" w:name="OLE_LINK980"/>
      <w:r>
        <w:rPr>
          <w:rFonts w:hint="eastAsia"/>
          <w:sz w:val="24"/>
        </w:rPr>
        <w:t>委托持有危险废物经营许可证的单位利用处置</w:t>
      </w:r>
      <w:bookmarkEnd w:id="2022"/>
      <w:r>
        <w:rPr>
          <w:rFonts w:hint="eastAsia"/>
          <w:sz w:val="24"/>
        </w:rPr>
        <w:t>。</w:t>
      </w:r>
      <w:r>
        <w:rPr>
          <w:rFonts w:hint="eastAsia"/>
          <w:sz w:val="24"/>
        </w:rPr>
        <w:t>运营期工作人员由雅克拉采气厂内部调剂解决，故不新增生活垃圾</w:t>
      </w:r>
      <w:r>
        <w:rPr>
          <w:sz w:val="24"/>
        </w:rPr>
        <w:t>。</w:t>
      </w:r>
    </w:p>
    <w:p w:rsidR="00C645C9" w:rsidRDefault="00F955D9" w:rsidP="005718BB">
      <w:pPr>
        <w:pStyle w:val="afff3"/>
        <w:adjustRightInd w:val="0"/>
        <w:snapToGrid w:val="0"/>
        <w:spacing w:beforeLines="0" w:before="0" w:afterLines="0" w:after="0" w:line="360" w:lineRule="auto"/>
        <w:ind w:firstLine="480"/>
        <w:rPr>
          <w:sz w:val="24"/>
        </w:rPr>
      </w:pPr>
      <w:r>
        <w:rPr>
          <w:sz w:val="24"/>
        </w:rPr>
        <w:t>退役期设备拆除过程中产生的落地油由</w:t>
      </w:r>
      <w:r>
        <w:rPr>
          <w:rFonts w:hint="eastAsia"/>
          <w:sz w:val="24"/>
        </w:rPr>
        <w:t>委托持有危险废物经营许可证的单位利用处置。</w:t>
      </w:r>
    </w:p>
    <w:bookmarkEnd w:id="2016"/>
    <w:p w:rsidR="00C645C9" w:rsidRDefault="00F955D9" w:rsidP="005718BB">
      <w:pPr>
        <w:pStyle w:val="afff3"/>
        <w:adjustRightInd w:val="0"/>
        <w:snapToGrid w:val="0"/>
        <w:spacing w:beforeLines="0" w:before="0" w:afterLines="0" w:after="0" w:line="360" w:lineRule="auto"/>
        <w:ind w:firstLine="480"/>
        <w:rPr>
          <w:sz w:val="24"/>
        </w:rPr>
      </w:pPr>
      <w:r>
        <w:rPr>
          <w:sz w:val="24"/>
        </w:rPr>
        <w:t>本工程对</w:t>
      </w:r>
      <w:r>
        <w:rPr>
          <w:rFonts w:hint="eastAsia"/>
          <w:sz w:val="24"/>
        </w:rPr>
        <w:t>施工</w:t>
      </w:r>
      <w:r>
        <w:rPr>
          <w:sz w:val="24"/>
        </w:rPr>
        <w:t>期和运营期产生的各种固体废物均采取了妥善</w:t>
      </w:r>
      <w:r>
        <w:rPr>
          <w:rFonts w:hint="eastAsia"/>
          <w:sz w:val="24"/>
        </w:rPr>
        <w:t>地</w:t>
      </w:r>
      <w:r>
        <w:rPr>
          <w:sz w:val="24"/>
        </w:rPr>
        <w:t>处理、处置措施，只要严格管理，不会对环境产生影响。</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23" w:name="_Toc25555"/>
      <w:bookmarkStart w:id="2024" w:name="_Toc21335"/>
      <w:r>
        <w:rPr>
          <w:sz w:val="24"/>
        </w:rPr>
        <w:t>（</w:t>
      </w:r>
      <w:r>
        <w:rPr>
          <w:sz w:val="24"/>
        </w:rPr>
        <w:t>6</w:t>
      </w:r>
      <w:r>
        <w:rPr>
          <w:sz w:val="24"/>
        </w:rPr>
        <w:t>）土壤影响分析</w:t>
      </w:r>
      <w:bookmarkEnd w:id="2023"/>
      <w:bookmarkEnd w:id="2024"/>
    </w:p>
    <w:p w:rsidR="00C645C9" w:rsidRDefault="00F955D9">
      <w:pPr>
        <w:adjustRightInd w:val="0"/>
        <w:snapToGrid w:val="0"/>
        <w:spacing w:line="360" w:lineRule="auto"/>
        <w:ind w:firstLineChars="200" w:firstLine="480"/>
        <w:jc w:val="both"/>
        <w:rPr>
          <w:kern w:val="2"/>
        </w:rPr>
      </w:pPr>
      <w:r>
        <w:rPr>
          <w:rFonts w:hint="eastAsia"/>
          <w:kern w:val="2"/>
        </w:rPr>
        <w:t>施工期土壤环境影响主要</w:t>
      </w:r>
      <w:r>
        <w:rPr>
          <w:rFonts w:hint="eastAsia"/>
          <w:kern w:val="2"/>
        </w:rPr>
        <w:t>来自</w:t>
      </w:r>
      <w:r>
        <w:rPr>
          <w:rFonts w:hint="eastAsia"/>
          <w:kern w:val="2"/>
        </w:rPr>
        <w:t>井场建设的人为扰动、车辆行驶和机械施工、各种废物污染影响</w:t>
      </w:r>
      <w:r>
        <w:rPr>
          <w:kern w:val="2"/>
        </w:rPr>
        <w:t>。落实环保措施的情况下，本工程施工期间对</w:t>
      </w:r>
      <w:r>
        <w:rPr>
          <w:rFonts w:hint="eastAsia"/>
          <w:kern w:val="2"/>
        </w:rPr>
        <w:t>井场</w:t>
      </w:r>
      <w:r>
        <w:rPr>
          <w:kern w:val="2"/>
        </w:rPr>
        <w:t>周边的土壤影响很小。</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运营期对土壤质量的影响主要分为污染影响和生态影响。</w:t>
      </w:r>
      <w:r>
        <w:rPr>
          <w:sz w:val="24"/>
        </w:rPr>
        <w:t>本工程正常工况下无废水及固废等污染物外排，不会造</w:t>
      </w:r>
      <w:r>
        <w:rPr>
          <w:sz w:val="24"/>
        </w:rPr>
        <w:t>成土壤环境污染。如果发生装置泄漏等事故，泄漏的</w:t>
      </w:r>
      <w:bookmarkStart w:id="2025" w:name="OLE_LINK981"/>
      <w:r>
        <w:rPr>
          <w:rFonts w:hint="eastAsia"/>
          <w:sz w:val="24"/>
        </w:rPr>
        <w:t>凝析油</w:t>
      </w:r>
      <w:bookmarkEnd w:id="2025"/>
      <w:r>
        <w:rPr>
          <w:sz w:val="24"/>
        </w:rPr>
        <w:t>会对土壤环境产生一定的影响，泄漏的</w:t>
      </w:r>
      <w:r>
        <w:rPr>
          <w:rFonts w:hint="eastAsia"/>
          <w:sz w:val="24"/>
        </w:rPr>
        <w:t>凝析油</w:t>
      </w:r>
      <w:r>
        <w:rPr>
          <w:sz w:val="24"/>
        </w:rPr>
        <w:t>覆盖于地表可使土壤透气性下降、土壤理化性状发生变化。泄漏的</w:t>
      </w:r>
      <w:r>
        <w:rPr>
          <w:rFonts w:hint="eastAsia"/>
          <w:sz w:val="24"/>
        </w:rPr>
        <w:t>凝析油</w:t>
      </w:r>
      <w:r>
        <w:rPr>
          <w:sz w:val="24"/>
        </w:rPr>
        <w:t>如果进入土壤，从而使土壤质地、结构发生改变，影响到土地功能，进而影响地表植被的生长。根据环境风险分析可知，本工程风险潜势很低，发生泄漏事故的可能性很小，在做好源头控制、过程防控等措施的前提下，可避免工程实施对土壤环境产生污染影响。</w:t>
      </w:r>
    </w:p>
    <w:p w:rsidR="00C645C9" w:rsidRDefault="00F955D9" w:rsidP="005718BB">
      <w:pPr>
        <w:pStyle w:val="afff3"/>
        <w:adjustRightInd w:val="0"/>
        <w:snapToGrid w:val="0"/>
        <w:spacing w:beforeLines="0" w:before="0" w:afterLines="0" w:after="0" w:line="360" w:lineRule="auto"/>
        <w:ind w:firstLine="480"/>
        <w:outlineLvl w:val="2"/>
        <w:rPr>
          <w:sz w:val="24"/>
        </w:rPr>
      </w:pPr>
      <w:bookmarkStart w:id="2026" w:name="_Toc5875"/>
      <w:bookmarkStart w:id="2027" w:name="_Toc30710"/>
      <w:r>
        <w:rPr>
          <w:sz w:val="24"/>
        </w:rPr>
        <w:t>（</w:t>
      </w:r>
      <w:r>
        <w:rPr>
          <w:sz w:val="24"/>
        </w:rPr>
        <w:t>7</w:t>
      </w:r>
      <w:r>
        <w:rPr>
          <w:sz w:val="24"/>
        </w:rPr>
        <w:t>）环境风险分析</w:t>
      </w:r>
      <w:bookmarkEnd w:id="2026"/>
      <w:bookmarkEnd w:id="2027"/>
    </w:p>
    <w:p w:rsidR="00C645C9" w:rsidRDefault="00F955D9" w:rsidP="005718BB">
      <w:pPr>
        <w:pStyle w:val="afff3"/>
        <w:adjustRightInd w:val="0"/>
        <w:snapToGrid w:val="0"/>
        <w:spacing w:beforeLines="0" w:before="0" w:afterLines="0" w:after="0" w:line="360" w:lineRule="auto"/>
        <w:ind w:firstLine="480"/>
        <w:rPr>
          <w:snapToGrid w:val="0"/>
          <w:sz w:val="24"/>
          <w:lang w:bidi="ar"/>
        </w:rPr>
      </w:pPr>
      <w:bookmarkStart w:id="2028" w:name="_Hlk68080684"/>
      <w:r>
        <w:rPr>
          <w:rFonts w:hint="eastAsia"/>
          <w:sz w:val="24"/>
        </w:rPr>
        <w:t>本工程涉及的突发环境事件风险物质有</w:t>
      </w:r>
      <w:r>
        <w:rPr>
          <w:rFonts w:hint="eastAsia"/>
          <w:sz w:val="24"/>
        </w:rPr>
        <w:t>凝析油</w:t>
      </w:r>
      <w:r>
        <w:rPr>
          <w:rFonts w:hint="eastAsia"/>
          <w:sz w:val="24"/>
        </w:rPr>
        <w:t>、天然气。</w:t>
      </w:r>
      <w:r>
        <w:rPr>
          <w:rFonts w:hint="eastAsia"/>
          <w:sz w:val="24"/>
        </w:rPr>
        <w:t>凝析油</w:t>
      </w:r>
      <w:r>
        <w:rPr>
          <w:rFonts w:hint="eastAsia"/>
          <w:sz w:val="24"/>
        </w:rPr>
        <w:t>主要存在于井场工艺装置区以及</w:t>
      </w:r>
      <w:r>
        <w:rPr>
          <w:rFonts w:hint="eastAsia"/>
          <w:sz w:val="24"/>
        </w:rPr>
        <w:t>凝析油</w:t>
      </w:r>
      <w:r>
        <w:rPr>
          <w:rFonts w:hint="eastAsia"/>
          <w:sz w:val="24"/>
        </w:rPr>
        <w:t>储罐内，天然气</w:t>
      </w:r>
      <w:r>
        <w:rPr>
          <w:rFonts w:hint="eastAsia"/>
          <w:sz w:val="24"/>
        </w:rPr>
        <w:t>主要存在于井场。井喷、井漏、储罐发生</w:t>
      </w:r>
      <w:r>
        <w:rPr>
          <w:rFonts w:hint="eastAsia"/>
          <w:sz w:val="24"/>
        </w:rPr>
        <w:t>泄漏</w:t>
      </w:r>
      <w:r>
        <w:rPr>
          <w:rFonts w:hint="eastAsia"/>
          <w:sz w:val="24"/>
        </w:rPr>
        <w:t>以及油气</w:t>
      </w:r>
      <w:r>
        <w:rPr>
          <w:rFonts w:hint="eastAsia"/>
          <w:sz w:val="24"/>
        </w:rPr>
        <w:t>泄漏</w:t>
      </w:r>
      <w:r>
        <w:rPr>
          <w:rFonts w:hint="eastAsia"/>
          <w:sz w:val="24"/>
        </w:rPr>
        <w:t>后遇明火引发的火灾、爆炸次生污染物等，井喷、井场工</w:t>
      </w:r>
      <w:r>
        <w:rPr>
          <w:rFonts w:hint="eastAsia"/>
          <w:sz w:val="24"/>
        </w:rPr>
        <w:lastRenderedPageBreak/>
        <w:t>艺装置区、井场储罐区发生泄漏会对大气、土壤、地下水产生的直接影响以及遇明火后发生火灾、爆炸等引发的伴生</w:t>
      </w:r>
      <w:r>
        <w:rPr>
          <w:rFonts w:hint="eastAsia"/>
          <w:sz w:val="24"/>
        </w:rPr>
        <w:t>/</w:t>
      </w:r>
      <w:r>
        <w:rPr>
          <w:rFonts w:hint="eastAsia"/>
          <w:sz w:val="24"/>
        </w:rPr>
        <w:t>次生污染物排放。本工程应落实各项井场制度，降低井喷、井漏发生概率，本工程区所在区域地势平坦，扩散条件较好，发生事故后，及时采取相应的措施，不会对周围环境空气产生明显影响；当泄漏事故发生时，及时采取措施、彻底清除泄漏油品、被污染的土壤，污染物不会进入地下水中，对地下水水质没有不良影响。因此，发生事故后，在严格落实本工程提出的风险防范措施的前提下，不会对周围环</w:t>
      </w:r>
      <w:r>
        <w:rPr>
          <w:rFonts w:hint="eastAsia"/>
          <w:sz w:val="24"/>
        </w:rPr>
        <w:t>境产生明显影响；本次评价建议加强日常环境管理及认真落实环境风险预防措施和编制应急预案并备案，可将环境风险概率降到最低。</w:t>
      </w:r>
    </w:p>
    <w:bookmarkStart w:id="2029" w:name="_Toc27389"/>
    <w:bookmarkEnd w:id="2028"/>
    <w:p w:rsidR="00C645C9" w:rsidRDefault="00F955D9">
      <w:pPr>
        <w:pStyle w:val="2"/>
        <w:adjustRightInd w:val="0"/>
        <w:snapToGrid w:val="0"/>
        <w:spacing w:after="0" w:line="360" w:lineRule="auto"/>
        <w:rPr>
          <w:rFonts w:ascii="Times New Roman" w:hAnsi="Times New Roman" w:cs="Times New Roman"/>
          <w:color w:val="auto"/>
        </w:rPr>
      </w:pPr>
      <w:r>
        <w:rPr>
          <w:rFonts w:ascii="Times New Roman" w:hAnsi="Times New Roman" w:cs="Times New Roman" w:hint="eastAsia"/>
          <w:color w:val="auto"/>
        </w:rPr>
        <w:fldChar w:fldCharType="begin"/>
      </w:r>
      <w:r>
        <w:rPr>
          <w:rFonts w:ascii="Times New Roman" w:hAnsi="Times New Roman" w:cs="Times New Roman" w:hint="eastAsia"/>
          <w:color w:val="auto"/>
        </w:rPr>
        <w:instrText xml:space="preserve"> HYPERLINK \l _Toc18897 </w:instrText>
      </w:r>
      <w:r>
        <w:rPr>
          <w:rFonts w:ascii="Times New Roman" w:hAnsi="Times New Roman" w:cs="Times New Roman" w:hint="eastAsia"/>
          <w:color w:val="auto"/>
        </w:rPr>
        <w:fldChar w:fldCharType="separate"/>
      </w:r>
      <w:r>
        <w:rPr>
          <w:rFonts w:ascii="Times New Roman" w:hAnsi="Times New Roman" w:cs="Times New Roman" w:hint="eastAsia"/>
          <w:color w:val="auto"/>
        </w:rPr>
        <w:t>10.</w:t>
      </w:r>
      <w:r>
        <w:rPr>
          <w:rFonts w:ascii="Times New Roman" w:hAnsi="Times New Roman" w:cs="Times New Roman" w:hint="eastAsia"/>
          <w:color w:val="auto"/>
          <w:lang w:eastAsia="zh-CN"/>
        </w:rPr>
        <w:t>6</w:t>
      </w:r>
      <w:r>
        <w:rPr>
          <w:rFonts w:ascii="Times New Roman" w:hAnsi="Times New Roman" w:cs="Times New Roman" w:hint="eastAsia"/>
          <w:color w:val="auto"/>
        </w:rPr>
        <w:t xml:space="preserve"> </w:t>
      </w:r>
      <w:r>
        <w:rPr>
          <w:rFonts w:ascii="Times New Roman" w:hAnsi="Times New Roman" w:cs="Times New Roman" w:hint="eastAsia"/>
          <w:color w:val="auto"/>
          <w:lang w:eastAsia="zh-CN"/>
        </w:rPr>
        <w:t>环境保护</w:t>
      </w:r>
      <w:r>
        <w:rPr>
          <w:rFonts w:ascii="Times New Roman" w:hAnsi="Times New Roman" w:cs="Times New Roman" w:hint="eastAsia"/>
          <w:color w:val="auto"/>
        </w:rPr>
        <w:t>措施</w:t>
      </w:r>
      <w:r>
        <w:rPr>
          <w:rFonts w:ascii="Times New Roman" w:hAnsi="Times New Roman" w:cs="Times New Roman" w:hint="eastAsia"/>
          <w:color w:val="auto"/>
        </w:rPr>
        <w:fldChar w:fldCharType="end"/>
      </w:r>
      <w:bookmarkEnd w:id="2029"/>
    </w:p>
    <w:p w:rsidR="00C645C9" w:rsidRDefault="00F955D9" w:rsidP="005718BB">
      <w:pPr>
        <w:pStyle w:val="afff3"/>
        <w:numPr>
          <w:ilvl w:val="0"/>
          <w:numId w:val="5"/>
        </w:numPr>
        <w:adjustRightInd w:val="0"/>
        <w:snapToGrid w:val="0"/>
        <w:spacing w:beforeLines="0" w:before="0" w:afterLines="0" w:after="0" w:line="360" w:lineRule="auto"/>
        <w:ind w:firstLine="480"/>
        <w:rPr>
          <w:sz w:val="24"/>
        </w:rPr>
      </w:pPr>
      <w:r>
        <w:rPr>
          <w:rFonts w:hint="eastAsia"/>
          <w:sz w:val="24"/>
        </w:rPr>
        <w:t>生态环境保护措施</w:t>
      </w:r>
    </w:p>
    <w:p w:rsidR="00C645C9" w:rsidRDefault="00F955D9">
      <w:pPr>
        <w:pStyle w:val="afff3"/>
        <w:adjustRightInd w:val="0"/>
        <w:snapToGrid w:val="0"/>
        <w:spacing w:beforeLines="0" w:before="0" w:afterLines="0" w:after="0" w:line="360" w:lineRule="auto"/>
        <w:ind w:firstLine="480"/>
        <w:rPr>
          <w:sz w:val="24"/>
        </w:rPr>
      </w:pPr>
      <w:r>
        <w:rPr>
          <w:sz w:val="24"/>
        </w:rPr>
        <w:t>施工期严格控制占地面积；占地及补偿应按照地方有关工程征地及补偿要求进行，由相关部门许可后方可开工建设；施工期充分利用现有油田道路，尽可能减少道路临时占地，降低对地表和植被的破坏，施工</w:t>
      </w:r>
      <w:r>
        <w:rPr>
          <w:rFonts w:hint="eastAsia"/>
          <w:sz w:val="24"/>
        </w:rPr>
        <w:t>机械</w:t>
      </w:r>
      <w:r>
        <w:rPr>
          <w:sz w:val="24"/>
        </w:rPr>
        <w:t>不得在道路以外行驶和作业，保持地表不被扰动，不得随意取弃土。施工结束后，及时对临时占地区域进行平整、恢复</w:t>
      </w:r>
      <w:r>
        <w:rPr>
          <w:rFonts w:hint="eastAsia"/>
          <w:sz w:val="24"/>
        </w:rPr>
        <w:t>原貌。</w:t>
      </w:r>
      <w:r>
        <w:rPr>
          <w:sz w:val="24"/>
        </w:rPr>
        <w:t>运营期，对于永久占地地面采取砾石覆盖措施，减少风蚀量</w:t>
      </w:r>
      <w:r>
        <w:rPr>
          <w:rFonts w:hint="eastAsia"/>
          <w:sz w:val="24"/>
        </w:rPr>
        <w:t>；</w:t>
      </w:r>
      <w:r>
        <w:rPr>
          <w:sz w:val="24"/>
        </w:rPr>
        <w:t>定时巡查井场，及时清理落地</w:t>
      </w:r>
      <w:bookmarkStart w:id="2030" w:name="OLE_LINK982"/>
      <w:r>
        <w:rPr>
          <w:rFonts w:hint="eastAsia"/>
          <w:sz w:val="24"/>
        </w:rPr>
        <w:t>凝析油</w:t>
      </w:r>
      <w:bookmarkEnd w:id="2030"/>
      <w:r>
        <w:rPr>
          <w:sz w:val="24"/>
        </w:rPr>
        <w:t>；开展生态环境恢复治理工作；设置</w:t>
      </w:r>
      <w:r>
        <w:rPr>
          <w:sz w:val="24"/>
        </w:rPr>
        <w:t>“</w:t>
      </w:r>
      <w:r>
        <w:rPr>
          <w:sz w:val="24"/>
        </w:rPr>
        <w:t>保护生态环境、保护野生动植物</w:t>
      </w:r>
      <w:r>
        <w:rPr>
          <w:sz w:val="24"/>
        </w:rPr>
        <w:t>”</w:t>
      </w:r>
      <w:r>
        <w:rPr>
          <w:sz w:val="24"/>
        </w:rPr>
        <w:t>等警示牌。退役期，拆除地面设施、清理井场等，拆除的报废设备和建筑废料等由施工单位运至指定位置进行处理；及时清理作业现场，做到</w:t>
      </w:r>
      <w:r>
        <w:rPr>
          <w:sz w:val="24"/>
        </w:rPr>
        <w:t>“</w:t>
      </w:r>
      <w:r>
        <w:rPr>
          <w:sz w:val="24"/>
        </w:rPr>
        <w:t>工完、料尽、场地清</w:t>
      </w:r>
      <w:r>
        <w:rPr>
          <w:sz w:val="24"/>
        </w:rPr>
        <w:t>”</w:t>
      </w:r>
      <w:r>
        <w:rPr>
          <w:sz w:val="24"/>
        </w:rPr>
        <w:t>，恢复原有地貌；按规范要求对废弃井采取固井、封井措施。</w:t>
      </w:r>
    </w:p>
    <w:p w:rsidR="00C645C9" w:rsidRDefault="00F955D9">
      <w:pPr>
        <w:pStyle w:val="afff3"/>
        <w:numPr>
          <w:ilvl w:val="0"/>
          <w:numId w:val="5"/>
        </w:numPr>
        <w:adjustRightInd w:val="0"/>
        <w:snapToGrid w:val="0"/>
        <w:spacing w:beforeLines="0" w:before="0" w:afterLines="0" w:after="0" w:line="360" w:lineRule="auto"/>
        <w:ind w:firstLine="480"/>
        <w:rPr>
          <w:sz w:val="24"/>
        </w:rPr>
      </w:pPr>
      <w:r>
        <w:rPr>
          <w:sz w:val="24"/>
        </w:rPr>
        <w:t>大气污染防治措施</w:t>
      </w:r>
    </w:p>
    <w:p w:rsidR="00C645C9" w:rsidRDefault="00F955D9">
      <w:pPr>
        <w:pStyle w:val="afff3"/>
        <w:adjustRightInd w:val="0"/>
        <w:snapToGrid w:val="0"/>
        <w:spacing w:beforeLines="0" w:before="0" w:afterLines="0" w:after="0" w:line="360" w:lineRule="auto"/>
        <w:ind w:firstLine="480"/>
        <w:rPr>
          <w:sz w:val="24"/>
        </w:rPr>
      </w:pPr>
      <w:r>
        <w:rPr>
          <w:sz w:val="24"/>
        </w:rPr>
        <w:t>本工程采用技术质量可靠的设备、阀门等；定期对</w:t>
      </w:r>
      <w:r>
        <w:rPr>
          <w:rFonts w:hint="eastAsia"/>
          <w:sz w:val="24"/>
        </w:rPr>
        <w:t>油气生产设施、设备</w:t>
      </w:r>
      <w:r>
        <w:rPr>
          <w:sz w:val="24"/>
        </w:rPr>
        <w:t>等进行定期的检查、检修，以防止跑、冒、滴、漏的发生。</w:t>
      </w:r>
      <w:r>
        <w:rPr>
          <w:rFonts w:hint="eastAsia"/>
          <w:sz w:val="24"/>
        </w:rPr>
        <w:t>井场加热炉</w:t>
      </w:r>
      <w:r>
        <w:rPr>
          <w:sz w:val="24"/>
        </w:rPr>
        <w:t>用天然气作为燃料，从而减少有害物质的排放</w:t>
      </w:r>
      <w:bookmarkStart w:id="2031" w:name="_Hlk55817021"/>
      <w:r>
        <w:rPr>
          <w:rFonts w:hint="eastAsia"/>
          <w:sz w:val="24"/>
        </w:rPr>
        <w:t>；</w:t>
      </w:r>
      <w:r>
        <w:rPr>
          <w:rFonts w:hint="eastAsia"/>
          <w:snapToGrid w:val="0"/>
          <w:kern w:val="24"/>
          <w:sz w:val="24"/>
        </w:rPr>
        <w:t>储罐上部设有安全阀，挥发的油气超过安全阀设定压力后，经安全阀后的管线输至放空区放空燃烧。</w:t>
      </w:r>
      <w:r>
        <w:rPr>
          <w:rFonts w:hint="eastAsia"/>
          <w:sz w:val="24"/>
        </w:rPr>
        <w:t>凝析油</w:t>
      </w:r>
      <w:r>
        <w:rPr>
          <w:rFonts w:hint="eastAsia"/>
          <w:snapToGrid w:val="0"/>
          <w:sz w:val="24"/>
        </w:rPr>
        <w:t>、混烃</w:t>
      </w:r>
      <w:r>
        <w:rPr>
          <w:snapToGrid w:val="0"/>
          <w:sz w:val="24"/>
        </w:rPr>
        <w:t>通过装车泵、鹤管装车外运，采用密闭装车工艺</w:t>
      </w:r>
      <w:r>
        <w:rPr>
          <w:rFonts w:hint="eastAsia"/>
          <w:snapToGrid w:val="0"/>
          <w:sz w:val="24"/>
        </w:rPr>
        <w:t>。</w:t>
      </w:r>
      <w:bookmarkEnd w:id="2031"/>
      <w:r>
        <w:rPr>
          <w:sz w:val="24"/>
        </w:rPr>
        <w:t>定期进行巡检，以便及时发现问题，消除事故隐患，防止油气</w:t>
      </w:r>
      <w:r>
        <w:rPr>
          <w:rFonts w:hint="eastAsia"/>
          <w:sz w:val="24"/>
        </w:rPr>
        <w:t>泄漏</w:t>
      </w:r>
      <w:r>
        <w:rPr>
          <w:sz w:val="24"/>
        </w:rPr>
        <w:t>进入大气环境。</w:t>
      </w:r>
    </w:p>
    <w:p w:rsidR="00C645C9" w:rsidRDefault="00F955D9">
      <w:pPr>
        <w:pStyle w:val="afff3"/>
        <w:numPr>
          <w:ilvl w:val="0"/>
          <w:numId w:val="5"/>
        </w:numPr>
        <w:adjustRightInd w:val="0"/>
        <w:snapToGrid w:val="0"/>
        <w:spacing w:beforeLines="0" w:before="0" w:afterLines="0" w:after="0" w:line="360" w:lineRule="auto"/>
        <w:ind w:firstLine="480"/>
        <w:rPr>
          <w:sz w:val="24"/>
        </w:rPr>
      </w:pPr>
      <w:r>
        <w:rPr>
          <w:sz w:val="24"/>
        </w:rPr>
        <w:t>噪声防治措施</w:t>
      </w:r>
    </w:p>
    <w:p w:rsidR="00C645C9" w:rsidRDefault="00F955D9">
      <w:pPr>
        <w:pStyle w:val="afff3"/>
        <w:adjustRightInd w:val="0"/>
        <w:snapToGrid w:val="0"/>
        <w:spacing w:beforeLines="0" w:before="0" w:afterLines="0" w:after="0" w:line="360" w:lineRule="auto"/>
        <w:ind w:firstLine="480"/>
        <w:rPr>
          <w:sz w:val="24"/>
        </w:rPr>
      </w:pPr>
      <w:r>
        <w:rPr>
          <w:sz w:val="24"/>
        </w:rPr>
        <w:lastRenderedPageBreak/>
        <w:t>合理布局噪声源，采用基础减振、隔声等措施，并加强日常维护，减轻设备对外环境和岗位工人的噪声污染。</w:t>
      </w:r>
    </w:p>
    <w:p w:rsidR="00C645C9" w:rsidRDefault="00F955D9">
      <w:pPr>
        <w:pStyle w:val="afff3"/>
        <w:numPr>
          <w:ilvl w:val="0"/>
          <w:numId w:val="5"/>
        </w:numPr>
        <w:adjustRightInd w:val="0"/>
        <w:snapToGrid w:val="0"/>
        <w:spacing w:beforeLines="0" w:before="0" w:afterLines="0" w:after="0" w:line="360" w:lineRule="auto"/>
        <w:ind w:firstLine="480"/>
        <w:rPr>
          <w:sz w:val="24"/>
        </w:rPr>
      </w:pPr>
      <w:r>
        <w:rPr>
          <w:sz w:val="24"/>
        </w:rPr>
        <w:t>废水防治措施</w:t>
      </w:r>
    </w:p>
    <w:p w:rsidR="00C645C9" w:rsidRDefault="00F955D9">
      <w:pPr>
        <w:pStyle w:val="afff3"/>
        <w:adjustRightInd w:val="0"/>
        <w:snapToGrid w:val="0"/>
        <w:spacing w:beforeLines="0" w:before="0" w:afterLines="0" w:after="0" w:line="360" w:lineRule="auto"/>
        <w:ind w:firstLine="480"/>
        <w:rPr>
          <w:sz w:val="24"/>
        </w:rPr>
      </w:pPr>
      <w:r>
        <w:rPr>
          <w:rFonts w:hint="eastAsia"/>
          <w:sz w:val="24"/>
        </w:rPr>
        <w:t>生产废水、采</w:t>
      </w:r>
      <w:r>
        <w:rPr>
          <w:sz w:val="24"/>
        </w:rPr>
        <w:t>出水</w:t>
      </w:r>
      <w:r>
        <w:rPr>
          <w:rFonts w:hint="eastAsia"/>
          <w:sz w:val="24"/>
        </w:rPr>
        <w:t>、井下作业废水</w:t>
      </w:r>
      <w:r>
        <w:rPr>
          <w:sz w:val="24"/>
        </w:rPr>
        <w:t>经专用罐</w:t>
      </w:r>
      <w:r>
        <w:rPr>
          <w:kern w:val="24"/>
          <w:sz w:val="24"/>
        </w:rPr>
        <w:t>收集后</w:t>
      </w:r>
      <w:r>
        <w:rPr>
          <w:sz w:val="24"/>
        </w:rPr>
        <w:t>输送至</w:t>
      </w:r>
      <w:bookmarkStart w:id="2032" w:name="OLE_LINK1014"/>
      <w:r>
        <w:rPr>
          <w:rFonts w:hint="eastAsia"/>
          <w:sz w:val="24"/>
        </w:rPr>
        <w:t>塔河油田绿色环保工作站</w:t>
      </w:r>
      <w:bookmarkEnd w:id="2032"/>
      <w:r>
        <w:rPr>
          <w:sz w:val="24"/>
        </w:rPr>
        <w:t>处理，达标后回注油层</w:t>
      </w:r>
      <w:r>
        <w:rPr>
          <w:rFonts w:hint="eastAsia"/>
          <w:sz w:val="24"/>
        </w:rPr>
        <w:t>，生活污水经井场一体化污水处理装置处理后，水质达到《农村生活污水处理排放标准》（</w:t>
      </w:r>
      <w:r>
        <w:rPr>
          <w:rFonts w:hint="eastAsia"/>
          <w:sz w:val="24"/>
        </w:rPr>
        <w:t>DB65 4275-2019</w:t>
      </w:r>
      <w:r>
        <w:rPr>
          <w:rFonts w:hint="eastAsia"/>
          <w:sz w:val="24"/>
        </w:rPr>
        <w:t>）表二的</w:t>
      </w:r>
      <w:r>
        <w:rPr>
          <w:rFonts w:hint="eastAsia"/>
          <w:sz w:val="24"/>
        </w:rPr>
        <w:t>B</w:t>
      </w:r>
      <w:r>
        <w:rPr>
          <w:rFonts w:hint="eastAsia"/>
          <w:sz w:val="24"/>
        </w:rPr>
        <w:t>级标准、《农田灌溉水质标准》（</w:t>
      </w:r>
      <w:r>
        <w:rPr>
          <w:rFonts w:hint="eastAsia"/>
          <w:sz w:val="24"/>
        </w:rPr>
        <w:t>GB 5084-2021</w:t>
      </w:r>
      <w:r>
        <w:rPr>
          <w:rFonts w:hint="eastAsia"/>
          <w:sz w:val="24"/>
        </w:rPr>
        <w:t>）表一旱地作物标准后用于井场及道路降尘</w:t>
      </w:r>
      <w:r>
        <w:rPr>
          <w:rFonts w:hint="eastAsia"/>
          <w:sz w:val="24"/>
        </w:rPr>
        <w:t>。</w:t>
      </w:r>
      <w:r>
        <w:rPr>
          <w:sz w:val="24"/>
        </w:rPr>
        <w:t>地下水环境保护按照</w:t>
      </w:r>
      <w:r>
        <w:rPr>
          <w:sz w:val="24"/>
        </w:rPr>
        <w:t>“</w:t>
      </w:r>
      <w:r>
        <w:rPr>
          <w:sz w:val="24"/>
        </w:rPr>
        <w:t>源头控制、分区防控、污染监控、应急响应</w:t>
      </w:r>
      <w:r>
        <w:rPr>
          <w:sz w:val="24"/>
        </w:rPr>
        <w:t>”</w:t>
      </w:r>
      <w:r>
        <w:rPr>
          <w:sz w:val="24"/>
        </w:rPr>
        <w:t>原则采取措施。</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5</w:t>
      </w:r>
      <w:r>
        <w:rPr>
          <w:rFonts w:hint="eastAsia"/>
          <w:sz w:val="24"/>
        </w:rPr>
        <w:t>）</w:t>
      </w:r>
      <w:r>
        <w:rPr>
          <w:sz w:val="24"/>
        </w:rPr>
        <w:t>固体废物防治措施</w:t>
      </w:r>
    </w:p>
    <w:p w:rsidR="00C645C9" w:rsidRDefault="00F955D9" w:rsidP="005718BB">
      <w:pPr>
        <w:pStyle w:val="afff3"/>
        <w:adjustRightInd w:val="0"/>
        <w:snapToGrid w:val="0"/>
        <w:spacing w:beforeLines="0" w:before="0" w:afterLines="0" w:after="0" w:line="360" w:lineRule="auto"/>
        <w:ind w:firstLine="480"/>
        <w:jc w:val="both"/>
        <w:rPr>
          <w:sz w:val="24"/>
        </w:rPr>
      </w:pPr>
      <w:r>
        <w:rPr>
          <w:sz w:val="24"/>
        </w:rPr>
        <w:t>施工期</w:t>
      </w:r>
      <w:r>
        <w:rPr>
          <w:rFonts w:cs="Times New Roman"/>
          <w:sz w:val="24"/>
        </w:rPr>
        <w:t>钻井岩屑随泥浆一同进入泥浆不落地处理系统处理；非磺化水基泥浆采用泥浆不落地系统在井场进行固液分离，分离后的液相用于钻井液配制，分离后的固相经检测满足《油气田钻井固体废物综合利用污染控制要求》（</w:t>
      </w:r>
      <w:r>
        <w:rPr>
          <w:rFonts w:cs="Times New Roman"/>
          <w:sz w:val="24"/>
        </w:rPr>
        <w:t>D</w:t>
      </w:r>
      <w:r>
        <w:rPr>
          <w:rFonts w:cs="Times New Roman"/>
          <w:sz w:val="24"/>
        </w:rPr>
        <w:t>B65/T 3997-2017</w:t>
      </w:r>
      <w:r>
        <w:rPr>
          <w:rFonts w:cs="Times New Roman"/>
          <w:sz w:val="24"/>
        </w:rPr>
        <w:t>）中综合利用污染物限值要求，同时石油烃满足《土壤环境质量</w:t>
      </w:r>
      <w:r>
        <w:rPr>
          <w:rFonts w:cs="Times New Roman"/>
          <w:sz w:val="24"/>
        </w:rPr>
        <w:t xml:space="preserve"> </w:t>
      </w:r>
      <w:r>
        <w:rPr>
          <w:rFonts w:cs="Times New Roman"/>
          <w:sz w:val="24"/>
        </w:rPr>
        <w:t>建设用地土壤污染风险管控标准（试行）》（</w:t>
      </w:r>
      <w:r>
        <w:rPr>
          <w:rFonts w:cs="Times New Roman"/>
          <w:sz w:val="24"/>
        </w:rPr>
        <w:t>GB36600-2018</w:t>
      </w:r>
      <w:r>
        <w:rPr>
          <w:rFonts w:cs="Times New Roman"/>
          <w:sz w:val="24"/>
        </w:rPr>
        <w:t>）中表</w:t>
      </w:r>
      <w:r>
        <w:rPr>
          <w:rFonts w:cs="Times New Roman"/>
          <w:sz w:val="24"/>
        </w:rPr>
        <w:t>2</w:t>
      </w:r>
      <w:r>
        <w:rPr>
          <w:rFonts w:cs="Times New Roman"/>
          <w:sz w:val="24"/>
        </w:rPr>
        <w:t>第二类用地风险筛选值后，可用于铺垫油区内的井场等；磺化水基泥浆在现场进行固液分离，分离后的液体用于钻井液配备，固相拉运至塔河油田绿色环保工作站的含油污泥处理系统处置。油基泥浆采用油基泥浆不落地系统在井场进行固液分离，液相回用于钻井，固相使用专用罐收集后，拉运至塔河油田绿色环保工作站的含油污泥处理系统处置</w:t>
      </w:r>
      <w:r>
        <w:rPr>
          <w:rFonts w:cs="Times New Roman" w:hint="eastAsia"/>
          <w:sz w:val="24"/>
        </w:rPr>
        <w:t>。</w:t>
      </w:r>
      <w:r>
        <w:rPr>
          <w:rFonts w:cs="Times New Roman"/>
          <w:sz w:val="24"/>
        </w:rPr>
        <w:t>落地油回收至罐车内，罐车采用密闭的专用罐车，统</w:t>
      </w:r>
      <w:r>
        <w:rPr>
          <w:rFonts w:cs="Times New Roman"/>
          <w:sz w:val="24"/>
        </w:rPr>
        <w:t>一由塔河油田绿色环保</w:t>
      </w:r>
      <w:r>
        <w:rPr>
          <w:rFonts w:cs="Times New Roman" w:hint="eastAsia"/>
          <w:sz w:val="24"/>
        </w:rPr>
        <w:t>工作</w:t>
      </w:r>
      <w:r>
        <w:rPr>
          <w:rFonts w:cs="Times New Roman"/>
          <w:sz w:val="24"/>
        </w:rPr>
        <w:t>站进行无害化处理。</w:t>
      </w:r>
      <w:r>
        <w:rPr>
          <w:rFonts w:cs="Times New Roman" w:hint="eastAsia"/>
          <w:sz w:val="24"/>
        </w:rPr>
        <w:t>废润滑油</w:t>
      </w:r>
      <w:r>
        <w:rPr>
          <w:rFonts w:cs="Times New Roman"/>
          <w:sz w:val="24"/>
        </w:rPr>
        <w:t>，</w:t>
      </w:r>
      <w:r>
        <w:rPr>
          <w:rFonts w:cs="Times New Roman" w:hint="eastAsia"/>
          <w:sz w:val="24"/>
        </w:rPr>
        <w:t>收集后委托持有危险废物经营许可证的单位利用处置</w:t>
      </w:r>
      <w:r>
        <w:rPr>
          <w:rFonts w:cs="Times New Roman"/>
          <w:sz w:val="24"/>
        </w:rPr>
        <w:t>。</w:t>
      </w:r>
      <w:r>
        <w:rPr>
          <w:rFonts w:cs="Times New Roman"/>
          <w:sz w:val="24"/>
        </w:rPr>
        <w:t>生活垃圾集中收集后，委托库车绿能环保科技有限公司清运处置</w:t>
      </w:r>
      <w:r>
        <w:rPr>
          <w:rFonts w:cs="Times New Roman"/>
          <w:sz w:val="24"/>
        </w:rPr>
        <w:t>。</w:t>
      </w:r>
      <w:r>
        <w:rPr>
          <w:rFonts w:cs="Times New Roman"/>
          <w:sz w:val="24"/>
        </w:rPr>
        <w:t>施工废料应首先考虑回收利用，不可回收利用部分由库车绿能环保科技有限公司拉运至库车经济开发区工业固废填埋场合规处置。</w:t>
      </w:r>
      <w:r>
        <w:rPr>
          <w:rFonts w:cs="Times New Roman"/>
          <w:sz w:val="24"/>
        </w:rPr>
        <w:t>土石方</w:t>
      </w:r>
      <w:r>
        <w:rPr>
          <w:rFonts w:cs="Times New Roman"/>
          <w:sz w:val="24"/>
        </w:rPr>
        <w:t>全部用于</w:t>
      </w:r>
      <w:r>
        <w:rPr>
          <w:rFonts w:cs="Times New Roman" w:hint="eastAsia"/>
          <w:sz w:val="24"/>
        </w:rPr>
        <w:t>井</w:t>
      </w:r>
      <w:r>
        <w:rPr>
          <w:rFonts w:cs="Times New Roman"/>
          <w:sz w:val="24"/>
        </w:rPr>
        <w:t>场回填</w:t>
      </w:r>
      <w:r>
        <w:rPr>
          <w:rFonts w:cs="Times New Roman" w:hint="eastAsia"/>
          <w:sz w:val="24"/>
        </w:rPr>
        <w:t>，</w:t>
      </w:r>
      <w:r>
        <w:rPr>
          <w:rFonts w:cs="Times New Roman"/>
          <w:sz w:val="24"/>
        </w:rPr>
        <w:t>场地平整</w:t>
      </w:r>
      <w:r>
        <w:rPr>
          <w:rFonts w:cs="Times New Roman" w:hint="eastAsia"/>
          <w:sz w:val="24"/>
        </w:rPr>
        <w:t>。</w:t>
      </w:r>
      <w:r>
        <w:rPr>
          <w:rFonts w:hint="eastAsia"/>
          <w:sz w:val="24"/>
        </w:rPr>
        <w:t>运营</w:t>
      </w:r>
      <w:r>
        <w:rPr>
          <w:sz w:val="24"/>
        </w:rPr>
        <w:t>期落地油</w:t>
      </w:r>
      <w:r>
        <w:rPr>
          <w:rFonts w:hint="eastAsia"/>
          <w:sz w:val="24"/>
        </w:rPr>
        <w:t>由塔河油田绿色环保站处理</w:t>
      </w:r>
      <w:r>
        <w:rPr>
          <w:rFonts w:hint="eastAsia"/>
          <w:sz w:val="24"/>
        </w:rPr>
        <w:t>。</w:t>
      </w:r>
      <w:r>
        <w:rPr>
          <w:sz w:val="24"/>
        </w:rPr>
        <w:t>废防渗材料</w:t>
      </w:r>
      <w:r>
        <w:rPr>
          <w:rFonts w:hint="eastAsia"/>
          <w:sz w:val="24"/>
        </w:rPr>
        <w:t>、清罐底泥</w:t>
      </w:r>
      <w:r>
        <w:rPr>
          <w:rFonts w:hint="eastAsia"/>
          <w:sz w:val="24"/>
        </w:rPr>
        <w:t>和废润滑油</w:t>
      </w:r>
      <w:r>
        <w:rPr>
          <w:rFonts w:hint="eastAsia"/>
          <w:sz w:val="24"/>
        </w:rPr>
        <w:t>委托持有危险废物经营许可证的单位利用处置</w:t>
      </w:r>
      <w:r>
        <w:rPr>
          <w:rFonts w:hint="eastAsia"/>
          <w:sz w:val="24"/>
        </w:rPr>
        <w:t>。</w:t>
      </w:r>
      <w:r>
        <w:rPr>
          <w:rFonts w:hint="eastAsia"/>
          <w:sz w:val="24"/>
        </w:rPr>
        <w:t>运营期工作人员由雅克拉采气厂内部调剂解决，故不新增生活垃圾</w:t>
      </w:r>
      <w:r>
        <w:rPr>
          <w:sz w:val="24"/>
        </w:rPr>
        <w:t>。退役期设备拆除过程中产生的落地油由</w:t>
      </w:r>
      <w:r>
        <w:rPr>
          <w:rFonts w:hint="eastAsia"/>
          <w:sz w:val="24"/>
        </w:rPr>
        <w:t>委托持有危险废物经营许可证的单位利用处置。</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6</w:t>
      </w:r>
      <w:r>
        <w:rPr>
          <w:rFonts w:hint="eastAsia"/>
          <w:sz w:val="24"/>
        </w:rPr>
        <w:t>）</w:t>
      </w:r>
      <w:r>
        <w:rPr>
          <w:sz w:val="24"/>
        </w:rPr>
        <w:t>土壤污染防治措施</w:t>
      </w:r>
    </w:p>
    <w:p w:rsidR="00C645C9" w:rsidRDefault="00F955D9" w:rsidP="005718BB">
      <w:pPr>
        <w:pStyle w:val="afff3"/>
        <w:adjustRightInd w:val="0"/>
        <w:snapToGrid w:val="0"/>
        <w:spacing w:beforeLines="0" w:before="0" w:afterLines="0" w:after="0" w:line="360" w:lineRule="auto"/>
        <w:ind w:firstLine="480"/>
        <w:rPr>
          <w:sz w:val="24"/>
        </w:rPr>
      </w:pPr>
      <w:r>
        <w:rPr>
          <w:sz w:val="24"/>
        </w:rPr>
        <w:lastRenderedPageBreak/>
        <w:t>加强日常巡检监管工作，出现泄漏情况能及时发现；加强法兰、阀门连接处腐蚀情况记录管理，避免因老化、腐蚀导致泄漏情况发生。严格执行地下水章节分区防控措施要求。制定跟踪监测计划，发生事故</w:t>
      </w:r>
      <w:r>
        <w:rPr>
          <w:rFonts w:hint="eastAsia"/>
          <w:sz w:val="24"/>
        </w:rPr>
        <w:t>泄漏</w:t>
      </w:r>
      <w:r>
        <w:rPr>
          <w:sz w:val="24"/>
        </w:rPr>
        <w:t>时对井口区可能影响区域进行跟踪监测。</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w:t>
      </w:r>
      <w:r>
        <w:rPr>
          <w:rFonts w:hint="eastAsia"/>
          <w:sz w:val="24"/>
        </w:rPr>
        <w:t>7</w:t>
      </w:r>
      <w:r>
        <w:rPr>
          <w:rFonts w:hint="eastAsia"/>
          <w:sz w:val="24"/>
        </w:rPr>
        <w:t>）</w:t>
      </w:r>
      <w:r>
        <w:rPr>
          <w:sz w:val="24"/>
        </w:rPr>
        <w:t>风险防治措施</w:t>
      </w:r>
    </w:p>
    <w:p w:rsidR="00C645C9" w:rsidRDefault="00F955D9" w:rsidP="005718BB">
      <w:pPr>
        <w:pStyle w:val="afff3"/>
        <w:adjustRightInd w:val="0"/>
        <w:snapToGrid w:val="0"/>
        <w:spacing w:beforeLines="0" w:before="0" w:afterLines="0" w:after="0" w:line="360" w:lineRule="auto"/>
        <w:ind w:firstLine="480"/>
        <w:rPr>
          <w:sz w:val="24"/>
        </w:rPr>
      </w:pPr>
      <w:r>
        <w:rPr>
          <w:sz w:val="24"/>
        </w:rPr>
        <w:t>做好</w:t>
      </w:r>
      <w:r>
        <w:rPr>
          <w:rFonts w:hint="eastAsia"/>
          <w:sz w:val="24"/>
        </w:rPr>
        <w:t>凝析油</w:t>
      </w:r>
      <w:r>
        <w:rPr>
          <w:rFonts w:hint="eastAsia"/>
          <w:sz w:val="24"/>
        </w:rPr>
        <w:t>、天然气等</w:t>
      </w:r>
      <w:r>
        <w:rPr>
          <w:sz w:val="24"/>
        </w:rPr>
        <w:t>泄漏风险防范，制定切实可行、有效的应急预案，加之</w:t>
      </w:r>
      <w:r>
        <w:rPr>
          <w:rFonts w:hint="eastAsia"/>
          <w:sz w:val="24"/>
        </w:rPr>
        <w:t>本工程</w:t>
      </w:r>
      <w:r>
        <w:rPr>
          <w:sz w:val="24"/>
        </w:rPr>
        <w:t>发生事故的概率较低，</w:t>
      </w:r>
      <w:r>
        <w:rPr>
          <w:rFonts w:hint="eastAsia"/>
          <w:sz w:val="24"/>
        </w:rPr>
        <w:t>本工程</w:t>
      </w:r>
      <w:r>
        <w:rPr>
          <w:sz w:val="24"/>
        </w:rPr>
        <w:t>建设环境风险水平是</w:t>
      </w:r>
      <w:r>
        <w:rPr>
          <w:rFonts w:hint="eastAsia"/>
          <w:sz w:val="24"/>
        </w:rPr>
        <w:t>可以</w:t>
      </w:r>
      <w:r>
        <w:rPr>
          <w:sz w:val="24"/>
        </w:rPr>
        <w:t>接受的。</w:t>
      </w:r>
    </w:p>
    <w:bookmarkStart w:id="2033" w:name="_Toc26063"/>
    <w:p w:rsidR="00C645C9" w:rsidRDefault="00F955D9">
      <w:pPr>
        <w:pStyle w:val="2"/>
        <w:adjustRightInd w:val="0"/>
        <w:snapToGrid w:val="0"/>
        <w:spacing w:after="0" w:line="360" w:lineRule="auto"/>
        <w:rPr>
          <w:rFonts w:ascii="Times New Roman" w:hAnsi="Times New Roman" w:cs="Times New Roman"/>
          <w:color w:val="auto"/>
          <w:lang w:eastAsia="zh-CN"/>
        </w:rPr>
      </w:pPr>
      <w:r>
        <w:rPr>
          <w:rFonts w:ascii="Times New Roman" w:hAnsi="Times New Roman" w:cs="Times New Roman" w:hint="eastAsia"/>
          <w:color w:val="auto"/>
        </w:rPr>
        <w:fldChar w:fldCharType="begin"/>
      </w:r>
      <w:r>
        <w:rPr>
          <w:rFonts w:ascii="Times New Roman" w:hAnsi="Times New Roman" w:cs="Times New Roman" w:hint="eastAsia"/>
          <w:color w:val="auto"/>
          <w:lang w:eastAsia="zh-CN"/>
        </w:rPr>
        <w:instrText xml:space="preserve"> HYPERLINK \l _Toc24108 </w:instrText>
      </w:r>
      <w:r>
        <w:rPr>
          <w:rFonts w:ascii="Times New Roman" w:hAnsi="Times New Roman" w:cs="Times New Roman" w:hint="eastAsia"/>
          <w:color w:val="auto"/>
        </w:rPr>
        <w:fldChar w:fldCharType="separate"/>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.7</w:t>
      </w:r>
      <w:r>
        <w:rPr>
          <w:rFonts w:ascii="Times New Roman" w:hAnsi="Times New Roman" w:cs="Times New Roman" w:hint="eastAsia"/>
          <w:color w:val="auto"/>
          <w:lang w:eastAsia="zh-CN"/>
        </w:rPr>
        <w:t>公众意见采纳情</w:t>
      </w:r>
      <w:r>
        <w:rPr>
          <w:rFonts w:ascii="Times New Roman" w:hAnsi="Times New Roman" w:cs="Times New Roman" w:hint="eastAsia"/>
          <w:color w:val="auto"/>
          <w:lang w:eastAsia="zh-CN"/>
        </w:rPr>
        <w:t>况</w:t>
      </w:r>
      <w:r>
        <w:rPr>
          <w:rFonts w:ascii="Times New Roman" w:hAnsi="Times New Roman" w:cs="Times New Roman" w:hint="eastAsia"/>
          <w:color w:val="auto"/>
        </w:rPr>
        <w:fldChar w:fldCharType="end"/>
      </w:r>
      <w:bookmarkEnd w:id="2033"/>
    </w:p>
    <w:p w:rsidR="00C645C9" w:rsidRDefault="00F955D9">
      <w:pPr>
        <w:adjustRightInd w:val="0"/>
        <w:snapToGrid w:val="0"/>
        <w:spacing w:line="360" w:lineRule="auto"/>
        <w:ind w:firstLineChars="200" w:firstLine="480"/>
      </w:pPr>
      <w:r>
        <w:t>建设单位根据《环境影响评价公众参与办法》的要求，采用网络公告、报纸刊登等形式开展公众参与调查，调查期间未收到公众对本工程的相关建议。</w:t>
      </w:r>
    </w:p>
    <w:bookmarkStart w:id="2034" w:name="_Toc3669"/>
    <w:p w:rsidR="00C645C9" w:rsidRDefault="00F955D9">
      <w:pPr>
        <w:pStyle w:val="2"/>
        <w:adjustRightInd w:val="0"/>
        <w:snapToGrid w:val="0"/>
        <w:spacing w:after="0" w:line="360" w:lineRule="auto"/>
        <w:rPr>
          <w:rFonts w:ascii="Times New Roman" w:hAnsi="Times New Roman" w:cs="Times New Roman"/>
          <w:color w:val="auto"/>
          <w:lang w:eastAsia="zh-CN"/>
        </w:rPr>
      </w:pPr>
      <w:r>
        <w:rPr>
          <w:rFonts w:ascii="Times New Roman" w:hAnsi="Times New Roman" w:cs="Times New Roman" w:hint="eastAsia"/>
          <w:color w:val="auto"/>
        </w:rPr>
        <w:fldChar w:fldCharType="begin"/>
      </w:r>
      <w:r>
        <w:rPr>
          <w:rFonts w:ascii="Times New Roman" w:hAnsi="Times New Roman" w:cs="Times New Roman" w:hint="eastAsia"/>
          <w:color w:val="auto"/>
          <w:lang w:eastAsia="zh-CN"/>
        </w:rPr>
        <w:instrText xml:space="preserve"> HYPERLINK \l _Toc13950 </w:instrText>
      </w:r>
      <w:r>
        <w:rPr>
          <w:rFonts w:ascii="Times New Roman" w:hAnsi="Times New Roman" w:cs="Times New Roman" w:hint="eastAsia"/>
          <w:color w:val="auto"/>
        </w:rPr>
        <w:fldChar w:fldCharType="separate"/>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.8</w:t>
      </w:r>
      <w:r>
        <w:rPr>
          <w:rFonts w:ascii="Times New Roman" w:hAnsi="Times New Roman" w:cs="Times New Roman" w:hint="eastAsia"/>
          <w:color w:val="auto"/>
          <w:lang w:eastAsia="zh-CN"/>
        </w:rPr>
        <w:t>环境影响经济损益分析</w:t>
      </w:r>
      <w:r>
        <w:rPr>
          <w:rFonts w:ascii="Times New Roman" w:hAnsi="Times New Roman" w:cs="Times New Roman" w:hint="eastAsia"/>
          <w:color w:val="auto"/>
        </w:rPr>
        <w:fldChar w:fldCharType="end"/>
      </w:r>
      <w:bookmarkEnd w:id="2034"/>
    </w:p>
    <w:p w:rsidR="00C645C9" w:rsidRDefault="00F955D9" w:rsidP="005718BB">
      <w:pPr>
        <w:pStyle w:val="afff3"/>
        <w:adjustRightInd w:val="0"/>
        <w:snapToGrid w:val="0"/>
        <w:spacing w:beforeLines="0" w:before="0" w:afterLines="0" w:after="0" w:line="360" w:lineRule="auto"/>
        <w:ind w:firstLine="480"/>
        <w:rPr>
          <w:sz w:val="24"/>
        </w:rPr>
      </w:pPr>
      <w:r>
        <w:rPr>
          <w:sz w:val="24"/>
        </w:rPr>
        <w:t>本工程具有良好的经济效益和社会效益。</w:t>
      </w:r>
    </w:p>
    <w:p w:rsidR="00C645C9" w:rsidRDefault="00F955D9" w:rsidP="005718BB">
      <w:pPr>
        <w:pStyle w:val="afff3"/>
        <w:adjustRightInd w:val="0"/>
        <w:snapToGrid w:val="0"/>
        <w:spacing w:beforeLines="0" w:before="0" w:afterLines="0" w:after="0" w:line="360" w:lineRule="auto"/>
        <w:ind w:firstLine="480"/>
        <w:rPr>
          <w:sz w:val="24"/>
        </w:rPr>
      </w:pPr>
      <w:r>
        <w:rPr>
          <w:sz w:val="24"/>
        </w:rPr>
        <w:t>在建设过程中，由于地面设施建设等都需要占用一定量的土地，并因此带来一定的</w:t>
      </w:r>
      <w:r>
        <w:rPr>
          <w:rFonts w:hint="eastAsia"/>
          <w:sz w:val="24"/>
        </w:rPr>
        <w:t>生态</w:t>
      </w:r>
      <w:r>
        <w:rPr>
          <w:sz w:val="24"/>
        </w:rPr>
        <w:t>环境损失。因而在油田开发过程中，需要投入必要的资金用于污染防治和恢复地貌等，经估算本工程总投资为</w:t>
      </w:r>
      <w:r>
        <w:rPr>
          <w:rFonts w:cs="Times New Roman"/>
          <w:sz w:val="24"/>
        </w:rPr>
        <w:t>452.5</w:t>
      </w:r>
      <w:r>
        <w:rPr>
          <w:sz w:val="24"/>
        </w:rPr>
        <w:t>万元，其中环保投资</w:t>
      </w:r>
      <w:r>
        <w:rPr>
          <w:rFonts w:hint="eastAsia"/>
          <w:sz w:val="24"/>
        </w:rPr>
        <w:t>43</w:t>
      </w:r>
      <w:r>
        <w:rPr>
          <w:sz w:val="24"/>
        </w:rPr>
        <w:t>万元，占总投资</w:t>
      </w:r>
      <w:r>
        <w:rPr>
          <w:rFonts w:hint="eastAsia"/>
          <w:sz w:val="24"/>
        </w:rPr>
        <w:t>9</w:t>
      </w:r>
      <w:r>
        <w:rPr>
          <w:sz w:val="24"/>
        </w:rPr>
        <w:t>.</w:t>
      </w:r>
      <w:r>
        <w:rPr>
          <w:rFonts w:hint="eastAsia"/>
          <w:sz w:val="24"/>
        </w:rPr>
        <w:t>5</w:t>
      </w:r>
      <w:r>
        <w:rPr>
          <w:sz w:val="24"/>
        </w:rPr>
        <w:t>%</w:t>
      </w:r>
      <w:r>
        <w:rPr>
          <w:sz w:val="24"/>
        </w:rPr>
        <w:t>。实施相应的环保措施后，不但能够起到保护环境的效果，同时节约经济开支，为企业带来经济效益。</w:t>
      </w:r>
    </w:p>
    <w:bookmarkStart w:id="2035" w:name="_Toc8125"/>
    <w:p w:rsidR="00C645C9" w:rsidRDefault="00F955D9">
      <w:pPr>
        <w:pStyle w:val="2"/>
        <w:adjustRightInd w:val="0"/>
        <w:snapToGrid w:val="0"/>
        <w:spacing w:after="0" w:line="360" w:lineRule="auto"/>
        <w:rPr>
          <w:rFonts w:ascii="Times New Roman" w:hAnsi="Times New Roman" w:cs="Times New Roman"/>
          <w:color w:val="auto"/>
          <w:lang w:eastAsia="zh-CN"/>
        </w:rPr>
      </w:pPr>
      <w:r>
        <w:rPr>
          <w:rFonts w:ascii="Times New Roman" w:hAnsi="Times New Roman" w:cs="Times New Roman" w:hint="eastAsia"/>
          <w:color w:val="auto"/>
        </w:rPr>
        <w:fldChar w:fldCharType="begin"/>
      </w:r>
      <w:r>
        <w:rPr>
          <w:rFonts w:ascii="Times New Roman" w:hAnsi="Times New Roman" w:cs="Times New Roman" w:hint="eastAsia"/>
          <w:color w:val="auto"/>
          <w:lang w:eastAsia="zh-CN"/>
        </w:rPr>
        <w:instrText xml:space="preserve"> HYPERLINK \l _Toc26871 </w:instrText>
      </w:r>
      <w:r>
        <w:rPr>
          <w:rFonts w:ascii="Times New Roman" w:hAnsi="Times New Roman" w:cs="Times New Roman" w:hint="eastAsia"/>
          <w:color w:val="auto"/>
        </w:rPr>
        <w:fldChar w:fldCharType="separate"/>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w:t>
      </w:r>
      <w:r>
        <w:rPr>
          <w:rFonts w:ascii="Times New Roman" w:hAnsi="Times New Roman" w:cs="Times New Roman" w:hint="eastAsia"/>
          <w:color w:val="auto"/>
          <w:lang w:eastAsia="zh-CN"/>
        </w:rPr>
        <w:t>9</w:t>
      </w:r>
      <w:r>
        <w:rPr>
          <w:rFonts w:ascii="Times New Roman" w:hAnsi="Times New Roman" w:cs="Times New Roman" w:hint="eastAsia"/>
          <w:color w:val="auto"/>
          <w:lang w:eastAsia="zh-CN"/>
        </w:rPr>
        <w:t>环境管理与监测计划</w:t>
      </w:r>
      <w:r>
        <w:rPr>
          <w:rFonts w:ascii="Times New Roman" w:hAnsi="Times New Roman" w:cs="Times New Roman" w:hint="eastAsia"/>
          <w:color w:val="auto"/>
        </w:rPr>
        <w:fldChar w:fldCharType="end"/>
      </w:r>
      <w:bookmarkEnd w:id="2035"/>
    </w:p>
    <w:p w:rsidR="00C645C9" w:rsidRDefault="00F955D9" w:rsidP="005718BB">
      <w:pPr>
        <w:pStyle w:val="afff3"/>
        <w:adjustRightInd w:val="0"/>
        <w:snapToGrid w:val="0"/>
        <w:spacing w:beforeLines="0" w:before="0" w:afterLines="0" w:after="0" w:line="360" w:lineRule="auto"/>
        <w:ind w:firstLine="480"/>
        <w:rPr>
          <w:snapToGrid w:val="0"/>
          <w:sz w:val="24"/>
        </w:rPr>
      </w:pPr>
      <w:r>
        <w:rPr>
          <w:rFonts w:cs="Times New Roman"/>
          <w:sz w:val="24"/>
        </w:rPr>
        <w:t>中国石油化工股份有限公司西北油田分公司</w:t>
      </w:r>
      <w:r>
        <w:rPr>
          <w:snapToGrid w:val="0"/>
          <w:sz w:val="24"/>
        </w:rPr>
        <w:t>环境管理机构设置健全，同时拥有完善的管理体系和管理手段。本工程制定了施工期环境监理计划、运营期环境监测计划和环保设施竣工验收管理要求，针对工程的不同阶段提出了具体的环境管理要求。</w:t>
      </w:r>
    </w:p>
    <w:bookmarkStart w:id="2036" w:name="_Toc2248"/>
    <w:p w:rsidR="00C645C9" w:rsidRDefault="00F955D9">
      <w:pPr>
        <w:pStyle w:val="2"/>
        <w:adjustRightInd w:val="0"/>
        <w:snapToGrid w:val="0"/>
        <w:spacing w:after="0" w:line="360" w:lineRule="auto"/>
        <w:rPr>
          <w:rFonts w:ascii="Times New Roman" w:hAnsi="Times New Roman" w:cs="Times New Roman"/>
          <w:color w:val="auto"/>
          <w:lang w:eastAsia="zh-CN"/>
        </w:rPr>
      </w:pPr>
      <w:r>
        <w:rPr>
          <w:rFonts w:ascii="Times New Roman" w:hAnsi="Times New Roman" w:cs="Times New Roman" w:hint="eastAsia"/>
          <w:color w:val="auto"/>
        </w:rPr>
        <w:fldChar w:fldCharType="begin"/>
      </w:r>
      <w:r>
        <w:rPr>
          <w:rFonts w:ascii="Times New Roman" w:hAnsi="Times New Roman" w:cs="Times New Roman" w:hint="eastAsia"/>
          <w:color w:val="auto"/>
          <w:lang w:eastAsia="zh-CN"/>
        </w:rPr>
        <w:instrText xml:space="preserve"> HYPERLINK \l _Toc21115 </w:instrText>
      </w:r>
      <w:r>
        <w:rPr>
          <w:rFonts w:ascii="Times New Roman" w:hAnsi="Times New Roman" w:cs="Times New Roman" w:hint="eastAsia"/>
          <w:color w:val="auto"/>
        </w:rPr>
        <w:fldChar w:fldCharType="separate"/>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10</w:t>
      </w:r>
      <w:r>
        <w:rPr>
          <w:rFonts w:ascii="Times New Roman" w:hAnsi="Times New Roman" w:cs="Times New Roman" w:hint="eastAsia"/>
          <w:color w:val="auto"/>
          <w:lang w:eastAsia="zh-CN"/>
        </w:rPr>
        <w:t>项目可行性结论</w:t>
      </w:r>
      <w:r>
        <w:rPr>
          <w:rFonts w:ascii="Times New Roman" w:hAnsi="Times New Roman" w:cs="Times New Roman" w:hint="eastAsia"/>
          <w:color w:val="auto"/>
        </w:rPr>
        <w:fldChar w:fldCharType="end"/>
      </w:r>
      <w:bookmarkEnd w:id="2036"/>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t>新北区块试采工程</w:t>
      </w:r>
      <w:r>
        <w:rPr>
          <w:sz w:val="24"/>
        </w:rPr>
        <w:t>属于国家产业政策鼓励类项目，项目实施后可取得较大的经济效益和社会效益。项目在建设和运行中，会对周围的环境产生一定的不利影响，并在今后的建设和运行中存在一定的环境风险，但其影响和环境风险是可以接受的。建设单位须加强环境管理，认真落实可行性研究报告和本环评报告书中提出的各项污染防治措施、风险防范措施以及生态环境保护和恢复措施，可使本工程对环境造成的不利影响降低到最低限度</w:t>
      </w:r>
      <w:r>
        <w:rPr>
          <w:rFonts w:hint="eastAsia"/>
          <w:sz w:val="24"/>
        </w:rPr>
        <w:t>。</w:t>
      </w:r>
    </w:p>
    <w:p w:rsidR="00C645C9" w:rsidRDefault="00F955D9" w:rsidP="005718BB">
      <w:pPr>
        <w:pStyle w:val="afff3"/>
        <w:adjustRightInd w:val="0"/>
        <w:snapToGrid w:val="0"/>
        <w:spacing w:beforeLines="0" w:before="0" w:afterLines="0" w:after="0" w:line="360" w:lineRule="auto"/>
        <w:ind w:firstLine="480"/>
        <w:rPr>
          <w:sz w:val="24"/>
        </w:rPr>
      </w:pPr>
      <w:r>
        <w:rPr>
          <w:rFonts w:hint="eastAsia"/>
          <w:sz w:val="24"/>
        </w:rPr>
        <w:lastRenderedPageBreak/>
        <w:t>因此，报告书认为，</w:t>
      </w:r>
      <w:r>
        <w:rPr>
          <w:sz w:val="24"/>
        </w:rPr>
        <w:t>本工程建设在环境保护方面可行。</w:t>
      </w:r>
    </w:p>
    <w:p w:rsidR="00C645C9" w:rsidRDefault="00C645C9">
      <w:pPr>
        <w:adjustRightInd w:val="0"/>
        <w:snapToGrid w:val="0"/>
        <w:spacing w:line="360" w:lineRule="auto"/>
      </w:pPr>
    </w:p>
    <w:sectPr w:rsidR="00C645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5D9" w:rsidRDefault="00F955D9">
      <w:r>
        <w:separator/>
      </w:r>
    </w:p>
  </w:endnote>
  <w:endnote w:type="continuationSeparator" w:id="0">
    <w:p w:rsidR="00F955D9" w:rsidRDefault="00F9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华文仿宋">
    <w:altName w:val="仿宋"/>
    <w:panose1 w:val="02010600040101010101"/>
    <w:charset w:val="86"/>
    <w:family w:val="auto"/>
    <w:pitch w:val="variable"/>
    <w:sig w:usb0="00000287" w:usb1="080F0000" w:usb2="00000010" w:usb3="00000000" w:csb0="0004009F" w:csb1="00000000"/>
  </w:font>
  <w:font w:name="Arial Narrow">
    <w:altName w:val="Arial"/>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Calibri Light">
    <w:altName w:val="Arial Unicode MS"/>
    <w:charset w:val="00"/>
    <w:family w:val="auto"/>
    <w:pitch w:val="default"/>
    <w:sig w:usb0="00000000" w:usb1="C200247B" w:usb2="00000009" w:usb3="00000000" w:csb0="200001FF"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C645C9">
    <w:pPr>
      <w:pBdr>
        <w:left w:val="none" w:sz="0" w:space="4" w:color="auto"/>
        <w:bottom w:val="none" w:sz="0" w:space="1" w:color="auto"/>
        <w:right w:val="none" w:sz="0" w:space="4" w:color="auto"/>
      </w:pBdr>
      <w:ind w:right="-23"/>
      <w:jc w:val="center"/>
    </w:pPr>
  </w:p>
  <w:p w:rsidR="00C645C9" w:rsidRDefault="00C645C9">
    <w:pPr>
      <w:pBdr>
        <w:top w:val="none" w:sz="0" w:space="1" w:color="auto"/>
        <w:left w:val="none" w:sz="0" w:space="4" w:color="auto"/>
        <w:bottom w:val="none" w:sz="0" w:space="1" w:color="auto"/>
        <w:right w:val="none" w:sz="0" w:space="4"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645C9" w:rsidRDefault="00F955D9">
                          <w:pPr>
                            <w:pStyle w:val="ab"/>
                          </w:pPr>
                          <w:r>
                            <w:fldChar w:fldCharType="begin"/>
                          </w:r>
                          <w:r>
                            <w:instrText xml:space="preserve"> PAGE  \* MERGEFORMAT </w:instrText>
                          </w:r>
                          <w:r>
                            <w:fldChar w:fldCharType="separate"/>
                          </w:r>
                          <w:r w:rsidR="005718BB">
                            <w:rPr>
                              <w:noProof/>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3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sYgIAAAw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RFnTlj06P77t/u7n/c/vjLwAFDn4wx61x6aqX9NPRo98iOYue5eB5u/qIhBDqg3O3hV&#10;n5jMRtOD6XQCkYRs/IH/6sHch5jeKLIsEzUP6F+BVawvYhpUR5UczdF5a0zpoXGsq/nhy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q/VNsYgIAAAwFAAAOAAAAAAAAAAAAAAAAAC4CAABkcnMvZTJvRG9jLnht&#10;bFBLAQItABQABgAIAAAAIQBxqtG51wAAAAUBAAAPAAAAAAAAAAAAAAAAALwEAABkcnMvZG93bnJl&#10;di54bWxQSwUGAAAAAAQABADzAAAAwAUAAAAA&#10;" filled="f" stroked="f" strokeweight=".5pt">
              <v:textbox style="mso-fit-shape-to-text:t" inset="0,0,0,0">
                <w:txbxContent>
                  <w:p w:rsidR="00C645C9" w:rsidRDefault="00F955D9">
                    <w:pPr>
                      <w:pStyle w:val="ab"/>
                    </w:pPr>
                    <w:r>
                      <w:fldChar w:fldCharType="begin"/>
                    </w:r>
                    <w:r>
                      <w:instrText xml:space="preserve"> PAGE  \* MERGEFORMAT </w:instrText>
                    </w:r>
                    <w:r>
                      <w:fldChar w:fldCharType="separate"/>
                    </w:r>
                    <w:r w:rsidR="005718BB">
                      <w:rPr>
                        <w:noProof/>
                      </w:rPr>
                      <w:t>40</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spacing w:line="166" w:lineRule="auto"/>
      <w:ind w:left="4105"/>
      <w:rPr>
        <w:rFonts w:ascii="Calibri" w:eastAsia="Calibri" w:hAnsi="Calibri" w:cs="Calibri"/>
        <w:sz w:val="18"/>
        <w:szCs w:val="18"/>
      </w:rPr>
    </w:pPr>
    <w:r>
      <w:rPr>
        <w:noProof/>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645C9" w:rsidRDefault="00F955D9">
                          <w:pPr>
                            <w:pStyle w:val="ab"/>
                          </w:pPr>
                          <w:r>
                            <w:fldChar w:fldCharType="begin"/>
                          </w:r>
                          <w:r>
                            <w:instrText xml:space="preserve"> PAGE  \* MERGEFORMAT </w:instrText>
                          </w:r>
                          <w:r>
                            <w:fldChar w:fldCharType="separate"/>
                          </w:r>
                          <w:r w:rsidR="005718BB">
                            <w:rPr>
                              <w:noProof/>
                            </w:rP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2" o:spid="_x0000_s103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0d7FmMCAAATBQAADgAAAAAAAAAAAAAAAAAuAgAAZHJzL2Uyb0RvYy54&#10;bWxQSwECLQAUAAYACAAAACEAcarRudcAAAAFAQAADwAAAAAAAAAAAAAAAAC9BAAAZHJzL2Rvd25y&#10;ZXYueG1sUEsFBgAAAAAEAAQA8wAAAMEFAAAAAA==&#10;" filled="f" stroked="f" strokeweight=".5pt">
              <v:textbox style="mso-fit-shape-to-text:t" inset="0,0,0,0">
                <w:txbxContent>
                  <w:p w:rsidR="00C645C9" w:rsidRDefault="00F955D9">
                    <w:pPr>
                      <w:pStyle w:val="ab"/>
                    </w:pPr>
                    <w:r>
                      <w:fldChar w:fldCharType="begin"/>
                    </w:r>
                    <w:r>
                      <w:instrText xml:space="preserve"> PAGE  \* MERGEFORMAT </w:instrText>
                    </w:r>
                    <w:r>
                      <w:fldChar w:fldCharType="separate"/>
                    </w:r>
                    <w:r w:rsidR="005718BB">
                      <w:rPr>
                        <w:noProof/>
                      </w:rPr>
                      <w:t>103</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Style w:val="ab"/>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645C9" w:rsidRDefault="00F955D9">
                          <w:pPr>
                            <w:pStyle w:val="ab"/>
                          </w:pPr>
                          <w:r>
                            <w:fldChar w:fldCharType="begin"/>
                          </w:r>
                          <w:r>
                            <w:instrText xml:space="preserve"> PAGE  \* MERGEFORMAT </w:instrText>
                          </w:r>
                          <w:r>
                            <w:fldChar w:fldCharType="separate"/>
                          </w:r>
                          <w:r w:rsidR="005718BB">
                            <w:rPr>
                              <w:noProof/>
                            </w:rPr>
                            <w:t>224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39"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V8YwIAABMFAAAOAAAAZHJzL2Uyb0RvYy54bWysVMtuEzEU3SPxD5b3ZJIgqhB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LKSWGafTo7tvXu+8/7358IeABoMaFOfQ2DpqxfWVbNLrnBzBT3a30On1REYEcUB8HeEUb&#10;CU9Gs+lsNoaIQ9b/wH9xb+58iK+F1SQRJfXoX4aVHa5C7FR7lRTN2HWtVO6hMqQp6dnzF+NsMEjg&#10;XBnESEV0yWYqHpVIHpR5JyTqzzknRp48sVKeHBhmhnEuTMzlZk/QTloSYR9jeNJPpiJP5WOMB4sc&#10;2Zo4GOvaWJ/rfZB29alPWXb6PQJd3QmC2G7b3Pihx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Lb1fGMCAAATBQAADgAAAAAAAAAAAAAAAAAuAgAAZHJzL2Uyb0RvYy54&#10;bWxQSwECLQAUAAYACAAAACEAcarRudcAAAAFAQAADwAAAAAAAAAAAAAAAAC9BAAAZHJzL2Rvd25y&#10;ZXYueG1sUEsFBgAAAAAEAAQA8wAAAMEFAAAAAA==&#10;" filled="f" stroked="f" strokeweight=".5pt">
              <v:textbox style="mso-fit-shape-to-text:t" inset="0,0,0,0">
                <w:txbxContent>
                  <w:p w:rsidR="00C645C9" w:rsidRDefault="00F955D9">
                    <w:pPr>
                      <w:pStyle w:val="ab"/>
                    </w:pPr>
                    <w:r>
                      <w:fldChar w:fldCharType="begin"/>
                    </w:r>
                    <w:r>
                      <w:instrText xml:space="preserve"> PAGE  \* MERGEFORMAT </w:instrText>
                    </w:r>
                    <w:r>
                      <w:fldChar w:fldCharType="separate"/>
                    </w:r>
                    <w:r w:rsidR="005718BB">
                      <w:rPr>
                        <w:noProof/>
                      </w:rPr>
                      <w:t>224</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Style w:val="ab"/>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645C9" w:rsidRDefault="00F955D9">
                          <w:pPr>
                            <w:pStyle w:val="ab"/>
                          </w:pPr>
                          <w:r>
                            <w:fldChar w:fldCharType="begin"/>
                          </w:r>
                          <w:r>
                            <w:instrText xml:space="preserve"> PAGE  \* MERGEFORMAT </w:instrText>
                          </w:r>
                          <w:r>
                            <w:fldChar w:fldCharType="separate"/>
                          </w:r>
                          <w:r w:rsidR="005718BB">
                            <w:rPr>
                              <w:noProof/>
                            </w:rPr>
                            <w:t>267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4" o:spid="_x0000_s1040"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u4ZQIAABM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jlnTlj06O7b17vvP+9+fGHgAaDOxxn0rj00U/+KejR65Ecwc929DjZ/URGDHFBvdvCq&#10;PjGZjaYH0+kEIgnZ+AP/1b25DzG9VmRZJmoe0L8Cq1hfxDSojio5mqPz1pjSQ+NYV/Ojwx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fxu4ZQIAABMFAAAOAAAAAAAAAAAAAAAAAC4CAABkcnMvZTJvRG9j&#10;LnhtbFBLAQItABQABgAIAAAAIQBxqtG51wAAAAUBAAAPAAAAAAAAAAAAAAAAAL8EAABkcnMvZG93&#10;bnJldi54bWxQSwUGAAAAAAQABADzAAAAwwUAAAAA&#10;" filled="f" stroked="f" strokeweight=".5pt">
              <v:textbox style="mso-fit-shape-to-text:t" inset="0,0,0,0">
                <w:txbxContent>
                  <w:p w:rsidR="00C645C9" w:rsidRDefault="00F955D9">
                    <w:pPr>
                      <w:pStyle w:val="ab"/>
                    </w:pPr>
                    <w:r>
                      <w:fldChar w:fldCharType="begin"/>
                    </w:r>
                    <w:r>
                      <w:instrText xml:space="preserve"> PAGE  \* MERGEFORMAT </w:instrText>
                    </w:r>
                    <w:r>
                      <w:fldChar w:fldCharType="separate"/>
                    </w:r>
                    <w:r w:rsidR="005718BB">
                      <w:rPr>
                        <w:noProof/>
                      </w:rPr>
                      <w:t>267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5D9" w:rsidRDefault="00F955D9">
      <w:r>
        <w:separator/>
      </w:r>
    </w:p>
  </w:footnote>
  <w:footnote w:type="continuationSeparator" w:id="0">
    <w:p w:rsidR="00F955D9" w:rsidRDefault="00F95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Bdr>
        <w:bottom w:val="single" w:sz="4" w:space="0" w:color="auto"/>
      </w:pBdr>
      <w:jc w:val="center"/>
      <w:rPr>
        <w:rFonts w:cs="Times New Roman"/>
        <w:sz w:val="21"/>
        <w:szCs w:val="21"/>
      </w:rPr>
    </w:pPr>
    <w:bookmarkStart w:id="136" w:name="OLE_LINK3"/>
    <w:r>
      <w:rPr>
        <w:rFonts w:cs="Times New Roman" w:hint="eastAsia"/>
        <w:sz w:val="21"/>
        <w:szCs w:val="21"/>
      </w:rPr>
      <w:t>新北区块试采工程</w:t>
    </w:r>
    <w:bookmarkEnd w:id="136"/>
    <w:r>
      <w:rPr>
        <w:rFonts w:cs="Times New Roman" w:hint="eastAsia"/>
        <w:sz w:val="21"/>
        <w:szCs w:val="21"/>
      </w:rPr>
      <w:t>环境影响报告书</w:t>
    </w:r>
  </w:p>
  <w:p w:rsidR="00C645C9" w:rsidRDefault="00C645C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Bdr>
        <w:bottom w:val="single" w:sz="4" w:space="0" w:color="auto"/>
      </w:pBdr>
      <w:jc w:val="center"/>
      <w:rPr>
        <w:rFonts w:cs="Times New Roman"/>
        <w:sz w:val="21"/>
        <w:szCs w:val="21"/>
      </w:rPr>
    </w:pPr>
    <w:bookmarkStart w:id="567" w:name="OLE_LINK770"/>
    <w:bookmarkStart w:id="568" w:name="OLE_LINK508"/>
    <w:r>
      <w:rPr>
        <w:rFonts w:cs="Times New Roman" w:hint="eastAsia"/>
        <w:sz w:val="21"/>
        <w:szCs w:val="21"/>
      </w:rPr>
      <w:t>新北区块试采工程</w:t>
    </w:r>
    <w:bookmarkEnd w:id="567"/>
    <w:r>
      <w:rPr>
        <w:rFonts w:cs="Times New Roman" w:hint="eastAsia"/>
        <w:sz w:val="21"/>
        <w:szCs w:val="21"/>
      </w:rPr>
      <w:t>环境影响报告书</w:t>
    </w:r>
  </w:p>
  <w:bookmarkEnd w:id="568"/>
  <w:p w:rsidR="00C645C9" w:rsidRDefault="00C645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C9" w:rsidRDefault="00F955D9">
    <w:pPr>
      <w:pBdr>
        <w:bottom w:val="single" w:sz="4" w:space="0" w:color="auto"/>
      </w:pBdr>
      <w:jc w:val="center"/>
      <w:rPr>
        <w:rFonts w:cs="Times New Roman"/>
        <w:sz w:val="21"/>
        <w:szCs w:val="21"/>
      </w:rPr>
    </w:pPr>
    <w:bookmarkStart w:id="1942" w:name="OLE_LINK983"/>
    <w:r>
      <w:rPr>
        <w:rFonts w:cs="Times New Roman" w:hint="eastAsia"/>
        <w:sz w:val="21"/>
        <w:szCs w:val="21"/>
      </w:rPr>
      <w:t>新北区块试采工程</w:t>
    </w:r>
    <w:bookmarkEnd w:id="1942"/>
    <w:r>
      <w:rPr>
        <w:rFonts w:cs="Times New Roman" w:hint="eastAsia"/>
        <w:sz w:val="21"/>
        <w:szCs w:val="21"/>
      </w:rPr>
      <w:t>环境影响报告书</w:t>
    </w:r>
  </w:p>
  <w:p w:rsidR="00C645C9" w:rsidRDefault="00C645C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91C601"/>
    <w:multiLevelType w:val="singleLevel"/>
    <w:tmpl w:val="C091C601"/>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D7C40BC5"/>
    <w:multiLevelType w:val="singleLevel"/>
    <w:tmpl w:val="D7C40BC5"/>
    <w:lvl w:ilvl="0">
      <w:start w:val="1"/>
      <w:numFmt w:val="decimal"/>
      <w:suff w:val="nothing"/>
      <w:lvlText w:val="（%1）"/>
      <w:lvlJc w:val="left"/>
    </w:lvl>
  </w:abstractNum>
  <w:abstractNum w:abstractNumId="2">
    <w:nsid w:val="4BF14C89"/>
    <w:multiLevelType w:val="singleLevel"/>
    <w:tmpl w:val="4BF14C89"/>
    <w:lvl w:ilvl="0">
      <w:start w:val="2"/>
      <w:numFmt w:val="decimal"/>
      <w:suff w:val="nothing"/>
      <w:lvlText w:val="（%1）"/>
      <w:lvlJc w:val="left"/>
    </w:lvl>
  </w:abstractNum>
  <w:abstractNum w:abstractNumId="3">
    <w:nsid w:val="512BA678"/>
    <w:multiLevelType w:val="singleLevel"/>
    <w:tmpl w:val="512BA678"/>
    <w:lvl w:ilvl="0">
      <w:start w:val="1"/>
      <w:numFmt w:val="decimal"/>
      <w:suff w:val="nothing"/>
      <w:lvlText w:val="（%1）"/>
      <w:lvlJc w:val="left"/>
    </w:lvl>
  </w:abstractNum>
  <w:abstractNum w:abstractNumId="4">
    <w:nsid w:val="62392910"/>
    <w:multiLevelType w:val="singleLevel"/>
    <w:tmpl w:val="62392910"/>
    <w:lvl w:ilvl="0">
      <w:start w:val="1"/>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hNTU5ZmEyOTcxYzdiOTcwYjFiYzQwY2JkMjc0YzcifQ=="/>
  </w:docVars>
  <w:rsids>
    <w:rsidRoot w:val="528E7FE7"/>
    <w:rsid w:val="00150EAD"/>
    <w:rsid w:val="002248D2"/>
    <w:rsid w:val="00226070"/>
    <w:rsid w:val="00234395"/>
    <w:rsid w:val="002B06D1"/>
    <w:rsid w:val="002D269B"/>
    <w:rsid w:val="00305C8F"/>
    <w:rsid w:val="00381959"/>
    <w:rsid w:val="0044096A"/>
    <w:rsid w:val="0045657D"/>
    <w:rsid w:val="00560313"/>
    <w:rsid w:val="005718BB"/>
    <w:rsid w:val="005C6ADC"/>
    <w:rsid w:val="005F481F"/>
    <w:rsid w:val="00612345"/>
    <w:rsid w:val="00637A8F"/>
    <w:rsid w:val="00661709"/>
    <w:rsid w:val="00771B68"/>
    <w:rsid w:val="0078768E"/>
    <w:rsid w:val="007B0A12"/>
    <w:rsid w:val="007E2EF7"/>
    <w:rsid w:val="00846033"/>
    <w:rsid w:val="00893649"/>
    <w:rsid w:val="008D407E"/>
    <w:rsid w:val="008D5D67"/>
    <w:rsid w:val="00900EBC"/>
    <w:rsid w:val="00920750"/>
    <w:rsid w:val="009C15CF"/>
    <w:rsid w:val="009F2D86"/>
    <w:rsid w:val="00A10993"/>
    <w:rsid w:val="00A137AC"/>
    <w:rsid w:val="00AB7A64"/>
    <w:rsid w:val="00B92181"/>
    <w:rsid w:val="00BC57CD"/>
    <w:rsid w:val="00C341E8"/>
    <w:rsid w:val="00C645C9"/>
    <w:rsid w:val="00CA7EEA"/>
    <w:rsid w:val="00CB3C62"/>
    <w:rsid w:val="00D23242"/>
    <w:rsid w:val="00D64AE1"/>
    <w:rsid w:val="00D72607"/>
    <w:rsid w:val="00E271E0"/>
    <w:rsid w:val="00EA3A6B"/>
    <w:rsid w:val="00EB7E60"/>
    <w:rsid w:val="00F30DA6"/>
    <w:rsid w:val="00F46D15"/>
    <w:rsid w:val="00F705B3"/>
    <w:rsid w:val="00F74A57"/>
    <w:rsid w:val="00F955D9"/>
    <w:rsid w:val="00FF56BA"/>
    <w:rsid w:val="01011432"/>
    <w:rsid w:val="01024795"/>
    <w:rsid w:val="01042CD0"/>
    <w:rsid w:val="01121891"/>
    <w:rsid w:val="011E1FE4"/>
    <w:rsid w:val="01201B78"/>
    <w:rsid w:val="01210189"/>
    <w:rsid w:val="01227D26"/>
    <w:rsid w:val="01260E98"/>
    <w:rsid w:val="01284C10"/>
    <w:rsid w:val="012A2737"/>
    <w:rsid w:val="012A4E2C"/>
    <w:rsid w:val="012C04F8"/>
    <w:rsid w:val="012D2227"/>
    <w:rsid w:val="01363832"/>
    <w:rsid w:val="01372136"/>
    <w:rsid w:val="01396E1E"/>
    <w:rsid w:val="013B2394"/>
    <w:rsid w:val="014063FE"/>
    <w:rsid w:val="014D4677"/>
    <w:rsid w:val="015974C0"/>
    <w:rsid w:val="015C2B0C"/>
    <w:rsid w:val="015C48BA"/>
    <w:rsid w:val="015E4AD6"/>
    <w:rsid w:val="016C0FA1"/>
    <w:rsid w:val="016F283F"/>
    <w:rsid w:val="01705095"/>
    <w:rsid w:val="017240DE"/>
    <w:rsid w:val="018B4F75"/>
    <w:rsid w:val="018B6CD2"/>
    <w:rsid w:val="018D5B1F"/>
    <w:rsid w:val="01973B44"/>
    <w:rsid w:val="01975A2F"/>
    <w:rsid w:val="019D23A3"/>
    <w:rsid w:val="019F1377"/>
    <w:rsid w:val="01A00C4B"/>
    <w:rsid w:val="01B464A4"/>
    <w:rsid w:val="01C04E49"/>
    <w:rsid w:val="01C42B8B"/>
    <w:rsid w:val="01C506B1"/>
    <w:rsid w:val="01CA3F1A"/>
    <w:rsid w:val="01D86637"/>
    <w:rsid w:val="01DB1C83"/>
    <w:rsid w:val="01E66FA5"/>
    <w:rsid w:val="01EB45BC"/>
    <w:rsid w:val="01EF572E"/>
    <w:rsid w:val="01F02CC8"/>
    <w:rsid w:val="01F114A6"/>
    <w:rsid w:val="01F47C63"/>
    <w:rsid w:val="01F80A87"/>
    <w:rsid w:val="01FA65AD"/>
    <w:rsid w:val="02013636"/>
    <w:rsid w:val="02025461"/>
    <w:rsid w:val="020531A4"/>
    <w:rsid w:val="02094A42"/>
    <w:rsid w:val="0213766F"/>
    <w:rsid w:val="021943A2"/>
    <w:rsid w:val="021D673F"/>
    <w:rsid w:val="02203B3A"/>
    <w:rsid w:val="022E44A8"/>
    <w:rsid w:val="02355837"/>
    <w:rsid w:val="02375428"/>
    <w:rsid w:val="023D293E"/>
    <w:rsid w:val="02405F8A"/>
    <w:rsid w:val="024261A6"/>
    <w:rsid w:val="0247556A"/>
    <w:rsid w:val="024912E2"/>
    <w:rsid w:val="02493090"/>
    <w:rsid w:val="024C492F"/>
    <w:rsid w:val="024E0D4D"/>
    <w:rsid w:val="0250441F"/>
    <w:rsid w:val="02535CBD"/>
    <w:rsid w:val="025F0B06"/>
    <w:rsid w:val="02647ECA"/>
    <w:rsid w:val="02702D13"/>
    <w:rsid w:val="0270659C"/>
    <w:rsid w:val="027605D2"/>
    <w:rsid w:val="02775E4F"/>
    <w:rsid w:val="02781BC8"/>
    <w:rsid w:val="027A76EE"/>
    <w:rsid w:val="028D4AE0"/>
    <w:rsid w:val="029167E5"/>
    <w:rsid w:val="029702A0"/>
    <w:rsid w:val="029947C4"/>
    <w:rsid w:val="02A62291"/>
    <w:rsid w:val="02A76009"/>
    <w:rsid w:val="02A91D81"/>
    <w:rsid w:val="02AA5749"/>
    <w:rsid w:val="02B40E52"/>
    <w:rsid w:val="02B53D64"/>
    <w:rsid w:val="02B726F0"/>
    <w:rsid w:val="02B84C02"/>
    <w:rsid w:val="02BC1AB4"/>
    <w:rsid w:val="02BC3862"/>
    <w:rsid w:val="02C1356F"/>
    <w:rsid w:val="02C866AB"/>
    <w:rsid w:val="02D20744"/>
    <w:rsid w:val="02D50DC8"/>
    <w:rsid w:val="02D52B76"/>
    <w:rsid w:val="02D61B95"/>
    <w:rsid w:val="02D844B5"/>
    <w:rsid w:val="02E42DB9"/>
    <w:rsid w:val="02E46D6A"/>
    <w:rsid w:val="02ED1C6E"/>
    <w:rsid w:val="02EE3C38"/>
    <w:rsid w:val="02FA082F"/>
    <w:rsid w:val="02FA25DD"/>
    <w:rsid w:val="03031491"/>
    <w:rsid w:val="03035935"/>
    <w:rsid w:val="030752FD"/>
    <w:rsid w:val="0314369E"/>
    <w:rsid w:val="03174F3D"/>
    <w:rsid w:val="031E451D"/>
    <w:rsid w:val="03200295"/>
    <w:rsid w:val="032064E7"/>
    <w:rsid w:val="0321400D"/>
    <w:rsid w:val="03231B33"/>
    <w:rsid w:val="032A2EC2"/>
    <w:rsid w:val="03323B24"/>
    <w:rsid w:val="03373831"/>
    <w:rsid w:val="03394EB3"/>
    <w:rsid w:val="03455F4E"/>
    <w:rsid w:val="0348108D"/>
    <w:rsid w:val="034872E6"/>
    <w:rsid w:val="034B4BE6"/>
    <w:rsid w:val="0350044F"/>
    <w:rsid w:val="03527E1E"/>
    <w:rsid w:val="035A774A"/>
    <w:rsid w:val="035C1ACC"/>
    <w:rsid w:val="0361265C"/>
    <w:rsid w:val="036363D4"/>
    <w:rsid w:val="03655CA8"/>
    <w:rsid w:val="036B7036"/>
    <w:rsid w:val="03724869"/>
    <w:rsid w:val="03733B76"/>
    <w:rsid w:val="037405E1"/>
    <w:rsid w:val="037F791B"/>
    <w:rsid w:val="03870314"/>
    <w:rsid w:val="038D3451"/>
    <w:rsid w:val="038F541B"/>
    <w:rsid w:val="039C5442"/>
    <w:rsid w:val="03A03184"/>
    <w:rsid w:val="03A32C74"/>
    <w:rsid w:val="03A569EC"/>
    <w:rsid w:val="03A964DC"/>
    <w:rsid w:val="03AA5DB1"/>
    <w:rsid w:val="03AE3AF3"/>
    <w:rsid w:val="03AF786B"/>
    <w:rsid w:val="03B629A7"/>
    <w:rsid w:val="03B64756"/>
    <w:rsid w:val="03C230FA"/>
    <w:rsid w:val="03C74BB5"/>
    <w:rsid w:val="03CC3F79"/>
    <w:rsid w:val="03CE5F43"/>
    <w:rsid w:val="03CF3A69"/>
    <w:rsid w:val="03CF4F1E"/>
    <w:rsid w:val="03CF5817"/>
    <w:rsid w:val="03D23A10"/>
    <w:rsid w:val="03D66BA6"/>
    <w:rsid w:val="03E012B8"/>
    <w:rsid w:val="03EC0177"/>
    <w:rsid w:val="03ED2C78"/>
    <w:rsid w:val="03FA6CAA"/>
    <w:rsid w:val="03FB485E"/>
    <w:rsid w:val="04014C1C"/>
    <w:rsid w:val="040E27E3"/>
    <w:rsid w:val="0414147C"/>
    <w:rsid w:val="041B6CAE"/>
    <w:rsid w:val="041C68F7"/>
    <w:rsid w:val="04293183"/>
    <w:rsid w:val="042948F2"/>
    <w:rsid w:val="043A7135"/>
    <w:rsid w:val="043F0BEF"/>
    <w:rsid w:val="0449381C"/>
    <w:rsid w:val="044C50BA"/>
    <w:rsid w:val="04506958"/>
    <w:rsid w:val="04561CA4"/>
    <w:rsid w:val="04583A5F"/>
    <w:rsid w:val="045E4AE4"/>
    <w:rsid w:val="04640655"/>
    <w:rsid w:val="04702B56"/>
    <w:rsid w:val="047274EA"/>
    <w:rsid w:val="047C599F"/>
    <w:rsid w:val="04874344"/>
    <w:rsid w:val="04877EA0"/>
    <w:rsid w:val="048B5BE2"/>
    <w:rsid w:val="04983177"/>
    <w:rsid w:val="04A15EE5"/>
    <w:rsid w:val="04AE367F"/>
    <w:rsid w:val="04B2316F"/>
    <w:rsid w:val="04B862AB"/>
    <w:rsid w:val="04BF0DCC"/>
    <w:rsid w:val="04C9495C"/>
    <w:rsid w:val="04C97379"/>
    <w:rsid w:val="04CB4231"/>
    <w:rsid w:val="04CB4AC8"/>
    <w:rsid w:val="04D070FF"/>
    <w:rsid w:val="04D330E5"/>
    <w:rsid w:val="04D56E5D"/>
    <w:rsid w:val="04F27804"/>
    <w:rsid w:val="04FC43EA"/>
    <w:rsid w:val="05031C1C"/>
    <w:rsid w:val="05104339"/>
    <w:rsid w:val="051060E7"/>
    <w:rsid w:val="051C4A8C"/>
    <w:rsid w:val="051F632A"/>
    <w:rsid w:val="05210C1C"/>
    <w:rsid w:val="052878D5"/>
    <w:rsid w:val="052E47BF"/>
    <w:rsid w:val="05355B4E"/>
    <w:rsid w:val="053578FC"/>
    <w:rsid w:val="05361302"/>
    <w:rsid w:val="05373674"/>
    <w:rsid w:val="053C0609"/>
    <w:rsid w:val="053E5193"/>
    <w:rsid w:val="053F69CD"/>
    <w:rsid w:val="054144F3"/>
    <w:rsid w:val="05471C6A"/>
    <w:rsid w:val="0549100C"/>
    <w:rsid w:val="054B2562"/>
    <w:rsid w:val="054B5371"/>
    <w:rsid w:val="054F6C10"/>
    <w:rsid w:val="055E32F7"/>
    <w:rsid w:val="055E50A5"/>
    <w:rsid w:val="05600E1D"/>
    <w:rsid w:val="05665D07"/>
    <w:rsid w:val="05685F23"/>
    <w:rsid w:val="056D2880"/>
    <w:rsid w:val="056F2E0E"/>
    <w:rsid w:val="05720B50"/>
    <w:rsid w:val="05726DA2"/>
    <w:rsid w:val="057331F1"/>
    <w:rsid w:val="05740424"/>
    <w:rsid w:val="0575182F"/>
    <w:rsid w:val="05760640"/>
    <w:rsid w:val="057628E8"/>
    <w:rsid w:val="057B085F"/>
    <w:rsid w:val="057E5747"/>
    <w:rsid w:val="058014BF"/>
    <w:rsid w:val="058058AC"/>
    <w:rsid w:val="058314C5"/>
    <w:rsid w:val="058645FB"/>
    <w:rsid w:val="05956253"/>
    <w:rsid w:val="059646F9"/>
    <w:rsid w:val="059A7C54"/>
    <w:rsid w:val="059C797B"/>
    <w:rsid w:val="05A0746B"/>
    <w:rsid w:val="05B653A7"/>
    <w:rsid w:val="05CA098C"/>
    <w:rsid w:val="05CD222A"/>
    <w:rsid w:val="05CD5D86"/>
    <w:rsid w:val="05CE5343"/>
    <w:rsid w:val="05CF5FA2"/>
    <w:rsid w:val="05CF7D50"/>
    <w:rsid w:val="05D215EF"/>
    <w:rsid w:val="05ED6429"/>
    <w:rsid w:val="05F81055"/>
    <w:rsid w:val="06021ED4"/>
    <w:rsid w:val="060A4754"/>
    <w:rsid w:val="060B63F9"/>
    <w:rsid w:val="061614DB"/>
    <w:rsid w:val="061B2F96"/>
    <w:rsid w:val="062005AC"/>
    <w:rsid w:val="06293905"/>
    <w:rsid w:val="062956B3"/>
    <w:rsid w:val="06361B7E"/>
    <w:rsid w:val="063D4CBA"/>
    <w:rsid w:val="06451DC1"/>
    <w:rsid w:val="06473D8B"/>
    <w:rsid w:val="065564A8"/>
    <w:rsid w:val="065E2E82"/>
    <w:rsid w:val="0661028A"/>
    <w:rsid w:val="06622973"/>
    <w:rsid w:val="06652463"/>
    <w:rsid w:val="06654211"/>
    <w:rsid w:val="066A7A79"/>
    <w:rsid w:val="06700432"/>
    <w:rsid w:val="067A5F0E"/>
    <w:rsid w:val="067B1C86"/>
    <w:rsid w:val="067D77AC"/>
    <w:rsid w:val="067E5D4D"/>
    <w:rsid w:val="069468A4"/>
    <w:rsid w:val="06A0349B"/>
    <w:rsid w:val="06A05249"/>
    <w:rsid w:val="06AE3E0A"/>
    <w:rsid w:val="06B56F46"/>
    <w:rsid w:val="06B70F10"/>
    <w:rsid w:val="06C158EB"/>
    <w:rsid w:val="06C70A28"/>
    <w:rsid w:val="06D01FD2"/>
    <w:rsid w:val="06D07BF2"/>
    <w:rsid w:val="06D2293F"/>
    <w:rsid w:val="06DF0467"/>
    <w:rsid w:val="06E55C44"/>
    <w:rsid w:val="06E7086E"/>
    <w:rsid w:val="06EA7ED6"/>
    <w:rsid w:val="06EB2968"/>
    <w:rsid w:val="06EE2458"/>
    <w:rsid w:val="06F92F75"/>
    <w:rsid w:val="0708351A"/>
    <w:rsid w:val="070B6B66"/>
    <w:rsid w:val="070E7162"/>
    <w:rsid w:val="07133C6D"/>
    <w:rsid w:val="071719AF"/>
    <w:rsid w:val="071C5217"/>
    <w:rsid w:val="071F6AB6"/>
    <w:rsid w:val="072110F4"/>
    <w:rsid w:val="07267E44"/>
    <w:rsid w:val="07287718"/>
    <w:rsid w:val="072A7934"/>
    <w:rsid w:val="072E0AA7"/>
    <w:rsid w:val="073562D9"/>
    <w:rsid w:val="073A70AA"/>
    <w:rsid w:val="074327A4"/>
    <w:rsid w:val="07464042"/>
    <w:rsid w:val="074B1D32"/>
    <w:rsid w:val="074D53D1"/>
    <w:rsid w:val="076369A2"/>
    <w:rsid w:val="07665DA2"/>
    <w:rsid w:val="07666493"/>
    <w:rsid w:val="0768045D"/>
    <w:rsid w:val="0776564B"/>
    <w:rsid w:val="07801E7D"/>
    <w:rsid w:val="07852DBD"/>
    <w:rsid w:val="079C7563"/>
    <w:rsid w:val="07A5520D"/>
    <w:rsid w:val="07AB20F7"/>
    <w:rsid w:val="07AF362B"/>
    <w:rsid w:val="07AF7E3A"/>
    <w:rsid w:val="07B216D8"/>
    <w:rsid w:val="07B32831"/>
    <w:rsid w:val="07C22247"/>
    <w:rsid w:val="07C80EFB"/>
    <w:rsid w:val="07CD02C0"/>
    <w:rsid w:val="07CD7C97"/>
    <w:rsid w:val="07D478A0"/>
    <w:rsid w:val="07D77390"/>
    <w:rsid w:val="07D94EB6"/>
    <w:rsid w:val="07DC0503"/>
    <w:rsid w:val="07E04497"/>
    <w:rsid w:val="07E95755"/>
    <w:rsid w:val="07EC7625"/>
    <w:rsid w:val="07F41CF0"/>
    <w:rsid w:val="07F67816"/>
    <w:rsid w:val="07FE2B6F"/>
    <w:rsid w:val="07FE66CB"/>
    <w:rsid w:val="08031F33"/>
    <w:rsid w:val="08070818"/>
    <w:rsid w:val="08096194"/>
    <w:rsid w:val="080A32C2"/>
    <w:rsid w:val="081A21FF"/>
    <w:rsid w:val="081D1247"/>
    <w:rsid w:val="08234384"/>
    <w:rsid w:val="082971A8"/>
    <w:rsid w:val="08297BEC"/>
    <w:rsid w:val="082D7509"/>
    <w:rsid w:val="0831084F"/>
    <w:rsid w:val="08346591"/>
    <w:rsid w:val="083D48CB"/>
    <w:rsid w:val="08420CAE"/>
    <w:rsid w:val="08431BCD"/>
    <w:rsid w:val="084560A8"/>
    <w:rsid w:val="08471E20"/>
    <w:rsid w:val="084A1910"/>
    <w:rsid w:val="084F773B"/>
    <w:rsid w:val="08564759"/>
    <w:rsid w:val="085D3257"/>
    <w:rsid w:val="08687FE8"/>
    <w:rsid w:val="08744BDF"/>
    <w:rsid w:val="08843074"/>
    <w:rsid w:val="088A7F5F"/>
    <w:rsid w:val="0898267C"/>
    <w:rsid w:val="089A4646"/>
    <w:rsid w:val="08A2174C"/>
    <w:rsid w:val="08AA3D8F"/>
    <w:rsid w:val="08BA0844"/>
    <w:rsid w:val="08C37F22"/>
    <w:rsid w:val="08CC41EB"/>
    <w:rsid w:val="08CE42EF"/>
    <w:rsid w:val="08CE609D"/>
    <w:rsid w:val="08D84396"/>
    <w:rsid w:val="08D84504"/>
    <w:rsid w:val="08D8516E"/>
    <w:rsid w:val="08E43B13"/>
    <w:rsid w:val="08FD24E7"/>
    <w:rsid w:val="08FF6B9F"/>
    <w:rsid w:val="090146C5"/>
    <w:rsid w:val="09051DA9"/>
    <w:rsid w:val="090557CF"/>
    <w:rsid w:val="09063A89"/>
    <w:rsid w:val="0913264A"/>
    <w:rsid w:val="091927F9"/>
    <w:rsid w:val="091C32AD"/>
    <w:rsid w:val="091F4B4B"/>
    <w:rsid w:val="092108C3"/>
    <w:rsid w:val="09267C87"/>
    <w:rsid w:val="092E0D73"/>
    <w:rsid w:val="093A7BD7"/>
    <w:rsid w:val="09414AC1"/>
    <w:rsid w:val="095567BF"/>
    <w:rsid w:val="095C1EF7"/>
    <w:rsid w:val="096B4234"/>
    <w:rsid w:val="096B5FE2"/>
    <w:rsid w:val="096B7D90"/>
    <w:rsid w:val="096E162E"/>
    <w:rsid w:val="09727371"/>
    <w:rsid w:val="097529BD"/>
    <w:rsid w:val="097D7FFF"/>
    <w:rsid w:val="097E7AC3"/>
    <w:rsid w:val="09880215"/>
    <w:rsid w:val="098B3F8E"/>
    <w:rsid w:val="09970B85"/>
    <w:rsid w:val="09993AB5"/>
    <w:rsid w:val="099A78CF"/>
    <w:rsid w:val="09A03EDE"/>
    <w:rsid w:val="09AA18C7"/>
    <w:rsid w:val="09AF5ECF"/>
    <w:rsid w:val="09B36186"/>
    <w:rsid w:val="09B721ED"/>
    <w:rsid w:val="09B91526"/>
    <w:rsid w:val="09C35E1E"/>
    <w:rsid w:val="09C556F2"/>
    <w:rsid w:val="09CB082F"/>
    <w:rsid w:val="09D771D4"/>
    <w:rsid w:val="09E35B78"/>
    <w:rsid w:val="09EA6F07"/>
    <w:rsid w:val="09ED206A"/>
    <w:rsid w:val="09ED2E9B"/>
    <w:rsid w:val="09F9539C"/>
    <w:rsid w:val="09FE0C04"/>
    <w:rsid w:val="0A00497C"/>
    <w:rsid w:val="0A037094"/>
    <w:rsid w:val="0A0D0E47"/>
    <w:rsid w:val="0A140428"/>
    <w:rsid w:val="0A1C108A"/>
    <w:rsid w:val="0A200B7B"/>
    <w:rsid w:val="0A222B45"/>
    <w:rsid w:val="0A2758D1"/>
    <w:rsid w:val="0A2D3F70"/>
    <w:rsid w:val="0A334D52"/>
    <w:rsid w:val="0A391C3C"/>
    <w:rsid w:val="0A3B7763"/>
    <w:rsid w:val="0A3D48EC"/>
    <w:rsid w:val="0A634F0B"/>
    <w:rsid w:val="0A6C3DC0"/>
    <w:rsid w:val="0A762E91"/>
    <w:rsid w:val="0A782765"/>
    <w:rsid w:val="0A80786B"/>
    <w:rsid w:val="0A825391"/>
    <w:rsid w:val="0A876E4C"/>
    <w:rsid w:val="0A8E1F88"/>
    <w:rsid w:val="0A8E2F0B"/>
    <w:rsid w:val="0A8F3F52"/>
    <w:rsid w:val="0A9C5E04"/>
    <w:rsid w:val="0A9D21CB"/>
    <w:rsid w:val="0AAF0151"/>
    <w:rsid w:val="0AB1211B"/>
    <w:rsid w:val="0AB37BE1"/>
    <w:rsid w:val="0AB539B9"/>
    <w:rsid w:val="0AB94B2B"/>
    <w:rsid w:val="0ABB08A3"/>
    <w:rsid w:val="0ABF0394"/>
    <w:rsid w:val="0ABF74D6"/>
    <w:rsid w:val="0AC92FC0"/>
    <w:rsid w:val="0ACF434F"/>
    <w:rsid w:val="0ADA51CD"/>
    <w:rsid w:val="0ADF0A36"/>
    <w:rsid w:val="0AE24082"/>
    <w:rsid w:val="0AE27405"/>
    <w:rsid w:val="0AE53D43"/>
    <w:rsid w:val="0AF37283"/>
    <w:rsid w:val="0AFD0EBC"/>
    <w:rsid w:val="0AFE7B5A"/>
    <w:rsid w:val="0B024724"/>
    <w:rsid w:val="0B100BEF"/>
    <w:rsid w:val="0B106E41"/>
    <w:rsid w:val="0B13248D"/>
    <w:rsid w:val="0B1F1979"/>
    <w:rsid w:val="0B266665"/>
    <w:rsid w:val="0B270E55"/>
    <w:rsid w:val="0B2865F1"/>
    <w:rsid w:val="0B354AFA"/>
    <w:rsid w:val="0B36617C"/>
    <w:rsid w:val="0B3B6861"/>
    <w:rsid w:val="0B470389"/>
    <w:rsid w:val="0B5C1325"/>
    <w:rsid w:val="0B64718D"/>
    <w:rsid w:val="0B725406"/>
    <w:rsid w:val="0B9273F9"/>
    <w:rsid w:val="0B947A87"/>
    <w:rsid w:val="0B9F1F73"/>
    <w:rsid w:val="0BA37CB5"/>
    <w:rsid w:val="0BA47589"/>
    <w:rsid w:val="0BA53A2D"/>
    <w:rsid w:val="0BA852CC"/>
    <w:rsid w:val="0BAB0E00"/>
    <w:rsid w:val="0BAD4690"/>
    <w:rsid w:val="0BB04180"/>
    <w:rsid w:val="0BBE064B"/>
    <w:rsid w:val="0BBE4AEF"/>
    <w:rsid w:val="0BBE689D"/>
    <w:rsid w:val="0BC11EE9"/>
    <w:rsid w:val="0BC419DA"/>
    <w:rsid w:val="0BCB0FBA"/>
    <w:rsid w:val="0BE37780"/>
    <w:rsid w:val="0BE53C10"/>
    <w:rsid w:val="0BE54539"/>
    <w:rsid w:val="0BEA58E4"/>
    <w:rsid w:val="0BEE5F55"/>
    <w:rsid w:val="0BEF4CA9"/>
    <w:rsid w:val="0BF202F5"/>
    <w:rsid w:val="0BF9505A"/>
    <w:rsid w:val="0C05627A"/>
    <w:rsid w:val="0C0B7609"/>
    <w:rsid w:val="0C0F70F9"/>
    <w:rsid w:val="0C175FAD"/>
    <w:rsid w:val="0C1C1816"/>
    <w:rsid w:val="0C1C35C4"/>
    <w:rsid w:val="0C1C7A68"/>
    <w:rsid w:val="0C2D57D1"/>
    <w:rsid w:val="0C333B11"/>
    <w:rsid w:val="0C3628D7"/>
    <w:rsid w:val="0C3923C8"/>
    <w:rsid w:val="0C430B50"/>
    <w:rsid w:val="0C436DA2"/>
    <w:rsid w:val="0C48260B"/>
    <w:rsid w:val="0C4A6383"/>
    <w:rsid w:val="0C4F1BEB"/>
    <w:rsid w:val="0C5235CE"/>
    <w:rsid w:val="0C566AD6"/>
    <w:rsid w:val="0C5C7E64"/>
    <w:rsid w:val="0C61547A"/>
    <w:rsid w:val="0C65333A"/>
    <w:rsid w:val="0C654F6B"/>
    <w:rsid w:val="0C656D19"/>
    <w:rsid w:val="0C6A07D3"/>
    <w:rsid w:val="0C743400"/>
    <w:rsid w:val="0C760F26"/>
    <w:rsid w:val="0C8308A6"/>
    <w:rsid w:val="0C8353F1"/>
    <w:rsid w:val="0C88659A"/>
    <w:rsid w:val="0C913FB2"/>
    <w:rsid w:val="0C932092"/>
    <w:rsid w:val="0C9C0A71"/>
    <w:rsid w:val="0CAF38BD"/>
    <w:rsid w:val="0CB40C51"/>
    <w:rsid w:val="0CB41A4E"/>
    <w:rsid w:val="0CD45C4C"/>
    <w:rsid w:val="0CE157B5"/>
    <w:rsid w:val="0CE75980"/>
    <w:rsid w:val="0CEC2F96"/>
    <w:rsid w:val="0CEC743A"/>
    <w:rsid w:val="0CEE4F60"/>
    <w:rsid w:val="0CEE52F6"/>
    <w:rsid w:val="0CEE7179"/>
    <w:rsid w:val="0CF32576"/>
    <w:rsid w:val="0CF63E15"/>
    <w:rsid w:val="0D047C65"/>
    <w:rsid w:val="0D0C3638"/>
    <w:rsid w:val="0D0E45B2"/>
    <w:rsid w:val="0D1150F2"/>
    <w:rsid w:val="0D1D3A97"/>
    <w:rsid w:val="0D343E89"/>
    <w:rsid w:val="0D3A33DE"/>
    <w:rsid w:val="0D42705A"/>
    <w:rsid w:val="0D4C1C87"/>
    <w:rsid w:val="0D4E59FF"/>
    <w:rsid w:val="0D571602"/>
    <w:rsid w:val="0D5A0848"/>
    <w:rsid w:val="0D5D5C42"/>
    <w:rsid w:val="0D6B035F"/>
    <w:rsid w:val="0D6E21C2"/>
    <w:rsid w:val="0D755681"/>
    <w:rsid w:val="0D7C256C"/>
    <w:rsid w:val="0D7F02AE"/>
    <w:rsid w:val="0D821B4C"/>
    <w:rsid w:val="0D8853B5"/>
    <w:rsid w:val="0D8B27AF"/>
    <w:rsid w:val="0D906017"/>
    <w:rsid w:val="0DA75FAF"/>
    <w:rsid w:val="0DAD6BC9"/>
    <w:rsid w:val="0DBA3094"/>
    <w:rsid w:val="0DC363ED"/>
    <w:rsid w:val="0DD423A8"/>
    <w:rsid w:val="0DD979BE"/>
    <w:rsid w:val="0DDA308D"/>
    <w:rsid w:val="0DDC46B0"/>
    <w:rsid w:val="0DDE0EBB"/>
    <w:rsid w:val="0DE73A34"/>
    <w:rsid w:val="0DE978E6"/>
    <w:rsid w:val="0DEB76F2"/>
    <w:rsid w:val="0DEE2D3E"/>
    <w:rsid w:val="0DEE7802"/>
    <w:rsid w:val="0DF2282E"/>
    <w:rsid w:val="0DF57C95"/>
    <w:rsid w:val="0DF91E0E"/>
    <w:rsid w:val="0E034839"/>
    <w:rsid w:val="0E0A401C"/>
    <w:rsid w:val="0E1327A4"/>
    <w:rsid w:val="0E19425F"/>
    <w:rsid w:val="0E1C3D4F"/>
    <w:rsid w:val="0E2A021A"/>
    <w:rsid w:val="0E3015A8"/>
    <w:rsid w:val="0E35767A"/>
    <w:rsid w:val="0E3746E5"/>
    <w:rsid w:val="0E395ED5"/>
    <w:rsid w:val="0E4532A6"/>
    <w:rsid w:val="0E511C4A"/>
    <w:rsid w:val="0E536488"/>
    <w:rsid w:val="0E572FD9"/>
    <w:rsid w:val="0E5B5AE4"/>
    <w:rsid w:val="0E6F20D1"/>
    <w:rsid w:val="0E71409B"/>
    <w:rsid w:val="0E794CFD"/>
    <w:rsid w:val="0E886B24"/>
    <w:rsid w:val="0E924011"/>
    <w:rsid w:val="0EA1194A"/>
    <w:rsid w:val="0EAA3109"/>
    <w:rsid w:val="0EB24885"/>
    <w:rsid w:val="0ECF0348"/>
    <w:rsid w:val="0ED71A24"/>
    <w:rsid w:val="0EDC703A"/>
    <w:rsid w:val="0EE4486D"/>
    <w:rsid w:val="0EE64FE1"/>
    <w:rsid w:val="0EF279EF"/>
    <w:rsid w:val="0EFB1BB6"/>
    <w:rsid w:val="0EFC2CC8"/>
    <w:rsid w:val="0EFD76DC"/>
    <w:rsid w:val="0F00541F"/>
    <w:rsid w:val="0F052A35"/>
    <w:rsid w:val="0F0930A5"/>
    <w:rsid w:val="0F113188"/>
    <w:rsid w:val="0F234C69"/>
    <w:rsid w:val="0F2509E1"/>
    <w:rsid w:val="0F296723"/>
    <w:rsid w:val="0F2C5B85"/>
    <w:rsid w:val="0F44355D"/>
    <w:rsid w:val="0F5372FC"/>
    <w:rsid w:val="0F587009"/>
    <w:rsid w:val="0F5B2655"/>
    <w:rsid w:val="0F5D71DF"/>
    <w:rsid w:val="0F64150A"/>
    <w:rsid w:val="0F696B20"/>
    <w:rsid w:val="0F697B22"/>
    <w:rsid w:val="0F6C03BE"/>
    <w:rsid w:val="0F6C6610"/>
    <w:rsid w:val="0F730BD4"/>
    <w:rsid w:val="0F751969"/>
    <w:rsid w:val="0F76347B"/>
    <w:rsid w:val="0F767555"/>
    <w:rsid w:val="0F790C96"/>
    <w:rsid w:val="0F8676D2"/>
    <w:rsid w:val="0F890F70"/>
    <w:rsid w:val="0F8C5898"/>
    <w:rsid w:val="0FA1275E"/>
    <w:rsid w:val="0FA364D6"/>
    <w:rsid w:val="0FB3237E"/>
    <w:rsid w:val="0FB748D6"/>
    <w:rsid w:val="0FB80F7E"/>
    <w:rsid w:val="0FBA381F"/>
    <w:rsid w:val="0FBC1346"/>
    <w:rsid w:val="0FBD5575"/>
    <w:rsid w:val="0FBD6E6C"/>
    <w:rsid w:val="0FBF0E36"/>
    <w:rsid w:val="0FBF4992"/>
    <w:rsid w:val="0FC14BAE"/>
    <w:rsid w:val="0FC63F72"/>
    <w:rsid w:val="0FD21598"/>
    <w:rsid w:val="0FD3043D"/>
    <w:rsid w:val="0FDC3796"/>
    <w:rsid w:val="0FE6591E"/>
    <w:rsid w:val="0FE8038D"/>
    <w:rsid w:val="0FED14FF"/>
    <w:rsid w:val="0FF07241"/>
    <w:rsid w:val="0FF26B15"/>
    <w:rsid w:val="0FF7795F"/>
    <w:rsid w:val="0FFF56D6"/>
    <w:rsid w:val="100F3B6B"/>
    <w:rsid w:val="10190546"/>
    <w:rsid w:val="101A606C"/>
    <w:rsid w:val="10246EEB"/>
    <w:rsid w:val="10262C63"/>
    <w:rsid w:val="102644BB"/>
    <w:rsid w:val="10291BDB"/>
    <w:rsid w:val="102A0947"/>
    <w:rsid w:val="102A0FD2"/>
    <w:rsid w:val="102C4AE1"/>
    <w:rsid w:val="10345380"/>
    <w:rsid w:val="103B4960"/>
    <w:rsid w:val="104860A8"/>
    <w:rsid w:val="104E5940"/>
    <w:rsid w:val="10501A8E"/>
    <w:rsid w:val="10521CAA"/>
    <w:rsid w:val="10596B94"/>
    <w:rsid w:val="105A46BB"/>
    <w:rsid w:val="105A4EBD"/>
    <w:rsid w:val="105C6685"/>
    <w:rsid w:val="105E0F24"/>
    <w:rsid w:val="10613A0A"/>
    <w:rsid w:val="10635C65"/>
    <w:rsid w:val="10650200"/>
    <w:rsid w:val="106612B1"/>
    <w:rsid w:val="106D0892"/>
    <w:rsid w:val="10726D87"/>
    <w:rsid w:val="107F10F9"/>
    <w:rsid w:val="108907C3"/>
    <w:rsid w:val="108C6F6A"/>
    <w:rsid w:val="109045B9"/>
    <w:rsid w:val="10923E54"/>
    <w:rsid w:val="10993435"/>
    <w:rsid w:val="109D3109"/>
    <w:rsid w:val="10A36CC0"/>
    <w:rsid w:val="10AB793D"/>
    <w:rsid w:val="10AC13BA"/>
    <w:rsid w:val="10CC55B8"/>
    <w:rsid w:val="10CD7582"/>
    <w:rsid w:val="10D03DBD"/>
    <w:rsid w:val="10DC4B86"/>
    <w:rsid w:val="10F44B0F"/>
    <w:rsid w:val="10FD2C87"/>
    <w:rsid w:val="10FE14EA"/>
    <w:rsid w:val="11074842"/>
    <w:rsid w:val="110A4333"/>
    <w:rsid w:val="11131439"/>
    <w:rsid w:val="11194576"/>
    <w:rsid w:val="111D5E14"/>
    <w:rsid w:val="1122342A"/>
    <w:rsid w:val="11270A41"/>
    <w:rsid w:val="11290C5D"/>
    <w:rsid w:val="112F3D99"/>
    <w:rsid w:val="1131366D"/>
    <w:rsid w:val="113B0990"/>
    <w:rsid w:val="113B44EC"/>
    <w:rsid w:val="11407D54"/>
    <w:rsid w:val="114C66F9"/>
    <w:rsid w:val="114F505F"/>
    <w:rsid w:val="11551A52"/>
    <w:rsid w:val="11554D1E"/>
    <w:rsid w:val="11567578"/>
    <w:rsid w:val="11586E4C"/>
    <w:rsid w:val="115B4B8E"/>
    <w:rsid w:val="115F467E"/>
    <w:rsid w:val="11641C95"/>
    <w:rsid w:val="116A4DD1"/>
    <w:rsid w:val="117A285D"/>
    <w:rsid w:val="117B6FDE"/>
    <w:rsid w:val="11862688"/>
    <w:rsid w:val="11953FF7"/>
    <w:rsid w:val="119A56B6"/>
    <w:rsid w:val="11A55E09"/>
    <w:rsid w:val="11A71B81"/>
    <w:rsid w:val="11AE1162"/>
    <w:rsid w:val="11B16C35"/>
    <w:rsid w:val="11B36778"/>
    <w:rsid w:val="11B76268"/>
    <w:rsid w:val="11C42733"/>
    <w:rsid w:val="11CB1D14"/>
    <w:rsid w:val="11CB5870"/>
    <w:rsid w:val="11D34725"/>
    <w:rsid w:val="11D566EF"/>
    <w:rsid w:val="11DB4C6D"/>
    <w:rsid w:val="11F272A1"/>
    <w:rsid w:val="11F456DF"/>
    <w:rsid w:val="11F55133"/>
    <w:rsid w:val="11FC5AF2"/>
    <w:rsid w:val="12011292"/>
    <w:rsid w:val="12045226"/>
    <w:rsid w:val="12057FDE"/>
    <w:rsid w:val="12080872"/>
    <w:rsid w:val="12093629"/>
    <w:rsid w:val="12096398"/>
    <w:rsid w:val="120B2110"/>
    <w:rsid w:val="120E39AF"/>
    <w:rsid w:val="120E7E53"/>
    <w:rsid w:val="12103BCB"/>
    <w:rsid w:val="1211524D"/>
    <w:rsid w:val="12152F8F"/>
    <w:rsid w:val="121C60CC"/>
    <w:rsid w:val="121D3BF2"/>
    <w:rsid w:val="12217B86"/>
    <w:rsid w:val="122333EE"/>
    <w:rsid w:val="12353631"/>
    <w:rsid w:val="12371157"/>
    <w:rsid w:val="123F5118"/>
    <w:rsid w:val="12411FD6"/>
    <w:rsid w:val="12490E8B"/>
    <w:rsid w:val="124A70DD"/>
    <w:rsid w:val="12751CAA"/>
    <w:rsid w:val="12771554"/>
    <w:rsid w:val="12791770"/>
    <w:rsid w:val="1279351E"/>
    <w:rsid w:val="127B449C"/>
    <w:rsid w:val="127B54E8"/>
    <w:rsid w:val="12855AA9"/>
    <w:rsid w:val="128B14A3"/>
    <w:rsid w:val="1291462E"/>
    <w:rsid w:val="129E4D32"/>
    <w:rsid w:val="12A3059B"/>
    <w:rsid w:val="12A54313"/>
    <w:rsid w:val="12A85BB1"/>
    <w:rsid w:val="12AB56A1"/>
    <w:rsid w:val="12AD1419"/>
    <w:rsid w:val="12BE3627"/>
    <w:rsid w:val="12D26D34"/>
    <w:rsid w:val="12D6271E"/>
    <w:rsid w:val="12E27315"/>
    <w:rsid w:val="12ED5CBA"/>
    <w:rsid w:val="12ED6BED"/>
    <w:rsid w:val="12EF558E"/>
    <w:rsid w:val="12F206F6"/>
    <w:rsid w:val="12F928B1"/>
    <w:rsid w:val="12FB66B3"/>
    <w:rsid w:val="12FE1C75"/>
    <w:rsid w:val="12FE7EC7"/>
    <w:rsid w:val="13001549"/>
    <w:rsid w:val="1308493B"/>
    <w:rsid w:val="13113D52"/>
    <w:rsid w:val="13182D37"/>
    <w:rsid w:val="131E5E73"/>
    <w:rsid w:val="13257202"/>
    <w:rsid w:val="132711CC"/>
    <w:rsid w:val="13287A7C"/>
    <w:rsid w:val="13315BA7"/>
    <w:rsid w:val="133236CD"/>
    <w:rsid w:val="13337B71"/>
    <w:rsid w:val="133A159C"/>
    <w:rsid w:val="134055F9"/>
    <w:rsid w:val="134A0A16"/>
    <w:rsid w:val="134D0507"/>
    <w:rsid w:val="135C4619"/>
    <w:rsid w:val="135D4BEE"/>
    <w:rsid w:val="137B5074"/>
    <w:rsid w:val="13826402"/>
    <w:rsid w:val="13833F28"/>
    <w:rsid w:val="13851F6A"/>
    <w:rsid w:val="138C102F"/>
    <w:rsid w:val="138C54D3"/>
    <w:rsid w:val="139101DD"/>
    <w:rsid w:val="13960100"/>
    <w:rsid w:val="13997C3E"/>
    <w:rsid w:val="139A199E"/>
    <w:rsid w:val="139D148E"/>
    <w:rsid w:val="13A93F69"/>
    <w:rsid w:val="13AC347F"/>
    <w:rsid w:val="13AF2F6F"/>
    <w:rsid w:val="13B642FE"/>
    <w:rsid w:val="13B80076"/>
    <w:rsid w:val="13BA5B9C"/>
    <w:rsid w:val="13BF31B2"/>
    <w:rsid w:val="13BF7656"/>
    <w:rsid w:val="13CF126B"/>
    <w:rsid w:val="13CF7057"/>
    <w:rsid w:val="13E501E2"/>
    <w:rsid w:val="13EB41FA"/>
    <w:rsid w:val="13ED13E4"/>
    <w:rsid w:val="13ED62E1"/>
    <w:rsid w:val="13EE3A98"/>
    <w:rsid w:val="13F82B68"/>
    <w:rsid w:val="13FD017F"/>
    <w:rsid w:val="13FF26A7"/>
    <w:rsid w:val="13FF7A53"/>
    <w:rsid w:val="14005579"/>
    <w:rsid w:val="14011FB7"/>
    <w:rsid w:val="14054CA6"/>
    <w:rsid w:val="140908D1"/>
    <w:rsid w:val="141259D8"/>
    <w:rsid w:val="141F1EA3"/>
    <w:rsid w:val="14264FE0"/>
    <w:rsid w:val="14294AD0"/>
    <w:rsid w:val="142B0848"/>
    <w:rsid w:val="14305E5E"/>
    <w:rsid w:val="14353475"/>
    <w:rsid w:val="143A6CDD"/>
    <w:rsid w:val="143C0CA7"/>
    <w:rsid w:val="144D4C62"/>
    <w:rsid w:val="145002AE"/>
    <w:rsid w:val="14506500"/>
    <w:rsid w:val="1457163D"/>
    <w:rsid w:val="1457788F"/>
    <w:rsid w:val="145B0D83"/>
    <w:rsid w:val="145F6B34"/>
    <w:rsid w:val="14716ECD"/>
    <w:rsid w:val="14726477"/>
    <w:rsid w:val="1473723C"/>
    <w:rsid w:val="14757D15"/>
    <w:rsid w:val="14771CDF"/>
    <w:rsid w:val="147C004B"/>
    <w:rsid w:val="148368D6"/>
    <w:rsid w:val="14885C1E"/>
    <w:rsid w:val="14885C9A"/>
    <w:rsid w:val="1493226C"/>
    <w:rsid w:val="14935AC8"/>
    <w:rsid w:val="14942891"/>
    <w:rsid w:val="14956A7F"/>
    <w:rsid w:val="149A3C1F"/>
    <w:rsid w:val="149C34F4"/>
    <w:rsid w:val="14A14FAE"/>
    <w:rsid w:val="14AD3953"/>
    <w:rsid w:val="14B051F1"/>
    <w:rsid w:val="14B836DE"/>
    <w:rsid w:val="14BC5944"/>
    <w:rsid w:val="14BE790E"/>
    <w:rsid w:val="14CD7B51"/>
    <w:rsid w:val="14D0319D"/>
    <w:rsid w:val="14D1437D"/>
    <w:rsid w:val="14D507B4"/>
    <w:rsid w:val="14DC1B42"/>
    <w:rsid w:val="14DE3B0C"/>
    <w:rsid w:val="14E32ED1"/>
    <w:rsid w:val="14E8498B"/>
    <w:rsid w:val="14EB7FD7"/>
    <w:rsid w:val="14EC447B"/>
    <w:rsid w:val="14FD2118"/>
    <w:rsid w:val="150C0679"/>
    <w:rsid w:val="150F1F18"/>
    <w:rsid w:val="151412DC"/>
    <w:rsid w:val="152411FA"/>
    <w:rsid w:val="153442F6"/>
    <w:rsid w:val="15393438"/>
    <w:rsid w:val="15451DDD"/>
    <w:rsid w:val="15475B55"/>
    <w:rsid w:val="154F0566"/>
    <w:rsid w:val="155179EE"/>
    <w:rsid w:val="15557480"/>
    <w:rsid w:val="15581F72"/>
    <w:rsid w:val="155D0ED5"/>
    <w:rsid w:val="156D6C3E"/>
    <w:rsid w:val="15791B3C"/>
    <w:rsid w:val="15793835"/>
    <w:rsid w:val="157B135B"/>
    <w:rsid w:val="157D50D3"/>
    <w:rsid w:val="1585667E"/>
    <w:rsid w:val="158F4E06"/>
    <w:rsid w:val="159863B1"/>
    <w:rsid w:val="159E329B"/>
    <w:rsid w:val="15A22D8C"/>
    <w:rsid w:val="15A765F4"/>
    <w:rsid w:val="15A9411A"/>
    <w:rsid w:val="15AA7E92"/>
    <w:rsid w:val="15B91E83"/>
    <w:rsid w:val="15BE5EAF"/>
    <w:rsid w:val="15C70A44"/>
    <w:rsid w:val="15CA4090"/>
    <w:rsid w:val="15D02A5F"/>
    <w:rsid w:val="15D65076"/>
    <w:rsid w:val="15E038B4"/>
    <w:rsid w:val="15E2762C"/>
    <w:rsid w:val="15EA64E1"/>
    <w:rsid w:val="15EF58A5"/>
    <w:rsid w:val="15F139D5"/>
    <w:rsid w:val="15F469C6"/>
    <w:rsid w:val="15F5110D"/>
    <w:rsid w:val="15F630D7"/>
    <w:rsid w:val="15FA2BC8"/>
    <w:rsid w:val="15FB249C"/>
    <w:rsid w:val="15FD4466"/>
    <w:rsid w:val="160457F4"/>
    <w:rsid w:val="16145C3A"/>
    <w:rsid w:val="161920B5"/>
    <w:rsid w:val="16210154"/>
    <w:rsid w:val="16257519"/>
    <w:rsid w:val="162639BD"/>
    <w:rsid w:val="16287735"/>
    <w:rsid w:val="16290DB7"/>
    <w:rsid w:val="162C6AF9"/>
    <w:rsid w:val="163360DA"/>
    <w:rsid w:val="16377978"/>
    <w:rsid w:val="163F05DA"/>
    <w:rsid w:val="16430362"/>
    <w:rsid w:val="16443E43"/>
    <w:rsid w:val="164756E1"/>
    <w:rsid w:val="164B6F7F"/>
    <w:rsid w:val="165035D4"/>
    <w:rsid w:val="16556050"/>
    <w:rsid w:val="165B5A0B"/>
    <w:rsid w:val="16704C38"/>
    <w:rsid w:val="16705DED"/>
    <w:rsid w:val="16797F90"/>
    <w:rsid w:val="167C3303"/>
    <w:rsid w:val="167F30CD"/>
    <w:rsid w:val="168406E3"/>
    <w:rsid w:val="16897AA8"/>
    <w:rsid w:val="16976668"/>
    <w:rsid w:val="169923E1"/>
    <w:rsid w:val="169C77DB"/>
    <w:rsid w:val="16A25067"/>
    <w:rsid w:val="16A26BF5"/>
    <w:rsid w:val="16A42F4E"/>
    <w:rsid w:val="16AE750E"/>
    <w:rsid w:val="16AF39B2"/>
    <w:rsid w:val="16B835C4"/>
    <w:rsid w:val="16B92D9A"/>
    <w:rsid w:val="16C3120C"/>
    <w:rsid w:val="16CB1E6E"/>
    <w:rsid w:val="16D50F3F"/>
    <w:rsid w:val="16D57191"/>
    <w:rsid w:val="16D8458B"/>
    <w:rsid w:val="16DC407B"/>
    <w:rsid w:val="16E3540A"/>
    <w:rsid w:val="16E55464"/>
    <w:rsid w:val="16F94C2D"/>
    <w:rsid w:val="16FC471D"/>
    <w:rsid w:val="16FE2244"/>
    <w:rsid w:val="17011D34"/>
    <w:rsid w:val="170A508C"/>
    <w:rsid w:val="170A6E3A"/>
    <w:rsid w:val="17151105"/>
    <w:rsid w:val="171657DF"/>
    <w:rsid w:val="171E4694"/>
    <w:rsid w:val="172123D6"/>
    <w:rsid w:val="1723405C"/>
    <w:rsid w:val="17285513"/>
    <w:rsid w:val="172A128B"/>
    <w:rsid w:val="172A61E6"/>
    <w:rsid w:val="172F4AF3"/>
    <w:rsid w:val="173105C7"/>
    <w:rsid w:val="17312619"/>
    <w:rsid w:val="173D7210"/>
    <w:rsid w:val="173E6AE4"/>
    <w:rsid w:val="17463BEB"/>
    <w:rsid w:val="174A246D"/>
    <w:rsid w:val="174C1201"/>
    <w:rsid w:val="174F484D"/>
    <w:rsid w:val="17514A69"/>
    <w:rsid w:val="175400B6"/>
    <w:rsid w:val="17546308"/>
    <w:rsid w:val="17555BDC"/>
    <w:rsid w:val="1757487F"/>
    <w:rsid w:val="17591B70"/>
    <w:rsid w:val="175B1444"/>
    <w:rsid w:val="175B385A"/>
    <w:rsid w:val="17626C76"/>
    <w:rsid w:val="17690B6A"/>
    <w:rsid w:val="1770666F"/>
    <w:rsid w:val="17771FF6"/>
    <w:rsid w:val="178622EA"/>
    <w:rsid w:val="178D1819"/>
    <w:rsid w:val="179901BE"/>
    <w:rsid w:val="179947F3"/>
    <w:rsid w:val="17A252C5"/>
    <w:rsid w:val="17A27073"/>
    <w:rsid w:val="17A70B2D"/>
    <w:rsid w:val="17AC6144"/>
    <w:rsid w:val="17B46A3B"/>
    <w:rsid w:val="17B62B1E"/>
    <w:rsid w:val="17B9616B"/>
    <w:rsid w:val="17BA0860"/>
    <w:rsid w:val="17C90AA4"/>
    <w:rsid w:val="17CA7A6B"/>
    <w:rsid w:val="17CB401E"/>
    <w:rsid w:val="17D336D0"/>
    <w:rsid w:val="17D42FA4"/>
    <w:rsid w:val="17E256C1"/>
    <w:rsid w:val="17E94CA2"/>
    <w:rsid w:val="17EF166E"/>
    <w:rsid w:val="17F378CF"/>
    <w:rsid w:val="17F66895"/>
    <w:rsid w:val="17F81389"/>
    <w:rsid w:val="17FF44C5"/>
    <w:rsid w:val="18001FEB"/>
    <w:rsid w:val="18012888"/>
    <w:rsid w:val="180550B5"/>
    <w:rsid w:val="180970F2"/>
    <w:rsid w:val="180A4C18"/>
    <w:rsid w:val="181066D2"/>
    <w:rsid w:val="18133ACD"/>
    <w:rsid w:val="18186CFB"/>
    <w:rsid w:val="181A30AD"/>
    <w:rsid w:val="181F06C4"/>
    <w:rsid w:val="182201B4"/>
    <w:rsid w:val="18221F62"/>
    <w:rsid w:val="182A0E16"/>
    <w:rsid w:val="182C2DE0"/>
    <w:rsid w:val="18356139"/>
    <w:rsid w:val="18365A0D"/>
    <w:rsid w:val="18381785"/>
    <w:rsid w:val="183F2B14"/>
    <w:rsid w:val="18574301"/>
    <w:rsid w:val="185D43EA"/>
    <w:rsid w:val="18626802"/>
    <w:rsid w:val="1864257A"/>
    <w:rsid w:val="186D58D3"/>
    <w:rsid w:val="18736C61"/>
    <w:rsid w:val="187622AE"/>
    <w:rsid w:val="187C78C4"/>
    <w:rsid w:val="188121DA"/>
    <w:rsid w:val="188517E2"/>
    <w:rsid w:val="188A0A95"/>
    <w:rsid w:val="188B3FAB"/>
    <w:rsid w:val="189C7F66"/>
    <w:rsid w:val="189F35B2"/>
    <w:rsid w:val="18A1557C"/>
    <w:rsid w:val="18A312F5"/>
    <w:rsid w:val="18AE37F5"/>
    <w:rsid w:val="18B21538"/>
    <w:rsid w:val="18B51028"/>
    <w:rsid w:val="18BB781D"/>
    <w:rsid w:val="18BD7EDC"/>
    <w:rsid w:val="18BF1EA7"/>
    <w:rsid w:val="18BF3C55"/>
    <w:rsid w:val="18C13F1E"/>
    <w:rsid w:val="18C4364F"/>
    <w:rsid w:val="18D07C10"/>
    <w:rsid w:val="18D21BDA"/>
    <w:rsid w:val="18D23988"/>
    <w:rsid w:val="18D97890"/>
    <w:rsid w:val="18DC7657"/>
    <w:rsid w:val="18E50C46"/>
    <w:rsid w:val="18E5508F"/>
    <w:rsid w:val="18F21A27"/>
    <w:rsid w:val="18F461D6"/>
    <w:rsid w:val="19063631"/>
    <w:rsid w:val="190855FC"/>
    <w:rsid w:val="190A1374"/>
    <w:rsid w:val="190A1707"/>
    <w:rsid w:val="190E24E6"/>
    <w:rsid w:val="190F51E1"/>
    <w:rsid w:val="19103CBD"/>
    <w:rsid w:val="19121D33"/>
    <w:rsid w:val="19297320"/>
    <w:rsid w:val="19300FF5"/>
    <w:rsid w:val="19341F4D"/>
    <w:rsid w:val="193463F1"/>
    <w:rsid w:val="19357237"/>
    <w:rsid w:val="19362169"/>
    <w:rsid w:val="19397563"/>
    <w:rsid w:val="193C2319"/>
    <w:rsid w:val="193C34F7"/>
    <w:rsid w:val="19467ED2"/>
    <w:rsid w:val="19483C4A"/>
    <w:rsid w:val="194A5C14"/>
    <w:rsid w:val="194F4FD8"/>
    <w:rsid w:val="195728D4"/>
    <w:rsid w:val="19582448"/>
    <w:rsid w:val="195919B3"/>
    <w:rsid w:val="195F0AAC"/>
    <w:rsid w:val="19632832"/>
    <w:rsid w:val="196547FC"/>
    <w:rsid w:val="196D1903"/>
    <w:rsid w:val="196D36B1"/>
    <w:rsid w:val="196D545F"/>
    <w:rsid w:val="197B20E1"/>
    <w:rsid w:val="197B401F"/>
    <w:rsid w:val="197C1B46"/>
    <w:rsid w:val="197E58BE"/>
    <w:rsid w:val="19801636"/>
    <w:rsid w:val="19831126"/>
    <w:rsid w:val="198D78AF"/>
    <w:rsid w:val="19923117"/>
    <w:rsid w:val="19940C3D"/>
    <w:rsid w:val="199649B5"/>
    <w:rsid w:val="199C7AF2"/>
    <w:rsid w:val="199E7D0E"/>
    <w:rsid w:val="19B66E06"/>
    <w:rsid w:val="19C24DE5"/>
    <w:rsid w:val="19C31523"/>
    <w:rsid w:val="19C72DC1"/>
    <w:rsid w:val="19CC487B"/>
    <w:rsid w:val="19CF7EC7"/>
    <w:rsid w:val="19D63004"/>
    <w:rsid w:val="19DE010A"/>
    <w:rsid w:val="19E51499"/>
    <w:rsid w:val="19E73463"/>
    <w:rsid w:val="19E82D37"/>
    <w:rsid w:val="19F16090"/>
    <w:rsid w:val="1A051160"/>
    <w:rsid w:val="1A0538E9"/>
    <w:rsid w:val="1A0C56B9"/>
    <w:rsid w:val="1A197F1C"/>
    <w:rsid w:val="1A22449B"/>
    <w:rsid w:val="1A246465"/>
    <w:rsid w:val="1A293ADE"/>
    <w:rsid w:val="1A2975D8"/>
    <w:rsid w:val="1A3D3083"/>
    <w:rsid w:val="1A404921"/>
    <w:rsid w:val="1A441CBC"/>
    <w:rsid w:val="1A4563DB"/>
    <w:rsid w:val="1A472154"/>
    <w:rsid w:val="1A4E34E2"/>
    <w:rsid w:val="1A4E703E"/>
    <w:rsid w:val="1A584361"/>
    <w:rsid w:val="1A5D4DB6"/>
    <w:rsid w:val="1A646862"/>
    <w:rsid w:val="1A6C3968"/>
    <w:rsid w:val="1A8A3DEE"/>
    <w:rsid w:val="1A903AFB"/>
    <w:rsid w:val="1A907657"/>
    <w:rsid w:val="1A9D6217"/>
    <w:rsid w:val="1AA2540F"/>
    <w:rsid w:val="1AA255DC"/>
    <w:rsid w:val="1AA66E7A"/>
    <w:rsid w:val="1AA80E44"/>
    <w:rsid w:val="1AAB37A8"/>
    <w:rsid w:val="1ABC669E"/>
    <w:rsid w:val="1AC47300"/>
    <w:rsid w:val="1AC94917"/>
    <w:rsid w:val="1ACA4DD6"/>
    <w:rsid w:val="1ACE4623"/>
    <w:rsid w:val="1AD559B1"/>
    <w:rsid w:val="1AD80FFE"/>
    <w:rsid w:val="1AD82DAC"/>
    <w:rsid w:val="1ADF3CA3"/>
    <w:rsid w:val="1AED6AAC"/>
    <w:rsid w:val="1AEE0821"/>
    <w:rsid w:val="1AF50990"/>
    <w:rsid w:val="1AF71484"/>
    <w:rsid w:val="1AF83643"/>
    <w:rsid w:val="1AFE6CB6"/>
    <w:rsid w:val="1B0D514B"/>
    <w:rsid w:val="1B171B26"/>
    <w:rsid w:val="1B1C538E"/>
    <w:rsid w:val="1B1D4C62"/>
    <w:rsid w:val="1B210BF7"/>
    <w:rsid w:val="1B21651D"/>
    <w:rsid w:val="1B2236A3"/>
    <w:rsid w:val="1B2B55D1"/>
    <w:rsid w:val="1B2D0862"/>
    <w:rsid w:val="1B2D1349"/>
    <w:rsid w:val="1B3426D8"/>
    <w:rsid w:val="1B344993"/>
    <w:rsid w:val="1B3520A2"/>
    <w:rsid w:val="1B402F36"/>
    <w:rsid w:val="1B4641B9"/>
    <w:rsid w:val="1B4F12C0"/>
    <w:rsid w:val="1B542D7A"/>
    <w:rsid w:val="1B5E7C66"/>
    <w:rsid w:val="1B6B1E72"/>
    <w:rsid w:val="1B6F54BE"/>
    <w:rsid w:val="1B723200"/>
    <w:rsid w:val="1B73033E"/>
    <w:rsid w:val="1B746F78"/>
    <w:rsid w:val="1B746FE5"/>
    <w:rsid w:val="1B79633D"/>
    <w:rsid w:val="1B7C5E2D"/>
    <w:rsid w:val="1B83626B"/>
    <w:rsid w:val="1B852F33"/>
    <w:rsid w:val="1B886580"/>
    <w:rsid w:val="1BA157B2"/>
    <w:rsid w:val="1BA23AE5"/>
    <w:rsid w:val="1BA43815"/>
    <w:rsid w:val="1BA84E74"/>
    <w:rsid w:val="1BAA0BEC"/>
    <w:rsid w:val="1BC03F6C"/>
    <w:rsid w:val="1BC17CE4"/>
    <w:rsid w:val="1BC55BD6"/>
    <w:rsid w:val="1BC60287"/>
    <w:rsid w:val="1BC75BDE"/>
    <w:rsid w:val="1BC82E20"/>
    <w:rsid w:val="1BCF2401"/>
    <w:rsid w:val="1BD17F27"/>
    <w:rsid w:val="1BD276B4"/>
    <w:rsid w:val="1BD702B9"/>
    <w:rsid w:val="1BDA123E"/>
    <w:rsid w:val="1BE7774A"/>
    <w:rsid w:val="1BE91714"/>
    <w:rsid w:val="1BEA2D97"/>
    <w:rsid w:val="1BEF65FF"/>
    <w:rsid w:val="1BFB31F6"/>
    <w:rsid w:val="1BFB4FA4"/>
    <w:rsid w:val="1C00080C"/>
    <w:rsid w:val="1C022610"/>
    <w:rsid w:val="1C0320AA"/>
    <w:rsid w:val="1C142509"/>
    <w:rsid w:val="1C1E0C92"/>
    <w:rsid w:val="1C1E40AF"/>
    <w:rsid w:val="1C204A0A"/>
    <w:rsid w:val="1C2A3ADB"/>
    <w:rsid w:val="1C3109C5"/>
    <w:rsid w:val="1C362480"/>
    <w:rsid w:val="1C3D55BC"/>
    <w:rsid w:val="1C400211"/>
    <w:rsid w:val="1C450915"/>
    <w:rsid w:val="1C4526C3"/>
    <w:rsid w:val="1C4A5F2B"/>
    <w:rsid w:val="1C5609FD"/>
    <w:rsid w:val="1C5650F0"/>
    <w:rsid w:val="1C5F6950"/>
    <w:rsid w:val="1C614C38"/>
    <w:rsid w:val="1C69100D"/>
    <w:rsid w:val="1C6C7C4F"/>
    <w:rsid w:val="1C6E39C8"/>
    <w:rsid w:val="1C7B60E4"/>
    <w:rsid w:val="1C890C15"/>
    <w:rsid w:val="1C896A53"/>
    <w:rsid w:val="1C907DE2"/>
    <w:rsid w:val="1C9E2BFF"/>
    <w:rsid w:val="1C9F6277"/>
    <w:rsid w:val="1CA0458E"/>
    <w:rsid w:val="1CA05B4B"/>
    <w:rsid w:val="1CA613B3"/>
    <w:rsid w:val="1CAE0268"/>
    <w:rsid w:val="1CB05D8E"/>
    <w:rsid w:val="1CB57848"/>
    <w:rsid w:val="1CB810E7"/>
    <w:rsid w:val="1CBA4E5F"/>
    <w:rsid w:val="1CBB2985"/>
    <w:rsid w:val="1CC161ED"/>
    <w:rsid w:val="1CC655B2"/>
    <w:rsid w:val="1CCB0E1A"/>
    <w:rsid w:val="1CCF3FBA"/>
    <w:rsid w:val="1CD35F20"/>
    <w:rsid w:val="1CD53A47"/>
    <w:rsid w:val="1CD656FC"/>
    <w:rsid w:val="1CD777BF"/>
    <w:rsid w:val="1CDA2ADD"/>
    <w:rsid w:val="1CE123EB"/>
    <w:rsid w:val="1CE75528"/>
    <w:rsid w:val="1CF22920"/>
    <w:rsid w:val="1CF540E9"/>
    <w:rsid w:val="1CF57C45"/>
    <w:rsid w:val="1CFA525B"/>
    <w:rsid w:val="1CFD2F9D"/>
    <w:rsid w:val="1D037E77"/>
    <w:rsid w:val="1D0B49DE"/>
    <w:rsid w:val="1D101BF1"/>
    <w:rsid w:val="1D17405F"/>
    <w:rsid w:val="1D1A3B4F"/>
    <w:rsid w:val="1D200741"/>
    <w:rsid w:val="1D24677C"/>
    <w:rsid w:val="1D260771"/>
    <w:rsid w:val="1D350989"/>
    <w:rsid w:val="1D3604DE"/>
    <w:rsid w:val="1D3954F9"/>
    <w:rsid w:val="1D3E783E"/>
    <w:rsid w:val="1D402CBF"/>
    <w:rsid w:val="1D41732E"/>
    <w:rsid w:val="1D4604A0"/>
    <w:rsid w:val="1D484219"/>
    <w:rsid w:val="1D4E7035"/>
    <w:rsid w:val="1D547061"/>
    <w:rsid w:val="1D552DD9"/>
    <w:rsid w:val="1D5726AE"/>
    <w:rsid w:val="1D575FE9"/>
    <w:rsid w:val="1D5C7CC4"/>
    <w:rsid w:val="1D69418F"/>
    <w:rsid w:val="1D6D1ED1"/>
    <w:rsid w:val="1D7019C1"/>
    <w:rsid w:val="1D725739"/>
    <w:rsid w:val="1D7274E7"/>
    <w:rsid w:val="1D750D86"/>
    <w:rsid w:val="1D7F7B5E"/>
    <w:rsid w:val="1D840FC9"/>
    <w:rsid w:val="1D8A10A7"/>
    <w:rsid w:val="1D8D4321"/>
    <w:rsid w:val="1D9456B0"/>
    <w:rsid w:val="1D983C21"/>
    <w:rsid w:val="1D9F5E03"/>
    <w:rsid w:val="1DA358F3"/>
    <w:rsid w:val="1DA52F3D"/>
    <w:rsid w:val="1DAC0C4B"/>
    <w:rsid w:val="1DB01DBE"/>
    <w:rsid w:val="1DB03BB5"/>
    <w:rsid w:val="1DB25B36"/>
    <w:rsid w:val="1DC37D43"/>
    <w:rsid w:val="1DD45AAC"/>
    <w:rsid w:val="1DE55F0B"/>
    <w:rsid w:val="1DE6037E"/>
    <w:rsid w:val="1DED0C04"/>
    <w:rsid w:val="1DED6227"/>
    <w:rsid w:val="1DF0665E"/>
    <w:rsid w:val="1DF24184"/>
    <w:rsid w:val="1DF4614E"/>
    <w:rsid w:val="1DFC74D6"/>
    <w:rsid w:val="1E0A3655"/>
    <w:rsid w:val="1E0C16EA"/>
    <w:rsid w:val="1E0C793C"/>
    <w:rsid w:val="1E18540E"/>
    <w:rsid w:val="1E2D15D1"/>
    <w:rsid w:val="1E2F6F40"/>
    <w:rsid w:val="1E3824DF"/>
    <w:rsid w:val="1E3E5BD7"/>
    <w:rsid w:val="1E426EBA"/>
    <w:rsid w:val="1E4A3FC0"/>
    <w:rsid w:val="1E55286D"/>
    <w:rsid w:val="1E5577CC"/>
    <w:rsid w:val="1E5866DD"/>
    <w:rsid w:val="1E5E7A6C"/>
    <w:rsid w:val="1E605592"/>
    <w:rsid w:val="1E635082"/>
    <w:rsid w:val="1E65704C"/>
    <w:rsid w:val="1E796654"/>
    <w:rsid w:val="1E831280"/>
    <w:rsid w:val="1E890F8D"/>
    <w:rsid w:val="1E8E0A96"/>
    <w:rsid w:val="1E8F40C9"/>
    <w:rsid w:val="1E960FB4"/>
    <w:rsid w:val="1E9B481C"/>
    <w:rsid w:val="1E9D0594"/>
    <w:rsid w:val="1EA125DB"/>
    <w:rsid w:val="1EAB6ADD"/>
    <w:rsid w:val="1EAE454F"/>
    <w:rsid w:val="1EAF15EC"/>
    <w:rsid w:val="1EB8717C"/>
    <w:rsid w:val="1EBA2EF4"/>
    <w:rsid w:val="1EBC3110"/>
    <w:rsid w:val="1EBF675C"/>
    <w:rsid w:val="1ECD1D9F"/>
    <w:rsid w:val="1ED53744"/>
    <w:rsid w:val="1ED7059C"/>
    <w:rsid w:val="1ED902C4"/>
    <w:rsid w:val="1EDA5344"/>
    <w:rsid w:val="1EDF0BAD"/>
    <w:rsid w:val="1EE116A5"/>
    <w:rsid w:val="1EE2069D"/>
    <w:rsid w:val="1EE61F3B"/>
    <w:rsid w:val="1EEB7551"/>
    <w:rsid w:val="1EF06916"/>
    <w:rsid w:val="1EF15918"/>
    <w:rsid w:val="1EF42CE9"/>
    <w:rsid w:val="1EF627B8"/>
    <w:rsid w:val="1EFA7794"/>
    <w:rsid w:val="1F070103"/>
    <w:rsid w:val="1F0C74C8"/>
    <w:rsid w:val="1F0E3240"/>
    <w:rsid w:val="1F132604"/>
    <w:rsid w:val="1F1620F4"/>
    <w:rsid w:val="1F1F369F"/>
    <w:rsid w:val="1F220A99"/>
    <w:rsid w:val="1F262338"/>
    <w:rsid w:val="1F264A2D"/>
    <w:rsid w:val="1F282554"/>
    <w:rsid w:val="1F2C1918"/>
    <w:rsid w:val="1F3327BA"/>
    <w:rsid w:val="1F332CA6"/>
    <w:rsid w:val="1F3452D6"/>
    <w:rsid w:val="1F345A09"/>
    <w:rsid w:val="1F372797"/>
    <w:rsid w:val="1F3C5FFF"/>
    <w:rsid w:val="1F3D1A42"/>
    <w:rsid w:val="1F3F33F9"/>
    <w:rsid w:val="1F42569C"/>
    <w:rsid w:val="1F477846"/>
    <w:rsid w:val="1F4D3D68"/>
    <w:rsid w:val="1F525822"/>
    <w:rsid w:val="1F5E5F75"/>
    <w:rsid w:val="1F6A2B6C"/>
    <w:rsid w:val="1F6B2440"/>
    <w:rsid w:val="1F7E03C6"/>
    <w:rsid w:val="1F7E2174"/>
    <w:rsid w:val="1F7F6D65"/>
    <w:rsid w:val="1F8808B7"/>
    <w:rsid w:val="1F8E612F"/>
    <w:rsid w:val="1F980D5B"/>
    <w:rsid w:val="1FA00F50"/>
    <w:rsid w:val="1FA12306"/>
    <w:rsid w:val="1FAB4F33"/>
    <w:rsid w:val="1FAD0CAB"/>
    <w:rsid w:val="1FB0285C"/>
    <w:rsid w:val="1FBF278C"/>
    <w:rsid w:val="1FCF190A"/>
    <w:rsid w:val="1FDC50EC"/>
    <w:rsid w:val="1FDC6E9A"/>
    <w:rsid w:val="1FE37A81"/>
    <w:rsid w:val="1FE54F61"/>
    <w:rsid w:val="1FE67D19"/>
    <w:rsid w:val="1FF07685"/>
    <w:rsid w:val="1FF40688"/>
    <w:rsid w:val="1FF64400"/>
    <w:rsid w:val="20012D1F"/>
    <w:rsid w:val="200308CB"/>
    <w:rsid w:val="20087C8F"/>
    <w:rsid w:val="20104D96"/>
    <w:rsid w:val="20142AD8"/>
    <w:rsid w:val="20191E9C"/>
    <w:rsid w:val="201C198C"/>
    <w:rsid w:val="201D22DD"/>
    <w:rsid w:val="201E5705"/>
    <w:rsid w:val="201F4774"/>
    <w:rsid w:val="20234AC9"/>
    <w:rsid w:val="202C65FB"/>
    <w:rsid w:val="20315438"/>
    <w:rsid w:val="20375DC0"/>
    <w:rsid w:val="20482782"/>
    <w:rsid w:val="204A02A8"/>
    <w:rsid w:val="2059498F"/>
    <w:rsid w:val="205B24B5"/>
    <w:rsid w:val="205E01F7"/>
    <w:rsid w:val="20611782"/>
    <w:rsid w:val="206A763D"/>
    <w:rsid w:val="206F5F60"/>
    <w:rsid w:val="206F7D0E"/>
    <w:rsid w:val="20711CD8"/>
    <w:rsid w:val="207215AC"/>
    <w:rsid w:val="20735A50"/>
    <w:rsid w:val="207B498E"/>
    <w:rsid w:val="208537D7"/>
    <w:rsid w:val="208D63E6"/>
    <w:rsid w:val="209459C7"/>
    <w:rsid w:val="20946410"/>
    <w:rsid w:val="209B6D55"/>
    <w:rsid w:val="209D2EF4"/>
    <w:rsid w:val="20A845C8"/>
    <w:rsid w:val="20AE6A88"/>
    <w:rsid w:val="20B322F1"/>
    <w:rsid w:val="20BB5F52"/>
    <w:rsid w:val="20BC1CA8"/>
    <w:rsid w:val="20BC4690"/>
    <w:rsid w:val="20BC49FB"/>
    <w:rsid w:val="20BC4BB0"/>
    <w:rsid w:val="20BE2A44"/>
    <w:rsid w:val="20C04176"/>
    <w:rsid w:val="20C63871"/>
    <w:rsid w:val="20C91B14"/>
    <w:rsid w:val="20CB48AD"/>
    <w:rsid w:val="20D109C9"/>
    <w:rsid w:val="20DD55C0"/>
    <w:rsid w:val="20E06E5E"/>
    <w:rsid w:val="20E34258"/>
    <w:rsid w:val="20F12E19"/>
    <w:rsid w:val="20F22AAE"/>
    <w:rsid w:val="20F46465"/>
    <w:rsid w:val="20FB5A46"/>
    <w:rsid w:val="21026DD4"/>
    <w:rsid w:val="210C37AF"/>
    <w:rsid w:val="210C7C53"/>
    <w:rsid w:val="21134B3E"/>
    <w:rsid w:val="2114528A"/>
    <w:rsid w:val="2116094D"/>
    <w:rsid w:val="21182154"/>
    <w:rsid w:val="211A2370"/>
    <w:rsid w:val="212136FE"/>
    <w:rsid w:val="212307EB"/>
    <w:rsid w:val="21240AF9"/>
    <w:rsid w:val="21260D15"/>
    <w:rsid w:val="21336F8E"/>
    <w:rsid w:val="213A7E91"/>
    <w:rsid w:val="213D2CB5"/>
    <w:rsid w:val="2144119B"/>
    <w:rsid w:val="214B077B"/>
    <w:rsid w:val="214C004F"/>
    <w:rsid w:val="21507B40"/>
    <w:rsid w:val="215A09BE"/>
    <w:rsid w:val="216435EB"/>
    <w:rsid w:val="216E1ECD"/>
    <w:rsid w:val="21723F5A"/>
    <w:rsid w:val="2177331E"/>
    <w:rsid w:val="217750CC"/>
    <w:rsid w:val="217A696B"/>
    <w:rsid w:val="217C3A20"/>
    <w:rsid w:val="2185500C"/>
    <w:rsid w:val="219263AA"/>
    <w:rsid w:val="2195103F"/>
    <w:rsid w:val="219C0FD7"/>
    <w:rsid w:val="21A60641"/>
    <w:rsid w:val="21A63C04"/>
    <w:rsid w:val="21AA36F4"/>
    <w:rsid w:val="21AB524C"/>
    <w:rsid w:val="21AF0D0A"/>
    <w:rsid w:val="21C81DCC"/>
    <w:rsid w:val="21D43BB2"/>
    <w:rsid w:val="21DA1AFF"/>
    <w:rsid w:val="21E309B4"/>
    <w:rsid w:val="21ED3EE6"/>
    <w:rsid w:val="21F42BC1"/>
    <w:rsid w:val="21F7445F"/>
    <w:rsid w:val="21FC1A76"/>
    <w:rsid w:val="21FC3824"/>
    <w:rsid w:val="22072A03"/>
    <w:rsid w:val="22092E8E"/>
    <w:rsid w:val="221A1EFC"/>
    <w:rsid w:val="221A409F"/>
    <w:rsid w:val="22230DB0"/>
    <w:rsid w:val="22274D44"/>
    <w:rsid w:val="22282037"/>
    <w:rsid w:val="22284619"/>
    <w:rsid w:val="222A65E3"/>
    <w:rsid w:val="22347461"/>
    <w:rsid w:val="2235243E"/>
    <w:rsid w:val="22394A78"/>
    <w:rsid w:val="22421B7E"/>
    <w:rsid w:val="224376A4"/>
    <w:rsid w:val="22477195"/>
    <w:rsid w:val="224772C9"/>
    <w:rsid w:val="225B2C40"/>
    <w:rsid w:val="2265586D"/>
    <w:rsid w:val="2265761B"/>
    <w:rsid w:val="22665141"/>
    <w:rsid w:val="226A69DF"/>
    <w:rsid w:val="226A714E"/>
    <w:rsid w:val="226D4C26"/>
    <w:rsid w:val="226F2247"/>
    <w:rsid w:val="22714212"/>
    <w:rsid w:val="22717D6E"/>
    <w:rsid w:val="22721D38"/>
    <w:rsid w:val="22791318"/>
    <w:rsid w:val="227E06DD"/>
    <w:rsid w:val="22821F7B"/>
    <w:rsid w:val="22851A6B"/>
    <w:rsid w:val="228724F4"/>
    <w:rsid w:val="22873A35"/>
    <w:rsid w:val="228A62C8"/>
    <w:rsid w:val="228E4CF6"/>
    <w:rsid w:val="22916662"/>
    <w:rsid w:val="229E0D7F"/>
    <w:rsid w:val="22A068A5"/>
    <w:rsid w:val="22A55C69"/>
    <w:rsid w:val="22A939AB"/>
    <w:rsid w:val="22AB4D31"/>
    <w:rsid w:val="22AD4B1E"/>
    <w:rsid w:val="22B05C2A"/>
    <w:rsid w:val="22B1460E"/>
    <w:rsid w:val="22B42350"/>
    <w:rsid w:val="22B97967"/>
    <w:rsid w:val="22BC44A6"/>
    <w:rsid w:val="22BD1205"/>
    <w:rsid w:val="22BF217E"/>
    <w:rsid w:val="22CB59C2"/>
    <w:rsid w:val="22D16A5E"/>
    <w:rsid w:val="22D21245"/>
    <w:rsid w:val="22DB2EF3"/>
    <w:rsid w:val="22DF73CD"/>
    <w:rsid w:val="22E24A24"/>
    <w:rsid w:val="22E569AE"/>
    <w:rsid w:val="22EF5136"/>
    <w:rsid w:val="22F62969"/>
    <w:rsid w:val="22FA4207"/>
    <w:rsid w:val="23005595"/>
    <w:rsid w:val="230909BA"/>
    <w:rsid w:val="230E0CDD"/>
    <w:rsid w:val="230E7CB2"/>
    <w:rsid w:val="231132FF"/>
    <w:rsid w:val="23151E6A"/>
    <w:rsid w:val="23152DEF"/>
    <w:rsid w:val="231921B3"/>
    <w:rsid w:val="231A6657"/>
    <w:rsid w:val="231B5F2B"/>
    <w:rsid w:val="231D0FF0"/>
    <w:rsid w:val="23201794"/>
    <w:rsid w:val="232B0864"/>
    <w:rsid w:val="232C1EE7"/>
    <w:rsid w:val="23307C29"/>
    <w:rsid w:val="2331574F"/>
    <w:rsid w:val="233A0AA7"/>
    <w:rsid w:val="23443C2E"/>
    <w:rsid w:val="23476D20"/>
    <w:rsid w:val="23503E27"/>
    <w:rsid w:val="235E364C"/>
    <w:rsid w:val="235F22BC"/>
    <w:rsid w:val="23641680"/>
    <w:rsid w:val="236553F8"/>
    <w:rsid w:val="23691C0B"/>
    <w:rsid w:val="236B0C61"/>
    <w:rsid w:val="23720241"/>
    <w:rsid w:val="237D6BE6"/>
    <w:rsid w:val="238166D6"/>
    <w:rsid w:val="238241FC"/>
    <w:rsid w:val="2383244E"/>
    <w:rsid w:val="23865A9B"/>
    <w:rsid w:val="23897339"/>
    <w:rsid w:val="238C00E7"/>
    <w:rsid w:val="2392443F"/>
    <w:rsid w:val="2398757C"/>
    <w:rsid w:val="23AC3027"/>
    <w:rsid w:val="23AE0B4E"/>
    <w:rsid w:val="23B32608"/>
    <w:rsid w:val="23B343B6"/>
    <w:rsid w:val="23CB75C1"/>
    <w:rsid w:val="23CB79DE"/>
    <w:rsid w:val="23D34A58"/>
    <w:rsid w:val="23D5257E"/>
    <w:rsid w:val="23DF164F"/>
    <w:rsid w:val="23E26A49"/>
    <w:rsid w:val="23F52C20"/>
    <w:rsid w:val="2400493E"/>
    <w:rsid w:val="24042E63"/>
    <w:rsid w:val="24125580"/>
    <w:rsid w:val="24286B52"/>
    <w:rsid w:val="24347C44"/>
    <w:rsid w:val="2446347C"/>
    <w:rsid w:val="24466FD8"/>
    <w:rsid w:val="244F40DF"/>
    <w:rsid w:val="24561911"/>
    <w:rsid w:val="24575689"/>
    <w:rsid w:val="24612064"/>
    <w:rsid w:val="24613E12"/>
    <w:rsid w:val="24637B8A"/>
    <w:rsid w:val="247327B6"/>
    <w:rsid w:val="24741D97"/>
    <w:rsid w:val="24743B45"/>
    <w:rsid w:val="24773635"/>
    <w:rsid w:val="24793C54"/>
    <w:rsid w:val="247973AD"/>
    <w:rsid w:val="2480064C"/>
    <w:rsid w:val="2483022C"/>
    <w:rsid w:val="24A061A3"/>
    <w:rsid w:val="24A25334"/>
    <w:rsid w:val="24AA57B9"/>
    <w:rsid w:val="24AF1021"/>
    <w:rsid w:val="24AF2DCF"/>
    <w:rsid w:val="24AF7273"/>
    <w:rsid w:val="24C0322E"/>
    <w:rsid w:val="24C26FA6"/>
    <w:rsid w:val="24C333F5"/>
    <w:rsid w:val="24C525F3"/>
    <w:rsid w:val="24C61A2F"/>
    <w:rsid w:val="24C7636B"/>
    <w:rsid w:val="24CC572F"/>
    <w:rsid w:val="24CD76F9"/>
    <w:rsid w:val="24D26ABE"/>
    <w:rsid w:val="24E54A43"/>
    <w:rsid w:val="24EC7B7F"/>
    <w:rsid w:val="24F1163A"/>
    <w:rsid w:val="24F66C50"/>
    <w:rsid w:val="24F86524"/>
    <w:rsid w:val="24FB6014"/>
    <w:rsid w:val="25076767"/>
    <w:rsid w:val="250824DF"/>
    <w:rsid w:val="251175E6"/>
    <w:rsid w:val="25137802"/>
    <w:rsid w:val="25140E84"/>
    <w:rsid w:val="251A293E"/>
    <w:rsid w:val="251B0465"/>
    <w:rsid w:val="252202D5"/>
    <w:rsid w:val="252A68FA"/>
    <w:rsid w:val="252E0198"/>
    <w:rsid w:val="25312E6D"/>
    <w:rsid w:val="2536704D"/>
    <w:rsid w:val="25401C79"/>
    <w:rsid w:val="254247D0"/>
    <w:rsid w:val="25494FD2"/>
    <w:rsid w:val="254E083A"/>
    <w:rsid w:val="25516888"/>
    <w:rsid w:val="25641E0C"/>
    <w:rsid w:val="25643BBA"/>
    <w:rsid w:val="256C3B32"/>
    <w:rsid w:val="25754019"/>
    <w:rsid w:val="259049AF"/>
    <w:rsid w:val="25951FC5"/>
    <w:rsid w:val="25983863"/>
    <w:rsid w:val="2599171D"/>
    <w:rsid w:val="259D0E7A"/>
    <w:rsid w:val="25A22934"/>
    <w:rsid w:val="25A95A70"/>
    <w:rsid w:val="25AE12D9"/>
    <w:rsid w:val="25B12B77"/>
    <w:rsid w:val="25B22E5D"/>
    <w:rsid w:val="25B34B41"/>
    <w:rsid w:val="25B61F3B"/>
    <w:rsid w:val="25BC1C48"/>
    <w:rsid w:val="25BF5294"/>
    <w:rsid w:val="25CA1A6D"/>
    <w:rsid w:val="25CA3D5E"/>
    <w:rsid w:val="25F0369F"/>
    <w:rsid w:val="25F413E1"/>
    <w:rsid w:val="25F72C80"/>
    <w:rsid w:val="25FE400E"/>
    <w:rsid w:val="26003500"/>
    <w:rsid w:val="260236A3"/>
    <w:rsid w:val="26062EC3"/>
    <w:rsid w:val="26094761"/>
    <w:rsid w:val="2610789E"/>
    <w:rsid w:val="261455E0"/>
    <w:rsid w:val="261749D9"/>
    <w:rsid w:val="261A696E"/>
    <w:rsid w:val="2624038B"/>
    <w:rsid w:val="2629095F"/>
    <w:rsid w:val="262D66A1"/>
    <w:rsid w:val="26347A30"/>
    <w:rsid w:val="263F4518"/>
    <w:rsid w:val="264D0AF2"/>
    <w:rsid w:val="265E4AAD"/>
    <w:rsid w:val="265E685B"/>
    <w:rsid w:val="26661BB3"/>
    <w:rsid w:val="26663961"/>
    <w:rsid w:val="266D2C13"/>
    <w:rsid w:val="266D4AC9"/>
    <w:rsid w:val="26704220"/>
    <w:rsid w:val="26712A32"/>
    <w:rsid w:val="2674607E"/>
    <w:rsid w:val="26747E2C"/>
    <w:rsid w:val="267A2B55"/>
    <w:rsid w:val="2685203A"/>
    <w:rsid w:val="26914E82"/>
    <w:rsid w:val="2694227D"/>
    <w:rsid w:val="269A360B"/>
    <w:rsid w:val="269E134D"/>
    <w:rsid w:val="26AF70B6"/>
    <w:rsid w:val="26B9579E"/>
    <w:rsid w:val="26BD5C77"/>
    <w:rsid w:val="26BE554B"/>
    <w:rsid w:val="26C863CA"/>
    <w:rsid w:val="26D1527F"/>
    <w:rsid w:val="26D26BAE"/>
    <w:rsid w:val="26DE5BEE"/>
    <w:rsid w:val="26E01966"/>
    <w:rsid w:val="26E30757"/>
    <w:rsid w:val="26E825C8"/>
    <w:rsid w:val="26F15921"/>
    <w:rsid w:val="26F159EF"/>
    <w:rsid w:val="26F45411"/>
    <w:rsid w:val="26F7280B"/>
    <w:rsid w:val="26F92A28"/>
    <w:rsid w:val="26FC3E04"/>
    <w:rsid w:val="26FE003E"/>
    <w:rsid w:val="2702368A"/>
    <w:rsid w:val="2705317A"/>
    <w:rsid w:val="270663F0"/>
    <w:rsid w:val="270E0E2C"/>
    <w:rsid w:val="27174C5C"/>
    <w:rsid w:val="27286E69"/>
    <w:rsid w:val="272C03B2"/>
    <w:rsid w:val="272D447F"/>
    <w:rsid w:val="272F01F7"/>
    <w:rsid w:val="272F1FA5"/>
    <w:rsid w:val="273B094A"/>
    <w:rsid w:val="273C6DEC"/>
    <w:rsid w:val="27475541"/>
    <w:rsid w:val="27547C5E"/>
    <w:rsid w:val="275859A0"/>
    <w:rsid w:val="275A1718"/>
    <w:rsid w:val="27623E37"/>
    <w:rsid w:val="276500BD"/>
    <w:rsid w:val="276C31F9"/>
    <w:rsid w:val="276E51C4"/>
    <w:rsid w:val="277420AE"/>
    <w:rsid w:val="27767BD4"/>
    <w:rsid w:val="2778394C"/>
    <w:rsid w:val="277D5407"/>
    <w:rsid w:val="27822AAA"/>
    <w:rsid w:val="278422F1"/>
    <w:rsid w:val="27895B59"/>
    <w:rsid w:val="278A3680"/>
    <w:rsid w:val="279D1605"/>
    <w:rsid w:val="27A6495D"/>
    <w:rsid w:val="27A72484"/>
    <w:rsid w:val="27A74232"/>
    <w:rsid w:val="27AC65CB"/>
    <w:rsid w:val="27B150B0"/>
    <w:rsid w:val="27B506FD"/>
    <w:rsid w:val="27BF5A1F"/>
    <w:rsid w:val="27C052F3"/>
    <w:rsid w:val="27D112AE"/>
    <w:rsid w:val="27D17500"/>
    <w:rsid w:val="27DF5779"/>
    <w:rsid w:val="27E03DF8"/>
    <w:rsid w:val="27E15995"/>
    <w:rsid w:val="27E168E7"/>
    <w:rsid w:val="27E2526A"/>
    <w:rsid w:val="27E64D5A"/>
    <w:rsid w:val="27E72880"/>
    <w:rsid w:val="27EB139E"/>
    <w:rsid w:val="27FF5E1C"/>
    <w:rsid w:val="280779E8"/>
    <w:rsid w:val="28083CAE"/>
    <w:rsid w:val="28090A48"/>
    <w:rsid w:val="28093CA5"/>
    <w:rsid w:val="280E2503"/>
    <w:rsid w:val="28176FFE"/>
    <w:rsid w:val="28237D5C"/>
    <w:rsid w:val="28245882"/>
    <w:rsid w:val="28247630"/>
    <w:rsid w:val="282B4E63"/>
    <w:rsid w:val="2835183D"/>
    <w:rsid w:val="28355CE1"/>
    <w:rsid w:val="28397580"/>
    <w:rsid w:val="283A060F"/>
    <w:rsid w:val="28436950"/>
    <w:rsid w:val="28446343"/>
    <w:rsid w:val="284A2287"/>
    <w:rsid w:val="284D125B"/>
    <w:rsid w:val="285048C9"/>
    <w:rsid w:val="28546167"/>
    <w:rsid w:val="2859377E"/>
    <w:rsid w:val="285C326E"/>
    <w:rsid w:val="28606244"/>
    <w:rsid w:val="286078D7"/>
    <w:rsid w:val="28612632"/>
    <w:rsid w:val="286D7229"/>
    <w:rsid w:val="286E6460"/>
    <w:rsid w:val="28702875"/>
    <w:rsid w:val="287F5F8E"/>
    <w:rsid w:val="2895052E"/>
    <w:rsid w:val="289A2C57"/>
    <w:rsid w:val="289C18BC"/>
    <w:rsid w:val="289C7B0E"/>
    <w:rsid w:val="289E4C72"/>
    <w:rsid w:val="289F315B"/>
    <w:rsid w:val="289F7CB9"/>
    <w:rsid w:val="28B16468"/>
    <w:rsid w:val="28B409B4"/>
    <w:rsid w:val="28B764A8"/>
    <w:rsid w:val="28BB61E6"/>
    <w:rsid w:val="28BE407E"/>
    <w:rsid w:val="28BE4866"/>
    <w:rsid w:val="28C037FD"/>
    <w:rsid w:val="28C106A5"/>
    <w:rsid w:val="28CB3F50"/>
    <w:rsid w:val="28CD229B"/>
    <w:rsid w:val="28CE793B"/>
    <w:rsid w:val="28D21782"/>
    <w:rsid w:val="28D41056"/>
    <w:rsid w:val="28D664A1"/>
    <w:rsid w:val="28D9666D"/>
    <w:rsid w:val="28DE1ED5"/>
    <w:rsid w:val="28DF17A9"/>
    <w:rsid w:val="28E079FB"/>
    <w:rsid w:val="28E222D4"/>
    <w:rsid w:val="28E62B38"/>
    <w:rsid w:val="28E82D54"/>
    <w:rsid w:val="28F21957"/>
    <w:rsid w:val="28F65471"/>
    <w:rsid w:val="290541A2"/>
    <w:rsid w:val="2909791D"/>
    <w:rsid w:val="291102E6"/>
    <w:rsid w:val="291122AA"/>
    <w:rsid w:val="291D29FD"/>
    <w:rsid w:val="291E22D1"/>
    <w:rsid w:val="2927239E"/>
    <w:rsid w:val="29283150"/>
    <w:rsid w:val="29310F8A"/>
    <w:rsid w:val="2936586D"/>
    <w:rsid w:val="293715E5"/>
    <w:rsid w:val="2939535D"/>
    <w:rsid w:val="294A1318"/>
    <w:rsid w:val="294E705B"/>
    <w:rsid w:val="295201CD"/>
    <w:rsid w:val="29581C87"/>
    <w:rsid w:val="295C2DFA"/>
    <w:rsid w:val="295F323C"/>
    <w:rsid w:val="29606D8E"/>
    <w:rsid w:val="2968694E"/>
    <w:rsid w:val="296C25E1"/>
    <w:rsid w:val="296C5733"/>
    <w:rsid w:val="296E548B"/>
    <w:rsid w:val="29785E86"/>
    <w:rsid w:val="29791BFE"/>
    <w:rsid w:val="297D524A"/>
    <w:rsid w:val="297E0FC2"/>
    <w:rsid w:val="298567F4"/>
    <w:rsid w:val="299B6018"/>
    <w:rsid w:val="29A22F02"/>
    <w:rsid w:val="29A44ECD"/>
    <w:rsid w:val="29AC3D81"/>
    <w:rsid w:val="29AE7AF9"/>
    <w:rsid w:val="29B6075C"/>
    <w:rsid w:val="29BF5862"/>
    <w:rsid w:val="29CC4423"/>
    <w:rsid w:val="29D532D8"/>
    <w:rsid w:val="29D86924"/>
    <w:rsid w:val="29DA269C"/>
    <w:rsid w:val="29DF4157"/>
    <w:rsid w:val="29E83B6B"/>
    <w:rsid w:val="29E90B31"/>
    <w:rsid w:val="29E928DF"/>
    <w:rsid w:val="29EE6148"/>
    <w:rsid w:val="29EE7EF6"/>
    <w:rsid w:val="29F319B0"/>
    <w:rsid w:val="29F714A0"/>
    <w:rsid w:val="29FA0F90"/>
    <w:rsid w:val="2A043BBD"/>
    <w:rsid w:val="2A077209"/>
    <w:rsid w:val="2A0F7351"/>
    <w:rsid w:val="2A0F7D89"/>
    <w:rsid w:val="2A104310"/>
    <w:rsid w:val="2A1262DA"/>
    <w:rsid w:val="2A13795C"/>
    <w:rsid w:val="2A17569E"/>
    <w:rsid w:val="2A211289"/>
    <w:rsid w:val="2A291581"/>
    <w:rsid w:val="2A2D4EC2"/>
    <w:rsid w:val="2A3224D8"/>
    <w:rsid w:val="2A3B4B7A"/>
    <w:rsid w:val="2A3D0E7D"/>
    <w:rsid w:val="2A41237C"/>
    <w:rsid w:val="2A437D88"/>
    <w:rsid w:val="2A44045E"/>
    <w:rsid w:val="2A4436F9"/>
    <w:rsid w:val="2A4B5348"/>
    <w:rsid w:val="2A4C2E6E"/>
    <w:rsid w:val="2A4D7312"/>
    <w:rsid w:val="2A522B7B"/>
    <w:rsid w:val="2A5306A1"/>
    <w:rsid w:val="2A573CED"/>
    <w:rsid w:val="2A5A558B"/>
    <w:rsid w:val="2A612DBE"/>
    <w:rsid w:val="2A6401B8"/>
    <w:rsid w:val="2A6B7798"/>
    <w:rsid w:val="2A7523C5"/>
    <w:rsid w:val="2A756869"/>
    <w:rsid w:val="2A7B03EE"/>
    <w:rsid w:val="2A7B76E8"/>
    <w:rsid w:val="2A7C3754"/>
    <w:rsid w:val="2A7C5075"/>
    <w:rsid w:val="2A7D127A"/>
    <w:rsid w:val="2A7E4EA9"/>
    <w:rsid w:val="2A8750CD"/>
    <w:rsid w:val="2A8B3997"/>
    <w:rsid w:val="2A8E3487"/>
    <w:rsid w:val="2A97058D"/>
    <w:rsid w:val="2A9D08D2"/>
    <w:rsid w:val="2AA2253A"/>
    <w:rsid w:val="2AA84549"/>
    <w:rsid w:val="2AA902C1"/>
    <w:rsid w:val="2AAA3BF6"/>
    <w:rsid w:val="2AB078A1"/>
    <w:rsid w:val="2AB4113F"/>
    <w:rsid w:val="2AB54EB7"/>
    <w:rsid w:val="2AB63109"/>
    <w:rsid w:val="2ABB0720"/>
    <w:rsid w:val="2ABB6513"/>
    <w:rsid w:val="2AC33130"/>
    <w:rsid w:val="2AC94D4E"/>
    <w:rsid w:val="2ACD0453"/>
    <w:rsid w:val="2AD0246A"/>
    <w:rsid w:val="2AD0584D"/>
    <w:rsid w:val="2AD21972"/>
    <w:rsid w:val="2AD40919"/>
    <w:rsid w:val="2AD57308"/>
    <w:rsid w:val="2AD7512C"/>
    <w:rsid w:val="2AD92954"/>
    <w:rsid w:val="2ADC2444"/>
    <w:rsid w:val="2ADE61BC"/>
    <w:rsid w:val="2AEA4B61"/>
    <w:rsid w:val="2AF77E8C"/>
    <w:rsid w:val="2AF94DA4"/>
    <w:rsid w:val="2AFA28CA"/>
    <w:rsid w:val="2AFC2AE6"/>
    <w:rsid w:val="2AFE685E"/>
    <w:rsid w:val="2B193698"/>
    <w:rsid w:val="2B1C3C7F"/>
    <w:rsid w:val="2B255B99"/>
    <w:rsid w:val="2B2929A9"/>
    <w:rsid w:val="2B2B6F28"/>
    <w:rsid w:val="2B30453E"/>
    <w:rsid w:val="2B361B54"/>
    <w:rsid w:val="2B391645"/>
    <w:rsid w:val="2B3C2EE3"/>
    <w:rsid w:val="2B4600C5"/>
    <w:rsid w:val="2B4C1A27"/>
    <w:rsid w:val="2B4C6730"/>
    <w:rsid w:val="2B4D3342"/>
    <w:rsid w:val="2B563FA5"/>
    <w:rsid w:val="2B5C5333"/>
    <w:rsid w:val="2B7D3C27"/>
    <w:rsid w:val="2B8918CF"/>
    <w:rsid w:val="2B8B7F3B"/>
    <w:rsid w:val="2B9E594C"/>
    <w:rsid w:val="2BA967CA"/>
    <w:rsid w:val="2BAC1E16"/>
    <w:rsid w:val="2BAF13B9"/>
    <w:rsid w:val="2BAF699B"/>
    <w:rsid w:val="2BB30A63"/>
    <w:rsid w:val="2BBA5A08"/>
    <w:rsid w:val="2BC52EDD"/>
    <w:rsid w:val="2BDA7320"/>
    <w:rsid w:val="2BE05F64"/>
    <w:rsid w:val="2BE912BD"/>
    <w:rsid w:val="2BE91AA5"/>
    <w:rsid w:val="2BE94E19"/>
    <w:rsid w:val="2BEA293F"/>
    <w:rsid w:val="2BEC4909"/>
    <w:rsid w:val="2BF30AC7"/>
    <w:rsid w:val="2BF3172C"/>
    <w:rsid w:val="2C02237E"/>
    <w:rsid w:val="2C027C88"/>
    <w:rsid w:val="2C0A4D8F"/>
    <w:rsid w:val="2C0B2FE1"/>
    <w:rsid w:val="2C0D087E"/>
    <w:rsid w:val="2C1005F7"/>
    <w:rsid w:val="2C106849"/>
    <w:rsid w:val="2C126F44"/>
    <w:rsid w:val="2C145108"/>
    <w:rsid w:val="2C183950"/>
    <w:rsid w:val="2C1A001B"/>
    <w:rsid w:val="2C1A3224"/>
    <w:rsid w:val="2C2C11A9"/>
    <w:rsid w:val="2C324A12"/>
    <w:rsid w:val="2C3342E6"/>
    <w:rsid w:val="2C357514"/>
    <w:rsid w:val="2C396B4B"/>
    <w:rsid w:val="2C3A179D"/>
    <w:rsid w:val="2C3A38C6"/>
    <w:rsid w:val="2C3D6F24"/>
    <w:rsid w:val="2C4604BD"/>
    <w:rsid w:val="2C464019"/>
    <w:rsid w:val="2C502C39"/>
    <w:rsid w:val="2C5129BE"/>
    <w:rsid w:val="2C520C10"/>
    <w:rsid w:val="2C6E17C2"/>
    <w:rsid w:val="2C752B50"/>
    <w:rsid w:val="2C7566AC"/>
    <w:rsid w:val="2C7843EE"/>
    <w:rsid w:val="2C7F7BAF"/>
    <w:rsid w:val="2C8132A3"/>
    <w:rsid w:val="2C8207E0"/>
    <w:rsid w:val="2C820DC9"/>
    <w:rsid w:val="2C9C632F"/>
    <w:rsid w:val="2C9F3729"/>
    <w:rsid w:val="2CA62020"/>
    <w:rsid w:val="2CA65024"/>
    <w:rsid w:val="2CA927FA"/>
    <w:rsid w:val="2CAB78A9"/>
    <w:rsid w:val="2CB674FA"/>
    <w:rsid w:val="2CB82A3D"/>
    <w:rsid w:val="2CCB2770"/>
    <w:rsid w:val="2CCB6732"/>
    <w:rsid w:val="2CD5539D"/>
    <w:rsid w:val="2CDE06F5"/>
    <w:rsid w:val="2CE33F5E"/>
    <w:rsid w:val="2CE90E48"/>
    <w:rsid w:val="2CF577ED"/>
    <w:rsid w:val="2D016192"/>
    <w:rsid w:val="2D036D87"/>
    <w:rsid w:val="2D071354"/>
    <w:rsid w:val="2D157E8F"/>
    <w:rsid w:val="2D172AAA"/>
    <w:rsid w:val="2D1B36F8"/>
    <w:rsid w:val="2D2325AC"/>
    <w:rsid w:val="2D2B1461"/>
    <w:rsid w:val="2D300825"/>
    <w:rsid w:val="2D3447B9"/>
    <w:rsid w:val="2D346567"/>
    <w:rsid w:val="2D3A16A4"/>
    <w:rsid w:val="2D3C541C"/>
    <w:rsid w:val="2D404F0C"/>
    <w:rsid w:val="2D5704A8"/>
    <w:rsid w:val="2D5774A8"/>
    <w:rsid w:val="2D5B7F98"/>
    <w:rsid w:val="2D5E1836"/>
    <w:rsid w:val="2D614E83"/>
    <w:rsid w:val="2D6706EB"/>
    <w:rsid w:val="2D6A189D"/>
    <w:rsid w:val="2D76092E"/>
    <w:rsid w:val="2D7B7CF2"/>
    <w:rsid w:val="2D7C2A10"/>
    <w:rsid w:val="2D825525"/>
    <w:rsid w:val="2D83304B"/>
    <w:rsid w:val="2D880661"/>
    <w:rsid w:val="2D8A43D9"/>
    <w:rsid w:val="2D8F5209"/>
    <w:rsid w:val="2D984D48"/>
    <w:rsid w:val="2D9D410D"/>
    <w:rsid w:val="2DA059AB"/>
    <w:rsid w:val="2DAE75F4"/>
    <w:rsid w:val="2DB11966"/>
    <w:rsid w:val="2DB17BB8"/>
    <w:rsid w:val="2DBD030B"/>
    <w:rsid w:val="2DC01BA9"/>
    <w:rsid w:val="2DC0604D"/>
    <w:rsid w:val="2DC66312"/>
    <w:rsid w:val="2DCC2C44"/>
    <w:rsid w:val="2DCF4E03"/>
    <w:rsid w:val="2DCF6290"/>
    <w:rsid w:val="2DD37B2E"/>
    <w:rsid w:val="2DD6761F"/>
    <w:rsid w:val="2DD804BF"/>
    <w:rsid w:val="2DD85145"/>
    <w:rsid w:val="2DE97352"/>
    <w:rsid w:val="2DF02AE0"/>
    <w:rsid w:val="2E00644A"/>
    <w:rsid w:val="2E0979F4"/>
    <w:rsid w:val="2E2368BD"/>
    <w:rsid w:val="2E24482E"/>
    <w:rsid w:val="2E2652C2"/>
    <w:rsid w:val="2E2760CC"/>
    <w:rsid w:val="2E2B3973"/>
    <w:rsid w:val="2E2E15D0"/>
    <w:rsid w:val="2E2E2FB7"/>
    <w:rsid w:val="2E3031D3"/>
    <w:rsid w:val="2E350E75"/>
    <w:rsid w:val="2E383E35"/>
    <w:rsid w:val="2E3A5DFF"/>
    <w:rsid w:val="2E3E0A45"/>
    <w:rsid w:val="2E443131"/>
    <w:rsid w:val="2E4E5407"/>
    <w:rsid w:val="2E5F1FB0"/>
    <w:rsid w:val="2E655ADE"/>
    <w:rsid w:val="2E67471B"/>
    <w:rsid w:val="2E6966E5"/>
    <w:rsid w:val="2E6F2C34"/>
    <w:rsid w:val="2E7F1A64"/>
    <w:rsid w:val="2E9372BE"/>
    <w:rsid w:val="2E9B6172"/>
    <w:rsid w:val="2E9C2616"/>
    <w:rsid w:val="2E9C43C4"/>
    <w:rsid w:val="2E9F2106"/>
    <w:rsid w:val="2E9F3EB4"/>
    <w:rsid w:val="2EA8720D"/>
    <w:rsid w:val="2EAD65D1"/>
    <w:rsid w:val="2EB6708F"/>
    <w:rsid w:val="2EB97CA5"/>
    <w:rsid w:val="2EBA484A"/>
    <w:rsid w:val="2EC13E2B"/>
    <w:rsid w:val="2EC21951"/>
    <w:rsid w:val="2EC61441"/>
    <w:rsid w:val="2ED40002"/>
    <w:rsid w:val="2ED51684"/>
    <w:rsid w:val="2EDF02BD"/>
    <w:rsid w:val="2EDF0755"/>
    <w:rsid w:val="2F01691D"/>
    <w:rsid w:val="2F0401BB"/>
    <w:rsid w:val="2F176141"/>
    <w:rsid w:val="2F25085E"/>
    <w:rsid w:val="2F294217"/>
    <w:rsid w:val="2F320885"/>
    <w:rsid w:val="2F37233F"/>
    <w:rsid w:val="2F39519C"/>
    <w:rsid w:val="2F3B1E2F"/>
    <w:rsid w:val="2F504708"/>
    <w:rsid w:val="2F5317EC"/>
    <w:rsid w:val="2F5E78CC"/>
    <w:rsid w:val="2F61116A"/>
    <w:rsid w:val="2F646705"/>
    <w:rsid w:val="2F6D3FB3"/>
    <w:rsid w:val="2F6F3887"/>
    <w:rsid w:val="2F7470EF"/>
    <w:rsid w:val="2F762E67"/>
    <w:rsid w:val="2F77423C"/>
    <w:rsid w:val="2F776BDF"/>
    <w:rsid w:val="2F8310E0"/>
    <w:rsid w:val="2F837332"/>
    <w:rsid w:val="2F8C4439"/>
    <w:rsid w:val="2F8C4B14"/>
    <w:rsid w:val="2F911A4F"/>
    <w:rsid w:val="2F9405A4"/>
    <w:rsid w:val="2FA23C5C"/>
    <w:rsid w:val="2FB13E9F"/>
    <w:rsid w:val="2FB4573E"/>
    <w:rsid w:val="2FB90FA6"/>
    <w:rsid w:val="2FCF07C9"/>
    <w:rsid w:val="2FCF2577"/>
    <w:rsid w:val="2FD04090"/>
    <w:rsid w:val="2FD858D0"/>
    <w:rsid w:val="2FDB716E"/>
    <w:rsid w:val="2FEA115F"/>
    <w:rsid w:val="2FEA5603"/>
    <w:rsid w:val="2FEC4ED7"/>
    <w:rsid w:val="2FFA3A98"/>
    <w:rsid w:val="2FFD5337"/>
    <w:rsid w:val="2FFF4125"/>
    <w:rsid w:val="300974C0"/>
    <w:rsid w:val="300C37CC"/>
    <w:rsid w:val="300E2498"/>
    <w:rsid w:val="30136908"/>
    <w:rsid w:val="301461DC"/>
    <w:rsid w:val="30187A31"/>
    <w:rsid w:val="301A2346"/>
    <w:rsid w:val="301B57BD"/>
    <w:rsid w:val="301C2BD0"/>
    <w:rsid w:val="30200FC8"/>
    <w:rsid w:val="302F3016"/>
    <w:rsid w:val="3030139E"/>
    <w:rsid w:val="303D1BD7"/>
    <w:rsid w:val="30413836"/>
    <w:rsid w:val="304D0C9D"/>
    <w:rsid w:val="304E6C63"/>
    <w:rsid w:val="305F1B4D"/>
    <w:rsid w:val="30640F12"/>
    <w:rsid w:val="3071362F"/>
    <w:rsid w:val="30740B8E"/>
    <w:rsid w:val="307740E0"/>
    <w:rsid w:val="307750E9"/>
    <w:rsid w:val="308F4C3A"/>
    <w:rsid w:val="309243C0"/>
    <w:rsid w:val="3097374C"/>
    <w:rsid w:val="309A0DD7"/>
    <w:rsid w:val="30A9726C"/>
    <w:rsid w:val="30AD0B0B"/>
    <w:rsid w:val="30AE03DF"/>
    <w:rsid w:val="30AF64B9"/>
    <w:rsid w:val="30B001AC"/>
    <w:rsid w:val="30B359F5"/>
    <w:rsid w:val="30BA4FD6"/>
    <w:rsid w:val="30BF1FEB"/>
    <w:rsid w:val="30BF25EC"/>
    <w:rsid w:val="30C354BD"/>
    <w:rsid w:val="30C65728"/>
    <w:rsid w:val="30C714A1"/>
    <w:rsid w:val="30CE282F"/>
    <w:rsid w:val="30D047F9"/>
    <w:rsid w:val="30D27FFF"/>
    <w:rsid w:val="30DB6CFA"/>
    <w:rsid w:val="30DC70DF"/>
    <w:rsid w:val="30EA2318"/>
    <w:rsid w:val="30F93D50"/>
    <w:rsid w:val="30FC114A"/>
    <w:rsid w:val="30FD4260"/>
    <w:rsid w:val="310426F5"/>
    <w:rsid w:val="31047756"/>
    <w:rsid w:val="31066CA8"/>
    <w:rsid w:val="310B3A83"/>
    <w:rsid w:val="310D1280"/>
    <w:rsid w:val="310D15A9"/>
    <w:rsid w:val="310E5321"/>
    <w:rsid w:val="311566B0"/>
    <w:rsid w:val="31181CFC"/>
    <w:rsid w:val="312468F3"/>
    <w:rsid w:val="31264419"/>
    <w:rsid w:val="312A63FD"/>
    <w:rsid w:val="31395673"/>
    <w:rsid w:val="31413001"/>
    <w:rsid w:val="31436D79"/>
    <w:rsid w:val="31440D43"/>
    <w:rsid w:val="31464ABB"/>
    <w:rsid w:val="314825E1"/>
    <w:rsid w:val="31580F9E"/>
    <w:rsid w:val="316311C9"/>
    <w:rsid w:val="3163741B"/>
    <w:rsid w:val="316A0CF1"/>
    <w:rsid w:val="316F5DC0"/>
    <w:rsid w:val="317038E6"/>
    <w:rsid w:val="317A4765"/>
    <w:rsid w:val="317E6003"/>
    <w:rsid w:val="317F1D7B"/>
    <w:rsid w:val="31825103"/>
    <w:rsid w:val="31885988"/>
    <w:rsid w:val="318F6462"/>
    <w:rsid w:val="31920686"/>
    <w:rsid w:val="31945827"/>
    <w:rsid w:val="31973569"/>
    <w:rsid w:val="3197546D"/>
    <w:rsid w:val="319E1574"/>
    <w:rsid w:val="319E66A5"/>
    <w:rsid w:val="31A16195"/>
    <w:rsid w:val="31A31F0E"/>
    <w:rsid w:val="31A41689"/>
    <w:rsid w:val="31A83080"/>
    <w:rsid w:val="31AF08B2"/>
    <w:rsid w:val="31B00187"/>
    <w:rsid w:val="31B71515"/>
    <w:rsid w:val="31B934DF"/>
    <w:rsid w:val="31C61758"/>
    <w:rsid w:val="31CF69DC"/>
    <w:rsid w:val="31E71DFA"/>
    <w:rsid w:val="32033DEB"/>
    <w:rsid w:val="3203475A"/>
    <w:rsid w:val="320A5AE9"/>
    <w:rsid w:val="320C7AB3"/>
    <w:rsid w:val="320F30FF"/>
    <w:rsid w:val="320F4EAD"/>
    <w:rsid w:val="32110C25"/>
    <w:rsid w:val="32130E41"/>
    <w:rsid w:val="32144BB9"/>
    <w:rsid w:val="32170199"/>
    <w:rsid w:val="321C3FF7"/>
    <w:rsid w:val="321D581C"/>
    <w:rsid w:val="322F72FD"/>
    <w:rsid w:val="32333292"/>
    <w:rsid w:val="32340DB8"/>
    <w:rsid w:val="32364B30"/>
    <w:rsid w:val="323B0398"/>
    <w:rsid w:val="323C5A5D"/>
    <w:rsid w:val="32406EF5"/>
    <w:rsid w:val="32544FB6"/>
    <w:rsid w:val="32560D2E"/>
    <w:rsid w:val="325B2476"/>
    <w:rsid w:val="325B4596"/>
    <w:rsid w:val="325E7BE3"/>
    <w:rsid w:val="325F0F6C"/>
    <w:rsid w:val="326A47D9"/>
    <w:rsid w:val="32715B68"/>
    <w:rsid w:val="32747C01"/>
    <w:rsid w:val="327D275F"/>
    <w:rsid w:val="327D62BB"/>
    <w:rsid w:val="32851613"/>
    <w:rsid w:val="32852BFC"/>
    <w:rsid w:val="328C29A2"/>
    <w:rsid w:val="328D4B95"/>
    <w:rsid w:val="328E470D"/>
    <w:rsid w:val="32902492"/>
    <w:rsid w:val="32913C86"/>
    <w:rsid w:val="32981347"/>
    <w:rsid w:val="32990C99"/>
    <w:rsid w:val="329C208F"/>
    <w:rsid w:val="32A5753D"/>
    <w:rsid w:val="32A970B0"/>
    <w:rsid w:val="32AC1D79"/>
    <w:rsid w:val="32AC5CBD"/>
    <w:rsid w:val="32AF1317"/>
    <w:rsid w:val="32B22BB0"/>
    <w:rsid w:val="32B2404A"/>
    <w:rsid w:val="32B31CDC"/>
    <w:rsid w:val="32BD6FFF"/>
    <w:rsid w:val="32BF5086"/>
    <w:rsid w:val="32C42BBF"/>
    <w:rsid w:val="32C43EEA"/>
    <w:rsid w:val="32CD7117"/>
    <w:rsid w:val="32D63C1D"/>
    <w:rsid w:val="32DA370D"/>
    <w:rsid w:val="32F02B12"/>
    <w:rsid w:val="32F83B93"/>
    <w:rsid w:val="32FA3DAF"/>
    <w:rsid w:val="3310712F"/>
    <w:rsid w:val="331309CD"/>
    <w:rsid w:val="331704BD"/>
    <w:rsid w:val="331A7FAD"/>
    <w:rsid w:val="331D35FA"/>
    <w:rsid w:val="331F7372"/>
    <w:rsid w:val="33264BA4"/>
    <w:rsid w:val="332B6E12"/>
    <w:rsid w:val="33354DE7"/>
    <w:rsid w:val="33356193"/>
    <w:rsid w:val="335214F5"/>
    <w:rsid w:val="33576B0C"/>
    <w:rsid w:val="335E433E"/>
    <w:rsid w:val="335E60EC"/>
    <w:rsid w:val="338B4A07"/>
    <w:rsid w:val="338E090F"/>
    <w:rsid w:val="33977850"/>
    <w:rsid w:val="33A53D1B"/>
    <w:rsid w:val="33A700A6"/>
    <w:rsid w:val="33AE5828"/>
    <w:rsid w:val="33BB353F"/>
    <w:rsid w:val="33BC2E13"/>
    <w:rsid w:val="33BD14C2"/>
    <w:rsid w:val="33BE4DDD"/>
    <w:rsid w:val="33C06DA7"/>
    <w:rsid w:val="33D30C40"/>
    <w:rsid w:val="33D463AE"/>
    <w:rsid w:val="33DF6B01"/>
    <w:rsid w:val="33E34843"/>
    <w:rsid w:val="33E44E98"/>
    <w:rsid w:val="33EA5095"/>
    <w:rsid w:val="33EF129B"/>
    <w:rsid w:val="33EF4F96"/>
    <w:rsid w:val="33FB1B8D"/>
    <w:rsid w:val="340B7134"/>
    <w:rsid w:val="34106E08"/>
    <w:rsid w:val="34126ED7"/>
    <w:rsid w:val="34164C19"/>
    <w:rsid w:val="341C1B03"/>
    <w:rsid w:val="342A4220"/>
    <w:rsid w:val="342D5ABF"/>
    <w:rsid w:val="34344059"/>
    <w:rsid w:val="343919A7"/>
    <w:rsid w:val="344828F8"/>
    <w:rsid w:val="345179FF"/>
    <w:rsid w:val="34545741"/>
    <w:rsid w:val="34563267"/>
    <w:rsid w:val="345834F7"/>
    <w:rsid w:val="345E036E"/>
    <w:rsid w:val="34605E94"/>
    <w:rsid w:val="346314E0"/>
    <w:rsid w:val="34636CDD"/>
    <w:rsid w:val="34692F9B"/>
    <w:rsid w:val="346B36B2"/>
    <w:rsid w:val="34833930"/>
    <w:rsid w:val="348873CF"/>
    <w:rsid w:val="348F22D5"/>
    <w:rsid w:val="349873DC"/>
    <w:rsid w:val="349B511E"/>
    <w:rsid w:val="34A00986"/>
    <w:rsid w:val="34A71D15"/>
    <w:rsid w:val="34A75871"/>
    <w:rsid w:val="34AF4725"/>
    <w:rsid w:val="34B14942"/>
    <w:rsid w:val="34B63066"/>
    <w:rsid w:val="34BA37F6"/>
    <w:rsid w:val="34BF0E0C"/>
    <w:rsid w:val="34C04B85"/>
    <w:rsid w:val="34C5219B"/>
    <w:rsid w:val="34C77CC1"/>
    <w:rsid w:val="34CE72A2"/>
    <w:rsid w:val="34D25326"/>
    <w:rsid w:val="34D4418C"/>
    <w:rsid w:val="34D80120"/>
    <w:rsid w:val="34D83C7C"/>
    <w:rsid w:val="34DB51D3"/>
    <w:rsid w:val="34E46AC5"/>
    <w:rsid w:val="34EE16F2"/>
    <w:rsid w:val="34F03F67"/>
    <w:rsid w:val="34F07218"/>
    <w:rsid w:val="34FA6F45"/>
    <w:rsid w:val="35040F15"/>
    <w:rsid w:val="35042CC3"/>
    <w:rsid w:val="350A499E"/>
    <w:rsid w:val="350B22A4"/>
    <w:rsid w:val="35154ED0"/>
    <w:rsid w:val="351647A5"/>
    <w:rsid w:val="351D1FD7"/>
    <w:rsid w:val="351D3D85"/>
    <w:rsid w:val="351E7DE2"/>
    <w:rsid w:val="35243365"/>
    <w:rsid w:val="352549E8"/>
    <w:rsid w:val="352817C7"/>
    <w:rsid w:val="352944D8"/>
    <w:rsid w:val="352B64A2"/>
    <w:rsid w:val="35325A82"/>
    <w:rsid w:val="35374E47"/>
    <w:rsid w:val="353E4427"/>
    <w:rsid w:val="354B08F2"/>
    <w:rsid w:val="354C5D51"/>
    <w:rsid w:val="354E03E2"/>
    <w:rsid w:val="355359F9"/>
    <w:rsid w:val="35551771"/>
    <w:rsid w:val="3555332D"/>
    <w:rsid w:val="355E0625"/>
    <w:rsid w:val="355E6877"/>
    <w:rsid w:val="35611EC4"/>
    <w:rsid w:val="356419B4"/>
    <w:rsid w:val="35645510"/>
    <w:rsid w:val="35696FCA"/>
    <w:rsid w:val="356E2833"/>
    <w:rsid w:val="35745134"/>
    <w:rsid w:val="357716E7"/>
    <w:rsid w:val="35797539"/>
    <w:rsid w:val="357A2F85"/>
    <w:rsid w:val="357B2B1E"/>
    <w:rsid w:val="357F234A"/>
    <w:rsid w:val="358D4A67"/>
    <w:rsid w:val="35951B6D"/>
    <w:rsid w:val="35973B37"/>
    <w:rsid w:val="359978AF"/>
    <w:rsid w:val="35A10512"/>
    <w:rsid w:val="35A85D44"/>
    <w:rsid w:val="35AD6EB7"/>
    <w:rsid w:val="35B46497"/>
    <w:rsid w:val="35B5220F"/>
    <w:rsid w:val="35BE7316"/>
    <w:rsid w:val="35BF513C"/>
    <w:rsid w:val="35C10BB4"/>
    <w:rsid w:val="35CD5533"/>
    <w:rsid w:val="35D95EFE"/>
    <w:rsid w:val="35DE1766"/>
    <w:rsid w:val="35E127E3"/>
    <w:rsid w:val="35E21716"/>
    <w:rsid w:val="35F66AB0"/>
    <w:rsid w:val="35FD74A4"/>
    <w:rsid w:val="35FF0CF3"/>
    <w:rsid w:val="36010FB1"/>
    <w:rsid w:val="36070CBD"/>
    <w:rsid w:val="36096403"/>
    <w:rsid w:val="360B0081"/>
    <w:rsid w:val="360B5752"/>
    <w:rsid w:val="36146F36"/>
    <w:rsid w:val="361707D4"/>
    <w:rsid w:val="36174C78"/>
    <w:rsid w:val="361B02C4"/>
    <w:rsid w:val="361C5DEB"/>
    <w:rsid w:val="36203B2D"/>
    <w:rsid w:val="362178A5"/>
    <w:rsid w:val="36227D2F"/>
    <w:rsid w:val="36251143"/>
    <w:rsid w:val="362D019E"/>
    <w:rsid w:val="362D0E30"/>
    <w:rsid w:val="36390C67"/>
    <w:rsid w:val="36421CF5"/>
    <w:rsid w:val="364315C9"/>
    <w:rsid w:val="364517E5"/>
    <w:rsid w:val="364D2448"/>
    <w:rsid w:val="36511C94"/>
    <w:rsid w:val="36525CB0"/>
    <w:rsid w:val="36533F02"/>
    <w:rsid w:val="365732C7"/>
    <w:rsid w:val="36603F29"/>
    <w:rsid w:val="36637EBD"/>
    <w:rsid w:val="366652B8"/>
    <w:rsid w:val="366C0B20"/>
    <w:rsid w:val="366F23BE"/>
    <w:rsid w:val="36751B05"/>
    <w:rsid w:val="36767BF1"/>
    <w:rsid w:val="36785717"/>
    <w:rsid w:val="367B3ED7"/>
    <w:rsid w:val="36820BF8"/>
    <w:rsid w:val="36844285"/>
    <w:rsid w:val="368C4D1E"/>
    <w:rsid w:val="368D0650"/>
    <w:rsid w:val="369B1405"/>
    <w:rsid w:val="369D6F2B"/>
    <w:rsid w:val="36A24542"/>
    <w:rsid w:val="36A4475E"/>
    <w:rsid w:val="36A75FFC"/>
    <w:rsid w:val="36B129D7"/>
    <w:rsid w:val="36B44275"/>
    <w:rsid w:val="36B83D65"/>
    <w:rsid w:val="36C46BAE"/>
    <w:rsid w:val="36CA3A99"/>
    <w:rsid w:val="36CC5A63"/>
    <w:rsid w:val="36CE3589"/>
    <w:rsid w:val="36D05553"/>
    <w:rsid w:val="36D56023"/>
    <w:rsid w:val="36D6243D"/>
    <w:rsid w:val="36D72A86"/>
    <w:rsid w:val="36D72EDD"/>
    <w:rsid w:val="36D8144C"/>
    <w:rsid w:val="36DB7A54"/>
    <w:rsid w:val="36DD4874"/>
    <w:rsid w:val="36EC1C61"/>
    <w:rsid w:val="36EE7787"/>
    <w:rsid w:val="36F56D67"/>
    <w:rsid w:val="36F86858"/>
    <w:rsid w:val="36FF7BE6"/>
    <w:rsid w:val="37024FE0"/>
    <w:rsid w:val="370451FC"/>
    <w:rsid w:val="370945C1"/>
    <w:rsid w:val="37103BA1"/>
    <w:rsid w:val="371050B8"/>
    <w:rsid w:val="371E3A29"/>
    <w:rsid w:val="371F2036"/>
    <w:rsid w:val="37225683"/>
    <w:rsid w:val="37265173"/>
    <w:rsid w:val="372C7222"/>
    <w:rsid w:val="372D573D"/>
    <w:rsid w:val="372E4027"/>
    <w:rsid w:val="372F52D7"/>
    <w:rsid w:val="37313B18"/>
    <w:rsid w:val="3736112E"/>
    <w:rsid w:val="373830F8"/>
    <w:rsid w:val="373C4996"/>
    <w:rsid w:val="373F7FE3"/>
    <w:rsid w:val="37411FAD"/>
    <w:rsid w:val="3744384B"/>
    <w:rsid w:val="37461371"/>
    <w:rsid w:val="374675C3"/>
    <w:rsid w:val="374B223F"/>
    <w:rsid w:val="374B6987"/>
    <w:rsid w:val="374C0952"/>
    <w:rsid w:val="374F6B69"/>
    <w:rsid w:val="3756532C"/>
    <w:rsid w:val="3757357E"/>
    <w:rsid w:val="376932B2"/>
    <w:rsid w:val="376D0FF4"/>
    <w:rsid w:val="3787198A"/>
    <w:rsid w:val="37976071"/>
    <w:rsid w:val="379E11AD"/>
    <w:rsid w:val="37A91900"/>
    <w:rsid w:val="37AD13F0"/>
    <w:rsid w:val="37B373AC"/>
    <w:rsid w:val="37B94697"/>
    <w:rsid w:val="37BC7885"/>
    <w:rsid w:val="37BE35FD"/>
    <w:rsid w:val="37BF2ED1"/>
    <w:rsid w:val="37C404E8"/>
    <w:rsid w:val="37C60704"/>
    <w:rsid w:val="37CC31C3"/>
    <w:rsid w:val="37CD55EE"/>
    <w:rsid w:val="37D270A9"/>
    <w:rsid w:val="37D6305E"/>
    <w:rsid w:val="37EA43F2"/>
    <w:rsid w:val="37EF7C5B"/>
    <w:rsid w:val="37F232A7"/>
    <w:rsid w:val="380354B4"/>
    <w:rsid w:val="38060B00"/>
    <w:rsid w:val="380F5C07"/>
    <w:rsid w:val="3810372D"/>
    <w:rsid w:val="38130A00"/>
    <w:rsid w:val="38163439"/>
    <w:rsid w:val="381750B3"/>
    <w:rsid w:val="381E312F"/>
    <w:rsid w:val="38237904"/>
    <w:rsid w:val="382471D8"/>
    <w:rsid w:val="382507E6"/>
    <w:rsid w:val="382C4A0B"/>
    <w:rsid w:val="382D42DF"/>
    <w:rsid w:val="38325D99"/>
    <w:rsid w:val="38341B11"/>
    <w:rsid w:val="38356D2C"/>
    <w:rsid w:val="38392C84"/>
    <w:rsid w:val="38404012"/>
    <w:rsid w:val="38433742"/>
    <w:rsid w:val="38477E80"/>
    <w:rsid w:val="38561A88"/>
    <w:rsid w:val="3857135C"/>
    <w:rsid w:val="38591578"/>
    <w:rsid w:val="385B52F0"/>
    <w:rsid w:val="385E26EA"/>
    <w:rsid w:val="38606463"/>
    <w:rsid w:val="386677F1"/>
    <w:rsid w:val="386D5023"/>
    <w:rsid w:val="386F13A5"/>
    <w:rsid w:val="3870051C"/>
    <w:rsid w:val="387168C2"/>
    <w:rsid w:val="387243E8"/>
    <w:rsid w:val="38767A34"/>
    <w:rsid w:val="387E0FDF"/>
    <w:rsid w:val="38804D57"/>
    <w:rsid w:val="388859B9"/>
    <w:rsid w:val="388F6D48"/>
    <w:rsid w:val="38934A8A"/>
    <w:rsid w:val="38953642"/>
    <w:rsid w:val="38967CF8"/>
    <w:rsid w:val="38991974"/>
    <w:rsid w:val="389C17D6"/>
    <w:rsid w:val="38A106D8"/>
    <w:rsid w:val="38AA5930"/>
    <w:rsid w:val="38B05B38"/>
    <w:rsid w:val="38B13162"/>
    <w:rsid w:val="38B33775"/>
    <w:rsid w:val="38BE762D"/>
    <w:rsid w:val="38BF32F1"/>
    <w:rsid w:val="38C05153"/>
    <w:rsid w:val="38C20ECB"/>
    <w:rsid w:val="38C267BC"/>
    <w:rsid w:val="38C5276A"/>
    <w:rsid w:val="38D94467"/>
    <w:rsid w:val="38DB6114"/>
    <w:rsid w:val="38EE33D3"/>
    <w:rsid w:val="38EF77E6"/>
    <w:rsid w:val="38F512A1"/>
    <w:rsid w:val="38F92282"/>
    <w:rsid w:val="38FB618B"/>
    <w:rsid w:val="3902301A"/>
    <w:rsid w:val="390436A9"/>
    <w:rsid w:val="390E705C"/>
    <w:rsid w:val="390F0064"/>
    <w:rsid w:val="39111E53"/>
    <w:rsid w:val="39167469"/>
    <w:rsid w:val="39184F8F"/>
    <w:rsid w:val="39243934"/>
    <w:rsid w:val="392751D2"/>
    <w:rsid w:val="392A6A70"/>
    <w:rsid w:val="392E030F"/>
    <w:rsid w:val="393765F5"/>
    <w:rsid w:val="3938118D"/>
    <w:rsid w:val="39397D22"/>
    <w:rsid w:val="39406294"/>
    <w:rsid w:val="39436F7D"/>
    <w:rsid w:val="39495149"/>
    <w:rsid w:val="394A4F39"/>
    <w:rsid w:val="395104A1"/>
    <w:rsid w:val="3952389C"/>
    <w:rsid w:val="3953366E"/>
    <w:rsid w:val="3958538C"/>
    <w:rsid w:val="395F2BBE"/>
    <w:rsid w:val="39644874"/>
    <w:rsid w:val="396E4BAF"/>
    <w:rsid w:val="39730417"/>
    <w:rsid w:val="397F0EC8"/>
    <w:rsid w:val="39812B34"/>
    <w:rsid w:val="3982065B"/>
    <w:rsid w:val="398B750F"/>
    <w:rsid w:val="39902D77"/>
    <w:rsid w:val="399860D0"/>
    <w:rsid w:val="399D7242"/>
    <w:rsid w:val="39A14F85"/>
    <w:rsid w:val="39A405D1"/>
    <w:rsid w:val="39A700C1"/>
    <w:rsid w:val="39B25892"/>
    <w:rsid w:val="39BA7DF4"/>
    <w:rsid w:val="39BF5276"/>
    <w:rsid w:val="39C742BF"/>
    <w:rsid w:val="39CE564E"/>
    <w:rsid w:val="39D620EE"/>
    <w:rsid w:val="39DF1831"/>
    <w:rsid w:val="39E6508D"/>
    <w:rsid w:val="39E8122B"/>
    <w:rsid w:val="39EF3F42"/>
    <w:rsid w:val="39F23A32"/>
    <w:rsid w:val="39FA3DA9"/>
    <w:rsid w:val="3A0B68A2"/>
    <w:rsid w:val="3A1219DE"/>
    <w:rsid w:val="3A137505"/>
    <w:rsid w:val="3A175247"/>
    <w:rsid w:val="3A1B1BB9"/>
    <w:rsid w:val="3A287454"/>
    <w:rsid w:val="3A2D05C6"/>
    <w:rsid w:val="3A327942"/>
    <w:rsid w:val="3A377697"/>
    <w:rsid w:val="3A3C2EFF"/>
    <w:rsid w:val="3A3C4CAD"/>
    <w:rsid w:val="3A3F4132"/>
    <w:rsid w:val="3A4A73CA"/>
    <w:rsid w:val="3A4B3142"/>
    <w:rsid w:val="3A4C409B"/>
    <w:rsid w:val="3A55404A"/>
    <w:rsid w:val="3A5B451C"/>
    <w:rsid w:val="3A63223A"/>
    <w:rsid w:val="3A661D2A"/>
    <w:rsid w:val="3A751279"/>
    <w:rsid w:val="3A773F37"/>
    <w:rsid w:val="3A775D1B"/>
    <w:rsid w:val="3A797CAF"/>
    <w:rsid w:val="3A7E7074"/>
    <w:rsid w:val="3A850402"/>
    <w:rsid w:val="3A8D72B7"/>
    <w:rsid w:val="3A940645"/>
    <w:rsid w:val="3A96260F"/>
    <w:rsid w:val="3A976388"/>
    <w:rsid w:val="3A993EAE"/>
    <w:rsid w:val="3AAD7959"/>
    <w:rsid w:val="3AB605BC"/>
    <w:rsid w:val="3AB81316"/>
    <w:rsid w:val="3ABD5DEE"/>
    <w:rsid w:val="3AC46B93"/>
    <w:rsid w:val="3AC727C9"/>
    <w:rsid w:val="3AC84793"/>
    <w:rsid w:val="3AC86541"/>
    <w:rsid w:val="3AD273C0"/>
    <w:rsid w:val="3AD924FC"/>
    <w:rsid w:val="3AE50EA1"/>
    <w:rsid w:val="3AEA5562"/>
    <w:rsid w:val="3AF15A98"/>
    <w:rsid w:val="3AFA638A"/>
    <w:rsid w:val="3B007A89"/>
    <w:rsid w:val="3B037F99"/>
    <w:rsid w:val="3B043025"/>
    <w:rsid w:val="3B0A6B5A"/>
    <w:rsid w:val="3B1151F3"/>
    <w:rsid w:val="3B1D063B"/>
    <w:rsid w:val="3B1E118C"/>
    <w:rsid w:val="3B1F2605"/>
    <w:rsid w:val="3B255741"/>
    <w:rsid w:val="3B3360B0"/>
    <w:rsid w:val="3B365BA1"/>
    <w:rsid w:val="3B3B31B7"/>
    <w:rsid w:val="3B3E2DB3"/>
    <w:rsid w:val="3B4122B3"/>
    <w:rsid w:val="3B416572"/>
    <w:rsid w:val="3B44206B"/>
    <w:rsid w:val="3B471B5C"/>
    <w:rsid w:val="3B54318D"/>
    <w:rsid w:val="3B556027"/>
    <w:rsid w:val="3B5B1163"/>
    <w:rsid w:val="3B6F0FCC"/>
    <w:rsid w:val="3B705CB5"/>
    <w:rsid w:val="3B710987"/>
    <w:rsid w:val="3B713760"/>
    <w:rsid w:val="3B806E1C"/>
    <w:rsid w:val="3B857FC4"/>
    <w:rsid w:val="3B865E58"/>
    <w:rsid w:val="3B8A766A"/>
    <w:rsid w:val="3B8E1539"/>
    <w:rsid w:val="3B9052B1"/>
    <w:rsid w:val="3B966AFA"/>
    <w:rsid w:val="3B974891"/>
    <w:rsid w:val="3B9823B7"/>
    <w:rsid w:val="3BA05D55"/>
    <w:rsid w:val="3BA743A8"/>
    <w:rsid w:val="3BAE3989"/>
    <w:rsid w:val="3BBC60A6"/>
    <w:rsid w:val="3BBD1209"/>
    <w:rsid w:val="3BD056AD"/>
    <w:rsid w:val="3BD11425"/>
    <w:rsid w:val="3BEE18DC"/>
    <w:rsid w:val="3BEE647B"/>
    <w:rsid w:val="3BF5780A"/>
    <w:rsid w:val="3BF96A9F"/>
    <w:rsid w:val="3C025A83"/>
    <w:rsid w:val="3C0417FB"/>
    <w:rsid w:val="3C0435A9"/>
    <w:rsid w:val="3C0525FD"/>
    <w:rsid w:val="3C0B0DDB"/>
    <w:rsid w:val="3C1557B6"/>
    <w:rsid w:val="3C1618F8"/>
    <w:rsid w:val="3C1852A6"/>
    <w:rsid w:val="3C1934F8"/>
    <w:rsid w:val="3C1A58F3"/>
    <w:rsid w:val="3C2D0D52"/>
    <w:rsid w:val="3C2D2B00"/>
    <w:rsid w:val="3C371BD0"/>
    <w:rsid w:val="3C3A346E"/>
    <w:rsid w:val="3C435B99"/>
    <w:rsid w:val="3C460065"/>
    <w:rsid w:val="3C487939"/>
    <w:rsid w:val="3C4B11D8"/>
    <w:rsid w:val="3C5207B8"/>
    <w:rsid w:val="3C53008C"/>
    <w:rsid w:val="3C634773"/>
    <w:rsid w:val="3C642299"/>
    <w:rsid w:val="3C687FDC"/>
    <w:rsid w:val="3C706E90"/>
    <w:rsid w:val="3C795D45"/>
    <w:rsid w:val="3C7F0E81"/>
    <w:rsid w:val="3C850B8A"/>
    <w:rsid w:val="3C8A1D00"/>
    <w:rsid w:val="3C9012E0"/>
    <w:rsid w:val="3C97584D"/>
    <w:rsid w:val="3C9B3F0D"/>
    <w:rsid w:val="3C9E1C4F"/>
    <w:rsid w:val="3C9F32D2"/>
    <w:rsid w:val="3CA56B3A"/>
    <w:rsid w:val="3CAC611A"/>
    <w:rsid w:val="3CB72D11"/>
    <w:rsid w:val="3CBE7614"/>
    <w:rsid w:val="3CBE794A"/>
    <w:rsid w:val="3CC316B6"/>
    <w:rsid w:val="3CC64D02"/>
    <w:rsid w:val="3CCA034E"/>
    <w:rsid w:val="3CCC57A3"/>
    <w:rsid w:val="3CCD6091"/>
    <w:rsid w:val="3CCD7E3F"/>
    <w:rsid w:val="3CCF1E09"/>
    <w:rsid w:val="3CCF54D3"/>
    <w:rsid w:val="3CD236A7"/>
    <w:rsid w:val="3CD45671"/>
    <w:rsid w:val="3CD9713C"/>
    <w:rsid w:val="3CDC4526"/>
    <w:rsid w:val="3CE31410"/>
    <w:rsid w:val="3CE807A0"/>
    <w:rsid w:val="3CF61143"/>
    <w:rsid w:val="3CF70486"/>
    <w:rsid w:val="3CFB49AC"/>
    <w:rsid w:val="3CFC033E"/>
    <w:rsid w:val="3CFD4BC8"/>
    <w:rsid w:val="3D006466"/>
    <w:rsid w:val="3D023F8C"/>
    <w:rsid w:val="3D031AB2"/>
    <w:rsid w:val="3D0870C9"/>
    <w:rsid w:val="3D09356D"/>
    <w:rsid w:val="3D0A1093"/>
    <w:rsid w:val="3D0C4E0B"/>
    <w:rsid w:val="3D0D46DF"/>
    <w:rsid w:val="3D1837B0"/>
    <w:rsid w:val="3D1E4B3E"/>
    <w:rsid w:val="3D220D3D"/>
    <w:rsid w:val="3D2263DC"/>
    <w:rsid w:val="3D281519"/>
    <w:rsid w:val="3D2C63B5"/>
    <w:rsid w:val="3D412F1E"/>
    <w:rsid w:val="3D4F4CF8"/>
    <w:rsid w:val="3D5256BC"/>
    <w:rsid w:val="3D5567B2"/>
    <w:rsid w:val="3D5642D8"/>
    <w:rsid w:val="3D600CB3"/>
    <w:rsid w:val="3D606F05"/>
    <w:rsid w:val="3D6562C9"/>
    <w:rsid w:val="3D69400B"/>
    <w:rsid w:val="3D7240E3"/>
    <w:rsid w:val="3D7B5AED"/>
    <w:rsid w:val="3D7E738B"/>
    <w:rsid w:val="3D8A5D30"/>
    <w:rsid w:val="3D8C4172"/>
    <w:rsid w:val="3D8E3A72"/>
    <w:rsid w:val="3D9372DA"/>
    <w:rsid w:val="3D995F73"/>
    <w:rsid w:val="3D9B7F3D"/>
    <w:rsid w:val="3D9C1286"/>
    <w:rsid w:val="3DA11A00"/>
    <w:rsid w:val="3DAC214A"/>
    <w:rsid w:val="3DB86D41"/>
    <w:rsid w:val="3DC2196D"/>
    <w:rsid w:val="3DC254CA"/>
    <w:rsid w:val="3DC456E6"/>
    <w:rsid w:val="3DC56D68"/>
    <w:rsid w:val="3DCA2306"/>
    <w:rsid w:val="3DCA65C3"/>
    <w:rsid w:val="3DCB0822"/>
    <w:rsid w:val="3DCC1CEF"/>
    <w:rsid w:val="3DD0408A"/>
    <w:rsid w:val="3DD45DDC"/>
    <w:rsid w:val="3DD516A1"/>
    <w:rsid w:val="3DDD0555"/>
    <w:rsid w:val="3DEB4A20"/>
    <w:rsid w:val="3E137D9D"/>
    <w:rsid w:val="3E1A70B4"/>
    <w:rsid w:val="3E241CE0"/>
    <w:rsid w:val="3E263CAA"/>
    <w:rsid w:val="3E295549"/>
    <w:rsid w:val="3E2B7513"/>
    <w:rsid w:val="3E2E2B5F"/>
    <w:rsid w:val="3E384444"/>
    <w:rsid w:val="3E3963F4"/>
    <w:rsid w:val="3E3A1504"/>
    <w:rsid w:val="3E3A2D1A"/>
    <w:rsid w:val="3E3C6559"/>
    <w:rsid w:val="3E497999"/>
    <w:rsid w:val="3E4A0341"/>
    <w:rsid w:val="3E4F1453"/>
    <w:rsid w:val="3E5A7DF8"/>
    <w:rsid w:val="3E5D51F2"/>
    <w:rsid w:val="3E630A5B"/>
    <w:rsid w:val="3E686071"/>
    <w:rsid w:val="3E71700A"/>
    <w:rsid w:val="3E815385"/>
    <w:rsid w:val="3E8B5005"/>
    <w:rsid w:val="3E8D63FE"/>
    <w:rsid w:val="3EA3354D"/>
    <w:rsid w:val="3EA66B99"/>
    <w:rsid w:val="3EB017C6"/>
    <w:rsid w:val="3EB94B1E"/>
    <w:rsid w:val="3EBE3EE3"/>
    <w:rsid w:val="3ED100BA"/>
    <w:rsid w:val="3ED6747E"/>
    <w:rsid w:val="3ED734A6"/>
    <w:rsid w:val="3EDC25BB"/>
    <w:rsid w:val="3EE37DED"/>
    <w:rsid w:val="3EEC6CA2"/>
    <w:rsid w:val="3EF1250A"/>
    <w:rsid w:val="3EF70854"/>
    <w:rsid w:val="3EFB5137"/>
    <w:rsid w:val="3EFF1387"/>
    <w:rsid w:val="3F0062A9"/>
    <w:rsid w:val="3F0A35CC"/>
    <w:rsid w:val="3F116709"/>
    <w:rsid w:val="3F177A97"/>
    <w:rsid w:val="3F1E0E25"/>
    <w:rsid w:val="3F1E4982"/>
    <w:rsid w:val="3F23643C"/>
    <w:rsid w:val="3F2A1578"/>
    <w:rsid w:val="3F2E4522"/>
    <w:rsid w:val="3F373C95"/>
    <w:rsid w:val="3F3D74FE"/>
    <w:rsid w:val="3F4D34B9"/>
    <w:rsid w:val="3F5C54AA"/>
    <w:rsid w:val="3F634A8A"/>
    <w:rsid w:val="3F67457A"/>
    <w:rsid w:val="3F76656C"/>
    <w:rsid w:val="3F791A83"/>
    <w:rsid w:val="3F7D78FA"/>
    <w:rsid w:val="3F7E3672"/>
    <w:rsid w:val="3F84512C"/>
    <w:rsid w:val="3F8F762D"/>
    <w:rsid w:val="3F9133A5"/>
    <w:rsid w:val="3F9B40BE"/>
    <w:rsid w:val="3F9B788F"/>
    <w:rsid w:val="3FAB0FB0"/>
    <w:rsid w:val="3FAF1A7E"/>
    <w:rsid w:val="3FB23F6B"/>
    <w:rsid w:val="3FB41BAE"/>
    <w:rsid w:val="3FB752D2"/>
    <w:rsid w:val="3FBB48C6"/>
    <w:rsid w:val="3FBE7F13"/>
    <w:rsid w:val="3FC217B1"/>
    <w:rsid w:val="3FC25C55"/>
    <w:rsid w:val="3FCE79EF"/>
    <w:rsid w:val="3FD414E4"/>
    <w:rsid w:val="3FD5313E"/>
    <w:rsid w:val="3FD80FD4"/>
    <w:rsid w:val="3FE060DB"/>
    <w:rsid w:val="3FE200A5"/>
    <w:rsid w:val="3FE77469"/>
    <w:rsid w:val="3FF37BBC"/>
    <w:rsid w:val="4000052B"/>
    <w:rsid w:val="40061FE5"/>
    <w:rsid w:val="40077B0C"/>
    <w:rsid w:val="4010076E"/>
    <w:rsid w:val="40161AFD"/>
    <w:rsid w:val="40167D4F"/>
    <w:rsid w:val="401A339B"/>
    <w:rsid w:val="401A6EC9"/>
    <w:rsid w:val="40232A4E"/>
    <w:rsid w:val="40235DB3"/>
    <w:rsid w:val="40322DDA"/>
    <w:rsid w:val="403501D5"/>
    <w:rsid w:val="403D352D"/>
    <w:rsid w:val="403F3C2F"/>
    <w:rsid w:val="405014B2"/>
    <w:rsid w:val="405759DA"/>
    <w:rsid w:val="405A40DF"/>
    <w:rsid w:val="405E3BCF"/>
    <w:rsid w:val="40640ABA"/>
    <w:rsid w:val="40646D0C"/>
    <w:rsid w:val="40694322"/>
    <w:rsid w:val="406E53A2"/>
    <w:rsid w:val="40721429"/>
    <w:rsid w:val="407E7DCE"/>
    <w:rsid w:val="4081341A"/>
    <w:rsid w:val="408353E4"/>
    <w:rsid w:val="408D1DBF"/>
    <w:rsid w:val="408E5B37"/>
    <w:rsid w:val="408E63E9"/>
    <w:rsid w:val="40907B01"/>
    <w:rsid w:val="40925627"/>
    <w:rsid w:val="40A94B35"/>
    <w:rsid w:val="40AE5488"/>
    <w:rsid w:val="40AF61D9"/>
    <w:rsid w:val="40B21825"/>
    <w:rsid w:val="40BC06F5"/>
    <w:rsid w:val="40CB28E7"/>
    <w:rsid w:val="40CD48B1"/>
    <w:rsid w:val="40D043A1"/>
    <w:rsid w:val="40D20119"/>
    <w:rsid w:val="40E13EB9"/>
    <w:rsid w:val="40E63BC5"/>
    <w:rsid w:val="40E65973"/>
    <w:rsid w:val="40E8793D"/>
    <w:rsid w:val="40EA3BA5"/>
    <w:rsid w:val="40EE7200"/>
    <w:rsid w:val="40F24318"/>
    <w:rsid w:val="40F40090"/>
    <w:rsid w:val="40F7410C"/>
    <w:rsid w:val="40FE0F0E"/>
    <w:rsid w:val="41050EA9"/>
    <w:rsid w:val="41055DF9"/>
    <w:rsid w:val="410A340F"/>
    <w:rsid w:val="410E0C59"/>
    <w:rsid w:val="4110479E"/>
    <w:rsid w:val="41134241"/>
    <w:rsid w:val="41175B2C"/>
    <w:rsid w:val="411A73CB"/>
    <w:rsid w:val="41282558"/>
    <w:rsid w:val="41315239"/>
    <w:rsid w:val="41320BB8"/>
    <w:rsid w:val="413B181B"/>
    <w:rsid w:val="413B4B8E"/>
    <w:rsid w:val="413E57AF"/>
    <w:rsid w:val="41405083"/>
    <w:rsid w:val="41432DC5"/>
    <w:rsid w:val="41562AF9"/>
    <w:rsid w:val="41610FD0"/>
    <w:rsid w:val="41637255"/>
    <w:rsid w:val="4164390B"/>
    <w:rsid w:val="416655C5"/>
    <w:rsid w:val="416C40CA"/>
    <w:rsid w:val="416E7E42"/>
    <w:rsid w:val="417B60BB"/>
    <w:rsid w:val="41825BE2"/>
    <w:rsid w:val="418807D8"/>
    <w:rsid w:val="418C03D5"/>
    <w:rsid w:val="41994F27"/>
    <w:rsid w:val="419A55AA"/>
    <w:rsid w:val="41A14C5F"/>
    <w:rsid w:val="41A82C28"/>
    <w:rsid w:val="41AF08AB"/>
    <w:rsid w:val="41C45CB4"/>
    <w:rsid w:val="41C71300"/>
    <w:rsid w:val="41CE5702"/>
    <w:rsid w:val="41CE6715"/>
    <w:rsid w:val="41CF6407"/>
    <w:rsid w:val="41D30866"/>
    <w:rsid w:val="41D53675"/>
    <w:rsid w:val="41DB2FFE"/>
    <w:rsid w:val="41EA4FEF"/>
    <w:rsid w:val="41EF72C8"/>
    <w:rsid w:val="41F8770C"/>
    <w:rsid w:val="42051E29"/>
    <w:rsid w:val="42070318"/>
    <w:rsid w:val="421502BE"/>
    <w:rsid w:val="42181B5C"/>
    <w:rsid w:val="421A1D78"/>
    <w:rsid w:val="42274495"/>
    <w:rsid w:val="4228544E"/>
    <w:rsid w:val="422A188F"/>
    <w:rsid w:val="422E312E"/>
    <w:rsid w:val="42310E70"/>
    <w:rsid w:val="42380450"/>
    <w:rsid w:val="423F358D"/>
    <w:rsid w:val="42462B6D"/>
    <w:rsid w:val="425A7C8F"/>
    <w:rsid w:val="42644DA1"/>
    <w:rsid w:val="42651B0A"/>
    <w:rsid w:val="426E79CE"/>
    <w:rsid w:val="427716DA"/>
    <w:rsid w:val="427E3368"/>
    <w:rsid w:val="427F607F"/>
    <w:rsid w:val="42860ABD"/>
    <w:rsid w:val="4287580F"/>
    <w:rsid w:val="428E0070"/>
    <w:rsid w:val="429278C6"/>
    <w:rsid w:val="42927D51"/>
    <w:rsid w:val="42982C9D"/>
    <w:rsid w:val="42984A4B"/>
    <w:rsid w:val="42A6360C"/>
    <w:rsid w:val="42AE7254"/>
    <w:rsid w:val="42BA70B7"/>
    <w:rsid w:val="42BC698B"/>
    <w:rsid w:val="42BE6BA7"/>
    <w:rsid w:val="42CA4D39"/>
    <w:rsid w:val="42DC4209"/>
    <w:rsid w:val="42E63A08"/>
    <w:rsid w:val="42F54CFA"/>
    <w:rsid w:val="42FE0D52"/>
    <w:rsid w:val="43001BC9"/>
    <w:rsid w:val="43014CE6"/>
    <w:rsid w:val="430D5439"/>
    <w:rsid w:val="43130464"/>
    <w:rsid w:val="4315253F"/>
    <w:rsid w:val="431542ED"/>
    <w:rsid w:val="431E13F4"/>
    <w:rsid w:val="43201866"/>
    <w:rsid w:val="433330F0"/>
    <w:rsid w:val="4335673E"/>
    <w:rsid w:val="43362BE2"/>
    <w:rsid w:val="433A111B"/>
    <w:rsid w:val="433E3844"/>
    <w:rsid w:val="434A459E"/>
    <w:rsid w:val="434B7D0F"/>
    <w:rsid w:val="435B22FC"/>
    <w:rsid w:val="435B61A4"/>
    <w:rsid w:val="43652320"/>
    <w:rsid w:val="43664B49"/>
    <w:rsid w:val="436F39FE"/>
    <w:rsid w:val="43770B04"/>
    <w:rsid w:val="437A5CE6"/>
    <w:rsid w:val="437B6846"/>
    <w:rsid w:val="438751EB"/>
    <w:rsid w:val="43917E18"/>
    <w:rsid w:val="4396542E"/>
    <w:rsid w:val="4397623D"/>
    <w:rsid w:val="439F255B"/>
    <w:rsid w:val="43A01763"/>
    <w:rsid w:val="43A23DD3"/>
    <w:rsid w:val="43B27D8E"/>
    <w:rsid w:val="43BB30E7"/>
    <w:rsid w:val="43BB4CA3"/>
    <w:rsid w:val="43BE6733"/>
    <w:rsid w:val="43C26223"/>
    <w:rsid w:val="43C3227B"/>
    <w:rsid w:val="43CD4BC8"/>
    <w:rsid w:val="43D16466"/>
    <w:rsid w:val="43D45F57"/>
    <w:rsid w:val="43D877F5"/>
    <w:rsid w:val="43D917BF"/>
    <w:rsid w:val="43DE2931"/>
    <w:rsid w:val="43DF5027"/>
    <w:rsid w:val="43E503D2"/>
    <w:rsid w:val="43E837B0"/>
    <w:rsid w:val="43F403A7"/>
    <w:rsid w:val="43FE2FD4"/>
    <w:rsid w:val="440305EA"/>
    <w:rsid w:val="440920A4"/>
    <w:rsid w:val="440A48C5"/>
    <w:rsid w:val="440E72B6"/>
    <w:rsid w:val="44110F59"/>
    <w:rsid w:val="441B5933"/>
    <w:rsid w:val="44202F4A"/>
    <w:rsid w:val="442944F4"/>
    <w:rsid w:val="442E38B9"/>
    <w:rsid w:val="442E5667"/>
    <w:rsid w:val="443133A9"/>
    <w:rsid w:val="44366C11"/>
    <w:rsid w:val="44446C38"/>
    <w:rsid w:val="445175A7"/>
    <w:rsid w:val="44574B66"/>
    <w:rsid w:val="44580936"/>
    <w:rsid w:val="445F3A72"/>
    <w:rsid w:val="446C43E1"/>
    <w:rsid w:val="446C4F64"/>
    <w:rsid w:val="446C618F"/>
    <w:rsid w:val="446E1F07"/>
    <w:rsid w:val="446E63AB"/>
    <w:rsid w:val="44736C5A"/>
    <w:rsid w:val="44755B60"/>
    <w:rsid w:val="4475773A"/>
    <w:rsid w:val="448E4357"/>
    <w:rsid w:val="44906321"/>
    <w:rsid w:val="4493196E"/>
    <w:rsid w:val="44962692"/>
    <w:rsid w:val="4497145E"/>
    <w:rsid w:val="44A05268"/>
    <w:rsid w:val="44A26055"/>
    <w:rsid w:val="44A41DCD"/>
    <w:rsid w:val="44AD421E"/>
    <w:rsid w:val="44BB053D"/>
    <w:rsid w:val="44BC7116"/>
    <w:rsid w:val="44C71617"/>
    <w:rsid w:val="44C81ABF"/>
    <w:rsid w:val="44D00A48"/>
    <w:rsid w:val="44D075EB"/>
    <w:rsid w:val="44D75CFE"/>
    <w:rsid w:val="44D8697E"/>
    <w:rsid w:val="44D9497C"/>
    <w:rsid w:val="44DF1057"/>
    <w:rsid w:val="44E421C9"/>
    <w:rsid w:val="44E64193"/>
    <w:rsid w:val="44EB17AA"/>
    <w:rsid w:val="44ED5522"/>
    <w:rsid w:val="44EE4DF6"/>
    <w:rsid w:val="44F52628"/>
    <w:rsid w:val="44F92119"/>
    <w:rsid w:val="44FA19ED"/>
    <w:rsid w:val="44FC39B7"/>
    <w:rsid w:val="44FC65D5"/>
    <w:rsid w:val="44FF68B5"/>
    <w:rsid w:val="4504461A"/>
    <w:rsid w:val="4508235C"/>
    <w:rsid w:val="450D34CE"/>
    <w:rsid w:val="451467E3"/>
    <w:rsid w:val="451E1B7F"/>
    <w:rsid w:val="4522137C"/>
    <w:rsid w:val="4530540F"/>
    <w:rsid w:val="45356EC9"/>
    <w:rsid w:val="453A628D"/>
    <w:rsid w:val="453C2005"/>
    <w:rsid w:val="45401AF6"/>
    <w:rsid w:val="45435142"/>
    <w:rsid w:val="454A4722"/>
    <w:rsid w:val="45505CD5"/>
    <w:rsid w:val="455455A1"/>
    <w:rsid w:val="45594965"/>
    <w:rsid w:val="455E01CE"/>
    <w:rsid w:val="4560797A"/>
    <w:rsid w:val="456B6447"/>
    <w:rsid w:val="456D0411"/>
    <w:rsid w:val="45703A5D"/>
    <w:rsid w:val="4570627F"/>
    <w:rsid w:val="4577303D"/>
    <w:rsid w:val="457C0654"/>
    <w:rsid w:val="45843A5E"/>
    <w:rsid w:val="45892025"/>
    <w:rsid w:val="45905EAD"/>
    <w:rsid w:val="45921C25"/>
    <w:rsid w:val="45927E77"/>
    <w:rsid w:val="45A73923"/>
    <w:rsid w:val="45A831F7"/>
    <w:rsid w:val="45AB166D"/>
    <w:rsid w:val="45B002FD"/>
    <w:rsid w:val="45B84461"/>
    <w:rsid w:val="45B8631A"/>
    <w:rsid w:val="45BB73CE"/>
    <w:rsid w:val="45BE2A1A"/>
    <w:rsid w:val="45D40490"/>
    <w:rsid w:val="45D64208"/>
    <w:rsid w:val="45E00BE3"/>
    <w:rsid w:val="45E57789"/>
    <w:rsid w:val="45E71F71"/>
    <w:rsid w:val="45E76415"/>
    <w:rsid w:val="45F20916"/>
    <w:rsid w:val="45F8417E"/>
    <w:rsid w:val="46116FEE"/>
    <w:rsid w:val="461D1E37"/>
    <w:rsid w:val="461F5BAF"/>
    <w:rsid w:val="46207231"/>
    <w:rsid w:val="46274A64"/>
    <w:rsid w:val="4629258A"/>
    <w:rsid w:val="46313EB0"/>
    <w:rsid w:val="463A4797"/>
    <w:rsid w:val="463B406B"/>
    <w:rsid w:val="463B7823"/>
    <w:rsid w:val="464949DA"/>
    <w:rsid w:val="46535859"/>
    <w:rsid w:val="46537607"/>
    <w:rsid w:val="46560EA5"/>
    <w:rsid w:val="46592743"/>
    <w:rsid w:val="465F5FAB"/>
    <w:rsid w:val="466730B2"/>
    <w:rsid w:val="466A4950"/>
    <w:rsid w:val="466E4440"/>
    <w:rsid w:val="46712183"/>
    <w:rsid w:val="468120A5"/>
    <w:rsid w:val="4685178A"/>
    <w:rsid w:val="468C2B19"/>
    <w:rsid w:val="468E26B7"/>
    <w:rsid w:val="4690085B"/>
    <w:rsid w:val="4691727A"/>
    <w:rsid w:val="469C7200"/>
    <w:rsid w:val="469E49A5"/>
    <w:rsid w:val="46A47E62"/>
    <w:rsid w:val="46BA0F4C"/>
    <w:rsid w:val="46BB5C1A"/>
    <w:rsid w:val="46C16C66"/>
    <w:rsid w:val="46CC73B9"/>
    <w:rsid w:val="46CD058C"/>
    <w:rsid w:val="46D23702"/>
    <w:rsid w:val="46D37977"/>
    <w:rsid w:val="46D8174D"/>
    <w:rsid w:val="46E82445"/>
    <w:rsid w:val="46E841F3"/>
    <w:rsid w:val="46EE7D54"/>
    <w:rsid w:val="46F10BCE"/>
    <w:rsid w:val="46F5246C"/>
    <w:rsid w:val="46F849D3"/>
    <w:rsid w:val="4703102D"/>
    <w:rsid w:val="470628CB"/>
    <w:rsid w:val="47062FF1"/>
    <w:rsid w:val="47084895"/>
    <w:rsid w:val="47094169"/>
    <w:rsid w:val="470E1780"/>
    <w:rsid w:val="47121270"/>
    <w:rsid w:val="4712301E"/>
    <w:rsid w:val="47174AD8"/>
    <w:rsid w:val="471D19C3"/>
    <w:rsid w:val="472114B3"/>
    <w:rsid w:val="472D42FC"/>
    <w:rsid w:val="472E3BD0"/>
    <w:rsid w:val="472F1E22"/>
    <w:rsid w:val="4732546E"/>
    <w:rsid w:val="4734568A"/>
    <w:rsid w:val="473674BC"/>
    <w:rsid w:val="473A07C7"/>
    <w:rsid w:val="473C62ED"/>
    <w:rsid w:val="47411B55"/>
    <w:rsid w:val="474451A1"/>
    <w:rsid w:val="47462CC7"/>
    <w:rsid w:val="47523D62"/>
    <w:rsid w:val="475353E4"/>
    <w:rsid w:val="47603719"/>
    <w:rsid w:val="47637D1D"/>
    <w:rsid w:val="47653A95"/>
    <w:rsid w:val="47655843"/>
    <w:rsid w:val="47661A9B"/>
    <w:rsid w:val="476A01E1"/>
    <w:rsid w:val="476B6BD2"/>
    <w:rsid w:val="47723ABC"/>
    <w:rsid w:val="477534BF"/>
    <w:rsid w:val="47763A28"/>
    <w:rsid w:val="47817245"/>
    <w:rsid w:val="47833F1C"/>
    <w:rsid w:val="47857C94"/>
    <w:rsid w:val="478D6B48"/>
    <w:rsid w:val="4792415F"/>
    <w:rsid w:val="479954ED"/>
    <w:rsid w:val="479C6D8B"/>
    <w:rsid w:val="47A11944"/>
    <w:rsid w:val="47A125F4"/>
    <w:rsid w:val="47A22C9A"/>
    <w:rsid w:val="47A704E7"/>
    <w:rsid w:val="47A72E2E"/>
    <w:rsid w:val="47AA76FA"/>
    <w:rsid w:val="47AD2D46"/>
    <w:rsid w:val="47B2035D"/>
    <w:rsid w:val="47B6609F"/>
    <w:rsid w:val="47BE4F54"/>
    <w:rsid w:val="47C6205A"/>
    <w:rsid w:val="47CF7161"/>
    <w:rsid w:val="47D44777"/>
    <w:rsid w:val="47D74267"/>
    <w:rsid w:val="47D97FDF"/>
    <w:rsid w:val="47E04ECA"/>
    <w:rsid w:val="47E07135"/>
    <w:rsid w:val="47EC1AC1"/>
    <w:rsid w:val="47EF7803"/>
    <w:rsid w:val="47F90E64"/>
    <w:rsid w:val="47F92430"/>
    <w:rsid w:val="47FA02DB"/>
    <w:rsid w:val="47FB2415"/>
    <w:rsid w:val="48032D10"/>
    <w:rsid w:val="480A63EB"/>
    <w:rsid w:val="480D7C89"/>
    <w:rsid w:val="480E2235"/>
    <w:rsid w:val="480E5EDB"/>
    <w:rsid w:val="48194880"/>
    <w:rsid w:val="48217291"/>
    <w:rsid w:val="48221986"/>
    <w:rsid w:val="48284AC3"/>
    <w:rsid w:val="482F19AD"/>
    <w:rsid w:val="482F5E51"/>
    <w:rsid w:val="484418FD"/>
    <w:rsid w:val="48474F49"/>
    <w:rsid w:val="48480CC1"/>
    <w:rsid w:val="484D0086"/>
    <w:rsid w:val="48523189"/>
    <w:rsid w:val="48527770"/>
    <w:rsid w:val="485756B9"/>
    <w:rsid w:val="48594C7C"/>
    <w:rsid w:val="4860600B"/>
    <w:rsid w:val="486065E4"/>
    <w:rsid w:val="486419B3"/>
    <w:rsid w:val="486A0C38"/>
    <w:rsid w:val="48790E7B"/>
    <w:rsid w:val="487B2E45"/>
    <w:rsid w:val="488576DD"/>
    <w:rsid w:val="48902741"/>
    <w:rsid w:val="48904B42"/>
    <w:rsid w:val="48934632"/>
    <w:rsid w:val="48A56114"/>
    <w:rsid w:val="48A57EC2"/>
    <w:rsid w:val="48B3438D"/>
    <w:rsid w:val="48B545A9"/>
    <w:rsid w:val="48BA1BBF"/>
    <w:rsid w:val="48C93BB0"/>
    <w:rsid w:val="48CE566A"/>
    <w:rsid w:val="48D32C81"/>
    <w:rsid w:val="48D367DD"/>
    <w:rsid w:val="48D52555"/>
    <w:rsid w:val="48D83DF3"/>
    <w:rsid w:val="48D93A13"/>
    <w:rsid w:val="48DF33D4"/>
    <w:rsid w:val="48E924A4"/>
    <w:rsid w:val="48F30C2D"/>
    <w:rsid w:val="48FF75D2"/>
    <w:rsid w:val="490B5F77"/>
    <w:rsid w:val="490D6193"/>
    <w:rsid w:val="491312CF"/>
    <w:rsid w:val="491A265E"/>
    <w:rsid w:val="491D3EFC"/>
    <w:rsid w:val="491D5CAA"/>
    <w:rsid w:val="492139EC"/>
    <w:rsid w:val="49226B2C"/>
    <w:rsid w:val="49227764"/>
    <w:rsid w:val="492C413F"/>
    <w:rsid w:val="492E6109"/>
    <w:rsid w:val="49351562"/>
    <w:rsid w:val="493A4AAE"/>
    <w:rsid w:val="493C25D4"/>
    <w:rsid w:val="49423962"/>
    <w:rsid w:val="4946150F"/>
    <w:rsid w:val="494D47E1"/>
    <w:rsid w:val="49522218"/>
    <w:rsid w:val="49555444"/>
    <w:rsid w:val="495D254A"/>
    <w:rsid w:val="496B2EB9"/>
    <w:rsid w:val="496D4E83"/>
    <w:rsid w:val="4972249A"/>
    <w:rsid w:val="49731D6E"/>
    <w:rsid w:val="49747973"/>
    <w:rsid w:val="49760E63"/>
    <w:rsid w:val="498E0956"/>
    <w:rsid w:val="498E6BA8"/>
    <w:rsid w:val="49920446"/>
    <w:rsid w:val="49942410"/>
    <w:rsid w:val="49974C8E"/>
    <w:rsid w:val="49A40179"/>
    <w:rsid w:val="49AA39E1"/>
    <w:rsid w:val="49AD5280"/>
    <w:rsid w:val="49BC54C3"/>
    <w:rsid w:val="49BF6D61"/>
    <w:rsid w:val="49C16F7D"/>
    <w:rsid w:val="49CB3958"/>
    <w:rsid w:val="49DC3DB7"/>
    <w:rsid w:val="49EE24B6"/>
    <w:rsid w:val="49F27137"/>
    <w:rsid w:val="49FC7FB5"/>
    <w:rsid w:val="49FD0420"/>
    <w:rsid w:val="4A084BAC"/>
    <w:rsid w:val="4A0A0924"/>
    <w:rsid w:val="4A0D21C2"/>
    <w:rsid w:val="4A0F7CE8"/>
    <w:rsid w:val="4A111CB3"/>
    <w:rsid w:val="4A1E7F2C"/>
    <w:rsid w:val="4A1F22A4"/>
    <w:rsid w:val="4A2221F1"/>
    <w:rsid w:val="4A2B73D2"/>
    <w:rsid w:val="4A2F038B"/>
    <w:rsid w:val="4A2F59CC"/>
    <w:rsid w:val="4A370FED"/>
    <w:rsid w:val="4A3B6D2F"/>
    <w:rsid w:val="4A437992"/>
    <w:rsid w:val="4A471230"/>
    <w:rsid w:val="4A4C6847"/>
    <w:rsid w:val="4A565917"/>
    <w:rsid w:val="4A5B2F2E"/>
    <w:rsid w:val="4A6A13C3"/>
    <w:rsid w:val="4A742241"/>
    <w:rsid w:val="4A791606"/>
    <w:rsid w:val="4A7B712C"/>
    <w:rsid w:val="4A835FE1"/>
    <w:rsid w:val="4A8A5355"/>
    <w:rsid w:val="4A8C1339"/>
    <w:rsid w:val="4A934476"/>
    <w:rsid w:val="4A985F30"/>
    <w:rsid w:val="4A9B77CE"/>
    <w:rsid w:val="4AA448D5"/>
    <w:rsid w:val="4AAA17BF"/>
    <w:rsid w:val="4AB50890"/>
    <w:rsid w:val="4AB56AE2"/>
    <w:rsid w:val="4ABA29D0"/>
    <w:rsid w:val="4ABF151C"/>
    <w:rsid w:val="4AD93E52"/>
    <w:rsid w:val="4ADF76BB"/>
    <w:rsid w:val="4AEE5522"/>
    <w:rsid w:val="4AEE5B50"/>
    <w:rsid w:val="4AEF3676"/>
    <w:rsid w:val="4AF33166"/>
    <w:rsid w:val="4B032F9B"/>
    <w:rsid w:val="4B042305"/>
    <w:rsid w:val="4B0E369D"/>
    <w:rsid w:val="4B0E61F2"/>
    <w:rsid w:val="4B0E7FA0"/>
    <w:rsid w:val="4B117A90"/>
    <w:rsid w:val="4B1533CD"/>
    <w:rsid w:val="4B1A6144"/>
    <w:rsid w:val="4B1F03FF"/>
    <w:rsid w:val="4B26325B"/>
    <w:rsid w:val="4B2B0B52"/>
    <w:rsid w:val="4B2C6678"/>
    <w:rsid w:val="4B35377F"/>
    <w:rsid w:val="4B3A0D95"/>
    <w:rsid w:val="4B3F63AB"/>
    <w:rsid w:val="4B490FD8"/>
    <w:rsid w:val="4B4F167B"/>
    <w:rsid w:val="4B4F486A"/>
    <w:rsid w:val="4B58121B"/>
    <w:rsid w:val="4B683B54"/>
    <w:rsid w:val="4B685902"/>
    <w:rsid w:val="4B6B53F2"/>
    <w:rsid w:val="4B6C07C3"/>
    <w:rsid w:val="4B6C12E7"/>
    <w:rsid w:val="4B6D116B"/>
    <w:rsid w:val="4B751DCD"/>
    <w:rsid w:val="4B751E25"/>
    <w:rsid w:val="4B775B45"/>
    <w:rsid w:val="4B865D88"/>
    <w:rsid w:val="4B8B339F"/>
    <w:rsid w:val="4B8E10E1"/>
    <w:rsid w:val="4B9318F2"/>
    <w:rsid w:val="4BA10E14"/>
    <w:rsid w:val="4BA6642B"/>
    <w:rsid w:val="4BA97CC9"/>
    <w:rsid w:val="4BB74194"/>
    <w:rsid w:val="4BB87F0C"/>
    <w:rsid w:val="4BBE277F"/>
    <w:rsid w:val="4BBF74EC"/>
    <w:rsid w:val="4BC36FDC"/>
    <w:rsid w:val="4BC535EC"/>
    <w:rsid w:val="4BC61285"/>
    <w:rsid w:val="4BCB40E3"/>
    <w:rsid w:val="4BCC28CC"/>
    <w:rsid w:val="4BCD2C86"/>
    <w:rsid w:val="4BD25472"/>
    <w:rsid w:val="4BD83458"/>
    <w:rsid w:val="4BD9235C"/>
    <w:rsid w:val="4BE96317"/>
    <w:rsid w:val="4BED71F8"/>
    <w:rsid w:val="4BEE5222"/>
    <w:rsid w:val="4BF058F8"/>
    <w:rsid w:val="4BF278C2"/>
    <w:rsid w:val="4C01517C"/>
    <w:rsid w:val="4C0575F5"/>
    <w:rsid w:val="4C077131"/>
    <w:rsid w:val="4C0B2731"/>
    <w:rsid w:val="4C111F23"/>
    <w:rsid w:val="4C167EC0"/>
    <w:rsid w:val="4C177328"/>
    <w:rsid w:val="4C1A4723"/>
    <w:rsid w:val="4C2061DD"/>
    <w:rsid w:val="4C207F8B"/>
    <w:rsid w:val="4C215AB1"/>
    <w:rsid w:val="4C2A2BB8"/>
    <w:rsid w:val="4C2B6930"/>
    <w:rsid w:val="4C2C2DD4"/>
    <w:rsid w:val="4C3C7DFE"/>
    <w:rsid w:val="4C3E6663"/>
    <w:rsid w:val="4C40062D"/>
    <w:rsid w:val="4C4023DB"/>
    <w:rsid w:val="4C424EB9"/>
    <w:rsid w:val="4C522DBA"/>
    <w:rsid w:val="4C5365B2"/>
    <w:rsid w:val="4C6677D9"/>
    <w:rsid w:val="4C6A7458"/>
    <w:rsid w:val="4C6D519A"/>
    <w:rsid w:val="4C742085"/>
    <w:rsid w:val="4C765DFD"/>
    <w:rsid w:val="4C7D362F"/>
    <w:rsid w:val="4C80011E"/>
    <w:rsid w:val="4C883D82"/>
    <w:rsid w:val="4C8D409E"/>
    <w:rsid w:val="4C9D5A7F"/>
    <w:rsid w:val="4C9D782D"/>
    <w:rsid w:val="4CA30BBC"/>
    <w:rsid w:val="4CA46E0E"/>
    <w:rsid w:val="4CAA3CF8"/>
    <w:rsid w:val="4CAF7561"/>
    <w:rsid w:val="4CB30DFF"/>
    <w:rsid w:val="4CB46925"/>
    <w:rsid w:val="4CC27294"/>
    <w:rsid w:val="4CC759FC"/>
    <w:rsid w:val="4CCF634C"/>
    <w:rsid w:val="4CD82614"/>
    <w:rsid w:val="4CE0596C"/>
    <w:rsid w:val="4CE52F83"/>
    <w:rsid w:val="4CE90CC5"/>
    <w:rsid w:val="4CEE22E8"/>
    <w:rsid w:val="4CF95355"/>
    <w:rsid w:val="4CFA4C80"/>
    <w:rsid w:val="4CFF4044"/>
    <w:rsid w:val="4D0005C3"/>
    <w:rsid w:val="4D072EF9"/>
    <w:rsid w:val="4D0F1DAD"/>
    <w:rsid w:val="4D225F85"/>
    <w:rsid w:val="4D333CEE"/>
    <w:rsid w:val="4D3D1A58"/>
    <w:rsid w:val="4D4001B9"/>
    <w:rsid w:val="4D453A21"/>
    <w:rsid w:val="4D467EC5"/>
    <w:rsid w:val="4D491731"/>
    <w:rsid w:val="4D5256F1"/>
    <w:rsid w:val="4D5D3C89"/>
    <w:rsid w:val="4D622825"/>
    <w:rsid w:val="4D7164BA"/>
    <w:rsid w:val="4D722A68"/>
    <w:rsid w:val="4D84279B"/>
    <w:rsid w:val="4D8C1650"/>
    <w:rsid w:val="4D926C66"/>
    <w:rsid w:val="4D990B07"/>
    <w:rsid w:val="4D9B7A63"/>
    <w:rsid w:val="4D9C1893"/>
    <w:rsid w:val="4D9C3740"/>
    <w:rsid w:val="4D9D0D8A"/>
    <w:rsid w:val="4D9D560B"/>
    <w:rsid w:val="4DB34E2F"/>
    <w:rsid w:val="4DBD7A5B"/>
    <w:rsid w:val="4DC1579E"/>
    <w:rsid w:val="4DC40DEA"/>
    <w:rsid w:val="4DC66910"/>
    <w:rsid w:val="4DC808DA"/>
    <w:rsid w:val="4DC97E24"/>
    <w:rsid w:val="4DCD757D"/>
    <w:rsid w:val="4DCF3E4F"/>
    <w:rsid w:val="4DD059E1"/>
    <w:rsid w:val="4DD95D49"/>
    <w:rsid w:val="4DE82D2A"/>
    <w:rsid w:val="4DED6593"/>
    <w:rsid w:val="4DF162BE"/>
    <w:rsid w:val="4DF7360B"/>
    <w:rsid w:val="4DFA2A5E"/>
    <w:rsid w:val="4DFC67D6"/>
    <w:rsid w:val="4E0538DC"/>
    <w:rsid w:val="4E094A4F"/>
    <w:rsid w:val="4E0C2ABC"/>
    <w:rsid w:val="4E121B55"/>
    <w:rsid w:val="4E1C6E78"/>
    <w:rsid w:val="4E1E313B"/>
    <w:rsid w:val="4E231FB4"/>
    <w:rsid w:val="4E3046D1"/>
    <w:rsid w:val="4E345F70"/>
    <w:rsid w:val="4E353A96"/>
    <w:rsid w:val="4E354915"/>
    <w:rsid w:val="4E395334"/>
    <w:rsid w:val="4E3C6BD2"/>
    <w:rsid w:val="4E4837C9"/>
    <w:rsid w:val="4E4955A2"/>
    <w:rsid w:val="4E4F4B57"/>
    <w:rsid w:val="4E50518F"/>
    <w:rsid w:val="4E516B22"/>
    <w:rsid w:val="4E524648"/>
    <w:rsid w:val="4E555EE6"/>
    <w:rsid w:val="4E604FB7"/>
    <w:rsid w:val="4E61488B"/>
    <w:rsid w:val="4E6600F3"/>
    <w:rsid w:val="4E6F6FA8"/>
    <w:rsid w:val="4E772300"/>
    <w:rsid w:val="4E7900D3"/>
    <w:rsid w:val="4E7B76FB"/>
    <w:rsid w:val="4E7E71EB"/>
    <w:rsid w:val="4E8862BB"/>
    <w:rsid w:val="4E992277"/>
    <w:rsid w:val="4E9C3B15"/>
    <w:rsid w:val="4E9E5ADF"/>
    <w:rsid w:val="4EA406F6"/>
    <w:rsid w:val="4EAA43EA"/>
    <w:rsid w:val="4EAF55F6"/>
    <w:rsid w:val="4EB1136E"/>
    <w:rsid w:val="4EBB3F9B"/>
    <w:rsid w:val="4EC56BC8"/>
    <w:rsid w:val="4ECA5384"/>
    <w:rsid w:val="4ECC264C"/>
    <w:rsid w:val="4ECF4EE4"/>
    <w:rsid w:val="4ED45728"/>
    <w:rsid w:val="4EE03A01"/>
    <w:rsid w:val="4EFE20DA"/>
    <w:rsid w:val="4F045E2D"/>
    <w:rsid w:val="4F10078B"/>
    <w:rsid w:val="4F12061C"/>
    <w:rsid w:val="4F12289B"/>
    <w:rsid w:val="4F136E54"/>
    <w:rsid w:val="4F1638C7"/>
    <w:rsid w:val="4F1931A5"/>
    <w:rsid w:val="4F1C0E48"/>
    <w:rsid w:val="4F28465E"/>
    <w:rsid w:val="4F2953A8"/>
    <w:rsid w:val="4F381A8F"/>
    <w:rsid w:val="4F471CD3"/>
    <w:rsid w:val="4F4E3061"/>
    <w:rsid w:val="4F4F0B87"/>
    <w:rsid w:val="4F587A3C"/>
    <w:rsid w:val="4F626B0C"/>
    <w:rsid w:val="4F6E725F"/>
    <w:rsid w:val="4F7A5C04"/>
    <w:rsid w:val="4F876573"/>
    <w:rsid w:val="4F8D1DDB"/>
    <w:rsid w:val="4F9C3151"/>
    <w:rsid w:val="4F9F566B"/>
    <w:rsid w:val="4FA62E9D"/>
    <w:rsid w:val="4FA859E2"/>
    <w:rsid w:val="4FAB04B3"/>
    <w:rsid w:val="4FAD5FDA"/>
    <w:rsid w:val="4FB06CB9"/>
    <w:rsid w:val="4FB21842"/>
    <w:rsid w:val="4FB235F0"/>
    <w:rsid w:val="4FB33BA3"/>
    <w:rsid w:val="4FBA24A4"/>
    <w:rsid w:val="4FC861E7"/>
    <w:rsid w:val="4FCB2904"/>
    <w:rsid w:val="4FCE41A2"/>
    <w:rsid w:val="4FD277EE"/>
    <w:rsid w:val="4FDC68BF"/>
    <w:rsid w:val="4FF359B6"/>
    <w:rsid w:val="4FF53E86"/>
    <w:rsid w:val="500537DC"/>
    <w:rsid w:val="50055E16"/>
    <w:rsid w:val="500951DA"/>
    <w:rsid w:val="500B73F8"/>
    <w:rsid w:val="501C6CBB"/>
    <w:rsid w:val="50203C86"/>
    <w:rsid w:val="5023004A"/>
    <w:rsid w:val="504306EC"/>
    <w:rsid w:val="50475110"/>
    <w:rsid w:val="504A1A7A"/>
    <w:rsid w:val="504B57F2"/>
    <w:rsid w:val="505446A7"/>
    <w:rsid w:val="50615016"/>
    <w:rsid w:val="5066262C"/>
    <w:rsid w:val="50681F00"/>
    <w:rsid w:val="50697475"/>
    <w:rsid w:val="506A2AFE"/>
    <w:rsid w:val="506B379F"/>
    <w:rsid w:val="506F403E"/>
    <w:rsid w:val="50746AF7"/>
    <w:rsid w:val="50760AC1"/>
    <w:rsid w:val="50782DBB"/>
    <w:rsid w:val="5079410E"/>
    <w:rsid w:val="508A00C9"/>
    <w:rsid w:val="508D7BB9"/>
    <w:rsid w:val="509176A9"/>
    <w:rsid w:val="50923421"/>
    <w:rsid w:val="509C604E"/>
    <w:rsid w:val="509C7DFC"/>
    <w:rsid w:val="50A70C7B"/>
    <w:rsid w:val="50A76ECD"/>
    <w:rsid w:val="50A82C45"/>
    <w:rsid w:val="50A867A1"/>
    <w:rsid w:val="50B8782D"/>
    <w:rsid w:val="50BB0282"/>
    <w:rsid w:val="50CC6933"/>
    <w:rsid w:val="50CF3B19"/>
    <w:rsid w:val="50D21A70"/>
    <w:rsid w:val="50D457E8"/>
    <w:rsid w:val="50D77086"/>
    <w:rsid w:val="50DE0415"/>
    <w:rsid w:val="50DE6667"/>
    <w:rsid w:val="50E61077"/>
    <w:rsid w:val="50EA0B67"/>
    <w:rsid w:val="50EE4AFC"/>
    <w:rsid w:val="50F5248E"/>
    <w:rsid w:val="50FE6F89"/>
    <w:rsid w:val="510C157A"/>
    <w:rsid w:val="511D0B59"/>
    <w:rsid w:val="51200A2D"/>
    <w:rsid w:val="51281690"/>
    <w:rsid w:val="51286640"/>
    <w:rsid w:val="512C73D2"/>
    <w:rsid w:val="51302721"/>
    <w:rsid w:val="51330760"/>
    <w:rsid w:val="5133250E"/>
    <w:rsid w:val="51346287"/>
    <w:rsid w:val="513B7615"/>
    <w:rsid w:val="51450494"/>
    <w:rsid w:val="514705FA"/>
    <w:rsid w:val="514A5AAA"/>
    <w:rsid w:val="514F30C0"/>
    <w:rsid w:val="515406D7"/>
    <w:rsid w:val="51556929"/>
    <w:rsid w:val="51595CED"/>
    <w:rsid w:val="515B3813"/>
    <w:rsid w:val="515D758B"/>
    <w:rsid w:val="51633E03"/>
    <w:rsid w:val="51654692"/>
    <w:rsid w:val="516A3A56"/>
    <w:rsid w:val="517448D5"/>
    <w:rsid w:val="51825244"/>
    <w:rsid w:val="518965D2"/>
    <w:rsid w:val="51917235"/>
    <w:rsid w:val="51932FAD"/>
    <w:rsid w:val="51937451"/>
    <w:rsid w:val="51976F41"/>
    <w:rsid w:val="519A561A"/>
    <w:rsid w:val="519D1BF6"/>
    <w:rsid w:val="519D3E2C"/>
    <w:rsid w:val="51A056CA"/>
    <w:rsid w:val="51A27694"/>
    <w:rsid w:val="51A46F68"/>
    <w:rsid w:val="51A6208C"/>
    <w:rsid w:val="51AA529D"/>
    <w:rsid w:val="51B03B5F"/>
    <w:rsid w:val="51B478EA"/>
    <w:rsid w:val="51BA49DE"/>
    <w:rsid w:val="51C03C12"/>
    <w:rsid w:val="51C25640"/>
    <w:rsid w:val="51C27A95"/>
    <w:rsid w:val="51C94C21"/>
    <w:rsid w:val="51CD1DAC"/>
    <w:rsid w:val="51D04201"/>
    <w:rsid w:val="51DA5080"/>
    <w:rsid w:val="51E7154B"/>
    <w:rsid w:val="51E97071"/>
    <w:rsid w:val="51EF5042"/>
    <w:rsid w:val="51F218DA"/>
    <w:rsid w:val="51F31C9E"/>
    <w:rsid w:val="51F36142"/>
    <w:rsid w:val="52075749"/>
    <w:rsid w:val="52093835"/>
    <w:rsid w:val="520E6AD8"/>
    <w:rsid w:val="52102850"/>
    <w:rsid w:val="52171E30"/>
    <w:rsid w:val="52187956"/>
    <w:rsid w:val="521A1920"/>
    <w:rsid w:val="521E31BF"/>
    <w:rsid w:val="522105B9"/>
    <w:rsid w:val="522344E6"/>
    <w:rsid w:val="52361E3B"/>
    <w:rsid w:val="523A167B"/>
    <w:rsid w:val="523A18EA"/>
    <w:rsid w:val="524E3378"/>
    <w:rsid w:val="524F48E3"/>
    <w:rsid w:val="52552958"/>
    <w:rsid w:val="52592449"/>
    <w:rsid w:val="525F5585"/>
    <w:rsid w:val="52707792"/>
    <w:rsid w:val="52841B45"/>
    <w:rsid w:val="528E7FE7"/>
    <w:rsid w:val="528F1AA7"/>
    <w:rsid w:val="5290573F"/>
    <w:rsid w:val="529209DC"/>
    <w:rsid w:val="52990A97"/>
    <w:rsid w:val="52996465"/>
    <w:rsid w:val="529E1798"/>
    <w:rsid w:val="52A26B1F"/>
    <w:rsid w:val="52A64F62"/>
    <w:rsid w:val="52AC63CA"/>
    <w:rsid w:val="52AC7C09"/>
    <w:rsid w:val="52B551A5"/>
    <w:rsid w:val="52C4439E"/>
    <w:rsid w:val="52CD6993"/>
    <w:rsid w:val="52CF57EB"/>
    <w:rsid w:val="52DB2E5E"/>
    <w:rsid w:val="52E02222"/>
    <w:rsid w:val="52E55A8A"/>
    <w:rsid w:val="52EA4E4F"/>
    <w:rsid w:val="52F43F1F"/>
    <w:rsid w:val="52F65EC8"/>
    <w:rsid w:val="52F766D4"/>
    <w:rsid w:val="53033073"/>
    <w:rsid w:val="53193986"/>
    <w:rsid w:val="531A2795"/>
    <w:rsid w:val="531B14AC"/>
    <w:rsid w:val="532E5683"/>
    <w:rsid w:val="532F4F57"/>
    <w:rsid w:val="533777E5"/>
    <w:rsid w:val="5345477B"/>
    <w:rsid w:val="53486019"/>
    <w:rsid w:val="53487AC3"/>
    <w:rsid w:val="534B31D2"/>
    <w:rsid w:val="535324C6"/>
    <w:rsid w:val="53542C10"/>
    <w:rsid w:val="535749CF"/>
    <w:rsid w:val="535C0F98"/>
    <w:rsid w:val="536746F1"/>
    <w:rsid w:val="53682217"/>
    <w:rsid w:val="536A5F90"/>
    <w:rsid w:val="536D782E"/>
    <w:rsid w:val="537E0B4F"/>
    <w:rsid w:val="538708F0"/>
    <w:rsid w:val="539179C0"/>
    <w:rsid w:val="53933451"/>
    <w:rsid w:val="53986FA1"/>
    <w:rsid w:val="539B581E"/>
    <w:rsid w:val="53A616BE"/>
    <w:rsid w:val="53AE0A28"/>
    <w:rsid w:val="53AE2320"/>
    <w:rsid w:val="53B37737"/>
    <w:rsid w:val="53BD07B5"/>
    <w:rsid w:val="53BD6A07"/>
    <w:rsid w:val="53C02C55"/>
    <w:rsid w:val="53C953AC"/>
    <w:rsid w:val="53CA4C80"/>
    <w:rsid w:val="53D00B48"/>
    <w:rsid w:val="53D1600F"/>
    <w:rsid w:val="53D55AFF"/>
    <w:rsid w:val="53D578AD"/>
    <w:rsid w:val="53DA1367"/>
    <w:rsid w:val="53E1772D"/>
    <w:rsid w:val="53E75832"/>
    <w:rsid w:val="53EA0A81"/>
    <w:rsid w:val="53EC693E"/>
    <w:rsid w:val="53EE6BC1"/>
    <w:rsid w:val="53F02939"/>
    <w:rsid w:val="54065CB8"/>
    <w:rsid w:val="54071A30"/>
    <w:rsid w:val="540B7773"/>
    <w:rsid w:val="54161C73"/>
    <w:rsid w:val="541F321E"/>
    <w:rsid w:val="54216F96"/>
    <w:rsid w:val="54256C07"/>
    <w:rsid w:val="542578B5"/>
    <w:rsid w:val="54280325"/>
    <w:rsid w:val="542919A7"/>
    <w:rsid w:val="542D593B"/>
    <w:rsid w:val="5435426D"/>
    <w:rsid w:val="5438608E"/>
    <w:rsid w:val="54456F9B"/>
    <w:rsid w:val="544607AB"/>
    <w:rsid w:val="54462559"/>
    <w:rsid w:val="54482775"/>
    <w:rsid w:val="54492049"/>
    <w:rsid w:val="54493DF7"/>
    <w:rsid w:val="544B4013"/>
    <w:rsid w:val="544F3B03"/>
    <w:rsid w:val="545253A1"/>
    <w:rsid w:val="545B648A"/>
    <w:rsid w:val="545D2668"/>
    <w:rsid w:val="546724CF"/>
    <w:rsid w:val="54757FA1"/>
    <w:rsid w:val="547D49D8"/>
    <w:rsid w:val="547F5A6B"/>
    <w:rsid w:val="548117E3"/>
    <w:rsid w:val="54972DB4"/>
    <w:rsid w:val="54972F5D"/>
    <w:rsid w:val="54996B2C"/>
    <w:rsid w:val="549A6402"/>
    <w:rsid w:val="549F610D"/>
    <w:rsid w:val="54A41E09"/>
    <w:rsid w:val="54A454D1"/>
    <w:rsid w:val="54AB6860"/>
    <w:rsid w:val="54B02FD7"/>
    <w:rsid w:val="54B55930"/>
    <w:rsid w:val="54B75204"/>
    <w:rsid w:val="54C07EA1"/>
    <w:rsid w:val="54C11331"/>
    <w:rsid w:val="54C53DC5"/>
    <w:rsid w:val="54CA13DC"/>
    <w:rsid w:val="54D062C6"/>
    <w:rsid w:val="54DA0EF3"/>
    <w:rsid w:val="54DE4283"/>
    <w:rsid w:val="54DF6509"/>
    <w:rsid w:val="54E16725"/>
    <w:rsid w:val="54E35FFA"/>
    <w:rsid w:val="54E51D72"/>
    <w:rsid w:val="54EB4EAE"/>
    <w:rsid w:val="54F14BBA"/>
    <w:rsid w:val="54F441BF"/>
    <w:rsid w:val="54F63F7F"/>
    <w:rsid w:val="54F71AA5"/>
    <w:rsid w:val="54FC355F"/>
    <w:rsid w:val="54FC3E9C"/>
    <w:rsid w:val="54FE4727"/>
    <w:rsid w:val="55067F3A"/>
    <w:rsid w:val="550F6DEF"/>
    <w:rsid w:val="5511700B"/>
    <w:rsid w:val="551249E4"/>
    <w:rsid w:val="5520724E"/>
    <w:rsid w:val="552349BA"/>
    <w:rsid w:val="55286102"/>
    <w:rsid w:val="554A6079"/>
    <w:rsid w:val="554F4DF6"/>
    <w:rsid w:val="555313D1"/>
    <w:rsid w:val="5559399C"/>
    <w:rsid w:val="555D2250"/>
    <w:rsid w:val="5560764A"/>
    <w:rsid w:val="55660A8B"/>
    <w:rsid w:val="556E215B"/>
    <w:rsid w:val="557837C4"/>
    <w:rsid w:val="557C1FAA"/>
    <w:rsid w:val="55862BF4"/>
    <w:rsid w:val="558C043F"/>
    <w:rsid w:val="558E7BCD"/>
    <w:rsid w:val="558F6181"/>
    <w:rsid w:val="55943798"/>
    <w:rsid w:val="5596306C"/>
    <w:rsid w:val="55985036"/>
    <w:rsid w:val="559C6C03"/>
    <w:rsid w:val="55A27C63"/>
    <w:rsid w:val="55A559A5"/>
    <w:rsid w:val="55AC0AE1"/>
    <w:rsid w:val="55C259D4"/>
    <w:rsid w:val="55C45E2B"/>
    <w:rsid w:val="55CC1183"/>
    <w:rsid w:val="55D1679A"/>
    <w:rsid w:val="55D41DE6"/>
    <w:rsid w:val="55DD0C9B"/>
    <w:rsid w:val="55E42029"/>
    <w:rsid w:val="55E77D6B"/>
    <w:rsid w:val="55E93AE3"/>
    <w:rsid w:val="55EF09CE"/>
    <w:rsid w:val="55F12998"/>
    <w:rsid w:val="55F3226C"/>
    <w:rsid w:val="55F668FC"/>
    <w:rsid w:val="55FC3817"/>
    <w:rsid w:val="55FE0C5B"/>
    <w:rsid w:val="56026953"/>
    <w:rsid w:val="56095F34"/>
    <w:rsid w:val="5613290E"/>
    <w:rsid w:val="56175E36"/>
    <w:rsid w:val="561D2CFD"/>
    <w:rsid w:val="56292132"/>
    <w:rsid w:val="56293EE0"/>
    <w:rsid w:val="562A1B91"/>
    <w:rsid w:val="5637484F"/>
    <w:rsid w:val="56382375"/>
    <w:rsid w:val="563B652C"/>
    <w:rsid w:val="56554CD5"/>
    <w:rsid w:val="565D0861"/>
    <w:rsid w:val="565D537B"/>
    <w:rsid w:val="566F73BD"/>
    <w:rsid w:val="56711619"/>
    <w:rsid w:val="56725887"/>
    <w:rsid w:val="56757125"/>
    <w:rsid w:val="56876E58"/>
    <w:rsid w:val="568B57E3"/>
    <w:rsid w:val="568F468B"/>
    <w:rsid w:val="569021B1"/>
    <w:rsid w:val="56927CD7"/>
    <w:rsid w:val="56951575"/>
    <w:rsid w:val="569972B8"/>
    <w:rsid w:val="56A04826"/>
    <w:rsid w:val="56A31EE4"/>
    <w:rsid w:val="56A826AF"/>
    <w:rsid w:val="56A877FD"/>
    <w:rsid w:val="56A95021"/>
    <w:rsid w:val="56AA3DFF"/>
    <w:rsid w:val="56B37C4E"/>
    <w:rsid w:val="56B45E9F"/>
    <w:rsid w:val="56B85264"/>
    <w:rsid w:val="56B91708"/>
    <w:rsid w:val="56BC6B02"/>
    <w:rsid w:val="56BE0ACC"/>
    <w:rsid w:val="56C34335"/>
    <w:rsid w:val="56C43C09"/>
    <w:rsid w:val="56C500AD"/>
    <w:rsid w:val="56CC5D09"/>
    <w:rsid w:val="56D55E16"/>
    <w:rsid w:val="56E2065A"/>
    <w:rsid w:val="56E76B7E"/>
    <w:rsid w:val="56EA7B13"/>
    <w:rsid w:val="56F40992"/>
    <w:rsid w:val="57062473"/>
    <w:rsid w:val="570F1328"/>
    <w:rsid w:val="572152E4"/>
    <w:rsid w:val="57234DD3"/>
    <w:rsid w:val="57272B15"/>
    <w:rsid w:val="572A09D8"/>
    <w:rsid w:val="572A6162"/>
    <w:rsid w:val="572B2037"/>
    <w:rsid w:val="572C012C"/>
    <w:rsid w:val="572D17AE"/>
    <w:rsid w:val="57326FEF"/>
    <w:rsid w:val="57390153"/>
    <w:rsid w:val="574472CC"/>
    <w:rsid w:val="574B7E86"/>
    <w:rsid w:val="574D0C27"/>
    <w:rsid w:val="574F3E1A"/>
    <w:rsid w:val="57574F5E"/>
    <w:rsid w:val="575B456D"/>
    <w:rsid w:val="57603931"/>
    <w:rsid w:val="57607DD5"/>
    <w:rsid w:val="57655531"/>
    <w:rsid w:val="576A47B0"/>
    <w:rsid w:val="57713D91"/>
    <w:rsid w:val="57743B14"/>
    <w:rsid w:val="577759F1"/>
    <w:rsid w:val="577D0987"/>
    <w:rsid w:val="57803FD4"/>
    <w:rsid w:val="57853398"/>
    <w:rsid w:val="578C4726"/>
    <w:rsid w:val="579655A5"/>
    <w:rsid w:val="579B705F"/>
    <w:rsid w:val="57A001D2"/>
    <w:rsid w:val="57A2219C"/>
    <w:rsid w:val="57B7551B"/>
    <w:rsid w:val="57CA524F"/>
    <w:rsid w:val="57CC4F2E"/>
    <w:rsid w:val="57CD4D3F"/>
    <w:rsid w:val="57CF0AB7"/>
    <w:rsid w:val="57D12A81"/>
    <w:rsid w:val="57D61E46"/>
    <w:rsid w:val="57D97434"/>
    <w:rsid w:val="57DB7C26"/>
    <w:rsid w:val="57DD4F82"/>
    <w:rsid w:val="57E74053"/>
    <w:rsid w:val="57E845CF"/>
    <w:rsid w:val="57E9601D"/>
    <w:rsid w:val="57EA3B43"/>
    <w:rsid w:val="57EA58F1"/>
    <w:rsid w:val="57EE53E1"/>
    <w:rsid w:val="57F549C2"/>
    <w:rsid w:val="57F73ACE"/>
    <w:rsid w:val="57FB365A"/>
    <w:rsid w:val="58022C3B"/>
    <w:rsid w:val="58036411"/>
    <w:rsid w:val="5805272B"/>
    <w:rsid w:val="5814436C"/>
    <w:rsid w:val="581A61D6"/>
    <w:rsid w:val="581F37ED"/>
    <w:rsid w:val="582C415B"/>
    <w:rsid w:val="582E1C82"/>
    <w:rsid w:val="582E3A30"/>
    <w:rsid w:val="583059FA"/>
    <w:rsid w:val="58366D88"/>
    <w:rsid w:val="583D1EC5"/>
    <w:rsid w:val="58403763"/>
    <w:rsid w:val="58414AFB"/>
    <w:rsid w:val="58450D79"/>
    <w:rsid w:val="58496ABB"/>
    <w:rsid w:val="584A6390"/>
    <w:rsid w:val="585A4825"/>
    <w:rsid w:val="585B2817"/>
    <w:rsid w:val="585F008D"/>
    <w:rsid w:val="586B07E0"/>
    <w:rsid w:val="58704048"/>
    <w:rsid w:val="58727DC0"/>
    <w:rsid w:val="5878114F"/>
    <w:rsid w:val="587C24DF"/>
    <w:rsid w:val="58816255"/>
    <w:rsid w:val="58825B29"/>
    <w:rsid w:val="5883051A"/>
    <w:rsid w:val="58847AF3"/>
    <w:rsid w:val="588C0756"/>
    <w:rsid w:val="589D2963"/>
    <w:rsid w:val="58A214AB"/>
    <w:rsid w:val="58A957AC"/>
    <w:rsid w:val="58B008E9"/>
    <w:rsid w:val="58C11A8A"/>
    <w:rsid w:val="58C12AF6"/>
    <w:rsid w:val="58C82E25"/>
    <w:rsid w:val="58D5034F"/>
    <w:rsid w:val="58DA3BE0"/>
    <w:rsid w:val="58DA7713"/>
    <w:rsid w:val="58E42340"/>
    <w:rsid w:val="58E6430A"/>
    <w:rsid w:val="58E92D07"/>
    <w:rsid w:val="58E95BA9"/>
    <w:rsid w:val="58EB1C74"/>
    <w:rsid w:val="58ED38EB"/>
    <w:rsid w:val="58ED5699"/>
    <w:rsid w:val="58EF1411"/>
    <w:rsid w:val="58F3297C"/>
    <w:rsid w:val="58FF201C"/>
    <w:rsid w:val="59084281"/>
    <w:rsid w:val="590F1AB3"/>
    <w:rsid w:val="5915699E"/>
    <w:rsid w:val="591C1ADA"/>
    <w:rsid w:val="591E7A48"/>
    <w:rsid w:val="591F781C"/>
    <w:rsid w:val="59254E33"/>
    <w:rsid w:val="592866D1"/>
    <w:rsid w:val="59287D51"/>
    <w:rsid w:val="592B4413"/>
    <w:rsid w:val="593508D3"/>
    <w:rsid w:val="59360DE3"/>
    <w:rsid w:val="593E5EF4"/>
    <w:rsid w:val="59417793"/>
    <w:rsid w:val="59464DA9"/>
    <w:rsid w:val="59484FC5"/>
    <w:rsid w:val="594B0EF4"/>
    <w:rsid w:val="595079D6"/>
    <w:rsid w:val="5954396A"/>
    <w:rsid w:val="59592D2E"/>
    <w:rsid w:val="595C45CC"/>
    <w:rsid w:val="59637797"/>
    <w:rsid w:val="596A0A97"/>
    <w:rsid w:val="596A6CE9"/>
    <w:rsid w:val="597B2CA5"/>
    <w:rsid w:val="597D47F6"/>
    <w:rsid w:val="598558D1"/>
    <w:rsid w:val="598C3104"/>
    <w:rsid w:val="59973856"/>
    <w:rsid w:val="5999312B"/>
    <w:rsid w:val="59A10231"/>
    <w:rsid w:val="59A57163"/>
    <w:rsid w:val="59A85A64"/>
    <w:rsid w:val="59AA358A"/>
    <w:rsid w:val="59B45DA0"/>
    <w:rsid w:val="59BA6FCD"/>
    <w:rsid w:val="59BC2D25"/>
    <w:rsid w:val="59C06909"/>
    <w:rsid w:val="59C503C4"/>
    <w:rsid w:val="59CA3C2C"/>
    <w:rsid w:val="59CB7C49"/>
    <w:rsid w:val="59CE54CA"/>
    <w:rsid w:val="59CF1242"/>
    <w:rsid w:val="59DB7BE7"/>
    <w:rsid w:val="59E24AD2"/>
    <w:rsid w:val="59E92304"/>
    <w:rsid w:val="59EE5898"/>
    <w:rsid w:val="59F42A57"/>
    <w:rsid w:val="59F6057D"/>
    <w:rsid w:val="59F9006D"/>
    <w:rsid w:val="59FD7B5D"/>
    <w:rsid w:val="59FF38D6"/>
    <w:rsid w:val="5A0233C6"/>
    <w:rsid w:val="5A026F22"/>
    <w:rsid w:val="5A054C64"/>
    <w:rsid w:val="5A0709DC"/>
    <w:rsid w:val="5A0802B0"/>
    <w:rsid w:val="5A0823C0"/>
    <w:rsid w:val="5A097BEB"/>
    <w:rsid w:val="5A0A2FAF"/>
    <w:rsid w:val="5A0C5FF2"/>
    <w:rsid w:val="5A0C7DA1"/>
    <w:rsid w:val="5A0E58C7"/>
    <w:rsid w:val="5A144EA7"/>
    <w:rsid w:val="5A1A69AD"/>
    <w:rsid w:val="5A1D3D5C"/>
    <w:rsid w:val="5A1F56FD"/>
    <w:rsid w:val="5A1F5EE9"/>
    <w:rsid w:val="5A1F7AD4"/>
    <w:rsid w:val="5A2450EA"/>
    <w:rsid w:val="5A266FC0"/>
    <w:rsid w:val="5A2C3F9F"/>
    <w:rsid w:val="5A2F3A8F"/>
    <w:rsid w:val="5A3A0ECE"/>
    <w:rsid w:val="5A3B0686"/>
    <w:rsid w:val="5A3D61AC"/>
    <w:rsid w:val="5A46501F"/>
    <w:rsid w:val="5A470297"/>
    <w:rsid w:val="5A511C57"/>
    <w:rsid w:val="5A61633E"/>
    <w:rsid w:val="5A673229"/>
    <w:rsid w:val="5A6C6A91"/>
    <w:rsid w:val="5A6E0A5B"/>
    <w:rsid w:val="5A7B0A82"/>
    <w:rsid w:val="5A7C4F26"/>
    <w:rsid w:val="5A7C777C"/>
    <w:rsid w:val="5A7F1F48"/>
    <w:rsid w:val="5A8738CB"/>
    <w:rsid w:val="5A8E2EAB"/>
    <w:rsid w:val="5A9102A6"/>
    <w:rsid w:val="5A9658BC"/>
    <w:rsid w:val="5A9A3496"/>
    <w:rsid w:val="5AA47FD9"/>
    <w:rsid w:val="5AA862C2"/>
    <w:rsid w:val="5AAB75B9"/>
    <w:rsid w:val="5AAE2453"/>
    <w:rsid w:val="5AB14005"/>
    <w:rsid w:val="5AB741B0"/>
    <w:rsid w:val="5AB87F28"/>
    <w:rsid w:val="5ABA3CA0"/>
    <w:rsid w:val="5AC11AB8"/>
    <w:rsid w:val="5AC228E4"/>
    <w:rsid w:val="5AC6337D"/>
    <w:rsid w:val="5AC8016B"/>
    <w:rsid w:val="5AC97A40"/>
    <w:rsid w:val="5ACC12DE"/>
    <w:rsid w:val="5ACD39D4"/>
    <w:rsid w:val="5ACD5782"/>
    <w:rsid w:val="5ACE005D"/>
    <w:rsid w:val="5AD00DCE"/>
    <w:rsid w:val="5ADC59C5"/>
    <w:rsid w:val="5AE44879"/>
    <w:rsid w:val="5AE64A95"/>
    <w:rsid w:val="5AE66844"/>
    <w:rsid w:val="5AE96334"/>
    <w:rsid w:val="5AEC3921"/>
    <w:rsid w:val="5AED1980"/>
    <w:rsid w:val="5AF820D3"/>
    <w:rsid w:val="5AFD593B"/>
    <w:rsid w:val="5AFF7905"/>
    <w:rsid w:val="5B062255"/>
    <w:rsid w:val="5B0D5B7E"/>
    <w:rsid w:val="5B155E6E"/>
    <w:rsid w:val="5B172EA1"/>
    <w:rsid w:val="5B1A473F"/>
    <w:rsid w:val="5B1A64ED"/>
    <w:rsid w:val="5B1B2426"/>
    <w:rsid w:val="5B1C04B7"/>
    <w:rsid w:val="5B2630E4"/>
    <w:rsid w:val="5B37709F"/>
    <w:rsid w:val="5B3953A2"/>
    <w:rsid w:val="5B4377F2"/>
    <w:rsid w:val="5B4B48F9"/>
    <w:rsid w:val="5B4C63CC"/>
    <w:rsid w:val="5B4E6197"/>
    <w:rsid w:val="5B4F263B"/>
    <w:rsid w:val="5B552E99"/>
    <w:rsid w:val="5B5C08B4"/>
    <w:rsid w:val="5B5E15D6"/>
    <w:rsid w:val="5B631188"/>
    <w:rsid w:val="5B6737D2"/>
    <w:rsid w:val="5B6D3372"/>
    <w:rsid w:val="5B7025B1"/>
    <w:rsid w:val="5B7150DC"/>
    <w:rsid w:val="5B806305"/>
    <w:rsid w:val="5B8322E4"/>
    <w:rsid w:val="5B85763D"/>
    <w:rsid w:val="5B8A0C0A"/>
    <w:rsid w:val="5B8A5421"/>
    <w:rsid w:val="5B8A71CF"/>
    <w:rsid w:val="5B91147E"/>
    <w:rsid w:val="5B94004E"/>
    <w:rsid w:val="5B962018"/>
    <w:rsid w:val="5B977B3E"/>
    <w:rsid w:val="5BA1390C"/>
    <w:rsid w:val="5BAB6C05"/>
    <w:rsid w:val="5BB16E51"/>
    <w:rsid w:val="5BB701E0"/>
    <w:rsid w:val="5BC329F6"/>
    <w:rsid w:val="5BC61731"/>
    <w:rsid w:val="5BC66BAE"/>
    <w:rsid w:val="5BCA3A6F"/>
    <w:rsid w:val="5BD26DC8"/>
    <w:rsid w:val="5BD448EE"/>
    <w:rsid w:val="5BD70683"/>
    <w:rsid w:val="5BDB3ECE"/>
    <w:rsid w:val="5BDC19F5"/>
    <w:rsid w:val="5BE1734D"/>
    <w:rsid w:val="5BE2525D"/>
    <w:rsid w:val="5BE30FD5"/>
    <w:rsid w:val="5BEC315F"/>
    <w:rsid w:val="5BED4BFC"/>
    <w:rsid w:val="5BEF1728"/>
    <w:rsid w:val="5BF22FC6"/>
    <w:rsid w:val="5BF40AEC"/>
    <w:rsid w:val="5BFE196B"/>
    <w:rsid w:val="5BFE7AC0"/>
    <w:rsid w:val="5C034C57"/>
    <w:rsid w:val="5C0C4088"/>
    <w:rsid w:val="5C1906F7"/>
    <w:rsid w:val="5C1949F7"/>
    <w:rsid w:val="5C1F025F"/>
    <w:rsid w:val="5C2426E2"/>
    <w:rsid w:val="5C28441B"/>
    <w:rsid w:val="5C367357"/>
    <w:rsid w:val="5C390BF5"/>
    <w:rsid w:val="5C425CFC"/>
    <w:rsid w:val="5C441A74"/>
    <w:rsid w:val="5C4C26D6"/>
    <w:rsid w:val="5C4C62B6"/>
    <w:rsid w:val="5C4D5980"/>
    <w:rsid w:val="5C4F21C6"/>
    <w:rsid w:val="5C617A21"/>
    <w:rsid w:val="5C684CA7"/>
    <w:rsid w:val="5C7659A5"/>
    <w:rsid w:val="5C7B120D"/>
    <w:rsid w:val="5C7E4524"/>
    <w:rsid w:val="5C853E3A"/>
    <w:rsid w:val="5C8A31FF"/>
    <w:rsid w:val="5C8E1685"/>
    <w:rsid w:val="5C9347A9"/>
    <w:rsid w:val="5C936557"/>
    <w:rsid w:val="5C9A5B38"/>
    <w:rsid w:val="5CA42512"/>
    <w:rsid w:val="5CA442C0"/>
    <w:rsid w:val="5CA46188"/>
    <w:rsid w:val="5CA70254"/>
    <w:rsid w:val="5CAB1AF3"/>
    <w:rsid w:val="5CB309A7"/>
    <w:rsid w:val="5CB441CB"/>
    <w:rsid w:val="5CB5471F"/>
    <w:rsid w:val="5CB63FF4"/>
    <w:rsid w:val="5CBA789F"/>
    <w:rsid w:val="5CC76201"/>
    <w:rsid w:val="5CC86AA9"/>
    <w:rsid w:val="5CCB3F43"/>
    <w:rsid w:val="5CD03307"/>
    <w:rsid w:val="5CD77696"/>
    <w:rsid w:val="5CDA23D8"/>
    <w:rsid w:val="5CDA5F34"/>
    <w:rsid w:val="5CE15514"/>
    <w:rsid w:val="5CE648D9"/>
    <w:rsid w:val="5CE768A3"/>
    <w:rsid w:val="5CE84AF5"/>
    <w:rsid w:val="5CF214D0"/>
    <w:rsid w:val="5CF63C07"/>
    <w:rsid w:val="5D013E49"/>
    <w:rsid w:val="5D0631CD"/>
    <w:rsid w:val="5D072AA1"/>
    <w:rsid w:val="5D076E85"/>
    <w:rsid w:val="5D094A6B"/>
    <w:rsid w:val="5D105DFA"/>
    <w:rsid w:val="5D1A0A26"/>
    <w:rsid w:val="5D1D4073"/>
    <w:rsid w:val="5D1E0517"/>
    <w:rsid w:val="5D276C9F"/>
    <w:rsid w:val="5D290C69"/>
    <w:rsid w:val="5D2B2C34"/>
    <w:rsid w:val="5D380EAD"/>
    <w:rsid w:val="5D395350"/>
    <w:rsid w:val="5D411690"/>
    <w:rsid w:val="5D417D61"/>
    <w:rsid w:val="5D444541"/>
    <w:rsid w:val="5D445AA3"/>
    <w:rsid w:val="5D461ACD"/>
    <w:rsid w:val="5D4F6922"/>
    <w:rsid w:val="5D551A5E"/>
    <w:rsid w:val="5D577226"/>
    <w:rsid w:val="5D5850AB"/>
    <w:rsid w:val="5D5A0E23"/>
    <w:rsid w:val="5D610403"/>
    <w:rsid w:val="5D691D08"/>
    <w:rsid w:val="5D6972B8"/>
    <w:rsid w:val="5D6B1282"/>
    <w:rsid w:val="5D6E48CE"/>
    <w:rsid w:val="5D700646"/>
    <w:rsid w:val="5D757F2A"/>
    <w:rsid w:val="5D7A14C5"/>
    <w:rsid w:val="5D7E1EC0"/>
    <w:rsid w:val="5D7E7207"/>
    <w:rsid w:val="5D881E34"/>
    <w:rsid w:val="5D8B722E"/>
    <w:rsid w:val="5D8D744A"/>
    <w:rsid w:val="5D910111"/>
    <w:rsid w:val="5D9C143B"/>
    <w:rsid w:val="5DAA1DAA"/>
    <w:rsid w:val="5DAF73C1"/>
    <w:rsid w:val="5DB073BD"/>
    <w:rsid w:val="5DB76275"/>
    <w:rsid w:val="5DBC388C"/>
    <w:rsid w:val="5DC04054"/>
    <w:rsid w:val="5DC664B8"/>
    <w:rsid w:val="5DC83BCB"/>
    <w:rsid w:val="5DCD5A99"/>
    <w:rsid w:val="5DE66B5A"/>
    <w:rsid w:val="5DEC4171"/>
    <w:rsid w:val="5DF50B4C"/>
    <w:rsid w:val="5DF63241"/>
    <w:rsid w:val="5DF64FF0"/>
    <w:rsid w:val="5DF70D68"/>
    <w:rsid w:val="5DF84C2A"/>
    <w:rsid w:val="5DFB3886"/>
    <w:rsid w:val="5DFD2E9D"/>
    <w:rsid w:val="5E0019CA"/>
    <w:rsid w:val="5E0451A4"/>
    <w:rsid w:val="5E0B036F"/>
    <w:rsid w:val="5E0F095E"/>
    <w:rsid w:val="5E1C432A"/>
    <w:rsid w:val="5E2733FB"/>
    <w:rsid w:val="5E2A6A47"/>
    <w:rsid w:val="5E345259"/>
    <w:rsid w:val="5E3478C6"/>
    <w:rsid w:val="5E361890"/>
    <w:rsid w:val="5E3C0DFF"/>
    <w:rsid w:val="5E3E24F3"/>
    <w:rsid w:val="5E473A9D"/>
    <w:rsid w:val="5E510478"/>
    <w:rsid w:val="5E5E1807"/>
    <w:rsid w:val="5E5E507D"/>
    <w:rsid w:val="5E622685"/>
    <w:rsid w:val="5E714676"/>
    <w:rsid w:val="5E7D74BF"/>
    <w:rsid w:val="5E856E14"/>
    <w:rsid w:val="5E8E122B"/>
    <w:rsid w:val="5E9B16F3"/>
    <w:rsid w:val="5EA04F5B"/>
    <w:rsid w:val="5EAA582E"/>
    <w:rsid w:val="5EAC1B52"/>
    <w:rsid w:val="5EB804F7"/>
    <w:rsid w:val="5EB86749"/>
    <w:rsid w:val="5EC0115A"/>
    <w:rsid w:val="5EC455DD"/>
    <w:rsid w:val="5ECB022A"/>
    <w:rsid w:val="5ED2780B"/>
    <w:rsid w:val="5ED30E8D"/>
    <w:rsid w:val="5ED35C98"/>
    <w:rsid w:val="5EDA252D"/>
    <w:rsid w:val="5EDB41E5"/>
    <w:rsid w:val="5EE27322"/>
    <w:rsid w:val="5EE56C45"/>
    <w:rsid w:val="5EE72B8A"/>
    <w:rsid w:val="5EEB4428"/>
    <w:rsid w:val="5EFA0B0F"/>
    <w:rsid w:val="5EFA28BD"/>
    <w:rsid w:val="5F0059FA"/>
    <w:rsid w:val="5F0454EA"/>
    <w:rsid w:val="5F0674B4"/>
    <w:rsid w:val="5F100333"/>
    <w:rsid w:val="5F1020E1"/>
    <w:rsid w:val="5F1A2F60"/>
    <w:rsid w:val="5F2E6A0B"/>
    <w:rsid w:val="5F363573"/>
    <w:rsid w:val="5F3833E6"/>
    <w:rsid w:val="5F406A61"/>
    <w:rsid w:val="5F41229A"/>
    <w:rsid w:val="5F4955F3"/>
    <w:rsid w:val="5F4D50E3"/>
    <w:rsid w:val="5F4E105B"/>
    <w:rsid w:val="5F530220"/>
    <w:rsid w:val="5F593A88"/>
    <w:rsid w:val="5F5D4BFA"/>
    <w:rsid w:val="5F5F6BC4"/>
    <w:rsid w:val="5F610B8F"/>
    <w:rsid w:val="5F6917F1"/>
    <w:rsid w:val="5F6D7533"/>
    <w:rsid w:val="5F742670"/>
    <w:rsid w:val="5F772160"/>
    <w:rsid w:val="5F7E529D"/>
    <w:rsid w:val="5F8403D9"/>
    <w:rsid w:val="5F8605F5"/>
    <w:rsid w:val="5F8A1E93"/>
    <w:rsid w:val="5F8C7892"/>
    <w:rsid w:val="5F93061C"/>
    <w:rsid w:val="5F9677AA"/>
    <w:rsid w:val="5F981E7B"/>
    <w:rsid w:val="5FA10F8B"/>
    <w:rsid w:val="5FA171DD"/>
    <w:rsid w:val="5FB52C88"/>
    <w:rsid w:val="5FB76A00"/>
    <w:rsid w:val="5FB97010"/>
    <w:rsid w:val="5FCB425A"/>
    <w:rsid w:val="5FDA624B"/>
    <w:rsid w:val="5FDF3861"/>
    <w:rsid w:val="5FE13A7D"/>
    <w:rsid w:val="5FE570CA"/>
    <w:rsid w:val="5FE75BC2"/>
    <w:rsid w:val="5FEB0458"/>
    <w:rsid w:val="5FEF7F48"/>
    <w:rsid w:val="5FF10494"/>
    <w:rsid w:val="5FF92B75"/>
    <w:rsid w:val="5FFC5411"/>
    <w:rsid w:val="60017C7C"/>
    <w:rsid w:val="60064219"/>
    <w:rsid w:val="60082DB8"/>
    <w:rsid w:val="600B024A"/>
    <w:rsid w:val="60140503"/>
    <w:rsid w:val="6014175D"/>
    <w:rsid w:val="601531AE"/>
    <w:rsid w:val="6017124D"/>
    <w:rsid w:val="601B2AEB"/>
    <w:rsid w:val="60235301"/>
    <w:rsid w:val="602446D4"/>
    <w:rsid w:val="60251BBC"/>
    <w:rsid w:val="602C4CF9"/>
    <w:rsid w:val="603040BD"/>
    <w:rsid w:val="60310124"/>
    <w:rsid w:val="60340051"/>
    <w:rsid w:val="60343A63"/>
    <w:rsid w:val="60343BAD"/>
    <w:rsid w:val="60367D1F"/>
    <w:rsid w:val="60457B68"/>
    <w:rsid w:val="604638E0"/>
    <w:rsid w:val="60483AFC"/>
    <w:rsid w:val="60522285"/>
    <w:rsid w:val="605576C0"/>
    <w:rsid w:val="6057789C"/>
    <w:rsid w:val="605B738C"/>
    <w:rsid w:val="605E0C2A"/>
    <w:rsid w:val="60675917"/>
    <w:rsid w:val="606A7DDE"/>
    <w:rsid w:val="606F2E37"/>
    <w:rsid w:val="60771CEC"/>
    <w:rsid w:val="60795A64"/>
    <w:rsid w:val="60803296"/>
    <w:rsid w:val="60805044"/>
    <w:rsid w:val="608A0F77"/>
    <w:rsid w:val="608A1A1F"/>
    <w:rsid w:val="608F2EE2"/>
    <w:rsid w:val="60932FCA"/>
    <w:rsid w:val="609B70D6"/>
    <w:rsid w:val="609C5C96"/>
    <w:rsid w:val="609D5BF6"/>
    <w:rsid w:val="609E54CA"/>
    <w:rsid w:val="60A52CFD"/>
    <w:rsid w:val="60AC408B"/>
    <w:rsid w:val="60AE1BB1"/>
    <w:rsid w:val="60AF7C3B"/>
    <w:rsid w:val="60C767CF"/>
    <w:rsid w:val="60CC028A"/>
    <w:rsid w:val="60CC2038"/>
    <w:rsid w:val="60DF7FBD"/>
    <w:rsid w:val="60E5134B"/>
    <w:rsid w:val="60EC6AD0"/>
    <w:rsid w:val="60F65306"/>
    <w:rsid w:val="60FC2B53"/>
    <w:rsid w:val="61016185"/>
    <w:rsid w:val="61046C4E"/>
    <w:rsid w:val="61070932"/>
    <w:rsid w:val="61146BAF"/>
    <w:rsid w:val="611834CF"/>
    <w:rsid w:val="612956DC"/>
    <w:rsid w:val="612B0641"/>
    <w:rsid w:val="61355E2F"/>
    <w:rsid w:val="61357BDD"/>
    <w:rsid w:val="61406582"/>
    <w:rsid w:val="614147D4"/>
    <w:rsid w:val="6142679E"/>
    <w:rsid w:val="61493688"/>
    <w:rsid w:val="61594F47"/>
    <w:rsid w:val="616109D2"/>
    <w:rsid w:val="61614E76"/>
    <w:rsid w:val="616404C2"/>
    <w:rsid w:val="6166423A"/>
    <w:rsid w:val="616D381B"/>
    <w:rsid w:val="61783AE7"/>
    <w:rsid w:val="61842912"/>
    <w:rsid w:val="61880654"/>
    <w:rsid w:val="61891CD7"/>
    <w:rsid w:val="619012B7"/>
    <w:rsid w:val="61903065"/>
    <w:rsid w:val="61A419B3"/>
    <w:rsid w:val="61A84853"/>
    <w:rsid w:val="61AD3C17"/>
    <w:rsid w:val="61B51D6C"/>
    <w:rsid w:val="61B52ACC"/>
    <w:rsid w:val="61B76844"/>
    <w:rsid w:val="61B96A60"/>
    <w:rsid w:val="61BA27D8"/>
    <w:rsid w:val="61BA4586"/>
    <w:rsid w:val="61BE4076"/>
    <w:rsid w:val="61BF79AE"/>
    <w:rsid w:val="61C133FC"/>
    <w:rsid w:val="61C55405"/>
    <w:rsid w:val="61CB0541"/>
    <w:rsid w:val="61DB4C28"/>
    <w:rsid w:val="61E11B13"/>
    <w:rsid w:val="61E829F1"/>
    <w:rsid w:val="61ED495B"/>
    <w:rsid w:val="61F061FA"/>
    <w:rsid w:val="61F71336"/>
    <w:rsid w:val="62070F6A"/>
    <w:rsid w:val="620A72BB"/>
    <w:rsid w:val="62195750"/>
    <w:rsid w:val="622F6D22"/>
    <w:rsid w:val="623205C0"/>
    <w:rsid w:val="623954AB"/>
    <w:rsid w:val="623F15C0"/>
    <w:rsid w:val="624008D3"/>
    <w:rsid w:val="624014A4"/>
    <w:rsid w:val="62456DC6"/>
    <w:rsid w:val="62467BC8"/>
    <w:rsid w:val="6249622F"/>
    <w:rsid w:val="62595B4D"/>
    <w:rsid w:val="62600C6F"/>
    <w:rsid w:val="62652744"/>
    <w:rsid w:val="62662018"/>
    <w:rsid w:val="626A1B08"/>
    <w:rsid w:val="626A1E97"/>
    <w:rsid w:val="627666FF"/>
    <w:rsid w:val="62776EE9"/>
    <w:rsid w:val="627961EF"/>
    <w:rsid w:val="627E55B4"/>
    <w:rsid w:val="628506F0"/>
    <w:rsid w:val="62856942"/>
    <w:rsid w:val="628A3147"/>
    <w:rsid w:val="62905318"/>
    <w:rsid w:val="62917095"/>
    <w:rsid w:val="62943029"/>
    <w:rsid w:val="62960B4F"/>
    <w:rsid w:val="629628FD"/>
    <w:rsid w:val="629923ED"/>
    <w:rsid w:val="629D3C8C"/>
    <w:rsid w:val="62A465C7"/>
    <w:rsid w:val="62AC3ECF"/>
    <w:rsid w:val="62B611F1"/>
    <w:rsid w:val="62B752C8"/>
    <w:rsid w:val="62BD60DC"/>
    <w:rsid w:val="62C0797A"/>
    <w:rsid w:val="62C52604"/>
    <w:rsid w:val="62C90F25"/>
    <w:rsid w:val="62DB4D1F"/>
    <w:rsid w:val="62DE2F31"/>
    <w:rsid w:val="62EA0E9B"/>
    <w:rsid w:val="62EB24E4"/>
    <w:rsid w:val="62EF64B1"/>
    <w:rsid w:val="62F835B8"/>
    <w:rsid w:val="62F85366"/>
    <w:rsid w:val="63084EEC"/>
    <w:rsid w:val="630E2DDB"/>
    <w:rsid w:val="630F1A37"/>
    <w:rsid w:val="631877B6"/>
    <w:rsid w:val="631A52DC"/>
    <w:rsid w:val="6321507E"/>
    <w:rsid w:val="63293771"/>
    <w:rsid w:val="632E2B36"/>
    <w:rsid w:val="633839B4"/>
    <w:rsid w:val="633F2F95"/>
    <w:rsid w:val="6344708E"/>
    <w:rsid w:val="634A36E8"/>
    <w:rsid w:val="63503F39"/>
    <w:rsid w:val="63512CC8"/>
    <w:rsid w:val="63604CB9"/>
    <w:rsid w:val="63685C2A"/>
    <w:rsid w:val="636C365E"/>
    <w:rsid w:val="637349EC"/>
    <w:rsid w:val="637569B7"/>
    <w:rsid w:val="637846F9"/>
    <w:rsid w:val="63862972"/>
    <w:rsid w:val="6393508F"/>
    <w:rsid w:val="639D7CBB"/>
    <w:rsid w:val="63A01280"/>
    <w:rsid w:val="63B23B01"/>
    <w:rsid w:val="63C16768"/>
    <w:rsid w:val="63C65464"/>
    <w:rsid w:val="63C811DC"/>
    <w:rsid w:val="63C94F54"/>
    <w:rsid w:val="63CD67F3"/>
    <w:rsid w:val="63DD630A"/>
    <w:rsid w:val="63E47698"/>
    <w:rsid w:val="63E853DA"/>
    <w:rsid w:val="63E92F01"/>
    <w:rsid w:val="63F35B2D"/>
    <w:rsid w:val="63F975E8"/>
    <w:rsid w:val="63FC5AE3"/>
    <w:rsid w:val="640146EE"/>
    <w:rsid w:val="64041AE8"/>
    <w:rsid w:val="64047D3A"/>
    <w:rsid w:val="64063AB3"/>
    <w:rsid w:val="640815D9"/>
    <w:rsid w:val="64176BC2"/>
    <w:rsid w:val="641B1CDA"/>
    <w:rsid w:val="641E4AFE"/>
    <w:rsid w:val="64202DC6"/>
    <w:rsid w:val="64267CB1"/>
    <w:rsid w:val="6429154F"/>
    <w:rsid w:val="64322AF9"/>
    <w:rsid w:val="64373C6C"/>
    <w:rsid w:val="644545DB"/>
    <w:rsid w:val="64466BF9"/>
    <w:rsid w:val="64487C27"/>
    <w:rsid w:val="64552344"/>
    <w:rsid w:val="646619F8"/>
    <w:rsid w:val="646627A3"/>
    <w:rsid w:val="646C6C8B"/>
    <w:rsid w:val="646F3406"/>
    <w:rsid w:val="64721148"/>
    <w:rsid w:val="647527DE"/>
    <w:rsid w:val="647E189B"/>
    <w:rsid w:val="64805613"/>
    <w:rsid w:val="649C7F73"/>
    <w:rsid w:val="649E1F3D"/>
    <w:rsid w:val="64A07A63"/>
    <w:rsid w:val="64B67287"/>
    <w:rsid w:val="64B81251"/>
    <w:rsid w:val="64B90B25"/>
    <w:rsid w:val="64BC23C3"/>
    <w:rsid w:val="64C01EB3"/>
    <w:rsid w:val="64C5396E"/>
    <w:rsid w:val="64CA0F84"/>
    <w:rsid w:val="64D65468"/>
    <w:rsid w:val="64D94D23"/>
    <w:rsid w:val="64DD55CE"/>
    <w:rsid w:val="64E262CE"/>
    <w:rsid w:val="64E75689"/>
    <w:rsid w:val="64EC0EFA"/>
    <w:rsid w:val="64EE6A20"/>
    <w:rsid w:val="64F270AC"/>
    <w:rsid w:val="64F46001"/>
    <w:rsid w:val="65110961"/>
    <w:rsid w:val="651144BD"/>
    <w:rsid w:val="651915C4"/>
    <w:rsid w:val="651D7306"/>
    <w:rsid w:val="65222B6E"/>
    <w:rsid w:val="6522491C"/>
    <w:rsid w:val="652561BA"/>
    <w:rsid w:val="653463FD"/>
    <w:rsid w:val="65353EFA"/>
    <w:rsid w:val="653A1C66"/>
    <w:rsid w:val="65401246"/>
    <w:rsid w:val="65491EA9"/>
    <w:rsid w:val="654A79CF"/>
    <w:rsid w:val="65521AC0"/>
    <w:rsid w:val="65622F6B"/>
    <w:rsid w:val="65626DAD"/>
    <w:rsid w:val="65640A91"/>
    <w:rsid w:val="656B62C3"/>
    <w:rsid w:val="65705687"/>
    <w:rsid w:val="65764C68"/>
    <w:rsid w:val="6578453C"/>
    <w:rsid w:val="657A02FC"/>
    <w:rsid w:val="65801643"/>
    <w:rsid w:val="65847385"/>
    <w:rsid w:val="658911AC"/>
    <w:rsid w:val="658C7FE7"/>
    <w:rsid w:val="659163EA"/>
    <w:rsid w:val="65921C11"/>
    <w:rsid w:val="659770B8"/>
    <w:rsid w:val="65B732B6"/>
    <w:rsid w:val="65B80DDC"/>
    <w:rsid w:val="65BD2897"/>
    <w:rsid w:val="65C14135"/>
    <w:rsid w:val="65C37EAD"/>
    <w:rsid w:val="65C47E2B"/>
    <w:rsid w:val="65CE6852"/>
    <w:rsid w:val="65D774B5"/>
    <w:rsid w:val="65DD6A95"/>
    <w:rsid w:val="65E10333"/>
    <w:rsid w:val="65EE0CA2"/>
    <w:rsid w:val="65F71905"/>
    <w:rsid w:val="65FA31A3"/>
    <w:rsid w:val="65FE7137"/>
    <w:rsid w:val="66061B48"/>
    <w:rsid w:val="66091638"/>
    <w:rsid w:val="660F30F2"/>
    <w:rsid w:val="66106E6A"/>
    <w:rsid w:val="66171FA7"/>
    <w:rsid w:val="66173D55"/>
    <w:rsid w:val="661922A3"/>
    <w:rsid w:val="661A1A97"/>
    <w:rsid w:val="6626043C"/>
    <w:rsid w:val="662817F5"/>
    <w:rsid w:val="662D17CA"/>
    <w:rsid w:val="662F5543"/>
    <w:rsid w:val="66315729"/>
    <w:rsid w:val="66320B8F"/>
    <w:rsid w:val="663C2940"/>
    <w:rsid w:val="66415276"/>
    <w:rsid w:val="664408C2"/>
    <w:rsid w:val="66486604"/>
    <w:rsid w:val="665662B2"/>
    <w:rsid w:val="66666A8A"/>
    <w:rsid w:val="666B5E4F"/>
    <w:rsid w:val="66774BB5"/>
    <w:rsid w:val="667967BE"/>
    <w:rsid w:val="667968C4"/>
    <w:rsid w:val="667A42E4"/>
    <w:rsid w:val="66815672"/>
    <w:rsid w:val="66855163"/>
    <w:rsid w:val="66860EDB"/>
    <w:rsid w:val="6698278F"/>
    <w:rsid w:val="66990C0E"/>
    <w:rsid w:val="669D090A"/>
    <w:rsid w:val="66A650D9"/>
    <w:rsid w:val="66AA2E1B"/>
    <w:rsid w:val="66AD46B9"/>
    <w:rsid w:val="66C0619B"/>
    <w:rsid w:val="66C13CC1"/>
    <w:rsid w:val="66C537B1"/>
    <w:rsid w:val="66CD4D5B"/>
    <w:rsid w:val="66D32372"/>
    <w:rsid w:val="66D87988"/>
    <w:rsid w:val="66D9725C"/>
    <w:rsid w:val="66DE2AC5"/>
    <w:rsid w:val="66E0683F"/>
    <w:rsid w:val="66E14363"/>
    <w:rsid w:val="66E71979"/>
    <w:rsid w:val="66F45039"/>
    <w:rsid w:val="6704102E"/>
    <w:rsid w:val="670544F5"/>
    <w:rsid w:val="670E33AA"/>
    <w:rsid w:val="671604B0"/>
    <w:rsid w:val="67185FD7"/>
    <w:rsid w:val="671E2F03"/>
    <w:rsid w:val="672229B1"/>
    <w:rsid w:val="6727446C"/>
    <w:rsid w:val="67281F92"/>
    <w:rsid w:val="672A7AB8"/>
    <w:rsid w:val="672E216A"/>
    <w:rsid w:val="67303BF3"/>
    <w:rsid w:val="67351F0A"/>
    <w:rsid w:val="67446DCC"/>
    <w:rsid w:val="67492634"/>
    <w:rsid w:val="674943E2"/>
    <w:rsid w:val="674C3ED2"/>
    <w:rsid w:val="675039C2"/>
    <w:rsid w:val="676236F6"/>
    <w:rsid w:val="6764121C"/>
    <w:rsid w:val="676D6350"/>
    <w:rsid w:val="676E209B"/>
    <w:rsid w:val="67746F85"/>
    <w:rsid w:val="67786A75"/>
    <w:rsid w:val="677D0530"/>
    <w:rsid w:val="677D22DE"/>
    <w:rsid w:val="677F7E04"/>
    <w:rsid w:val="67851192"/>
    <w:rsid w:val="678673E4"/>
    <w:rsid w:val="6787315C"/>
    <w:rsid w:val="67892A30"/>
    <w:rsid w:val="678A728B"/>
    <w:rsid w:val="678B49FB"/>
    <w:rsid w:val="67900263"/>
    <w:rsid w:val="67917B37"/>
    <w:rsid w:val="67955879"/>
    <w:rsid w:val="679D028A"/>
    <w:rsid w:val="679F4002"/>
    <w:rsid w:val="67A26C35"/>
    <w:rsid w:val="67A27F96"/>
    <w:rsid w:val="67A41555"/>
    <w:rsid w:val="67A71109"/>
    <w:rsid w:val="67A96C2F"/>
    <w:rsid w:val="67AE4A8E"/>
    <w:rsid w:val="67AE693B"/>
    <w:rsid w:val="67C577E1"/>
    <w:rsid w:val="67C717AB"/>
    <w:rsid w:val="67C95523"/>
    <w:rsid w:val="67CC0B6F"/>
    <w:rsid w:val="67D068B1"/>
    <w:rsid w:val="67D22629"/>
    <w:rsid w:val="67D3481C"/>
    <w:rsid w:val="67DB6DB5"/>
    <w:rsid w:val="67E22141"/>
    <w:rsid w:val="67E759A9"/>
    <w:rsid w:val="67EC2FBF"/>
    <w:rsid w:val="67F24A7A"/>
    <w:rsid w:val="67F26828"/>
    <w:rsid w:val="67F63DD5"/>
    <w:rsid w:val="67F73E3E"/>
    <w:rsid w:val="67FB68A8"/>
    <w:rsid w:val="67FC0E95"/>
    <w:rsid w:val="680229CA"/>
    <w:rsid w:val="68091DC3"/>
    <w:rsid w:val="680B5B3B"/>
    <w:rsid w:val="680D3662"/>
    <w:rsid w:val="681D3FA7"/>
    <w:rsid w:val="682775BD"/>
    <w:rsid w:val="68287091"/>
    <w:rsid w:val="68324E76"/>
    <w:rsid w:val="683706DE"/>
    <w:rsid w:val="683A01CF"/>
    <w:rsid w:val="683E7CBF"/>
    <w:rsid w:val="6844104D"/>
    <w:rsid w:val="684921C0"/>
    <w:rsid w:val="684A0885"/>
    <w:rsid w:val="684E5A28"/>
    <w:rsid w:val="68580655"/>
    <w:rsid w:val="68594AF9"/>
    <w:rsid w:val="685F19E3"/>
    <w:rsid w:val="68725BBA"/>
    <w:rsid w:val="687C2595"/>
    <w:rsid w:val="6884144A"/>
    <w:rsid w:val="68860257"/>
    <w:rsid w:val="6888718C"/>
    <w:rsid w:val="688D0763"/>
    <w:rsid w:val="688E2782"/>
    <w:rsid w:val="688E4077"/>
    <w:rsid w:val="689773CF"/>
    <w:rsid w:val="689A0C6D"/>
    <w:rsid w:val="68AD09A1"/>
    <w:rsid w:val="68B910F3"/>
    <w:rsid w:val="68BB130F"/>
    <w:rsid w:val="68BB5C1D"/>
    <w:rsid w:val="68BE2BAE"/>
    <w:rsid w:val="68BE6ED2"/>
    <w:rsid w:val="68D221B5"/>
    <w:rsid w:val="68D37224"/>
    <w:rsid w:val="68D91796"/>
    <w:rsid w:val="68DB3760"/>
    <w:rsid w:val="68DB72BC"/>
    <w:rsid w:val="68DC1286"/>
    <w:rsid w:val="68DC2549"/>
    <w:rsid w:val="68E24AEE"/>
    <w:rsid w:val="68E51EE8"/>
    <w:rsid w:val="68E85E7D"/>
    <w:rsid w:val="68E968D7"/>
    <w:rsid w:val="68EF720B"/>
    <w:rsid w:val="68F0088D"/>
    <w:rsid w:val="68F42334"/>
    <w:rsid w:val="68F93BE6"/>
    <w:rsid w:val="68F949C9"/>
    <w:rsid w:val="690031C6"/>
    <w:rsid w:val="690920EE"/>
    <w:rsid w:val="690B56C7"/>
    <w:rsid w:val="69140A20"/>
    <w:rsid w:val="691B590A"/>
    <w:rsid w:val="691C1682"/>
    <w:rsid w:val="691E2BE3"/>
    <w:rsid w:val="6922138F"/>
    <w:rsid w:val="69252C2D"/>
    <w:rsid w:val="692D1AE1"/>
    <w:rsid w:val="693C3AD3"/>
    <w:rsid w:val="693C4AF6"/>
    <w:rsid w:val="693E0D04"/>
    <w:rsid w:val="693E3CEF"/>
    <w:rsid w:val="693E5A9D"/>
    <w:rsid w:val="693F103A"/>
    <w:rsid w:val="69401815"/>
    <w:rsid w:val="694110E9"/>
    <w:rsid w:val="6945507D"/>
    <w:rsid w:val="69456E2B"/>
    <w:rsid w:val="694A2DE1"/>
    <w:rsid w:val="694F7CAA"/>
    <w:rsid w:val="69564B94"/>
    <w:rsid w:val="6958090C"/>
    <w:rsid w:val="695D5F23"/>
    <w:rsid w:val="696574CD"/>
    <w:rsid w:val="69717C20"/>
    <w:rsid w:val="69790883"/>
    <w:rsid w:val="697B0A9F"/>
    <w:rsid w:val="697D4817"/>
    <w:rsid w:val="6987040B"/>
    <w:rsid w:val="69877444"/>
    <w:rsid w:val="698C2CAC"/>
    <w:rsid w:val="698C57EB"/>
    <w:rsid w:val="69913E1E"/>
    <w:rsid w:val="69960A57"/>
    <w:rsid w:val="699B4C9D"/>
    <w:rsid w:val="69AC0C58"/>
    <w:rsid w:val="69AE677E"/>
    <w:rsid w:val="69C2222A"/>
    <w:rsid w:val="69C26D7F"/>
    <w:rsid w:val="69CA1610"/>
    <w:rsid w:val="69CB37D4"/>
    <w:rsid w:val="69D11D91"/>
    <w:rsid w:val="69DF4B8A"/>
    <w:rsid w:val="69E76134"/>
    <w:rsid w:val="69E90652"/>
    <w:rsid w:val="69E93C5A"/>
    <w:rsid w:val="6A03740A"/>
    <w:rsid w:val="6A040A94"/>
    <w:rsid w:val="6A0665BA"/>
    <w:rsid w:val="6A0C7949"/>
    <w:rsid w:val="6A1679FB"/>
    <w:rsid w:val="6A1725CC"/>
    <w:rsid w:val="6A18009C"/>
    <w:rsid w:val="6A1C5DDE"/>
    <w:rsid w:val="6A3273AF"/>
    <w:rsid w:val="6A366774"/>
    <w:rsid w:val="6A3813C5"/>
    <w:rsid w:val="6A3A6264"/>
    <w:rsid w:val="6A3F2546"/>
    <w:rsid w:val="6A3F7D1E"/>
    <w:rsid w:val="6A4357FD"/>
    <w:rsid w:val="6A4B784D"/>
    <w:rsid w:val="6A61023C"/>
    <w:rsid w:val="6A647785"/>
    <w:rsid w:val="6A6634FD"/>
    <w:rsid w:val="6A6B0B13"/>
    <w:rsid w:val="6A723C50"/>
    <w:rsid w:val="6A7554EE"/>
    <w:rsid w:val="6A8614A9"/>
    <w:rsid w:val="6A883473"/>
    <w:rsid w:val="6A8B3EED"/>
    <w:rsid w:val="6A972321"/>
    <w:rsid w:val="6A9A4F55"/>
    <w:rsid w:val="6A9C2A7B"/>
    <w:rsid w:val="6A9F07BD"/>
    <w:rsid w:val="6AA638F9"/>
    <w:rsid w:val="6AA87672"/>
    <w:rsid w:val="6AB204F0"/>
    <w:rsid w:val="6AB2229E"/>
    <w:rsid w:val="6AC02C0D"/>
    <w:rsid w:val="6ACA3A8C"/>
    <w:rsid w:val="6ACB3360"/>
    <w:rsid w:val="6ACD0E86"/>
    <w:rsid w:val="6ACD70D8"/>
    <w:rsid w:val="6AD40467"/>
    <w:rsid w:val="6AD9782B"/>
    <w:rsid w:val="6ADA17F5"/>
    <w:rsid w:val="6ADE12E5"/>
    <w:rsid w:val="6ADF0BB9"/>
    <w:rsid w:val="6AE211A8"/>
    <w:rsid w:val="6AE368FC"/>
    <w:rsid w:val="6AED32D6"/>
    <w:rsid w:val="6AF93500"/>
    <w:rsid w:val="6AFE3735"/>
    <w:rsid w:val="6B015D55"/>
    <w:rsid w:val="6B032AFA"/>
    <w:rsid w:val="6B036F9E"/>
    <w:rsid w:val="6B077B04"/>
    <w:rsid w:val="6B0D3978"/>
    <w:rsid w:val="6B19231D"/>
    <w:rsid w:val="6B1E16E2"/>
    <w:rsid w:val="6B23319C"/>
    <w:rsid w:val="6B2D401B"/>
    <w:rsid w:val="6B364C7D"/>
    <w:rsid w:val="6B413622"/>
    <w:rsid w:val="6B453112"/>
    <w:rsid w:val="6B482C03"/>
    <w:rsid w:val="6B5477F9"/>
    <w:rsid w:val="6B5E1ED2"/>
    <w:rsid w:val="6B6006A3"/>
    <w:rsid w:val="6B681331"/>
    <w:rsid w:val="6B737C7F"/>
    <w:rsid w:val="6B79100E"/>
    <w:rsid w:val="6B7E6644"/>
    <w:rsid w:val="6B824366"/>
    <w:rsid w:val="6B8E2D0B"/>
    <w:rsid w:val="6B961BC0"/>
    <w:rsid w:val="6B972BC2"/>
    <w:rsid w:val="6B9C080D"/>
    <w:rsid w:val="6BA0659B"/>
    <w:rsid w:val="6BA77929"/>
    <w:rsid w:val="6BAD11F4"/>
    <w:rsid w:val="6BAF2C82"/>
    <w:rsid w:val="6BAF4A30"/>
    <w:rsid w:val="6BB81397"/>
    <w:rsid w:val="6BBA6682"/>
    <w:rsid w:val="6BC009EB"/>
    <w:rsid w:val="6BC02799"/>
    <w:rsid w:val="6BC350F9"/>
    <w:rsid w:val="6BC4672D"/>
    <w:rsid w:val="6BCA3618"/>
    <w:rsid w:val="6BCC3834"/>
    <w:rsid w:val="6BD36970"/>
    <w:rsid w:val="6BD61FBC"/>
    <w:rsid w:val="6BDE05C0"/>
    <w:rsid w:val="6BE50451"/>
    <w:rsid w:val="6BF6265F"/>
    <w:rsid w:val="6BF6440D"/>
    <w:rsid w:val="6BFB5EC7"/>
    <w:rsid w:val="6C0528A2"/>
    <w:rsid w:val="6C066D46"/>
    <w:rsid w:val="6C16445B"/>
    <w:rsid w:val="6C180827"/>
    <w:rsid w:val="6C2076DB"/>
    <w:rsid w:val="6C2216A6"/>
    <w:rsid w:val="6C243696"/>
    <w:rsid w:val="6C296590"/>
    <w:rsid w:val="6C305B70"/>
    <w:rsid w:val="6C360CAD"/>
    <w:rsid w:val="6C3D028D"/>
    <w:rsid w:val="6C53185F"/>
    <w:rsid w:val="6C5C4BB7"/>
    <w:rsid w:val="6C5D26DE"/>
    <w:rsid w:val="6C5D448C"/>
    <w:rsid w:val="6C613F7C"/>
    <w:rsid w:val="6C6B706C"/>
    <w:rsid w:val="6C6D2921"/>
    <w:rsid w:val="6C711CE5"/>
    <w:rsid w:val="6C733CAF"/>
    <w:rsid w:val="6C7F08A6"/>
    <w:rsid w:val="6C8079C0"/>
    <w:rsid w:val="6C88775B"/>
    <w:rsid w:val="6C8E6D3B"/>
    <w:rsid w:val="6C9C6D62"/>
    <w:rsid w:val="6CA1081C"/>
    <w:rsid w:val="6CA16CF9"/>
    <w:rsid w:val="6CA34594"/>
    <w:rsid w:val="6CA420BB"/>
    <w:rsid w:val="6CA67BE1"/>
    <w:rsid w:val="6CAA4BFA"/>
    <w:rsid w:val="6CAE6A95"/>
    <w:rsid w:val="6CBC5656"/>
    <w:rsid w:val="6CC85DA9"/>
    <w:rsid w:val="6CCB213B"/>
    <w:rsid w:val="6CCD7863"/>
    <w:rsid w:val="6CCE0EE6"/>
    <w:rsid w:val="6CD429A0"/>
    <w:rsid w:val="6CD56718"/>
    <w:rsid w:val="6CD81D64"/>
    <w:rsid w:val="6CDB65B5"/>
    <w:rsid w:val="6CDF1345"/>
    <w:rsid w:val="6CE32BE3"/>
    <w:rsid w:val="6CE626D3"/>
    <w:rsid w:val="6CE64481"/>
    <w:rsid w:val="6CE95D1F"/>
    <w:rsid w:val="6CFA59CE"/>
    <w:rsid w:val="6D013069"/>
    <w:rsid w:val="6D045B43"/>
    <w:rsid w:val="6D062D75"/>
    <w:rsid w:val="6D081AF7"/>
    <w:rsid w:val="6D0D3E9C"/>
    <w:rsid w:val="6D0E5786"/>
    <w:rsid w:val="6D176247"/>
    <w:rsid w:val="6D1E00BF"/>
    <w:rsid w:val="6D235680"/>
    <w:rsid w:val="6D2372E0"/>
    <w:rsid w:val="6D2F407A"/>
    <w:rsid w:val="6D327BD5"/>
    <w:rsid w:val="6D347A79"/>
    <w:rsid w:val="6D371181"/>
    <w:rsid w:val="6D3A657B"/>
    <w:rsid w:val="6D3E606B"/>
    <w:rsid w:val="6D400035"/>
    <w:rsid w:val="6D444373"/>
    <w:rsid w:val="6D5238C5"/>
    <w:rsid w:val="6D5D0BE7"/>
    <w:rsid w:val="6D5D5725"/>
    <w:rsid w:val="6D602485"/>
    <w:rsid w:val="6D606D8F"/>
    <w:rsid w:val="6D632F47"/>
    <w:rsid w:val="6D6C2BD8"/>
    <w:rsid w:val="6D8343C6"/>
    <w:rsid w:val="6D8819DC"/>
    <w:rsid w:val="6D8C5028"/>
    <w:rsid w:val="6D8D2B4F"/>
    <w:rsid w:val="6D8E1C0D"/>
    <w:rsid w:val="6D8F2D6B"/>
    <w:rsid w:val="6D9D7236"/>
    <w:rsid w:val="6DA2484C"/>
    <w:rsid w:val="6DA46816"/>
    <w:rsid w:val="6DA57E98"/>
    <w:rsid w:val="6DB63E53"/>
    <w:rsid w:val="6DD15131"/>
    <w:rsid w:val="6DD30EA9"/>
    <w:rsid w:val="6DD54C21"/>
    <w:rsid w:val="6DD644F6"/>
    <w:rsid w:val="6DDA1BDC"/>
    <w:rsid w:val="6DDB5FB0"/>
    <w:rsid w:val="6DDB7D5E"/>
    <w:rsid w:val="6DE76703"/>
    <w:rsid w:val="6DE85FD7"/>
    <w:rsid w:val="6DF22241"/>
    <w:rsid w:val="6DF978A1"/>
    <w:rsid w:val="6DFB0400"/>
    <w:rsid w:val="6DFD23DD"/>
    <w:rsid w:val="6DFE07F7"/>
    <w:rsid w:val="6E053030"/>
    <w:rsid w:val="6E080427"/>
    <w:rsid w:val="6E13574A"/>
    <w:rsid w:val="6E1A0886"/>
    <w:rsid w:val="6E226CEA"/>
    <w:rsid w:val="6E2A5F5A"/>
    <w:rsid w:val="6E2E4332"/>
    <w:rsid w:val="6E315BD0"/>
    <w:rsid w:val="6E337B9A"/>
    <w:rsid w:val="6E34121C"/>
    <w:rsid w:val="6E405E13"/>
    <w:rsid w:val="6E4D6123"/>
    <w:rsid w:val="6E645F9C"/>
    <w:rsid w:val="6E737F96"/>
    <w:rsid w:val="6E761835"/>
    <w:rsid w:val="6E7B2237"/>
    <w:rsid w:val="6E7F16D1"/>
    <w:rsid w:val="6E8757F0"/>
    <w:rsid w:val="6E8E3022"/>
    <w:rsid w:val="6E8F7888"/>
    <w:rsid w:val="6E91041D"/>
    <w:rsid w:val="6E930639"/>
    <w:rsid w:val="6E970129"/>
    <w:rsid w:val="6E9C129B"/>
    <w:rsid w:val="6E9F2B3A"/>
    <w:rsid w:val="6EA2262A"/>
    <w:rsid w:val="6EA42846"/>
    <w:rsid w:val="6EA445F4"/>
    <w:rsid w:val="6EA75E92"/>
    <w:rsid w:val="6EA97E5C"/>
    <w:rsid w:val="6EAC5256"/>
    <w:rsid w:val="6EAD16FA"/>
    <w:rsid w:val="6EB72579"/>
    <w:rsid w:val="6EBA5BC5"/>
    <w:rsid w:val="6EC407F2"/>
    <w:rsid w:val="6EC66318"/>
    <w:rsid w:val="6EC922AC"/>
    <w:rsid w:val="6EC95E08"/>
    <w:rsid w:val="6ED44ED9"/>
    <w:rsid w:val="6ED63BF7"/>
    <w:rsid w:val="6EE64C0C"/>
    <w:rsid w:val="6EE67581"/>
    <w:rsid w:val="6EE844E0"/>
    <w:rsid w:val="6EED5F9B"/>
    <w:rsid w:val="6EF758B3"/>
    <w:rsid w:val="6EFF2D31"/>
    <w:rsid w:val="6F0830DB"/>
    <w:rsid w:val="6F0B6421"/>
    <w:rsid w:val="6F1A48B6"/>
    <w:rsid w:val="6F1C418A"/>
    <w:rsid w:val="6F282B2F"/>
    <w:rsid w:val="6F2B261F"/>
    <w:rsid w:val="6F321C00"/>
    <w:rsid w:val="6F335D4E"/>
    <w:rsid w:val="6F3B6D06"/>
    <w:rsid w:val="6F481423"/>
    <w:rsid w:val="6F4F169B"/>
    <w:rsid w:val="6F4F27B2"/>
    <w:rsid w:val="6F4F625A"/>
    <w:rsid w:val="6F60051B"/>
    <w:rsid w:val="6F667AFB"/>
    <w:rsid w:val="6F6A75EB"/>
    <w:rsid w:val="6F742218"/>
    <w:rsid w:val="6F751AEC"/>
    <w:rsid w:val="6F764E63"/>
    <w:rsid w:val="6F771D08"/>
    <w:rsid w:val="6F8F2B24"/>
    <w:rsid w:val="6F907CB4"/>
    <w:rsid w:val="6F946416"/>
    <w:rsid w:val="6FA523D2"/>
    <w:rsid w:val="6FAA3E8C"/>
    <w:rsid w:val="6FAF4FFE"/>
    <w:rsid w:val="6FAF6FC6"/>
    <w:rsid w:val="6FB940CF"/>
    <w:rsid w:val="6FC14D32"/>
    <w:rsid w:val="6FCA1E38"/>
    <w:rsid w:val="6FCB6256"/>
    <w:rsid w:val="6FCD1928"/>
    <w:rsid w:val="6FCD7568"/>
    <w:rsid w:val="6FD8191A"/>
    <w:rsid w:val="6FD827A7"/>
    <w:rsid w:val="6FDC1B6B"/>
    <w:rsid w:val="6FDE7692"/>
    <w:rsid w:val="6FE0165C"/>
    <w:rsid w:val="6FE64E45"/>
    <w:rsid w:val="6FF11ABB"/>
    <w:rsid w:val="6FF62C2D"/>
    <w:rsid w:val="6FF84BF7"/>
    <w:rsid w:val="700F5A14"/>
    <w:rsid w:val="70161521"/>
    <w:rsid w:val="70205EFC"/>
    <w:rsid w:val="70251764"/>
    <w:rsid w:val="70261A56"/>
    <w:rsid w:val="70271038"/>
    <w:rsid w:val="70294DB1"/>
    <w:rsid w:val="702C2AF3"/>
    <w:rsid w:val="7033515A"/>
    <w:rsid w:val="7036706F"/>
    <w:rsid w:val="70390D6C"/>
    <w:rsid w:val="70414666"/>
    <w:rsid w:val="704C6CF1"/>
    <w:rsid w:val="7052351B"/>
    <w:rsid w:val="7056191E"/>
    <w:rsid w:val="705C33D8"/>
    <w:rsid w:val="705F07D2"/>
    <w:rsid w:val="705F4C76"/>
    <w:rsid w:val="70652068"/>
    <w:rsid w:val="706E310B"/>
    <w:rsid w:val="70827064"/>
    <w:rsid w:val="70837671"/>
    <w:rsid w:val="70840239"/>
    <w:rsid w:val="7084648B"/>
    <w:rsid w:val="708741CD"/>
    <w:rsid w:val="708A15C7"/>
    <w:rsid w:val="708B5A6B"/>
    <w:rsid w:val="708E730A"/>
    <w:rsid w:val="70903082"/>
    <w:rsid w:val="70926DFA"/>
    <w:rsid w:val="70952446"/>
    <w:rsid w:val="70981F36"/>
    <w:rsid w:val="709D754D"/>
    <w:rsid w:val="70A628A5"/>
    <w:rsid w:val="70A66401"/>
    <w:rsid w:val="70AC59E2"/>
    <w:rsid w:val="70B7060E"/>
    <w:rsid w:val="70BF3967"/>
    <w:rsid w:val="70C1148D"/>
    <w:rsid w:val="70C26FB3"/>
    <w:rsid w:val="70C60851"/>
    <w:rsid w:val="70C64CF5"/>
    <w:rsid w:val="70C66AA3"/>
    <w:rsid w:val="70C82A0E"/>
    <w:rsid w:val="70CB230C"/>
    <w:rsid w:val="70DF1913"/>
    <w:rsid w:val="70E60EF4"/>
    <w:rsid w:val="70EA5B0A"/>
    <w:rsid w:val="70EC18B8"/>
    <w:rsid w:val="70F058CE"/>
    <w:rsid w:val="70F13495"/>
    <w:rsid w:val="70F22A8A"/>
    <w:rsid w:val="70F24EA2"/>
    <w:rsid w:val="70F80C27"/>
    <w:rsid w:val="70F97434"/>
    <w:rsid w:val="70FF3D63"/>
    <w:rsid w:val="710650F2"/>
    <w:rsid w:val="710B095A"/>
    <w:rsid w:val="71211F2C"/>
    <w:rsid w:val="71285068"/>
    <w:rsid w:val="712A5284"/>
    <w:rsid w:val="712E4FB4"/>
    <w:rsid w:val="713A4D9B"/>
    <w:rsid w:val="713C6D66"/>
    <w:rsid w:val="71445C1A"/>
    <w:rsid w:val="7148570A"/>
    <w:rsid w:val="71494FDF"/>
    <w:rsid w:val="714A76D4"/>
    <w:rsid w:val="714D2D21"/>
    <w:rsid w:val="71600CA6"/>
    <w:rsid w:val="71687B5B"/>
    <w:rsid w:val="716B31A7"/>
    <w:rsid w:val="71711F77"/>
    <w:rsid w:val="71880C5D"/>
    <w:rsid w:val="71883D59"/>
    <w:rsid w:val="718A38DB"/>
    <w:rsid w:val="71995F66"/>
    <w:rsid w:val="71A52B5D"/>
    <w:rsid w:val="71AF12E6"/>
    <w:rsid w:val="71AF7537"/>
    <w:rsid w:val="71B40FF2"/>
    <w:rsid w:val="71BB4108"/>
    <w:rsid w:val="71BC7CD8"/>
    <w:rsid w:val="71C34D91"/>
    <w:rsid w:val="71C4646A"/>
    <w:rsid w:val="71CA25C3"/>
    <w:rsid w:val="71D2144C"/>
    <w:rsid w:val="71D43A7B"/>
    <w:rsid w:val="71D7083C"/>
    <w:rsid w:val="71DC5B81"/>
    <w:rsid w:val="71E116BB"/>
    <w:rsid w:val="71E573FD"/>
    <w:rsid w:val="71F77BB8"/>
    <w:rsid w:val="71F907B3"/>
    <w:rsid w:val="71FA4908"/>
    <w:rsid w:val="71FC02A3"/>
    <w:rsid w:val="71FE04BF"/>
    <w:rsid w:val="72035AD5"/>
    <w:rsid w:val="72127AC6"/>
    <w:rsid w:val="721B4BCD"/>
    <w:rsid w:val="721D0945"/>
    <w:rsid w:val="72201995"/>
    <w:rsid w:val="72227D09"/>
    <w:rsid w:val="722D13D1"/>
    <w:rsid w:val="7237471D"/>
    <w:rsid w:val="723B526F"/>
    <w:rsid w:val="723B701D"/>
    <w:rsid w:val="7243786C"/>
    <w:rsid w:val="72457E9C"/>
    <w:rsid w:val="724834E8"/>
    <w:rsid w:val="724A7260"/>
    <w:rsid w:val="724C4D86"/>
    <w:rsid w:val="7250570D"/>
    <w:rsid w:val="726227FC"/>
    <w:rsid w:val="7263685F"/>
    <w:rsid w:val="726A42FE"/>
    <w:rsid w:val="727A4288"/>
    <w:rsid w:val="727D3192"/>
    <w:rsid w:val="727E6F0A"/>
    <w:rsid w:val="72842772"/>
    <w:rsid w:val="72895FDA"/>
    <w:rsid w:val="728A3B01"/>
    <w:rsid w:val="728E1843"/>
    <w:rsid w:val="72911648"/>
    <w:rsid w:val="729136D9"/>
    <w:rsid w:val="72914E8F"/>
    <w:rsid w:val="72966949"/>
    <w:rsid w:val="729A1F96"/>
    <w:rsid w:val="729F135A"/>
    <w:rsid w:val="72A2709C"/>
    <w:rsid w:val="72A37CB3"/>
    <w:rsid w:val="72AA7CFF"/>
    <w:rsid w:val="72B008FF"/>
    <w:rsid w:val="72B34E05"/>
    <w:rsid w:val="72B52BE0"/>
    <w:rsid w:val="72B55021"/>
    <w:rsid w:val="72B646C5"/>
    <w:rsid w:val="72BB754C"/>
    <w:rsid w:val="72C2171B"/>
    <w:rsid w:val="72C2329A"/>
    <w:rsid w:val="72C45265"/>
    <w:rsid w:val="72C74D55"/>
    <w:rsid w:val="72CC5EC7"/>
    <w:rsid w:val="72CE412A"/>
    <w:rsid w:val="72D336FA"/>
    <w:rsid w:val="72E00DBC"/>
    <w:rsid w:val="72E17BC5"/>
    <w:rsid w:val="72EC0317"/>
    <w:rsid w:val="72EC1B47"/>
    <w:rsid w:val="72F441DB"/>
    <w:rsid w:val="73012015"/>
    <w:rsid w:val="7306762B"/>
    <w:rsid w:val="730F1A46"/>
    <w:rsid w:val="731004AA"/>
    <w:rsid w:val="731955B0"/>
    <w:rsid w:val="731C3AC5"/>
    <w:rsid w:val="73216213"/>
    <w:rsid w:val="73246E8B"/>
    <w:rsid w:val="732857F3"/>
    <w:rsid w:val="733166AE"/>
    <w:rsid w:val="733650F3"/>
    <w:rsid w:val="73393078"/>
    <w:rsid w:val="733C7230"/>
    <w:rsid w:val="733F48EB"/>
    <w:rsid w:val="73411B0D"/>
    <w:rsid w:val="734737A0"/>
    <w:rsid w:val="73504D4A"/>
    <w:rsid w:val="7352461E"/>
    <w:rsid w:val="735465E8"/>
    <w:rsid w:val="7366631C"/>
    <w:rsid w:val="736A5E0C"/>
    <w:rsid w:val="73791F5F"/>
    <w:rsid w:val="737A1DC7"/>
    <w:rsid w:val="737C169B"/>
    <w:rsid w:val="737E5413"/>
    <w:rsid w:val="73832A2A"/>
    <w:rsid w:val="73836ECE"/>
    <w:rsid w:val="73861D97"/>
    <w:rsid w:val="738844E4"/>
    <w:rsid w:val="739015EB"/>
    <w:rsid w:val="73A155A6"/>
    <w:rsid w:val="73A34E7A"/>
    <w:rsid w:val="73AF2DAD"/>
    <w:rsid w:val="73B52DFF"/>
    <w:rsid w:val="73BF77DA"/>
    <w:rsid w:val="73C03C7E"/>
    <w:rsid w:val="73C3376E"/>
    <w:rsid w:val="73C60B68"/>
    <w:rsid w:val="73C66DBA"/>
    <w:rsid w:val="73CA68AB"/>
    <w:rsid w:val="73CF5C6F"/>
    <w:rsid w:val="73D43285"/>
    <w:rsid w:val="73D541D6"/>
    <w:rsid w:val="73D56FFD"/>
    <w:rsid w:val="73D94A1D"/>
    <w:rsid w:val="73D94D40"/>
    <w:rsid w:val="73DC038C"/>
    <w:rsid w:val="73F05BE5"/>
    <w:rsid w:val="73FE0302"/>
    <w:rsid w:val="74026044"/>
    <w:rsid w:val="74055B35"/>
    <w:rsid w:val="74085625"/>
    <w:rsid w:val="740A6CA7"/>
    <w:rsid w:val="740D2C3B"/>
    <w:rsid w:val="740F250F"/>
    <w:rsid w:val="74141576"/>
    <w:rsid w:val="74185868"/>
    <w:rsid w:val="74257F85"/>
    <w:rsid w:val="743B3304"/>
    <w:rsid w:val="743F175E"/>
    <w:rsid w:val="7440091B"/>
    <w:rsid w:val="744A2CB4"/>
    <w:rsid w:val="745919DD"/>
    <w:rsid w:val="745B39A7"/>
    <w:rsid w:val="74600FBD"/>
    <w:rsid w:val="74625AA0"/>
    <w:rsid w:val="7463285B"/>
    <w:rsid w:val="746740F9"/>
    <w:rsid w:val="746A5998"/>
    <w:rsid w:val="746D7236"/>
    <w:rsid w:val="74732A9E"/>
    <w:rsid w:val="747D391D"/>
    <w:rsid w:val="747D56CB"/>
    <w:rsid w:val="74806F69"/>
    <w:rsid w:val="74812E10"/>
    <w:rsid w:val="748A603A"/>
    <w:rsid w:val="748C590E"/>
    <w:rsid w:val="74942A15"/>
    <w:rsid w:val="74956EB9"/>
    <w:rsid w:val="74962C31"/>
    <w:rsid w:val="749C2AA6"/>
    <w:rsid w:val="749F1AE5"/>
    <w:rsid w:val="74A40DE6"/>
    <w:rsid w:val="74A4534E"/>
    <w:rsid w:val="74AA048A"/>
    <w:rsid w:val="74AC4202"/>
    <w:rsid w:val="74AC7D5E"/>
    <w:rsid w:val="74B65081"/>
    <w:rsid w:val="74B758BB"/>
    <w:rsid w:val="74CC21AE"/>
    <w:rsid w:val="74F060B7"/>
    <w:rsid w:val="74F51705"/>
    <w:rsid w:val="74F55BA9"/>
    <w:rsid w:val="74FB2A94"/>
    <w:rsid w:val="7501454E"/>
    <w:rsid w:val="75041948"/>
    <w:rsid w:val="750A647B"/>
    <w:rsid w:val="75157FF9"/>
    <w:rsid w:val="751D2A0A"/>
    <w:rsid w:val="75272066"/>
    <w:rsid w:val="75295853"/>
    <w:rsid w:val="752D45A8"/>
    <w:rsid w:val="752E10BB"/>
    <w:rsid w:val="7530098F"/>
    <w:rsid w:val="75330480"/>
    <w:rsid w:val="753C37D8"/>
    <w:rsid w:val="754C5712"/>
    <w:rsid w:val="754E0E15"/>
    <w:rsid w:val="75530B22"/>
    <w:rsid w:val="7553580B"/>
    <w:rsid w:val="75556162"/>
    <w:rsid w:val="75581A85"/>
    <w:rsid w:val="755A5A0C"/>
    <w:rsid w:val="755C3532"/>
    <w:rsid w:val="7561323F"/>
    <w:rsid w:val="756B19C7"/>
    <w:rsid w:val="756E5FD2"/>
    <w:rsid w:val="75722D56"/>
    <w:rsid w:val="757A4300"/>
    <w:rsid w:val="757A60AE"/>
    <w:rsid w:val="757C1E26"/>
    <w:rsid w:val="75915CF1"/>
    <w:rsid w:val="759E1D9D"/>
    <w:rsid w:val="759F4A5F"/>
    <w:rsid w:val="75A31161"/>
    <w:rsid w:val="75AB270C"/>
    <w:rsid w:val="75AD1FE0"/>
    <w:rsid w:val="75B25848"/>
    <w:rsid w:val="75B570E6"/>
    <w:rsid w:val="75B74C0D"/>
    <w:rsid w:val="75BE6852"/>
    <w:rsid w:val="75BF1D13"/>
    <w:rsid w:val="75C37A55"/>
    <w:rsid w:val="75C91453"/>
    <w:rsid w:val="75CA0DE4"/>
    <w:rsid w:val="75D237F5"/>
    <w:rsid w:val="75D67789"/>
    <w:rsid w:val="75D92DD5"/>
    <w:rsid w:val="75DC0B17"/>
    <w:rsid w:val="75E17EDC"/>
    <w:rsid w:val="75E54637"/>
    <w:rsid w:val="75EA3234"/>
    <w:rsid w:val="75F12711"/>
    <w:rsid w:val="75F25C45"/>
    <w:rsid w:val="75F53987"/>
    <w:rsid w:val="76097C18"/>
    <w:rsid w:val="760B4F58"/>
    <w:rsid w:val="760E56B1"/>
    <w:rsid w:val="761024BB"/>
    <w:rsid w:val="7610431D"/>
    <w:rsid w:val="761C1A7F"/>
    <w:rsid w:val="761E6A3A"/>
    <w:rsid w:val="7630676D"/>
    <w:rsid w:val="76424E1E"/>
    <w:rsid w:val="76467535"/>
    <w:rsid w:val="76491355"/>
    <w:rsid w:val="76587637"/>
    <w:rsid w:val="765C57B4"/>
    <w:rsid w:val="765D1540"/>
    <w:rsid w:val="76676633"/>
    <w:rsid w:val="766A5727"/>
    <w:rsid w:val="7671125F"/>
    <w:rsid w:val="7682346D"/>
    <w:rsid w:val="76832D41"/>
    <w:rsid w:val="76856AB9"/>
    <w:rsid w:val="76880357"/>
    <w:rsid w:val="76962A74"/>
    <w:rsid w:val="76992564"/>
    <w:rsid w:val="769D2054"/>
    <w:rsid w:val="769E7B7B"/>
    <w:rsid w:val="76A258BD"/>
    <w:rsid w:val="76A35191"/>
    <w:rsid w:val="76A867B0"/>
    <w:rsid w:val="76B850E0"/>
    <w:rsid w:val="76BF7D18"/>
    <w:rsid w:val="76C07A21"/>
    <w:rsid w:val="76C515AB"/>
    <w:rsid w:val="76CA6401"/>
    <w:rsid w:val="76D35A76"/>
    <w:rsid w:val="76D417EE"/>
    <w:rsid w:val="76D75F4C"/>
    <w:rsid w:val="76DD06A3"/>
    <w:rsid w:val="76E5284D"/>
    <w:rsid w:val="76EC2FDC"/>
    <w:rsid w:val="76F1414E"/>
    <w:rsid w:val="76F309A1"/>
    <w:rsid w:val="77083846"/>
    <w:rsid w:val="770A5210"/>
    <w:rsid w:val="7725204A"/>
    <w:rsid w:val="77253DF8"/>
    <w:rsid w:val="772558CB"/>
    <w:rsid w:val="77260AF8"/>
    <w:rsid w:val="77286C33"/>
    <w:rsid w:val="77304C77"/>
    <w:rsid w:val="77356731"/>
    <w:rsid w:val="773A3D47"/>
    <w:rsid w:val="773F135E"/>
    <w:rsid w:val="774050A4"/>
    <w:rsid w:val="77534C3D"/>
    <w:rsid w:val="77562203"/>
    <w:rsid w:val="775766A7"/>
    <w:rsid w:val="77585F7B"/>
    <w:rsid w:val="775D3592"/>
    <w:rsid w:val="776C1A27"/>
    <w:rsid w:val="776C2C31"/>
    <w:rsid w:val="77702823"/>
    <w:rsid w:val="77756B2D"/>
    <w:rsid w:val="77811976"/>
    <w:rsid w:val="778D031B"/>
    <w:rsid w:val="77955421"/>
    <w:rsid w:val="779B5BC9"/>
    <w:rsid w:val="779C6C35"/>
    <w:rsid w:val="77A80CB1"/>
    <w:rsid w:val="77A86F03"/>
    <w:rsid w:val="77AD4519"/>
    <w:rsid w:val="77B77146"/>
    <w:rsid w:val="77C0535D"/>
    <w:rsid w:val="77C07C38"/>
    <w:rsid w:val="77C67389"/>
    <w:rsid w:val="77CD0717"/>
    <w:rsid w:val="77CD4BBB"/>
    <w:rsid w:val="77CD6969"/>
    <w:rsid w:val="77D47CF8"/>
    <w:rsid w:val="77E048EF"/>
    <w:rsid w:val="77EA6925"/>
    <w:rsid w:val="77EB5041"/>
    <w:rsid w:val="77EB6DF0"/>
    <w:rsid w:val="77F160CD"/>
    <w:rsid w:val="77F75794"/>
    <w:rsid w:val="78014865"/>
    <w:rsid w:val="780879A1"/>
    <w:rsid w:val="780E12E6"/>
    <w:rsid w:val="78112CFA"/>
    <w:rsid w:val="78120806"/>
    <w:rsid w:val="78120820"/>
    <w:rsid w:val="781E71C5"/>
    <w:rsid w:val="78283BA0"/>
    <w:rsid w:val="782B182B"/>
    <w:rsid w:val="78397B5B"/>
    <w:rsid w:val="783E2D3C"/>
    <w:rsid w:val="78485FF0"/>
    <w:rsid w:val="784A1D68"/>
    <w:rsid w:val="784F3822"/>
    <w:rsid w:val="7855188E"/>
    <w:rsid w:val="786077DD"/>
    <w:rsid w:val="78760DAF"/>
    <w:rsid w:val="787C3EEC"/>
    <w:rsid w:val="7880578A"/>
    <w:rsid w:val="78880AE2"/>
    <w:rsid w:val="78882890"/>
    <w:rsid w:val="788A0834"/>
    <w:rsid w:val="788A6608"/>
    <w:rsid w:val="78914753"/>
    <w:rsid w:val="789366E3"/>
    <w:rsid w:val="78992CEF"/>
    <w:rsid w:val="78A0407E"/>
    <w:rsid w:val="78A07BDA"/>
    <w:rsid w:val="78A376CA"/>
    <w:rsid w:val="78A82F32"/>
    <w:rsid w:val="78B10039"/>
    <w:rsid w:val="78B638A1"/>
    <w:rsid w:val="78B96EEE"/>
    <w:rsid w:val="78C0027C"/>
    <w:rsid w:val="78C274DE"/>
    <w:rsid w:val="78C7160B"/>
    <w:rsid w:val="78C733B9"/>
    <w:rsid w:val="78CE2D94"/>
    <w:rsid w:val="78CF04BF"/>
    <w:rsid w:val="78D45AD6"/>
    <w:rsid w:val="78DA7590"/>
    <w:rsid w:val="78DF3BEC"/>
    <w:rsid w:val="78E026CC"/>
    <w:rsid w:val="78E95998"/>
    <w:rsid w:val="78EC1071"/>
    <w:rsid w:val="78F3648C"/>
    <w:rsid w:val="78F61EF0"/>
    <w:rsid w:val="78FB12B4"/>
    <w:rsid w:val="78FB5758"/>
    <w:rsid w:val="78FD502C"/>
    <w:rsid w:val="78FE0568"/>
    <w:rsid w:val="790E7239"/>
    <w:rsid w:val="79110AD8"/>
    <w:rsid w:val="79144124"/>
    <w:rsid w:val="79167E9C"/>
    <w:rsid w:val="791B54B2"/>
    <w:rsid w:val="79297BCF"/>
    <w:rsid w:val="792D0B78"/>
    <w:rsid w:val="792E3438"/>
    <w:rsid w:val="79314CD6"/>
    <w:rsid w:val="793B7903"/>
    <w:rsid w:val="793D367B"/>
    <w:rsid w:val="79425135"/>
    <w:rsid w:val="794A5427"/>
    <w:rsid w:val="795135CA"/>
    <w:rsid w:val="795A517C"/>
    <w:rsid w:val="795A5FDB"/>
    <w:rsid w:val="795E691A"/>
    <w:rsid w:val="79654980"/>
    <w:rsid w:val="79661644"/>
    <w:rsid w:val="79674B9C"/>
    <w:rsid w:val="796C3F60"/>
    <w:rsid w:val="79711576"/>
    <w:rsid w:val="7973484F"/>
    <w:rsid w:val="79786DA9"/>
    <w:rsid w:val="797C08AB"/>
    <w:rsid w:val="798968C0"/>
    <w:rsid w:val="79905EA0"/>
    <w:rsid w:val="79927E6B"/>
    <w:rsid w:val="799356A1"/>
    <w:rsid w:val="79935991"/>
    <w:rsid w:val="7993773F"/>
    <w:rsid w:val="799F7E92"/>
    <w:rsid w:val="79A100AE"/>
    <w:rsid w:val="79A25BD4"/>
    <w:rsid w:val="79A454A8"/>
    <w:rsid w:val="79AD0E19"/>
    <w:rsid w:val="79AE6327"/>
    <w:rsid w:val="79B002F1"/>
    <w:rsid w:val="79B53B59"/>
    <w:rsid w:val="79B778D1"/>
    <w:rsid w:val="79BC6C95"/>
    <w:rsid w:val="79BD656A"/>
    <w:rsid w:val="79C21DD2"/>
    <w:rsid w:val="79C67B14"/>
    <w:rsid w:val="79D06E6C"/>
    <w:rsid w:val="79D21E6C"/>
    <w:rsid w:val="79D7762B"/>
    <w:rsid w:val="79DA35C0"/>
    <w:rsid w:val="79DA536E"/>
    <w:rsid w:val="79DF0BD6"/>
    <w:rsid w:val="79DF2984"/>
    <w:rsid w:val="79E61F64"/>
    <w:rsid w:val="79FA5A10"/>
    <w:rsid w:val="79FD4D1C"/>
    <w:rsid w:val="79FE72AE"/>
    <w:rsid w:val="7A0128FA"/>
    <w:rsid w:val="7A083C89"/>
    <w:rsid w:val="7A1C7734"/>
    <w:rsid w:val="7A230AC3"/>
    <w:rsid w:val="7A2465E9"/>
    <w:rsid w:val="7A27618C"/>
    <w:rsid w:val="7A2A00A3"/>
    <w:rsid w:val="7A342CD0"/>
    <w:rsid w:val="7A3A401F"/>
    <w:rsid w:val="7A41719B"/>
    <w:rsid w:val="7A460355"/>
    <w:rsid w:val="7A462A03"/>
    <w:rsid w:val="7A4A59FD"/>
    <w:rsid w:val="7A4E3666"/>
    <w:rsid w:val="7A5E5F9F"/>
    <w:rsid w:val="7A61783D"/>
    <w:rsid w:val="7A6310AB"/>
    <w:rsid w:val="7A637111"/>
    <w:rsid w:val="7A6510DB"/>
    <w:rsid w:val="7A65732D"/>
    <w:rsid w:val="7A6A4943"/>
    <w:rsid w:val="7A792DD8"/>
    <w:rsid w:val="7A7A56ED"/>
    <w:rsid w:val="7A8145AB"/>
    <w:rsid w:val="7A94551C"/>
    <w:rsid w:val="7A9674E6"/>
    <w:rsid w:val="7AA5597C"/>
    <w:rsid w:val="7AA634A2"/>
    <w:rsid w:val="7AA716F4"/>
    <w:rsid w:val="7AA877CA"/>
    <w:rsid w:val="7AB21E46"/>
    <w:rsid w:val="7ABC4A73"/>
    <w:rsid w:val="7AC31DEF"/>
    <w:rsid w:val="7AC57DCC"/>
    <w:rsid w:val="7AC676A0"/>
    <w:rsid w:val="7AD7365B"/>
    <w:rsid w:val="7AD77F19"/>
    <w:rsid w:val="7AE85868"/>
    <w:rsid w:val="7AED10D1"/>
    <w:rsid w:val="7AF1626C"/>
    <w:rsid w:val="7AF661D7"/>
    <w:rsid w:val="7AFF37D8"/>
    <w:rsid w:val="7B002BB2"/>
    <w:rsid w:val="7B0D52CF"/>
    <w:rsid w:val="7B0F1047"/>
    <w:rsid w:val="7B160627"/>
    <w:rsid w:val="7B164183"/>
    <w:rsid w:val="7B1A2F0B"/>
    <w:rsid w:val="7B220BC5"/>
    <w:rsid w:val="7B256ABC"/>
    <w:rsid w:val="7B276391"/>
    <w:rsid w:val="7B2F16E9"/>
    <w:rsid w:val="7B3867F0"/>
    <w:rsid w:val="7B3D5BB4"/>
    <w:rsid w:val="7B3F066D"/>
    <w:rsid w:val="7B4B1258"/>
    <w:rsid w:val="7B4C5DF7"/>
    <w:rsid w:val="7B537186"/>
    <w:rsid w:val="7B551150"/>
    <w:rsid w:val="7B566C76"/>
    <w:rsid w:val="7B58036D"/>
    <w:rsid w:val="7B5B24DE"/>
    <w:rsid w:val="7B6018A2"/>
    <w:rsid w:val="7B615D46"/>
    <w:rsid w:val="7B6475E5"/>
    <w:rsid w:val="7B656EB9"/>
    <w:rsid w:val="7B6C6107"/>
    <w:rsid w:val="7B6E5D6D"/>
    <w:rsid w:val="7B7315D6"/>
    <w:rsid w:val="7B77578E"/>
    <w:rsid w:val="7B827A6B"/>
    <w:rsid w:val="7BA07EF1"/>
    <w:rsid w:val="7BA45C33"/>
    <w:rsid w:val="7BA63759"/>
    <w:rsid w:val="7BB45714"/>
    <w:rsid w:val="7BB5399C"/>
    <w:rsid w:val="7BBA7205"/>
    <w:rsid w:val="7BBC7E71"/>
    <w:rsid w:val="7BBE3213"/>
    <w:rsid w:val="7BBF0CBF"/>
    <w:rsid w:val="7BC167E5"/>
    <w:rsid w:val="7BDF4EBD"/>
    <w:rsid w:val="7BE10C35"/>
    <w:rsid w:val="7BE44282"/>
    <w:rsid w:val="7BE97AEA"/>
    <w:rsid w:val="7BF24BF0"/>
    <w:rsid w:val="7BF72207"/>
    <w:rsid w:val="7C030BAC"/>
    <w:rsid w:val="7C093CE8"/>
    <w:rsid w:val="7C110BE2"/>
    <w:rsid w:val="7C137A39"/>
    <w:rsid w:val="7C1568F9"/>
    <w:rsid w:val="7C1A5EF5"/>
    <w:rsid w:val="7C1B19AD"/>
    <w:rsid w:val="7C211032"/>
    <w:rsid w:val="7C232FFC"/>
    <w:rsid w:val="7C280612"/>
    <w:rsid w:val="7C2A43E9"/>
    <w:rsid w:val="7C372603"/>
    <w:rsid w:val="7C393674"/>
    <w:rsid w:val="7C3B087B"/>
    <w:rsid w:val="7C3B5358"/>
    <w:rsid w:val="7C3C40BE"/>
    <w:rsid w:val="7C480CB4"/>
    <w:rsid w:val="7C4A4A2C"/>
    <w:rsid w:val="7C4D62CB"/>
    <w:rsid w:val="7C4D69FC"/>
    <w:rsid w:val="7C5238E1"/>
    <w:rsid w:val="7C523992"/>
    <w:rsid w:val="7C55517F"/>
    <w:rsid w:val="7C596A1E"/>
    <w:rsid w:val="7C5C4760"/>
    <w:rsid w:val="7C6C26B7"/>
    <w:rsid w:val="7C6E0DD3"/>
    <w:rsid w:val="7C701FB9"/>
    <w:rsid w:val="7C705B15"/>
    <w:rsid w:val="7C776EA4"/>
    <w:rsid w:val="7C830F7C"/>
    <w:rsid w:val="7C896BD7"/>
    <w:rsid w:val="7C8B61C6"/>
    <w:rsid w:val="7C8D47EE"/>
    <w:rsid w:val="7C90540A"/>
    <w:rsid w:val="7C914409"/>
    <w:rsid w:val="7C920181"/>
    <w:rsid w:val="7C943EFA"/>
    <w:rsid w:val="7C9C19B7"/>
    <w:rsid w:val="7CAD4FBB"/>
    <w:rsid w:val="7CAF663E"/>
    <w:rsid w:val="7CB82067"/>
    <w:rsid w:val="7CBB76D8"/>
    <w:rsid w:val="7CC01702"/>
    <w:rsid w:val="7CC12815"/>
    <w:rsid w:val="7CC16371"/>
    <w:rsid w:val="7CC61BD9"/>
    <w:rsid w:val="7CC85951"/>
    <w:rsid w:val="7CCC3693"/>
    <w:rsid w:val="7CCC5441"/>
    <w:rsid w:val="7CCD2F68"/>
    <w:rsid w:val="7CD97B5E"/>
    <w:rsid w:val="7CDE33C7"/>
    <w:rsid w:val="7CE02C9B"/>
    <w:rsid w:val="7CE65DD7"/>
    <w:rsid w:val="7CEF1130"/>
    <w:rsid w:val="7CF6426C"/>
    <w:rsid w:val="7CF76237"/>
    <w:rsid w:val="7CFE75C5"/>
    <w:rsid w:val="7D00333D"/>
    <w:rsid w:val="7D036989"/>
    <w:rsid w:val="7D0477C6"/>
    <w:rsid w:val="7D052701"/>
    <w:rsid w:val="7D0746CC"/>
    <w:rsid w:val="7D0938C9"/>
    <w:rsid w:val="7D0B583E"/>
    <w:rsid w:val="7D0B6CE0"/>
    <w:rsid w:val="7D133070"/>
    <w:rsid w:val="7D14662D"/>
    <w:rsid w:val="7D1B127F"/>
    <w:rsid w:val="7D1E1A15"/>
    <w:rsid w:val="7D1E30DE"/>
    <w:rsid w:val="7D21643D"/>
    <w:rsid w:val="7D252DA4"/>
    <w:rsid w:val="7D2E7092"/>
    <w:rsid w:val="7D366D5F"/>
    <w:rsid w:val="7D3A4883"/>
    <w:rsid w:val="7D3F20B7"/>
    <w:rsid w:val="7D456FA2"/>
    <w:rsid w:val="7D545437"/>
    <w:rsid w:val="7D5B2033"/>
    <w:rsid w:val="7D5C3522"/>
    <w:rsid w:val="7D5D253D"/>
    <w:rsid w:val="7D5F6C3D"/>
    <w:rsid w:val="7D717D97"/>
    <w:rsid w:val="7D747887"/>
    <w:rsid w:val="7D7A30EF"/>
    <w:rsid w:val="7D807FDA"/>
    <w:rsid w:val="7D8B72D8"/>
    <w:rsid w:val="7D9046C1"/>
    <w:rsid w:val="7D937D0D"/>
    <w:rsid w:val="7D9615AC"/>
    <w:rsid w:val="7D983576"/>
    <w:rsid w:val="7D9A72EE"/>
    <w:rsid w:val="7D9D0B8C"/>
    <w:rsid w:val="7DA27E18"/>
    <w:rsid w:val="7DAE4B47"/>
    <w:rsid w:val="7DB67EA0"/>
    <w:rsid w:val="7DBF5B3E"/>
    <w:rsid w:val="7DBF6D54"/>
    <w:rsid w:val="7DC26844"/>
    <w:rsid w:val="7DC62933"/>
    <w:rsid w:val="7DD00F61"/>
    <w:rsid w:val="7DE7036D"/>
    <w:rsid w:val="7DE762AB"/>
    <w:rsid w:val="7DEE13E8"/>
    <w:rsid w:val="7DF6029C"/>
    <w:rsid w:val="7DFA53A3"/>
    <w:rsid w:val="7E074257"/>
    <w:rsid w:val="7E092871"/>
    <w:rsid w:val="7E0E3154"/>
    <w:rsid w:val="7E0F2E85"/>
    <w:rsid w:val="7E123328"/>
    <w:rsid w:val="7E130439"/>
    <w:rsid w:val="7E1A3F8B"/>
    <w:rsid w:val="7E213797"/>
    <w:rsid w:val="7E265025"/>
    <w:rsid w:val="7E2C65B8"/>
    <w:rsid w:val="7E3A462D"/>
    <w:rsid w:val="7E4454AB"/>
    <w:rsid w:val="7E494870"/>
    <w:rsid w:val="7E527BC8"/>
    <w:rsid w:val="7E5971A9"/>
    <w:rsid w:val="7E5A4CCF"/>
    <w:rsid w:val="7E5D031B"/>
    <w:rsid w:val="7E5F4093"/>
    <w:rsid w:val="7E663674"/>
    <w:rsid w:val="7E6A3164"/>
    <w:rsid w:val="7E6B5133"/>
    <w:rsid w:val="7E72347F"/>
    <w:rsid w:val="7E834226"/>
    <w:rsid w:val="7E9E1121"/>
    <w:rsid w:val="7E9E696A"/>
    <w:rsid w:val="7EA128FE"/>
    <w:rsid w:val="7EA1645A"/>
    <w:rsid w:val="7EAB1087"/>
    <w:rsid w:val="7EAB2D96"/>
    <w:rsid w:val="7EAB552B"/>
    <w:rsid w:val="7EAD4DFF"/>
    <w:rsid w:val="7EB0669D"/>
    <w:rsid w:val="7EB42631"/>
    <w:rsid w:val="7EB553F8"/>
    <w:rsid w:val="7EC03F24"/>
    <w:rsid w:val="7EC301BA"/>
    <w:rsid w:val="7EC81C39"/>
    <w:rsid w:val="7ED06D3F"/>
    <w:rsid w:val="7EE12CFA"/>
    <w:rsid w:val="7EE43365"/>
    <w:rsid w:val="7EE66563"/>
    <w:rsid w:val="7EEB5927"/>
    <w:rsid w:val="7EEF0D46"/>
    <w:rsid w:val="7EF0118F"/>
    <w:rsid w:val="7EF50554"/>
    <w:rsid w:val="7F0215EE"/>
    <w:rsid w:val="7F050659"/>
    <w:rsid w:val="7F080287"/>
    <w:rsid w:val="7F0864D9"/>
    <w:rsid w:val="7F0F5AB9"/>
    <w:rsid w:val="7F127358"/>
    <w:rsid w:val="7F13408A"/>
    <w:rsid w:val="7F1777C8"/>
    <w:rsid w:val="7F196938"/>
    <w:rsid w:val="7F1B26B0"/>
    <w:rsid w:val="7F1E7AAB"/>
    <w:rsid w:val="7F2B6E39"/>
    <w:rsid w:val="7F3D43D5"/>
    <w:rsid w:val="7F4339B5"/>
    <w:rsid w:val="7F4734A5"/>
    <w:rsid w:val="7F496B47"/>
    <w:rsid w:val="7F572FBC"/>
    <w:rsid w:val="7F5D6825"/>
    <w:rsid w:val="7F5E434B"/>
    <w:rsid w:val="7F6C2F0C"/>
    <w:rsid w:val="7F6E0A32"/>
    <w:rsid w:val="7F710522"/>
    <w:rsid w:val="7F765B38"/>
    <w:rsid w:val="7F7E49ED"/>
    <w:rsid w:val="7F89761A"/>
    <w:rsid w:val="7F8A15E4"/>
    <w:rsid w:val="7F8D69DE"/>
    <w:rsid w:val="7F8F09A8"/>
    <w:rsid w:val="7F963AE5"/>
    <w:rsid w:val="7F967F89"/>
    <w:rsid w:val="7FA06711"/>
    <w:rsid w:val="7FA25453"/>
    <w:rsid w:val="7FA53D28"/>
    <w:rsid w:val="7FA93818"/>
    <w:rsid w:val="7FAF4BA7"/>
    <w:rsid w:val="7FB56661"/>
    <w:rsid w:val="7FBB354B"/>
    <w:rsid w:val="7FBE4DEA"/>
    <w:rsid w:val="7FCA378E"/>
    <w:rsid w:val="7FD05249"/>
    <w:rsid w:val="7FD4460D"/>
    <w:rsid w:val="7FD665D7"/>
    <w:rsid w:val="7FE54E89"/>
    <w:rsid w:val="7FE816BB"/>
    <w:rsid w:val="7FEA5BDF"/>
    <w:rsid w:val="7FF01447"/>
    <w:rsid w:val="7FF33517"/>
    <w:rsid w:val="7FF60A27"/>
    <w:rsid w:val="7FFB7DEC"/>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qFormat="1"/>
    <w:lsdException w:name="toc 1" w:uiPriority="39" w:qFormat="1"/>
    <w:lsdException w:name="toc 2" w:uiPriority="39" w:qFormat="1"/>
    <w:lsdException w:name="Normal Inden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List" w:qFormat="1"/>
    <w:lsdException w:name="List 2" w:qFormat="1"/>
    <w:lsdException w:name="List Bullet 5" w:qFormat="1"/>
    <w:lsdException w:name="Title" w:uiPriority="10"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2" w:qFormat="1"/>
    <w:lsdException w:name="Body Text 3" w:qFormat="1"/>
    <w:lsdException w:name="Body Text Indent 2" w:uiPriority="99"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rFonts w:cs="宋体"/>
      <w:sz w:val="24"/>
      <w:szCs w:val="24"/>
    </w:rPr>
  </w:style>
  <w:style w:type="paragraph" w:styleId="1">
    <w:name w:val="heading 1"/>
    <w:basedOn w:val="a"/>
    <w:next w:val="a"/>
    <w:link w:val="1Char"/>
    <w:autoRedefine/>
    <w:qFormat/>
    <w:pPr>
      <w:keepNext/>
      <w:keepLines/>
      <w:spacing w:before="340" w:after="340"/>
      <w:outlineLvl w:val="0"/>
    </w:pPr>
    <w:rPr>
      <w:rFonts w:ascii="Arial" w:hAnsi="Arial" w:cs="Arial"/>
      <w:b/>
      <w:snapToGrid w:val="0"/>
      <w:color w:val="000000"/>
      <w:kern w:val="44"/>
      <w:sz w:val="44"/>
      <w:szCs w:val="21"/>
      <w:lang w:eastAsia="en-US"/>
    </w:rPr>
  </w:style>
  <w:style w:type="paragraph" w:styleId="2">
    <w:name w:val="heading 2"/>
    <w:basedOn w:val="a"/>
    <w:next w:val="a"/>
    <w:autoRedefine/>
    <w:semiHidden/>
    <w:unhideWhenUsed/>
    <w:qFormat/>
    <w:pPr>
      <w:keepNext/>
      <w:keepLines/>
      <w:spacing w:after="10" w:line="600" w:lineRule="exact"/>
      <w:outlineLvl w:val="1"/>
    </w:pPr>
    <w:rPr>
      <w:rFonts w:ascii="Arial" w:hAnsi="Arial" w:cs="Arial"/>
      <w:b/>
      <w:snapToGrid w:val="0"/>
      <w:color w:val="000000"/>
      <w:sz w:val="30"/>
      <w:szCs w:val="21"/>
      <w:lang w:eastAsia="en-US"/>
    </w:rPr>
  </w:style>
  <w:style w:type="paragraph" w:styleId="3">
    <w:name w:val="heading 3"/>
    <w:basedOn w:val="a"/>
    <w:next w:val="a"/>
    <w:link w:val="3Char"/>
    <w:autoRedefine/>
    <w:semiHidden/>
    <w:unhideWhenUsed/>
    <w:qFormat/>
    <w:pPr>
      <w:keepNext/>
      <w:keepLines/>
      <w:spacing w:before="120" w:after="120"/>
      <w:outlineLvl w:val="2"/>
    </w:pPr>
    <w:rPr>
      <w:rFonts w:ascii="Arial" w:hAnsi="Arial" w:cs="Arial"/>
      <w:b/>
      <w:snapToGrid w:val="0"/>
      <w:color w:val="000000"/>
      <w:sz w:val="28"/>
      <w:szCs w:val="21"/>
      <w:lang w:eastAsia="en-US"/>
    </w:rPr>
  </w:style>
  <w:style w:type="paragraph" w:styleId="4">
    <w:name w:val="heading 4"/>
    <w:basedOn w:val="a"/>
    <w:next w:val="a0"/>
    <w:autoRedefine/>
    <w:semiHidden/>
    <w:unhideWhenUsed/>
    <w:qFormat/>
    <w:pPr>
      <w:keepNext/>
      <w:keepLines/>
      <w:spacing w:line="360" w:lineRule="auto"/>
      <w:outlineLvl w:val="3"/>
    </w:pPr>
    <w:rPr>
      <w:rFonts w:ascii="Arial" w:hAnsi="Arial" w:cs="Arial"/>
      <w:b/>
      <w:snapToGrid w:val="0"/>
      <w:color w:val="000000"/>
      <w:szCs w:val="21"/>
      <w:lang w:eastAsia="en-US"/>
    </w:rPr>
  </w:style>
  <w:style w:type="paragraph" w:styleId="50">
    <w:name w:val="heading 5"/>
    <w:basedOn w:val="a"/>
    <w:next w:val="a"/>
    <w:autoRedefine/>
    <w:semiHidden/>
    <w:unhideWhenUsed/>
    <w:qFormat/>
    <w:pPr>
      <w:keepNext/>
      <w:keepLines/>
      <w:spacing w:line="360" w:lineRule="auto"/>
      <w:jc w:val="center"/>
      <w:outlineLvl w:val="4"/>
    </w:pPr>
    <w:rPr>
      <w:rFonts w:ascii="Arial" w:eastAsia="黑体" w:hAnsi="Arial"/>
      <w:b/>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缩进"/>
    <w:basedOn w:val="a"/>
    <w:autoRedefine/>
    <w:qFormat/>
    <w:pPr>
      <w:spacing w:line="360" w:lineRule="auto"/>
      <w:ind w:firstLineChars="200" w:firstLine="200"/>
    </w:pPr>
  </w:style>
  <w:style w:type="paragraph" w:styleId="a4">
    <w:name w:val="Normal Indent"/>
    <w:basedOn w:val="a"/>
    <w:next w:val="CharCharCharCharCharCharCharCharChar1Char"/>
    <w:autoRedefine/>
    <w:qFormat/>
    <w:pPr>
      <w:ind w:firstLine="420"/>
    </w:pPr>
    <w:rPr>
      <w:rFonts w:ascii="Arial" w:eastAsia="仿宋_GB2312" w:hAnsi="Arial"/>
    </w:rPr>
  </w:style>
  <w:style w:type="paragraph" w:customStyle="1" w:styleId="CharCharCharCharCharCharCharCharChar1Char">
    <w:name w:val="Char Char Char Char Char Char Char Char Char1 Char"/>
    <w:basedOn w:val="a"/>
    <w:next w:val="BodyTextFirstIndent1"/>
    <w:autoRedefine/>
    <w:qFormat/>
    <w:pPr>
      <w:spacing w:line="360" w:lineRule="auto"/>
      <w:ind w:firstLineChars="200" w:firstLine="200"/>
    </w:pPr>
    <w:rPr>
      <w:rFonts w:hAnsi="宋体"/>
    </w:rPr>
  </w:style>
  <w:style w:type="paragraph" w:customStyle="1" w:styleId="BodyTextFirstIndent1">
    <w:name w:val="Body Text First Indent1"/>
    <w:basedOn w:val="a5"/>
    <w:next w:val="a"/>
    <w:autoRedefine/>
    <w:qFormat/>
    <w:pPr>
      <w:widowControl w:val="0"/>
      <w:spacing w:after="120"/>
      <w:ind w:firstLine="420"/>
      <w:jc w:val="both"/>
    </w:pPr>
    <w:rPr>
      <w:rFonts w:ascii="Times New Roman" w:hAnsi="Times New Roman" w:cs="Times New Roman"/>
      <w:sz w:val="21"/>
      <w:szCs w:val="22"/>
    </w:rPr>
  </w:style>
  <w:style w:type="paragraph" w:styleId="a5">
    <w:name w:val="Body Text"/>
    <w:basedOn w:val="a"/>
    <w:next w:val="a6"/>
    <w:link w:val="Char"/>
    <w:autoRedefine/>
    <w:qFormat/>
    <w:pPr>
      <w:adjustRightInd w:val="0"/>
      <w:spacing w:line="360" w:lineRule="auto"/>
    </w:pPr>
    <w:rPr>
      <w:rFonts w:ascii="宋体" w:hAnsi="宋体"/>
    </w:rPr>
  </w:style>
  <w:style w:type="paragraph" w:customStyle="1" w:styleId="a6">
    <w:name w:val="默认段落"/>
    <w:autoRedefine/>
    <w:uiPriority w:val="99"/>
    <w:qFormat/>
    <w:pPr>
      <w:widowControl w:val="0"/>
      <w:spacing w:line="360" w:lineRule="auto"/>
      <w:ind w:firstLineChars="200" w:firstLine="578"/>
      <w:jc w:val="both"/>
    </w:pPr>
    <w:rPr>
      <w:sz w:val="24"/>
    </w:rPr>
  </w:style>
  <w:style w:type="paragraph" w:styleId="a7">
    <w:name w:val="caption"/>
    <w:basedOn w:val="a"/>
    <w:next w:val="a"/>
    <w:autoRedefine/>
    <w:semiHidden/>
    <w:unhideWhenUsed/>
    <w:qFormat/>
    <w:rPr>
      <w:rFonts w:ascii="Arial" w:eastAsia="黑体" w:hAnsi="Arial"/>
      <w:sz w:val="20"/>
    </w:rPr>
  </w:style>
  <w:style w:type="paragraph" w:styleId="a8">
    <w:name w:val="annotation text"/>
    <w:basedOn w:val="a"/>
    <w:autoRedefine/>
    <w:qFormat/>
    <w:pPr>
      <w:spacing w:line="360" w:lineRule="auto"/>
    </w:pPr>
  </w:style>
  <w:style w:type="paragraph" w:styleId="30">
    <w:name w:val="Body Text 3"/>
    <w:basedOn w:val="a"/>
    <w:autoRedefine/>
    <w:qFormat/>
    <w:pPr>
      <w:spacing w:after="120"/>
    </w:pPr>
    <w:rPr>
      <w:sz w:val="16"/>
    </w:rPr>
  </w:style>
  <w:style w:type="paragraph" w:styleId="a9">
    <w:name w:val="Body Text Indent"/>
    <w:basedOn w:val="a"/>
    <w:next w:val="a5"/>
    <w:autoRedefine/>
    <w:qFormat/>
    <w:pPr>
      <w:spacing w:after="120"/>
      <w:ind w:leftChars="200" w:left="420"/>
    </w:pPr>
    <w:rPr>
      <w:rFonts w:ascii="Calibri" w:hAnsi="Calibri" w:cs="Times New Roman"/>
      <w:szCs w:val="22"/>
    </w:rPr>
  </w:style>
  <w:style w:type="paragraph" w:styleId="20">
    <w:name w:val="List 2"/>
    <w:basedOn w:val="a"/>
    <w:autoRedefine/>
    <w:qFormat/>
    <w:pPr>
      <w:ind w:leftChars="200" w:left="100" w:hangingChars="200" w:hanging="200"/>
    </w:pPr>
    <w:rPr>
      <w:sz w:val="21"/>
    </w:rPr>
  </w:style>
  <w:style w:type="paragraph" w:styleId="aa">
    <w:name w:val="Plain Text"/>
    <w:basedOn w:val="a"/>
    <w:autoRedefine/>
    <w:qFormat/>
    <w:rPr>
      <w:rFonts w:hAnsi="Courier New"/>
    </w:rPr>
  </w:style>
  <w:style w:type="paragraph" w:styleId="5">
    <w:name w:val="List Bullet 5"/>
    <w:basedOn w:val="a"/>
    <w:autoRedefine/>
    <w:qFormat/>
    <w:pPr>
      <w:numPr>
        <w:numId w:val="1"/>
      </w:numPr>
    </w:pPr>
  </w:style>
  <w:style w:type="paragraph" w:styleId="21">
    <w:name w:val="Body Text Indent 2"/>
    <w:basedOn w:val="a"/>
    <w:autoRedefine/>
    <w:uiPriority w:val="99"/>
    <w:qFormat/>
    <w:pPr>
      <w:spacing w:after="120" w:line="480" w:lineRule="auto"/>
      <w:ind w:leftChars="200" w:left="420" w:firstLineChars="200" w:firstLine="200"/>
    </w:pPr>
  </w:style>
  <w:style w:type="paragraph" w:styleId="ab">
    <w:name w:val="footer"/>
    <w:basedOn w:val="a"/>
    <w:autoRedefine/>
    <w:qFormat/>
    <w:pPr>
      <w:tabs>
        <w:tab w:val="center" w:pos="4153"/>
        <w:tab w:val="right" w:pos="8306"/>
      </w:tabs>
      <w:snapToGrid w:val="0"/>
    </w:pPr>
    <w:rPr>
      <w:sz w:val="18"/>
      <w:szCs w:val="18"/>
    </w:rPr>
  </w:style>
  <w:style w:type="paragraph" w:styleId="ac">
    <w:name w:val="header"/>
    <w:basedOn w:val="a"/>
    <w:next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autoRedefine/>
    <w:uiPriority w:val="39"/>
    <w:qFormat/>
  </w:style>
  <w:style w:type="paragraph" w:styleId="ad">
    <w:name w:val="index heading"/>
    <w:basedOn w:val="a"/>
    <w:next w:val="11"/>
    <w:autoRedefine/>
    <w:qFormat/>
    <w:pPr>
      <w:widowControl w:val="0"/>
      <w:pBdr>
        <w:top w:val="single" w:sz="12" w:space="0" w:color="auto"/>
      </w:pBdr>
      <w:spacing w:before="360" w:after="240"/>
      <w:jc w:val="both"/>
    </w:pPr>
    <w:rPr>
      <w:rFonts w:cs="Times New Roman"/>
      <w:b/>
      <w:i/>
      <w:kern w:val="2"/>
      <w:sz w:val="26"/>
      <w:szCs w:val="20"/>
    </w:rPr>
  </w:style>
  <w:style w:type="paragraph" w:styleId="11">
    <w:name w:val="index 1"/>
    <w:basedOn w:val="a"/>
    <w:next w:val="a"/>
    <w:autoRedefine/>
    <w:uiPriority w:val="99"/>
    <w:unhideWhenUsed/>
    <w:qFormat/>
    <w:pPr>
      <w:widowControl w:val="0"/>
      <w:jc w:val="both"/>
    </w:pPr>
    <w:rPr>
      <w:rFonts w:cs="Times New Roman"/>
      <w:b/>
      <w:kern w:val="2"/>
      <w:sz w:val="28"/>
      <w:szCs w:val="20"/>
    </w:rPr>
  </w:style>
  <w:style w:type="paragraph" w:styleId="ae">
    <w:name w:val="List"/>
    <w:basedOn w:val="a"/>
    <w:autoRedefine/>
    <w:qFormat/>
    <w:pPr>
      <w:spacing w:line="240" w:lineRule="exact"/>
      <w:ind w:firstLineChars="200" w:firstLine="200"/>
      <w:jc w:val="center"/>
    </w:pPr>
    <w:rPr>
      <w:rFonts w:ascii="Arial" w:hAnsi="Arial"/>
      <w:snapToGrid w:val="0"/>
    </w:rPr>
  </w:style>
  <w:style w:type="paragraph" w:styleId="31">
    <w:name w:val="Body Text Indent 3"/>
    <w:basedOn w:val="a"/>
    <w:autoRedefine/>
    <w:qFormat/>
    <w:pPr>
      <w:spacing w:after="120"/>
      <w:ind w:leftChars="200" w:left="420"/>
    </w:pPr>
    <w:rPr>
      <w:sz w:val="16"/>
      <w:szCs w:val="16"/>
    </w:rPr>
  </w:style>
  <w:style w:type="paragraph" w:styleId="af">
    <w:name w:val="table of figures"/>
    <w:basedOn w:val="a"/>
    <w:next w:val="a"/>
    <w:autoRedefine/>
    <w:qFormat/>
    <w:pPr>
      <w:jc w:val="center"/>
    </w:pPr>
    <w:rPr>
      <w:spacing w:val="-8"/>
    </w:rPr>
  </w:style>
  <w:style w:type="paragraph" w:styleId="22">
    <w:name w:val="toc 2"/>
    <w:basedOn w:val="a"/>
    <w:next w:val="a"/>
    <w:autoRedefine/>
    <w:uiPriority w:val="39"/>
    <w:qFormat/>
    <w:pPr>
      <w:ind w:leftChars="200" w:left="420"/>
    </w:pPr>
  </w:style>
  <w:style w:type="paragraph" w:styleId="23">
    <w:name w:val="Body Text 2"/>
    <w:basedOn w:val="a"/>
    <w:autoRedefine/>
    <w:qFormat/>
    <w:pPr>
      <w:spacing w:after="120" w:line="480" w:lineRule="auto"/>
      <w:ind w:firstLineChars="200" w:firstLine="200"/>
    </w:pPr>
    <w:rPr>
      <w:rFonts w:ascii="Calibri" w:hAnsi="Calibri" w:cs="Times New Roman"/>
      <w:szCs w:val="22"/>
    </w:rPr>
  </w:style>
  <w:style w:type="paragraph" w:styleId="af0">
    <w:name w:val="Normal (Web)"/>
    <w:basedOn w:val="a"/>
    <w:autoRedefine/>
    <w:uiPriority w:val="99"/>
    <w:unhideWhenUsed/>
    <w:qFormat/>
  </w:style>
  <w:style w:type="paragraph" w:styleId="af1">
    <w:name w:val="Title"/>
    <w:basedOn w:val="a"/>
    <w:next w:val="a"/>
    <w:autoRedefine/>
    <w:uiPriority w:val="10"/>
    <w:qFormat/>
    <w:pPr>
      <w:pageBreakBefore/>
      <w:spacing w:before="240" w:after="60" w:line="500" w:lineRule="exact"/>
      <w:jc w:val="center"/>
      <w:outlineLvl w:val="0"/>
    </w:pPr>
    <w:rPr>
      <w:b/>
      <w:bCs/>
      <w:sz w:val="32"/>
      <w:szCs w:val="32"/>
    </w:rPr>
  </w:style>
  <w:style w:type="paragraph" w:styleId="af2">
    <w:name w:val="Body Text First Indent"/>
    <w:basedOn w:val="a5"/>
    <w:next w:val="a"/>
    <w:autoRedefine/>
    <w:uiPriority w:val="99"/>
    <w:qFormat/>
    <w:pPr>
      <w:ind w:firstLineChars="200" w:firstLine="200"/>
      <w:jc w:val="both"/>
    </w:pPr>
    <w:rPr>
      <w:rFonts w:ascii="Times New Roman" w:hAnsi="Times New Roman"/>
    </w:rPr>
  </w:style>
  <w:style w:type="paragraph" w:styleId="24">
    <w:name w:val="Body Text First Indent 2"/>
    <w:basedOn w:val="a9"/>
    <w:next w:val="a"/>
    <w:autoRedefine/>
    <w:qFormat/>
    <w:pPr>
      <w:ind w:firstLineChars="200" w:firstLine="420"/>
    </w:pPr>
    <w:rPr>
      <w:b/>
      <w:kern w:val="44"/>
      <w:sz w:val="44"/>
    </w:rPr>
  </w:style>
  <w:style w:type="table" w:styleId="af3">
    <w:name w:val="Table Grid"/>
    <w:basedOn w:val="a2"/>
    <w:autoRedefine/>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autoRedefine/>
    <w:qFormat/>
    <w:rPr>
      <w:rFonts w:ascii="Times New Roman" w:hAnsi="Times New Roman"/>
      <w:b/>
      <w:sz w:val="21"/>
    </w:rPr>
  </w:style>
  <w:style w:type="character" w:styleId="af5">
    <w:name w:val="Hyperlink"/>
    <w:basedOn w:val="a1"/>
    <w:autoRedefine/>
    <w:uiPriority w:val="99"/>
    <w:qFormat/>
    <w:rPr>
      <w:rFonts w:eastAsia="宋体"/>
      <w:color w:val="0000FF"/>
      <w:kern w:val="2"/>
      <w:sz w:val="24"/>
      <w:u w:val="single"/>
      <w:lang w:val="en-US" w:eastAsia="zh-CN"/>
    </w:rPr>
  </w:style>
  <w:style w:type="paragraph" w:customStyle="1" w:styleId="TableText">
    <w:name w:val="Table Text"/>
    <w:basedOn w:val="a"/>
    <w:autoRedefine/>
    <w:semiHidden/>
    <w:qFormat/>
    <w:pPr>
      <w:jc w:val="center"/>
    </w:pPr>
    <w:rPr>
      <w:rFonts w:ascii="宋体" w:eastAsia="黑体" w:hAnsi="宋体"/>
      <w:sz w:val="21"/>
    </w:rPr>
  </w:style>
  <w:style w:type="paragraph" w:customStyle="1" w:styleId="af6">
    <w:name w:val="表格文字"/>
    <w:basedOn w:val="a5"/>
    <w:next w:val="a5"/>
    <w:autoRedefine/>
    <w:qFormat/>
    <w:pPr>
      <w:keepNext/>
      <w:keepLines/>
      <w:spacing w:line="240" w:lineRule="auto"/>
      <w:jc w:val="center"/>
      <w:outlineLvl w:val="4"/>
    </w:pPr>
    <w:rPr>
      <w:rFonts w:ascii="Arial" w:hAnsi="Arial"/>
      <w:sz w:val="21"/>
    </w:rPr>
  </w:style>
  <w:style w:type="paragraph" w:customStyle="1" w:styleId="af7">
    <w:name w:val="表、图名"/>
    <w:basedOn w:val="a"/>
    <w:autoRedefine/>
    <w:qFormat/>
    <w:pPr>
      <w:adjustRightInd w:val="0"/>
      <w:snapToGrid w:val="0"/>
      <w:jc w:val="center"/>
      <w:outlineLvl w:val="5"/>
    </w:pPr>
    <w:rPr>
      <w:rFonts w:eastAsia="黑体" w:cs="Times New Roman"/>
      <w:sz w:val="21"/>
    </w:rPr>
  </w:style>
  <w:style w:type="paragraph" w:customStyle="1" w:styleId="-">
    <w:name w:val="表、图名-"/>
    <w:basedOn w:val="a"/>
    <w:autoRedefine/>
    <w:qFormat/>
    <w:pPr>
      <w:adjustRightInd w:val="0"/>
      <w:snapToGrid w:val="0"/>
      <w:spacing w:line="360" w:lineRule="auto"/>
      <w:jc w:val="center"/>
      <w:textAlignment w:val="baseline"/>
    </w:pPr>
    <w:rPr>
      <w:rFonts w:ascii="Calibri" w:eastAsia="黑体" w:hAnsi="Calibri" w:cs="Times New Roman"/>
      <w:kern w:val="2"/>
      <w:sz w:val="21"/>
      <w:szCs w:val="22"/>
    </w:rPr>
  </w:style>
  <w:style w:type="paragraph" w:customStyle="1" w:styleId="-0">
    <w:name w:val="正文文本-"/>
    <w:basedOn w:val="a"/>
    <w:autoRedefine/>
    <w:qFormat/>
    <w:pPr>
      <w:spacing w:line="360" w:lineRule="auto"/>
    </w:pPr>
    <w:rPr>
      <w:rFonts w:cs="Times New Roman"/>
      <w:kern w:val="2"/>
    </w:rPr>
  </w:style>
  <w:style w:type="paragraph" w:customStyle="1" w:styleId="af8">
    <w:name w:val="文本"/>
    <w:basedOn w:val="a9"/>
    <w:autoRedefine/>
    <w:qFormat/>
    <w:pPr>
      <w:adjustRightInd w:val="0"/>
      <w:snapToGrid w:val="0"/>
      <w:spacing w:line="520" w:lineRule="exact"/>
      <w:ind w:firstLineChars="200" w:firstLine="200"/>
    </w:pPr>
    <w:rPr>
      <w:rFonts w:ascii="宋体" w:eastAsia="仿宋_GB2312"/>
      <w:szCs w:val="24"/>
    </w:rPr>
  </w:style>
  <w:style w:type="paragraph" w:customStyle="1" w:styleId="Default">
    <w:name w:val="Default"/>
    <w:basedOn w:val="A-"/>
    <w:autoRedefine/>
    <w:qFormat/>
    <w:pPr>
      <w:widowControl w:val="0"/>
    </w:pPr>
    <w:rPr>
      <w:rFonts w:ascii="Arial" w:hAnsi="Arial" w:cs="Arial"/>
      <w:color w:val="000000"/>
      <w:szCs w:val="24"/>
    </w:rPr>
  </w:style>
  <w:style w:type="paragraph" w:customStyle="1" w:styleId="A-">
    <w:name w:val="A-表格文字"/>
    <w:basedOn w:val="a"/>
    <w:next w:val="a"/>
    <w:autoRedefine/>
    <w:qFormat/>
    <w:pPr>
      <w:autoSpaceDE w:val="0"/>
      <w:autoSpaceDN w:val="0"/>
      <w:adjustRightInd w:val="0"/>
      <w:jc w:val="center"/>
      <w:textAlignment w:val="center"/>
    </w:pPr>
    <w:rPr>
      <w:szCs w:val="21"/>
    </w:rPr>
  </w:style>
  <w:style w:type="paragraph" w:customStyle="1" w:styleId="12">
    <w:name w:val="1 表头"/>
    <w:basedOn w:val="a"/>
    <w:autoRedefine/>
    <w:qFormat/>
    <w:pPr>
      <w:adjustRightInd w:val="0"/>
      <w:snapToGrid w:val="0"/>
      <w:jc w:val="center"/>
    </w:pPr>
    <w:rPr>
      <w:b/>
      <w:color w:val="000000"/>
      <w:sz w:val="21"/>
    </w:rPr>
  </w:style>
  <w:style w:type="paragraph" w:customStyle="1" w:styleId="25">
    <w:name w:val="标题2"/>
    <w:basedOn w:val="2"/>
    <w:autoRedefine/>
    <w:qFormat/>
    <w:rPr>
      <w:rFonts w:cs="Times New Roman"/>
      <w:color w:val="auto"/>
    </w:rPr>
  </w:style>
  <w:style w:type="paragraph" w:customStyle="1" w:styleId="32">
    <w:name w:val="标题3"/>
    <w:basedOn w:val="33"/>
    <w:autoRedefine/>
    <w:qFormat/>
    <w:pPr>
      <w:spacing w:line="360" w:lineRule="auto"/>
    </w:pPr>
    <w:rPr>
      <w:szCs w:val="22"/>
    </w:rPr>
  </w:style>
  <w:style w:type="paragraph" w:customStyle="1" w:styleId="33">
    <w:name w:val="标题 3新"/>
    <w:basedOn w:val="3"/>
    <w:autoRedefine/>
    <w:qFormat/>
    <w:pPr>
      <w:widowControl w:val="0"/>
    </w:pPr>
    <w:rPr>
      <w:rFonts w:ascii="Times New Roman" w:hAnsi="Times New Roman" w:cs="Times New Roman"/>
      <w:szCs w:val="28"/>
    </w:rPr>
  </w:style>
  <w:style w:type="paragraph" w:customStyle="1" w:styleId="af9">
    <w:name w:val="图表标题"/>
    <w:basedOn w:val="a"/>
    <w:autoRedefine/>
    <w:qFormat/>
    <w:pPr>
      <w:spacing w:line="360" w:lineRule="auto"/>
      <w:jc w:val="center"/>
    </w:pPr>
    <w:rPr>
      <w:rFonts w:cs="Times New Roman"/>
      <w:b/>
      <w:sz w:val="21"/>
      <w:szCs w:val="21"/>
    </w:rPr>
  </w:style>
  <w:style w:type="paragraph" w:customStyle="1" w:styleId="afa">
    <w:name w:val="表中内容"/>
    <w:basedOn w:val="a"/>
    <w:autoRedefine/>
    <w:qFormat/>
    <w:pPr>
      <w:shd w:val="clear" w:color="auto" w:fill="FFFFFF"/>
      <w:overflowPunct w:val="0"/>
      <w:autoSpaceDE w:val="0"/>
      <w:autoSpaceDN w:val="0"/>
      <w:adjustRightInd w:val="0"/>
      <w:snapToGrid w:val="0"/>
      <w:jc w:val="center"/>
      <w:textAlignment w:val="baseline"/>
    </w:pPr>
    <w:rPr>
      <w:rFonts w:cs="Times New Roman"/>
      <w:kern w:val="2"/>
      <w:sz w:val="21"/>
    </w:rPr>
  </w:style>
  <w:style w:type="paragraph" w:customStyle="1" w:styleId="afb">
    <w:name w:val="表格内容"/>
    <w:basedOn w:val="WW-"/>
    <w:autoRedefine/>
    <w:uiPriority w:val="6"/>
    <w:qFormat/>
    <w:pPr>
      <w:spacing w:line="280" w:lineRule="exact"/>
      <w:ind w:firstLine="0"/>
      <w:jc w:val="center"/>
    </w:pPr>
    <w:rPr>
      <w:rFonts w:cs="Times New Roman"/>
      <w:sz w:val="21"/>
      <w:szCs w:val="18"/>
    </w:rPr>
  </w:style>
  <w:style w:type="paragraph" w:customStyle="1" w:styleId="WW-">
    <w:name w:val="WW-正文缩进"/>
    <w:basedOn w:val="a"/>
    <w:autoRedefine/>
    <w:semiHidden/>
    <w:qFormat/>
    <w:pPr>
      <w:ind w:firstLine="420"/>
    </w:pPr>
    <w:rPr>
      <w:sz w:val="28"/>
      <w:szCs w:val="20"/>
    </w:rPr>
  </w:style>
  <w:style w:type="paragraph" w:customStyle="1" w:styleId="afc">
    <w:name w:val="表标题"/>
    <w:basedOn w:val="a"/>
    <w:autoRedefine/>
    <w:qFormat/>
    <w:pPr>
      <w:widowControl w:val="0"/>
      <w:jc w:val="center"/>
    </w:pPr>
    <w:rPr>
      <w:rFonts w:eastAsia="黑体" w:cs="Times New Roman"/>
      <w:b/>
      <w:kern w:val="2"/>
      <w:sz w:val="21"/>
      <w:szCs w:val="20"/>
    </w:rPr>
  </w:style>
  <w:style w:type="paragraph" w:customStyle="1" w:styleId="afd">
    <w:name w:val="标准正文"/>
    <w:basedOn w:val="a"/>
    <w:autoRedefine/>
    <w:qFormat/>
    <w:pPr>
      <w:widowControl w:val="0"/>
      <w:spacing w:line="360" w:lineRule="auto"/>
      <w:ind w:firstLineChars="200" w:firstLine="480"/>
    </w:pPr>
    <w:rPr>
      <w:rFonts w:cs="Times New Roman"/>
      <w:kern w:val="2"/>
      <w:sz w:val="28"/>
      <w:szCs w:val="22"/>
    </w:rPr>
  </w:style>
  <w:style w:type="paragraph" w:customStyle="1" w:styleId="afe">
    <w:name w:val="表格"/>
    <w:basedOn w:val="ae"/>
    <w:next w:val="a"/>
    <w:autoRedefine/>
    <w:qFormat/>
    <w:pPr>
      <w:adjustRightInd w:val="0"/>
      <w:spacing w:line="400" w:lineRule="atLeast"/>
      <w:textAlignment w:val="baseline"/>
    </w:pPr>
    <w:rPr>
      <w:rFonts w:ascii="Calibri" w:hAnsi="Calibri" w:cs="Times New Roman"/>
      <w:szCs w:val="22"/>
    </w:rPr>
  </w:style>
  <w:style w:type="paragraph" w:customStyle="1" w:styleId="aff">
    <w:name w:val="正文(首行缩进)"/>
    <w:basedOn w:val="a"/>
    <w:link w:val="CharChar"/>
    <w:autoRedefine/>
    <w:qFormat/>
    <w:pPr>
      <w:spacing w:line="360" w:lineRule="auto"/>
      <w:ind w:firstLineChars="225" w:firstLine="540"/>
    </w:pPr>
    <w:rPr>
      <w:snapToGrid w:val="0"/>
      <w:color w:val="000000"/>
    </w:rPr>
  </w:style>
  <w:style w:type="paragraph" w:customStyle="1" w:styleId="aff0">
    <w:name w:val="表头"/>
    <w:basedOn w:val="a"/>
    <w:autoRedefine/>
    <w:qFormat/>
    <w:pPr>
      <w:spacing w:line="500" w:lineRule="exact"/>
      <w:jc w:val="center"/>
    </w:pPr>
    <w:rPr>
      <w:rFonts w:ascii="黑体" w:eastAsia="黑体" w:hAnsi="Calibri" w:cs="Times New Roman"/>
      <w:sz w:val="28"/>
      <w:szCs w:val="22"/>
    </w:rPr>
  </w:style>
  <w:style w:type="paragraph" w:customStyle="1" w:styleId="GB231226">
    <w:name w:val="样式 样式 (中文) 楷体_GB2312 四号 行距: 固定值 26 磅 +"/>
    <w:basedOn w:val="a"/>
    <w:autoRedefine/>
    <w:qFormat/>
    <w:pPr>
      <w:spacing w:line="360" w:lineRule="auto"/>
      <w:ind w:firstLineChars="200" w:firstLine="480"/>
    </w:p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YJ">
    <w:name w:val="YJ正文*"/>
    <w:basedOn w:val="a"/>
    <w:autoRedefine/>
    <w:qFormat/>
    <w:pPr>
      <w:spacing w:line="500" w:lineRule="exact"/>
      <w:ind w:firstLineChars="200" w:firstLine="200"/>
    </w:pPr>
    <w:rPr>
      <w:rFonts w:ascii="宋体" w:hAnsi="宋体" w:cs="Times New Roman"/>
    </w:rPr>
  </w:style>
  <w:style w:type="paragraph" w:customStyle="1" w:styleId="13">
    <w:name w:val="正文1"/>
    <w:basedOn w:val="a"/>
    <w:autoRedefine/>
    <w:qFormat/>
    <w:pPr>
      <w:spacing w:line="480" w:lineRule="exact"/>
      <w:ind w:firstLineChars="200" w:firstLine="200"/>
    </w:pPr>
  </w:style>
  <w:style w:type="paragraph" w:customStyle="1" w:styleId="aff1">
    <w:name w:val="邵正文"/>
    <w:basedOn w:val="af2"/>
    <w:autoRedefine/>
    <w:qFormat/>
  </w:style>
  <w:style w:type="character" w:customStyle="1" w:styleId="Char">
    <w:name w:val="正文文本 Char"/>
    <w:link w:val="a5"/>
    <w:autoRedefine/>
    <w:qFormat/>
    <w:rPr>
      <w:rFonts w:ascii="宋体" w:eastAsia="宋体" w:hAnsi="宋体" w:cs="宋体"/>
    </w:rPr>
  </w:style>
  <w:style w:type="character" w:customStyle="1" w:styleId="1Char">
    <w:name w:val="标题 1 Char"/>
    <w:link w:val="1"/>
    <w:autoRedefine/>
    <w:qFormat/>
    <w:rPr>
      <w:rFonts w:ascii="Arial" w:hAnsi="Arial" w:cs="Arial"/>
      <w:b/>
      <w:snapToGrid w:val="0"/>
      <w:color w:val="000000"/>
      <w:kern w:val="44"/>
      <w:sz w:val="44"/>
      <w:szCs w:val="21"/>
      <w:lang w:eastAsia="en-US"/>
    </w:rPr>
  </w:style>
  <w:style w:type="paragraph" w:customStyle="1" w:styleId="14">
    <w:name w:val="无间隔1"/>
    <w:autoRedefine/>
    <w:qFormat/>
    <w:pPr>
      <w:jc w:val="center"/>
    </w:pPr>
    <w:rPr>
      <w:rFonts w:ascii="宋体" w:hAnsi="宋体" w:cs="宋体"/>
      <w:sz w:val="21"/>
      <w:szCs w:val="24"/>
    </w:rPr>
  </w:style>
  <w:style w:type="paragraph" w:customStyle="1" w:styleId="aff2">
    <w:name w:val="表格仔"/>
    <w:basedOn w:val="a"/>
    <w:next w:val="a"/>
    <w:autoRedefine/>
    <w:uiPriority w:val="99"/>
    <w:qFormat/>
    <w:pPr>
      <w:jc w:val="center"/>
    </w:pPr>
    <w:rPr>
      <w:sz w:val="21"/>
    </w:rPr>
  </w:style>
  <w:style w:type="paragraph" w:customStyle="1" w:styleId="aff3">
    <w:name w:val="a)"/>
    <w:basedOn w:val="a"/>
    <w:autoRedefine/>
    <w:qFormat/>
    <w:pPr>
      <w:tabs>
        <w:tab w:val="left" w:pos="1134"/>
      </w:tabs>
      <w:adjustRightInd w:val="0"/>
      <w:spacing w:line="360" w:lineRule="auto"/>
      <w:ind w:firstLine="567"/>
      <w:textAlignment w:val="baseline"/>
    </w:pPr>
    <w:rPr>
      <w:sz w:val="28"/>
      <w:szCs w:val="20"/>
    </w:rPr>
  </w:style>
  <w:style w:type="paragraph" w:customStyle="1" w:styleId="aff4">
    <w:name w:val="！正文"/>
    <w:basedOn w:val="a"/>
    <w:autoRedefine/>
    <w:qFormat/>
    <w:pPr>
      <w:ind w:firstLineChars="200" w:firstLine="480"/>
    </w:pPr>
  </w:style>
  <w:style w:type="paragraph" w:customStyle="1" w:styleId="aff5">
    <w:name w:val="表内容"/>
    <w:basedOn w:val="aff6"/>
    <w:next w:val="a"/>
    <w:autoRedefine/>
    <w:qFormat/>
    <w:pPr>
      <w:spacing w:line="280" w:lineRule="exact"/>
      <w:ind w:leftChars="-20" w:left="-20" w:rightChars="-20" w:right="-20"/>
    </w:pPr>
    <w:rPr>
      <w:sz w:val="18"/>
    </w:rPr>
  </w:style>
  <w:style w:type="paragraph" w:customStyle="1" w:styleId="aff6">
    <w:name w:val="我的表格"/>
    <w:basedOn w:val="a"/>
    <w:autoRedefine/>
    <w:qFormat/>
    <w:pPr>
      <w:adjustRightInd w:val="0"/>
      <w:spacing w:line="240" w:lineRule="atLeast"/>
      <w:jc w:val="center"/>
      <w:textAlignment w:val="baseline"/>
    </w:pPr>
    <w:rPr>
      <w:sz w:val="21"/>
    </w:rPr>
  </w:style>
  <w:style w:type="paragraph" w:customStyle="1" w:styleId="62">
    <w:name w:val="样式62"/>
    <w:basedOn w:val="a"/>
    <w:autoRedefine/>
    <w:qFormat/>
    <w:pPr>
      <w:spacing w:line="280" w:lineRule="exact"/>
      <w:jc w:val="center"/>
    </w:pPr>
    <w:rPr>
      <w:rFonts w:hAnsi="宋体"/>
      <w:sz w:val="18"/>
      <w:szCs w:val="18"/>
    </w:rPr>
  </w:style>
  <w:style w:type="paragraph" w:customStyle="1" w:styleId="Style529">
    <w:name w:val="_Style 529"/>
    <w:basedOn w:val="a9"/>
    <w:next w:val="24"/>
    <w:autoRedefine/>
    <w:qFormat/>
    <w:pPr>
      <w:ind w:firstLineChars="200" w:firstLine="420"/>
    </w:pPr>
    <w:rPr>
      <w:b/>
      <w:kern w:val="44"/>
      <w:sz w:val="44"/>
    </w:rPr>
  </w:style>
  <w:style w:type="paragraph" w:customStyle="1" w:styleId="2Char">
    <w:name w:val="报告正文 + 首行缩进:  2 字符 Char"/>
    <w:basedOn w:val="a"/>
    <w:autoRedefine/>
    <w:qFormat/>
    <w:pPr>
      <w:spacing w:line="360" w:lineRule="auto"/>
      <w:ind w:firstLine="480"/>
    </w:pPr>
    <w:rPr>
      <w:bCs/>
    </w:rPr>
  </w:style>
  <w:style w:type="paragraph" w:customStyle="1" w:styleId="00">
    <w:name w:val="00.正文格式"/>
    <w:basedOn w:val="a4"/>
    <w:autoRedefine/>
    <w:qFormat/>
    <w:pPr>
      <w:spacing w:line="360" w:lineRule="auto"/>
      <w:ind w:firstLineChars="200" w:firstLine="480"/>
    </w:pPr>
    <w:rPr>
      <w:rFonts w:ascii="Times New Roman" w:eastAsia="宋体" w:hAnsi="Times New Roman" w:cs="Times New Roman"/>
      <w:color w:val="000000"/>
      <w:kern w:val="2"/>
    </w:rPr>
  </w:style>
  <w:style w:type="paragraph" w:customStyle="1" w:styleId="aff7">
    <w:name w:val="正文.."/>
    <w:basedOn w:val="a"/>
    <w:autoRedefine/>
    <w:qFormat/>
    <w:pPr>
      <w:widowControl w:val="0"/>
      <w:wordWrap w:val="0"/>
      <w:spacing w:line="360" w:lineRule="auto"/>
      <w:ind w:firstLineChars="200" w:firstLine="480"/>
    </w:pPr>
    <w:rPr>
      <w:bCs/>
      <w:snapToGrid w:val="0"/>
      <w:kern w:val="2"/>
      <w:szCs w:val="22"/>
      <w:lang w:val="zh-CN"/>
    </w:rPr>
  </w:style>
  <w:style w:type="table" w:customStyle="1" w:styleId="18">
    <w:name w:val="网格型18"/>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表格标题"/>
    <w:basedOn w:val="a"/>
    <w:link w:val="Char0"/>
    <w:autoRedefine/>
    <w:qFormat/>
    <w:pPr>
      <w:ind w:firstLineChars="244" w:firstLine="514"/>
      <w:jc w:val="center"/>
    </w:pPr>
    <w:rPr>
      <w:b/>
    </w:rPr>
  </w:style>
  <w:style w:type="paragraph" w:customStyle="1" w:styleId="aff9">
    <w:name w:val="表格定"/>
    <w:basedOn w:val="afb"/>
    <w:autoRedefine/>
    <w:qFormat/>
    <w:pPr>
      <w:keepLines/>
      <w:widowControl w:val="0"/>
      <w:autoSpaceDE w:val="0"/>
      <w:autoSpaceDN w:val="0"/>
      <w:adjustRightInd w:val="0"/>
      <w:snapToGrid w:val="0"/>
      <w:spacing w:line="320" w:lineRule="exact"/>
      <w:textAlignment w:val="center"/>
    </w:pPr>
    <w:rPr>
      <w:color w:val="000000"/>
      <w:szCs w:val="21"/>
      <w:lang w:bidi="en-US"/>
    </w:rPr>
  </w:style>
  <w:style w:type="paragraph" w:customStyle="1" w:styleId="affa">
    <w:name w:val="报告书正文"/>
    <w:basedOn w:val="a"/>
    <w:autoRedefine/>
    <w:qFormat/>
    <w:pPr>
      <w:spacing w:beforeLines="25" w:afterLines="25" w:line="360" w:lineRule="auto"/>
      <w:ind w:firstLineChars="200" w:firstLine="480"/>
      <w:jc w:val="both"/>
    </w:pPr>
    <w:rPr>
      <w:color w:val="000000"/>
      <w:szCs w:val="21"/>
      <w:lang w:bidi="en-US"/>
    </w:rPr>
  </w:style>
  <w:style w:type="paragraph" w:customStyle="1" w:styleId="affb">
    <w:name w:val="报告书四级标题"/>
    <w:basedOn w:val="a"/>
    <w:autoRedefine/>
    <w:qFormat/>
    <w:pPr>
      <w:keepLines/>
      <w:adjustRightInd w:val="0"/>
      <w:snapToGrid w:val="0"/>
      <w:spacing w:line="360" w:lineRule="auto"/>
      <w:outlineLvl w:val="3"/>
    </w:pPr>
    <w:rPr>
      <w:b/>
      <w:szCs w:val="22"/>
    </w:rPr>
  </w:style>
  <w:style w:type="character" w:customStyle="1" w:styleId="Char2">
    <w:name w:val="纯文本 Char2"/>
    <w:autoRedefine/>
    <w:qFormat/>
    <w:rPr>
      <w:rFonts w:ascii="宋体" w:eastAsia="宋体" w:hAnsi="Courier New" w:cs="Courier New"/>
      <w:szCs w:val="21"/>
    </w:rPr>
  </w:style>
  <w:style w:type="paragraph" w:customStyle="1" w:styleId="affc">
    <w:name w:val="正文格式"/>
    <w:next w:val="Style5"/>
    <w:autoRedefine/>
    <w:qFormat/>
    <w:pPr>
      <w:adjustRightInd w:val="0"/>
      <w:snapToGrid w:val="0"/>
      <w:spacing w:line="360" w:lineRule="auto"/>
      <w:ind w:firstLine="560"/>
    </w:pPr>
    <w:rPr>
      <w:color w:val="000000"/>
      <w:sz w:val="24"/>
      <w:szCs w:val="24"/>
    </w:rPr>
  </w:style>
  <w:style w:type="paragraph" w:customStyle="1" w:styleId="Style5">
    <w:name w:val="_Style 5"/>
    <w:basedOn w:val="a"/>
    <w:autoRedefine/>
    <w:qFormat/>
    <w:pPr>
      <w:ind w:firstLine="420"/>
    </w:pPr>
    <w:rPr>
      <w:rFonts w:ascii="Calibri" w:hAnsi="Calibri"/>
      <w:szCs w:val="22"/>
    </w:rPr>
  </w:style>
  <w:style w:type="paragraph" w:customStyle="1" w:styleId="CharCharCharCharCharChar">
    <w:name w:val="正文首行缩进 Char Char Char Char Char Char"/>
    <w:basedOn w:val="a"/>
    <w:autoRedefine/>
    <w:qFormat/>
    <w:pPr>
      <w:spacing w:line="480" w:lineRule="exact"/>
      <w:ind w:firstLineChars="200" w:firstLine="200"/>
    </w:pPr>
    <w:rPr>
      <w:rFonts w:ascii="Calibri" w:hAnsi="Calibri"/>
      <w:sz w:val="21"/>
      <w:szCs w:val="21"/>
    </w:rPr>
  </w:style>
  <w:style w:type="paragraph" w:customStyle="1" w:styleId="affd">
    <w:name w:val="邵表头"/>
    <w:basedOn w:val="aff1"/>
    <w:next w:val="aff1"/>
    <w:autoRedefine/>
    <w:qFormat/>
    <w:pPr>
      <w:spacing w:line="240" w:lineRule="auto"/>
      <w:ind w:firstLineChars="0" w:firstLine="0"/>
      <w:jc w:val="center"/>
    </w:pPr>
    <w:rPr>
      <w:rFonts w:eastAsia="黑体"/>
      <w:b/>
      <w:sz w:val="21"/>
      <w:szCs w:val="22"/>
    </w:rPr>
  </w:style>
  <w:style w:type="paragraph" w:customStyle="1" w:styleId="affe">
    <w:name w:val="表格内"/>
    <w:basedOn w:val="a"/>
    <w:autoRedefine/>
    <w:qFormat/>
    <w:pPr>
      <w:adjustRightInd w:val="0"/>
      <w:jc w:val="center"/>
      <w:textAlignment w:val="baseline"/>
    </w:pPr>
  </w:style>
  <w:style w:type="paragraph" w:customStyle="1" w:styleId="afff">
    <w:name w:val="后评价正文"/>
    <w:basedOn w:val="aff"/>
    <w:autoRedefine/>
    <w:qFormat/>
  </w:style>
  <w:style w:type="paragraph" w:customStyle="1" w:styleId="03">
    <w:name w:val="03_正文"/>
    <w:basedOn w:val="a"/>
    <w:autoRedefine/>
    <w:qFormat/>
    <w:pPr>
      <w:adjustRightInd w:val="0"/>
      <w:snapToGrid w:val="0"/>
      <w:spacing w:line="360" w:lineRule="auto"/>
      <w:ind w:firstLineChars="200" w:firstLine="200"/>
    </w:pPr>
    <w:rPr>
      <w:rFonts w:ascii="宋体" w:hAnsi="Calibri"/>
      <w:color w:val="000000"/>
      <w:spacing w:val="5"/>
      <w:sz w:val="25"/>
      <w:szCs w:val="25"/>
    </w:rPr>
  </w:style>
  <w:style w:type="paragraph" w:customStyle="1" w:styleId="0">
    <w:name w:val="0正文"/>
    <w:basedOn w:val="a5"/>
    <w:autoRedefine/>
    <w:qFormat/>
    <w:pPr>
      <w:snapToGrid w:val="0"/>
      <w:ind w:firstLineChars="200" w:firstLine="480"/>
    </w:pPr>
    <w:rPr>
      <w:rFonts w:ascii="Times New Roman"/>
      <w:szCs w:val="21"/>
    </w:rPr>
  </w:style>
  <w:style w:type="paragraph" w:customStyle="1" w:styleId="28">
    <w:name w:val="样式 表内容 + 行距: 固定值 28 磅"/>
    <w:basedOn w:val="aff5"/>
    <w:autoRedefine/>
    <w:qFormat/>
    <w:rPr>
      <w:rFonts w:ascii="Calibri" w:hAnsi="宋体"/>
      <w:spacing w:val="5"/>
    </w:rPr>
  </w:style>
  <w:style w:type="paragraph" w:customStyle="1" w:styleId="LSJ">
    <w:name w:val="LSJ正文"/>
    <w:basedOn w:val="a4"/>
    <w:autoRedefine/>
    <w:qFormat/>
    <w:pPr>
      <w:spacing w:line="360" w:lineRule="auto"/>
      <w:ind w:firstLine="480"/>
    </w:pPr>
    <w:rPr>
      <w:color w:val="000000"/>
    </w:rPr>
  </w:style>
  <w:style w:type="paragraph" w:customStyle="1" w:styleId="afff0">
    <w:name w:val="表内文字"/>
    <w:basedOn w:val="afff1"/>
    <w:autoRedefine/>
    <w:qFormat/>
    <w:pPr>
      <w:adjustRightInd w:val="0"/>
    </w:pPr>
    <w:rPr>
      <w:szCs w:val="24"/>
    </w:rPr>
  </w:style>
  <w:style w:type="paragraph" w:customStyle="1" w:styleId="afff1">
    <w:name w:val="表内"/>
    <w:basedOn w:val="20"/>
    <w:autoRedefine/>
    <w:qFormat/>
    <w:pPr>
      <w:ind w:leftChars="0" w:left="0" w:firstLineChars="0" w:firstLine="0"/>
      <w:jc w:val="center"/>
    </w:pPr>
    <w:rPr>
      <w:rFonts w:ascii="宋体"/>
      <w:bCs/>
      <w:color w:val="000000"/>
      <w:szCs w:val="21"/>
    </w:rPr>
  </w:style>
  <w:style w:type="paragraph" w:customStyle="1" w:styleId="26">
    <w:name w:val="2"/>
    <w:basedOn w:val="a"/>
    <w:next w:val="31"/>
    <w:autoRedefine/>
    <w:qFormat/>
    <w:pPr>
      <w:ind w:firstLineChars="200" w:firstLine="527"/>
    </w:pPr>
    <w:rPr>
      <w:szCs w:val="25"/>
    </w:rPr>
  </w:style>
  <w:style w:type="character" w:customStyle="1" w:styleId="3Char">
    <w:name w:val="标题 3 Char"/>
    <w:link w:val="3"/>
    <w:autoRedefine/>
    <w:qFormat/>
    <w:rPr>
      <w:rFonts w:ascii="Arial" w:hAnsi="Arial" w:cs="Arial"/>
      <w:b/>
      <w:snapToGrid w:val="0"/>
      <w:color w:val="000000"/>
      <w:kern w:val="0"/>
      <w:sz w:val="28"/>
      <w:szCs w:val="21"/>
      <w:lang w:eastAsia="en-US"/>
    </w:rPr>
  </w:style>
  <w:style w:type="paragraph" w:customStyle="1" w:styleId="15">
    <w:name w:val="正文首行缩进1"/>
    <w:next w:val="a"/>
    <w:autoRedefine/>
    <w:qFormat/>
    <w:pPr>
      <w:widowControl w:val="0"/>
      <w:spacing w:after="120"/>
      <w:ind w:firstLine="420"/>
      <w:jc w:val="both"/>
    </w:pPr>
    <w:rPr>
      <w:sz w:val="21"/>
      <w:szCs w:val="22"/>
    </w:rPr>
  </w:style>
  <w:style w:type="paragraph" w:customStyle="1" w:styleId="27">
    <w:name w:val="表格文字2"/>
    <w:basedOn w:val="a"/>
    <w:autoRedefine/>
    <w:qFormat/>
    <w:pPr>
      <w:tabs>
        <w:tab w:val="left" w:pos="277"/>
        <w:tab w:val="left" w:pos="600"/>
        <w:tab w:val="left" w:pos="780"/>
        <w:tab w:val="left" w:pos="2517"/>
      </w:tabs>
      <w:adjustRightInd w:val="0"/>
      <w:spacing w:before="60" w:line="360" w:lineRule="auto"/>
      <w:ind w:firstLineChars="200" w:firstLine="480"/>
      <w:textAlignment w:val="baseline"/>
    </w:pPr>
  </w:style>
  <w:style w:type="paragraph" w:customStyle="1" w:styleId="Afff2">
    <w:name w:val="表头A"/>
    <w:basedOn w:val="a"/>
    <w:autoRedefine/>
    <w:qFormat/>
    <w:pPr>
      <w:spacing w:line="400" w:lineRule="exact"/>
      <w:jc w:val="center"/>
    </w:pPr>
    <w:rPr>
      <w:rFonts w:ascii="华文仿宋" w:eastAsia="华文仿宋" w:hAnsi="华文仿宋"/>
      <w:b/>
    </w:rPr>
  </w:style>
  <w:style w:type="paragraph" w:customStyle="1" w:styleId="29">
    <w:name w:val="正文文本2"/>
    <w:basedOn w:val="a"/>
    <w:autoRedefine/>
    <w:qFormat/>
    <w:pPr>
      <w:spacing w:line="360" w:lineRule="auto"/>
      <w:ind w:firstLineChars="200" w:firstLine="480"/>
    </w:pPr>
    <w:rPr>
      <w:rFonts w:ascii="宋体" w:hAnsi="宋体"/>
      <w:color w:val="000000"/>
    </w:rPr>
  </w:style>
  <w:style w:type="character" w:customStyle="1" w:styleId="CharChar">
    <w:name w:val="正文(首行缩进) Char Char"/>
    <w:link w:val="aff"/>
    <w:autoRedefine/>
    <w:qFormat/>
    <w:rPr>
      <w:snapToGrid w:val="0"/>
      <w:color w:val="000000"/>
    </w:rPr>
  </w:style>
  <w:style w:type="paragraph" w:customStyle="1" w:styleId="p0">
    <w:name w:val="p0"/>
    <w:basedOn w:val="a"/>
    <w:autoRedefine/>
    <w:qFormat/>
    <w:pPr>
      <w:spacing w:line="360" w:lineRule="auto"/>
      <w:ind w:firstLine="420"/>
    </w:pPr>
  </w:style>
  <w:style w:type="paragraph" w:customStyle="1" w:styleId="afff3">
    <w:name w:val="正文(首缩进)"/>
    <w:basedOn w:val="a"/>
    <w:autoRedefine/>
    <w:qFormat/>
    <w:pPr>
      <w:spacing w:beforeLines="25" w:before="78" w:afterLines="25" w:after="78" w:line="420" w:lineRule="auto"/>
      <w:ind w:firstLineChars="200" w:firstLine="200"/>
    </w:pPr>
    <w:rPr>
      <w:sz w:val="28"/>
    </w:rPr>
  </w:style>
  <w:style w:type="paragraph" w:customStyle="1" w:styleId="45">
    <w:name w:val="样式45"/>
    <w:basedOn w:val="a"/>
    <w:autoRedefine/>
    <w:qFormat/>
    <w:pPr>
      <w:spacing w:line="400" w:lineRule="exact"/>
      <w:ind w:firstLineChars="200" w:firstLine="200"/>
    </w:pPr>
    <w:rPr>
      <w:rFonts w:ascii="宋体" w:hAnsi="宋体"/>
      <w:bCs/>
      <w:lang w:val="zh-CN"/>
    </w:rPr>
  </w:style>
  <w:style w:type="paragraph" w:customStyle="1" w:styleId="afff4">
    <w:name w:val="表内容       .."/>
    <w:basedOn w:val="a"/>
    <w:autoRedefine/>
    <w:qFormat/>
    <w:pPr>
      <w:adjustRightInd w:val="0"/>
      <w:snapToGrid w:val="0"/>
      <w:spacing w:line="240" w:lineRule="exact"/>
      <w:jc w:val="center"/>
      <w:textAlignment w:val="baseline"/>
    </w:pPr>
    <w:rPr>
      <w:szCs w:val="18"/>
    </w:rPr>
  </w:style>
  <w:style w:type="table" w:customStyle="1" w:styleId="19">
    <w:name w:val="网格型19"/>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表格11.5居中"/>
    <w:basedOn w:val="a"/>
    <w:autoRedefine/>
    <w:qFormat/>
    <w:pPr>
      <w:keepLines/>
      <w:adjustRightInd w:val="0"/>
      <w:snapToGrid w:val="0"/>
      <w:jc w:val="center"/>
      <w:textAlignment w:val="center"/>
    </w:pPr>
    <w:rPr>
      <w:rFonts w:cs="Times New Roman"/>
      <w:sz w:val="20"/>
      <w:szCs w:val="21"/>
      <w:lang w:bidi="en-US"/>
    </w:rPr>
  </w:style>
  <w:style w:type="paragraph" w:customStyle="1" w:styleId="afff5">
    <w:name w:val="正式格式"/>
    <w:basedOn w:val="a"/>
    <w:autoRedefine/>
    <w:qFormat/>
    <w:pPr>
      <w:adjustRightInd w:val="0"/>
      <w:snapToGrid w:val="0"/>
      <w:spacing w:line="360" w:lineRule="auto"/>
      <w:ind w:firstLineChars="200" w:firstLine="200"/>
    </w:pPr>
    <w:rPr>
      <w:kern w:val="10"/>
    </w:rPr>
  </w:style>
  <w:style w:type="character" w:customStyle="1" w:styleId="Char1">
    <w:name w:val="表内文字 Char"/>
    <w:autoRedefine/>
    <w:qFormat/>
    <w:rPr>
      <w:snapToGrid w:val="0"/>
      <w:sz w:val="21"/>
    </w:rPr>
  </w:style>
  <w:style w:type="paragraph" w:customStyle="1" w:styleId="40">
    <w:name w:val="标题4"/>
    <w:basedOn w:val="a"/>
    <w:autoRedefine/>
    <w:qFormat/>
    <w:pPr>
      <w:widowControl w:val="0"/>
      <w:adjustRightInd w:val="0"/>
      <w:snapToGrid w:val="0"/>
      <w:spacing w:line="360" w:lineRule="auto"/>
      <w:jc w:val="both"/>
      <w:outlineLvl w:val="3"/>
    </w:pPr>
    <w:rPr>
      <w:rFonts w:eastAsia="黑体"/>
      <w:snapToGrid w:val="0"/>
    </w:rPr>
  </w:style>
  <w:style w:type="table" w:customStyle="1" w:styleId="200">
    <w:name w:val="网格型20"/>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y">
    <w:name w:val="表格内容yy"/>
    <w:basedOn w:val="a"/>
    <w:autoRedefine/>
    <w:qFormat/>
    <w:pPr>
      <w:jc w:val="center"/>
    </w:pPr>
    <w:rPr>
      <w:sz w:val="21"/>
      <w:szCs w:val="18"/>
    </w:rPr>
  </w:style>
  <w:style w:type="paragraph" w:customStyle="1" w:styleId="Style57">
    <w:name w:val="_Style 57"/>
    <w:basedOn w:val="a"/>
    <w:autoRedefine/>
    <w:unhideWhenUsed/>
    <w:qFormat/>
    <w:pPr>
      <w:widowControl w:val="0"/>
      <w:spacing w:after="160" w:line="240" w:lineRule="exact"/>
    </w:pPr>
    <w:rPr>
      <w:rFonts w:hint="eastAsia"/>
      <w:kern w:val="2"/>
      <w:sz w:val="21"/>
    </w:rPr>
  </w:style>
  <w:style w:type="paragraph" w:styleId="afff6">
    <w:name w:val="List Paragraph"/>
    <w:basedOn w:val="a"/>
    <w:autoRedefine/>
    <w:uiPriority w:val="1"/>
    <w:qFormat/>
    <w:pPr>
      <w:jc w:val="center"/>
    </w:pPr>
    <w:rPr>
      <w:rFonts w:hAnsi="宋体"/>
      <w:color w:val="000000"/>
    </w:rPr>
  </w:style>
  <w:style w:type="paragraph" w:customStyle="1" w:styleId="afff7">
    <w:name w:val="@表格"/>
    <w:basedOn w:val="a8"/>
    <w:autoRedefine/>
    <w:qFormat/>
    <w:pPr>
      <w:widowControl w:val="0"/>
      <w:adjustRightInd w:val="0"/>
      <w:snapToGrid w:val="0"/>
      <w:spacing w:line="240" w:lineRule="auto"/>
      <w:jc w:val="center"/>
    </w:pPr>
    <w:rPr>
      <w:sz w:val="21"/>
    </w:rPr>
  </w:style>
  <w:style w:type="paragraph" w:customStyle="1" w:styleId="16">
    <w:name w:val="表1"/>
    <w:basedOn w:val="a"/>
    <w:autoRedefine/>
    <w:qFormat/>
    <w:pPr>
      <w:widowControl w:val="0"/>
      <w:adjustRightInd w:val="0"/>
      <w:snapToGrid w:val="0"/>
      <w:jc w:val="center"/>
    </w:pPr>
    <w:rPr>
      <w:rFonts w:hAnsi="Arial Narrow"/>
      <w:kern w:val="24"/>
    </w:rPr>
  </w:style>
  <w:style w:type="paragraph" w:customStyle="1" w:styleId="BDO">
    <w:name w:val="美克BDO表格文字"/>
    <w:autoRedefine/>
    <w:qFormat/>
    <w:pPr>
      <w:jc w:val="center"/>
    </w:pPr>
    <w:rPr>
      <w:rFonts w:ascii="宋体" w:eastAsia="仿宋" w:hAnsi="宋体" w:cs="宋体"/>
      <w:sz w:val="21"/>
      <w:szCs w:val="21"/>
    </w:rPr>
  </w:style>
  <w:style w:type="paragraph" w:customStyle="1" w:styleId="-1">
    <w:name w:val="正文-首行缩进"/>
    <w:basedOn w:val="a"/>
    <w:autoRedefine/>
    <w:qFormat/>
    <w:pPr>
      <w:widowControl w:val="0"/>
      <w:adjustRightInd w:val="0"/>
      <w:snapToGrid w:val="0"/>
      <w:spacing w:line="360" w:lineRule="auto"/>
      <w:ind w:firstLineChars="200" w:firstLine="200"/>
      <w:jc w:val="both"/>
    </w:pPr>
    <w:rPr>
      <w:rFonts w:cs="Times New Roman"/>
      <w:bCs/>
      <w:kern w:val="2"/>
      <w:sz w:val="21"/>
      <w:szCs w:val="25"/>
    </w:rPr>
  </w:style>
  <w:style w:type="paragraph" w:customStyle="1" w:styleId="21222">
    <w:name w:val="样式 样式 样式 样式 首行缩进:  2 字符1 + 首行缩进:  2 字符 + 首行缩进:  2 字符 + 首行缩进:  2 ..."/>
    <w:basedOn w:val="a"/>
    <w:autoRedefine/>
    <w:qFormat/>
    <w:pPr>
      <w:ind w:firstLineChars="200" w:firstLine="500"/>
    </w:pPr>
  </w:style>
  <w:style w:type="paragraph" w:customStyle="1" w:styleId="afff8">
    <w:name w:val="表格两端对齐"/>
    <w:basedOn w:val="a"/>
    <w:autoRedefine/>
    <w:qFormat/>
    <w:pPr>
      <w:spacing w:line="360" w:lineRule="exact"/>
      <w:jc w:val="both"/>
    </w:pPr>
    <w:rPr>
      <w:rFonts w:cs="Times New Roman"/>
      <w:sz w:val="21"/>
      <w:szCs w:val="18"/>
    </w:rPr>
  </w:style>
  <w:style w:type="paragraph" w:customStyle="1" w:styleId="afff9">
    <w:name w:val="一级标题"/>
    <w:basedOn w:val="a"/>
    <w:next w:val="a"/>
    <w:autoRedefine/>
    <w:qFormat/>
    <w:pPr>
      <w:keepNext/>
      <w:keepLines/>
      <w:widowControl w:val="0"/>
      <w:adjustRightInd w:val="0"/>
      <w:snapToGrid w:val="0"/>
      <w:spacing w:line="360" w:lineRule="auto"/>
      <w:outlineLvl w:val="0"/>
    </w:pPr>
    <w:rPr>
      <w:rFonts w:cs="Times New Roman"/>
      <w:b/>
      <w:snapToGrid w:val="0"/>
      <w:kern w:val="44"/>
      <w:sz w:val="36"/>
      <w:szCs w:val="36"/>
      <w:lang w:eastAsia="en-US"/>
    </w:rPr>
  </w:style>
  <w:style w:type="paragraph" w:customStyle="1" w:styleId="afffa">
    <w:name w:val="二级标题"/>
    <w:basedOn w:val="a"/>
    <w:next w:val="a"/>
    <w:autoRedefine/>
    <w:qFormat/>
    <w:pPr>
      <w:keepNext/>
      <w:keepLines/>
      <w:widowControl w:val="0"/>
      <w:adjustRightInd w:val="0"/>
      <w:snapToGrid w:val="0"/>
      <w:spacing w:line="360" w:lineRule="auto"/>
      <w:outlineLvl w:val="1"/>
    </w:pPr>
    <w:rPr>
      <w:rFonts w:cs="Times New Roman"/>
      <w:b/>
      <w:snapToGrid w:val="0"/>
      <w:sz w:val="30"/>
      <w:szCs w:val="21"/>
      <w:lang w:eastAsia="en-US"/>
    </w:rPr>
  </w:style>
  <w:style w:type="paragraph" w:customStyle="1" w:styleId="afffb">
    <w:name w:val="三级标题"/>
    <w:basedOn w:val="a"/>
    <w:next w:val="a"/>
    <w:autoRedefine/>
    <w:qFormat/>
    <w:pPr>
      <w:keepNext/>
      <w:keepLines/>
      <w:widowControl w:val="0"/>
      <w:adjustRightInd w:val="0"/>
      <w:snapToGrid w:val="0"/>
      <w:spacing w:line="360" w:lineRule="auto"/>
      <w:outlineLvl w:val="2"/>
    </w:pPr>
    <w:rPr>
      <w:rFonts w:cs="Times New Roman"/>
      <w:b/>
      <w:snapToGrid w:val="0"/>
      <w:sz w:val="28"/>
      <w:szCs w:val="21"/>
      <w:lang w:eastAsia="en-US"/>
    </w:rPr>
  </w:style>
  <w:style w:type="paragraph" w:customStyle="1" w:styleId="afffc">
    <w:name w:val="表格正文"/>
    <w:basedOn w:val="aff8"/>
    <w:autoRedefine/>
    <w:qFormat/>
    <w:pPr>
      <w:spacing w:line="360" w:lineRule="exact"/>
      <w:ind w:firstLineChars="0" w:firstLine="0"/>
    </w:pPr>
    <w:rPr>
      <w:b w:val="0"/>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afffd">
    <w:name w:val="表格题目"/>
    <w:basedOn w:val="a"/>
    <w:autoRedefine/>
    <w:qFormat/>
    <w:pPr>
      <w:snapToGrid w:val="0"/>
      <w:spacing w:beforeLines="30" w:before="30" w:afterLines="20" w:after="20"/>
      <w:jc w:val="center"/>
    </w:pPr>
    <w:rPr>
      <w:b/>
      <w:bCs/>
      <w:sz w:val="21"/>
    </w:rPr>
  </w:style>
  <w:style w:type="paragraph" w:customStyle="1" w:styleId="afffe">
    <w:name w:val="表格五号居中"/>
    <w:basedOn w:val="a"/>
    <w:autoRedefine/>
    <w:qFormat/>
    <w:pPr>
      <w:keepLines/>
      <w:adjustRightInd w:val="0"/>
      <w:snapToGrid w:val="0"/>
      <w:jc w:val="center"/>
      <w:textAlignment w:val="center"/>
    </w:pPr>
    <w:rPr>
      <w:sz w:val="20"/>
      <w:szCs w:val="20"/>
      <w:lang w:bidi="en-US"/>
    </w:rPr>
  </w:style>
  <w:style w:type="paragraph" w:customStyle="1" w:styleId="affff">
    <w:name w:val="表格内两端对齐"/>
    <w:autoRedefine/>
    <w:qFormat/>
    <w:pPr>
      <w:kinsoku w:val="0"/>
      <w:wordWrap w:val="0"/>
      <w:overflowPunct w:val="0"/>
      <w:adjustRightInd w:val="0"/>
      <w:spacing w:line="300" w:lineRule="exact"/>
      <w:jc w:val="both"/>
      <w:textAlignment w:val="baseline"/>
    </w:pPr>
    <w:rPr>
      <w:spacing w:val="6"/>
      <w:kern w:val="21"/>
    </w:rPr>
  </w:style>
  <w:style w:type="paragraph" w:customStyle="1" w:styleId="05">
    <w:name w:val="正文段前0.5行"/>
    <w:basedOn w:val="a"/>
    <w:link w:val="05Char"/>
    <w:autoRedefine/>
    <w:qFormat/>
    <w:pPr>
      <w:spacing w:beforeLines="50" w:before="50"/>
      <w:ind w:firstLine="480"/>
    </w:pPr>
  </w:style>
  <w:style w:type="character" w:customStyle="1" w:styleId="05Char">
    <w:name w:val="正文段前0.5行 Char"/>
    <w:link w:val="05"/>
    <w:autoRedefine/>
    <w:qFormat/>
  </w:style>
  <w:style w:type="paragraph" w:customStyle="1" w:styleId="affff0">
    <w:name w:val="报告书三级标题"/>
    <w:autoRedefine/>
    <w:qFormat/>
    <w:pPr>
      <w:keepNext/>
      <w:keepLines/>
      <w:widowControl w:val="0"/>
      <w:spacing w:before="120" w:after="120" w:line="360" w:lineRule="auto"/>
      <w:jc w:val="both"/>
      <w:outlineLvl w:val="2"/>
    </w:pPr>
    <w:rPr>
      <w:b/>
      <w:kern w:val="2"/>
      <w:sz w:val="28"/>
      <w:szCs w:val="22"/>
    </w:rPr>
  </w:style>
  <w:style w:type="character" w:customStyle="1" w:styleId="font11">
    <w:name w:val="font11"/>
    <w:basedOn w:val="a1"/>
    <w:autoRedefine/>
    <w:qFormat/>
    <w:rPr>
      <w:rFonts w:ascii="宋体" w:eastAsia="宋体" w:hAnsi="宋体" w:cs="宋体" w:hint="eastAsia"/>
      <w:color w:val="000000"/>
      <w:sz w:val="21"/>
      <w:szCs w:val="21"/>
      <w:u w:val="none"/>
    </w:rPr>
  </w:style>
  <w:style w:type="paragraph" w:customStyle="1" w:styleId="affff1">
    <w:name w:val="邵表内容"/>
    <w:basedOn w:val="aff1"/>
    <w:autoRedefine/>
    <w:qFormat/>
    <w:pPr>
      <w:spacing w:line="240" w:lineRule="auto"/>
      <w:ind w:firstLineChars="0" w:firstLine="0"/>
      <w:jc w:val="center"/>
    </w:pPr>
    <w:rPr>
      <w:sz w:val="21"/>
    </w:rPr>
  </w:style>
  <w:style w:type="paragraph" w:customStyle="1" w:styleId="affff2">
    <w:name w:val="五号表内容"/>
    <w:basedOn w:val="a"/>
    <w:next w:val="a"/>
    <w:autoRedefine/>
    <w:qFormat/>
    <w:pPr>
      <w:spacing w:line="280" w:lineRule="exact"/>
    </w:pPr>
  </w:style>
  <w:style w:type="paragraph" w:customStyle="1" w:styleId="SSEC">
    <w:name w:val="SSEC 正文"/>
    <w:basedOn w:val="STC"/>
    <w:autoRedefine/>
    <w:qFormat/>
    <w:rPr>
      <w:szCs w:val="24"/>
    </w:rPr>
  </w:style>
  <w:style w:type="paragraph" w:customStyle="1" w:styleId="STC">
    <w:name w:val="STC 正文"/>
    <w:autoRedefine/>
    <w:qFormat/>
    <w:pPr>
      <w:widowControl w:val="0"/>
      <w:adjustRightInd w:val="0"/>
      <w:snapToGrid w:val="0"/>
      <w:spacing w:line="331" w:lineRule="auto"/>
      <w:ind w:firstLineChars="200" w:firstLine="200"/>
      <w:jc w:val="both"/>
    </w:pPr>
    <w:rPr>
      <w:rFonts w:ascii="宋体" w:hAnsi="宋体"/>
      <w:kern w:val="2"/>
      <w:sz w:val="24"/>
      <w:szCs w:val="21"/>
    </w:rPr>
  </w:style>
  <w:style w:type="paragraph" w:customStyle="1" w:styleId="affff3">
    <w:name w:val="表格居中"/>
    <w:next w:val="a"/>
    <w:autoRedefine/>
    <w:qFormat/>
    <w:pPr>
      <w:adjustRightInd w:val="0"/>
      <w:snapToGrid w:val="0"/>
      <w:jc w:val="center"/>
      <w:textAlignment w:val="baseline"/>
    </w:pPr>
    <w:rPr>
      <w:szCs w:val="21"/>
    </w:rPr>
  </w:style>
  <w:style w:type="paragraph" w:customStyle="1" w:styleId="000">
    <w:name w:val="00正文"/>
    <w:autoRedefine/>
    <w:qFormat/>
    <w:pPr>
      <w:spacing w:line="360" w:lineRule="auto"/>
      <w:ind w:firstLineChars="200" w:firstLine="480"/>
      <w:jc w:val="both"/>
    </w:pPr>
    <w:rPr>
      <w:rFonts w:ascii="Arial" w:eastAsia="Arial" w:hAnsi="宋体" w:cs="Arial"/>
      <w:bCs/>
      <w:sz w:val="24"/>
      <w:szCs w:val="24"/>
    </w:rPr>
  </w:style>
  <w:style w:type="paragraph" w:customStyle="1" w:styleId="MEL">
    <w:name w:val="MEL正文*"/>
    <w:autoRedefine/>
    <w:qFormat/>
    <w:pPr>
      <w:spacing w:line="500" w:lineRule="exact"/>
      <w:ind w:firstLineChars="200" w:firstLine="200"/>
    </w:pPr>
    <w:rPr>
      <w:rFonts w:ascii="宋体" w:hAnsi="宋体" w:cs="宋体"/>
      <w:sz w:val="24"/>
      <w:szCs w:val="24"/>
    </w:rPr>
  </w:style>
  <w:style w:type="paragraph" w:customStyle="1" w:styleId="YJ0">
    <w:name w:val="YJ题注"/>
    <w:basedOn w:val="a7"/>
    <w:autoRedefine/>
    <w:qFormat/>
    <w:pPr>
      <w:widowControl w:val="0"/>
      <w:tabs>
        <w:tab w:val="right" w:leader="middleDot" w:pos="8295"/>
      </w:tabs>
      <w:spacing w:line="500" w:lineRule="exact"/>
      <w:jc w:val="center"/>
    </w:pPr>
    <w:rPr>
      <w:rFonts w:ascii="宋体" w:eastAsia="宋体" w:hAnsi="宋体"/>
      <w:b/>
      <w:sz w:val="21"/>
    </w:rPr>
  </w:style>
  <w:style w:type="paragraph" w:customStyle="1" w:styleId="210">
    <w:name w:val="样式 首行缩进:  2 字符1"/>
    <w:basedOn w:val="a"/>
    <w:autoRedefine/>
    <w:qFormat/>
    <w:pPr>
      <w:spacing w:before="120" w:line="400" w:lineRule="exact"/>
      <w:ind w:firstLineChars="200" w:firstLine="200"/>
    </w:pPr>
    <w:rPr>
      <w:szCs w:val="20"/>
    </w:rPr>
  </w:style>
  <w:style w:type="paragraph" w:customStyle="1" w:styleId="WPSOffice3">
    <w:name w:val="WPSOffice手动目录 3"/>
    <w:autoRedefine/>
    <w:qFormat/>
    <w:pPr>
      <w:ind w:leftChars="400" w:left="400"/>
    </w:pPr>
  </w:style>
  <w:style w:type="paragraph" w:customStyle="1" w:styleId="AAP-">
    <w:name w:val="AAP-正文"/>
    <w:autoRedefine/>
    <w:qFormat/>
    <w:pPr>
      <w:widowControl w:val="0"/>
      <w:spacing w:line="360" w:lineRule="auto"/>
      <w:ind w:firstLineChars="200" w:firstLine="480"/>
      <w:jc w:val="both"/>
    </w:pPr>
    <w:rPr>
      <w:kern w:val="2"/>
      <w:sz w:val="24"/>
      <w:szCs w:val="24"/>
    </w:rPr>
  </w:style>
  <w:style w:type="character" w:customStyle="1" w:styleId="CharChar0">
    <w:name w:val="！正文 Char Char"/>
    <w:autoRedefine/>
    <w:qFormat/>
    <w:rPr>
      <w:kern w:val="2"/>
      <w:sz w:val="24"/>
    </w:rPr>
  </w:style>
  <w:style w:type="paragraph" w:customStyle="1" w:styleId="L">
    <w:name w:val="L表名"/>
    <w:basedOn w:val="a"/>
    <w:autoRedefine/>
    <w:qFormat/>
    <w:pPr>
      <w:adjustRightInd w:val="0"/>
      <w:snapToGrid w:val="0"/>
      <w:spacing w:before="240" w:after="120"/>
      <w:jc w:val="center"/>
    </w:pPr>
    <w:rPr>
      <w:rFonts w:eastAsia="黑体"/>
      <w:snapToGrid w:val="0"/>
    </w:rPr>
  </w:style>
  <w:style w:type="paragraph" w:customStyle="1" w:styleId="Char3">
    <w:name w:val="正文首行缩进 Char"/>
    <w:basedOn w:val="a"/>
    <w:next w:val="a"/>
    <w:autoRedefine/>
    <w:qFormat/>
    <w:pPr>
      <w:spacing w:line="460" w:lineRule="exact"/>
      <w:ind w:firstLineChars="200" w:firstLine="200"/>
    </w:pPr>
    <w:rPr>
      <w:spacing w:val="8"/>
      <w:kern w:val="24"/>
    </w:rPr>
  </w:style>
  <w:style w:type="paragraph" w:customStyle="1" w:styleId="affff4">
    <w:name w:val="报告正文"/>
    <w:basedOn w:val="a"/>
    <w:autoRedefine/>
    <w:qFormat/>
    <w:pPr>
      <w:widowControl w:val="0"/>
      <w:snapToGrid w:val="0"/>
      <w:spacing w:line="360" w:lineRule="auto"/>
      <w:ind w:firstLineChars="200" w:firstLine="200"/>
      <w:jc w:val="both"/>
    </w:pPr>
    <w:rPr>
      <w:sz w:val="20"/>
      <w:szCs w:val="28"/>
    </w:rPr>
  </w:style>
  <w:style w:type="paragraph" w:customStyle="1" w:styleId="AF-">
    <w:name w:val="AF-表中表"/>
    <w:basedOn w:val="a"/>
    <w:autoRedefine/>
    <w:qFormat/>
    <w:pPr>
      <w:adjustRightInd w:val="0"/>
      <w:snapToGrid w:val="0"/>
      <w:jc w:val="center"/>
    </w:pPr>
    <w:rPr>
      <w:rFonts w:cs="Times New Roman"/>
      <w:snapToGrid w:val="0"/>
      <w:sz w:val="21"/>
      <w:szCs w:val="21"/>
    </w:rPr>
  </w:style>
  <w:style w:type="paragraph" w:customStyle="1" w:styleId="affff5">
    <w:name w:val="【正文】"/>
    <w:basedOn w:val="a"/>
    <w:next w:val="a"/>
    <w:autoRedefine/>
    <w:qFormat/>
    <w:pPr>
      <w:spacing w:line="360" w:lineRule="auto"/>
      <w:ind w:firstLineChars="200" w:firstLine="200"/>
    </w:pPr>
    <w:rPr>
      <w:snapToGrid w:val="0"/>
      <w:szCs w:val="20"/>
    </w:rPr>
  </w:style>
  <w:style w:type="paragraph" w:customStyle="1" w:styleId="affff6">
    <w:name w:val="五号表格内的文字"/>
    <w:basedOn w:val="a"/>
    <w:autoRedefine/>
    <w:uiPriority w:val="99"/>
    <w:qFormat/>
    <w:pPr>
      <w:adjustRightInd w:val="0"/>
      <w:spacing w:line="360" w:lineRule="exact"/>
      <w:jc w:val="center"/>
      <w:textAlignment w:val="baseline"/>
    </w:pPr>
    <w:rPr>
      <w:sz w:val="21"/>
    </w:rPr>
  </w:style>
  <w:style w:type="character" w:customStyle="1" w:styleId="Char0">
    <w:name w:val="表格标题 Char"/>
    <w:link w:val="aff8"/>
    <w:autoRedefine/>
    <w:qFormat/>
    <w:rPr>
      <w:b/>
    </w:rPr>
  </w:style>
  <w:style w:type="paragraph" w:customStyle="1" w:styleId="affff7">
    <w:name w:val="图表名"/>
    <w:basedOn w:val="a"/>
    <w:next w:val="a"/>
    <w:autoRedefine/>
    <w:qFormat/>
    <w:pPr>
      <w:adjustRightInd w:val="0"/>
      <w:snapToGrid w:val="0"/>
      <w:spacing w:beforeLines="25" w:before="25" w:afterLines="25" w:after="25"/>
      <w:jc w:val="center"/>
    </w:pPr>
    <w:rPr>
      <w:b/>
      <w:color w:val="000000"/>
      <w:sz w:val="21"/>
      <w:lang w:val="zh-CN"/>
    </w:rPr>
  </w:style>
  <w:style w:type="character" w:customStyle="1" w:styleId="font21">
    <w:name w:val="font21"/>
    <w:basedOn w:val="a1"/>
    <w:autoRedefine/>
    <w:qFormat/>
    <w:rPr>
      <w:rFonts w:ascii="Times New Roman" w:hAnsi="Times New Roman" w:cs="Times New Roman" w:hint="default"/>
      <w:color w:val="FF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qFormat="1"/>
    <w:lsdException w:name="toc 1" w:uiPriority="39" w:qFormat="1"/>
    <w:lsdException w:name="toc 2" w:uiPriority="39" w:qFormat="1"/>
    <w:lsdException w:name="Normal Inden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List" w:qFormat="1"/>
    <w:lsdException w:name="List 2" w:qFormat="1"/>
    <w:lsdException w:name="List Bullet 5" w:qFormat="1"/>
    <w:lsdException w:name="Title" w:uiPriority="10"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2" w:qFormat="1"/>
    <w:lsdException w:name="Body Text 3" w:qFormat="1"/>
    <w:lsdException w:name="Body Text Indent 2" w:uiPriority="99"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rFonts w:cs="宋体"/>
      <w:sz w:val="24"/>
      <w:szCs w:val="24"/>
    </w:rPr>
  </w:style>
  <w:style w:type="paragraph" w:styleId="1">
    <w:name w:val="heading 1"/>
    <w:basedOn w:val="a"/>
    <w:next w:val="a"/>
    <w:link w:val="1Char"/>
    <w:autoRedefine/>
    <w:qFormat/>
    <w:pPr>
      <w:keepNext/>
      <w:keepLines/>
      <w:spacing w:before="340" w:after="340"/>
      <w:outlineLvl w:val="0"/>
    </w:pPr>
    <w:rPr>
      <w:rFonts w:ascii="Arial" w:hAnsi="Arial" w:cs="Arial"/>
      <w:b/>
      <w:snapToGrid w:val="0"/>
      <w:color w:val="000000"/>
      <w:kern w:val="44"/>
      <w:sz w:val="44"/>
      <w:szCs w:val="21"/>
      <w:lang w:eastAsia="en-US"/>
    </w:rPr>
  </w:style>
  <w:style w:type="paragraph" w:styleId="2">
    <w:name w:val="heading 2"/>
    <w:basedOn w:val="a"/>
    <w:next w:val="a"/>
    <w:autoRedefine/>
    <w:semiHidden/>
    <w:unhideWhenUsed/>
    <w:qFormat/>
    <w:pPr>
      <w:keepNext/>
      <w:keepLines/>
      <w:spacing w:after="10" w:line="600" w:lineRule="exact"/>
      <w:outlineLvl w:val="1"/>
    </w:pPr>
    <w:rPr>
      <w:rFonts w:ascii="Arial" w:hAnsi="Arial" w:cs="Arial"/>
      <w:b/>
      <w:snapToGrid w:val="0"/>
      <w:color w:val="000000"/>
      <w:sz w:val="30"/>
      <w:szCs w:val="21"/>
      <w:lang w:eastAsia="en-US"/>
    </w:rPr>
  </w:style>
  <w:style w:type="paragraph" w:styleId="3">
    <w:name w:val="heading 3"/>
    <w:basedOn w:val="a"/>
    <w:next w:val="a"/>
    <w:link w:val="3Char"/>
    <w:autoRedefine/>
    <w:semiHidden/>
    <w:unhideWhenUsed/>
    <w:qFormat/>
    <w:pPr>
      <w:keepNext/>
      <w:keepLines/>
      <w:spacing w:before="120" w:after="120"/>
      <w:outlineLvl w:val="2"/>
    </w:pPr>
    <w:rPr>
      <w:rFonts w:ascii="Arial" w:hAnsi="Arial" w:cs="Arial"/>
      <w:b/>
      <w:snapToGrid w:val="0"/>
      <w:color w:val="000000"/>
      <w:sz w:val="28"/>
      <w:szCs w:val="21"/>
      <w:lang w:eastAsia="en-US"/>
    </w:rPr>
  </w:style>
  <w:style w:type="paragraph" w:styleId="4">
    <w:name w:val="heading 4"/>
    <w:basedOn w:val="a"/>
    <w:next w:val="a0"/>
    <w:autoRedefine/>
    <w:semiHidden/>
    <w:unhideWhenUsed/>
    <w:qFormat/>
    <w:pPr>
      <w:keepNext/>
      <w:keepLines/>
      <w:spacing w:line="360" w:lineRule="auto"/>
      <w:outlineLvl w:val="3"/>
    </w:pPr>
    <w:rPr>
      <w:rFonts w:ascii="Arial" w:hAnsi="Arial" w:cs="Arial"/>
      <w:b/>
      <w:snapToGrid w:val="0"/>
      <w:color w:val="000000"/>
      <w:szCs w:val="21"/>
      <w:lang w:eastAsia="en-US"/>
    </w:rPr>
  </w:style>
  <w:style w:type="paragraph" w:styleId="50">
    <w:name w:val="heading 5"/>
    <w:basedOn w:val="a"/>
    <w:next w:val="a"/>
    <w:autoRedefine/>
    <w:semiHidden/>
    <w:unhideWhenUsed/>
    <w:qFormat/>
    <w:pPr>
      <w:keepNext/>
      <w:keepLines/>
      <w:spacing w:line="360" w:lineRule="auto"/>
      <w:jc w:val="center"/>
      <w:outlineLvl w:val="4"/>
    </w:pPr>
    <w:rPr>
      <w:rFonts w:ascii="Arial" w:eastAsia="黑体" w:hAnsi="Arial"/>
      <w:b/>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缩进"/>
    <w:basedOn w:val="a"/>
    <w:autoRedefine/>
    <w:qFormat/>
    <w:pPr>
      <w:spacing w:line="360" w:lineRule="auto"/>
      <w:ind w:firstLineChars="200" w:firstLine="200"/>
    </w:pPr>
  </w:style>
  <w:style w:type="paragraph" w:styleId="a4">
    <w:name w:val="Normal Indent"/>
    <w:basedOn w:val="a"/>
    <w:next w:val="CharCharCharCharCharCharCharCharChar1Char"/>
    <w:autoRedefine/>
    <w:qFormat/>
    <w:pPr>
      <w:ind w:firstLine="420"/>
    </w:pPr>
    <w:rPr>
      <w:rFonts w:ascii="Arial" w:eastAsia="仿宋_GB2312" w:hAnsi="Arial"/>
    </w:rPr>
  </w:style>
  <w:style w:type="paragraph" w:customStyle="1" w:styleId="CharCharCharCharCharCharCharCharChar1Char">
    <w:name w:val="Char Char Char Char Char Char Char Char Char1 Char"/>
    <w:basedOn w:val="a"/>
    <w:next w:val="BodyTextFirstIndent1"/>
    <w:autoRedefine/>
    <w:qFormat/>
    <w:pPr>
      <w:spacing w:line="360" w:lineRule="auto"/>
      <w:ind w:firstLineChars="200" w:firstLine="200"/>
    </w:pPr>
    <w:rPr>
      <w:rFonts w:hAnsi="宋体"/>
    </w:rPr>
  </w:style>
  <w:style w:type="paragraph" w:customStyle="1" w:styleId="BodyTextFirstIndent1">
    <w:name w:val="Body Text First Indent1"/>
    <w:basedOn w:val="a5"/>
    <w:next w:val="a"/>
    <w:autoRedefine/>
    <w:qFormat/>
    <w:pPr>
      <w:widowControl w:val="0"/>
      <w:spacing w:after="120"/>
      <w:ind w:firstLine="420"/>
      <w:jc w:val="both"/>
    </w:pPr>
    <w:rPr>
      <w:rFonts w:ascii="Times New Roman" w:hAnsi="Times New Roman" w:cs="Times New Roman"/>
      <w:sz w:val="21"/>
      <w:szCs w:val="22"/>
    </w:rPr>
  </w:style>
  <w:style w:type="paragraph" w:styleId="a5">
    <w:name w:val="Body Text"/>
    <w:basedOn w:val="a"/>
    <w:next w:val="a6"/>
    <w:link w:val="Char"/>
    <w:autoRedefine/>
    <w:qFormat/>
    <w:pPr>
      <w:adjustRightInd w:val="0"/>
      <w:spacing w:line="360" w:lineRule="auto"/>
    </w:pPr>
    <w:rPr>
      <w:rFonts w:ascii="宋体" w:hAnsi="宋体"/>
    </w:rPr>
  </w:style>
  <w:style w:type="paragraph" w:customStyle="1" w:styleId="a6">
    <w:name w:val="默认段落"/>
    <w:autoRedefine/>
    <w:uiPriority w:val="99"/>
    <w:qFormat/>
    <w:pPr>
      <w:widowControl w:val="0"/>
      <w:spacing w:line="360" w:lineRule="auto"/>
      <w:ind w:firstLineChars="200" w:firstLine="578"/>
      <w:jc w:val="both"/>
    </w:pPr>
    <w:rPr>
      <w:sz w:val="24"/>
    </w:rPr>
  </w:style>
  <w:style w:type="paragraph" w:styleId="a7">
    <w:name w:val="caption"/>
    <w:basedOn w:val="a"/>
    <w:next w:val="a"/>
    <w:autoRedefine/>
    <w:semiHidden/>
    <w:unhideWhenUsed/>
    <w:qFormat/>
    <w:rPr>
      <w:rFonts w:ascii="Arial" w:eastAsia="黑体" w:hAnsi="Arial"/>
      <w:sz w:val="20"/>
    </w:rPr>
  </w:style>
  <w:style w:type="paragraph" w:styleId="a8">
    <w:name w:val="annotation text"/>
    <w:basedOn w:val="a"/>
    <w:autoRedefine/>
    <w:qFormat/>
    <w:pPr>
      <w:spacing w:line="360" w:lineRule="auto"/>
    </w:pPr>
  </w:style>
  <w:style w:type="paragraph" w:styleId="30">
    <w:name w:val="Body Text 3"/>
    <w:basedOn w:val="a"/>
    <w:autoRedefine/>
    <w:qFormat/>
    <w:pPr>
      <w:spacing w:after="120"/>
    </w:pPr>
    <w:rPr>
      <w:sz w:val="16"/>
    </w:rPr>
  </w:style>
  <w:style w:type="paragraph" w:styleId="a9">
    <w:name w:val="Body Text Indent"/>
    <w:basedOn w:val="a"/>
    <w:next w:val="a5"/>
    <w:autoRedefine/>
    <w:qFormat/>
    <w:pPr>
      <w:spacing w:after="120"/>
      <w:ind w:leftChars="200" w:left="420"/>
    </w:pPr>
    <w:rPr>
      <w:rFonts w:ascii="Calibri" w:hAnsi="Calibri" w:cs="Times New Roman"/>
      <w:szCs w:val="22"/>
    </w:rPr>
  </w:style>
  <w:style w:type="paragraph" w:styleId="20">
    <w:name w:val="List 2"/>
    <w:basedOn w:val="a"/>
    <w:autoRedefine/>
    <w:qFormat/>
    <w:pPr>
      <w:ind w:leftChars="200" w:left="100" w:hangingChars="200" w:hanging="200"/>
    </w:pPr>
    <w:rPr>
      <w:sz w:val="21"/>
    </w:rPr>
  </w:style>
  <w:style w:type="paragraph" w:styleId="aa">
    <w:name w:val="Plain Text"/>
    <w:basedOn w:val="a"/>
    <w:autoRedefine/>
    <w:qFormat/>
    <w:rPr>
      <w:rFonts w:hAnsi="Courier New"/>
    </w:rPr>
  </w:style>
  <w:style w:type="paragraph" w:styleId="5">
    <w:name w:val="List Bullet 5"/>
    <w:basedOn w:val="a"/>
    <w:autoRedefine/>
    <w:qFormat/>
    <w:pPr>
      <w:numPr>
        <w:numId w:val="1"/>
      </w:numPr>
    </w:pPr>
  </w:style>
  <w:style w:type="paragraph" w:styleId="21">
    <w:name w:val="Body Text Indent 2"/>
    <w:basedOn w:val="a"/>
    <w:autoRedefine/>
    <w:uiPriority w:val="99"/>
    <w:qFormat/>
    <w:pPr>
      <w:spacing w:after="120" w:line="480" w:lineRule="auto"/>
      <w:ind w:leftChars="200" w:left="420" w:firstLineChars="200" w:firstLine="200"/>
    </w:pPr>
  </w:style>
  <w:style w:type="paragraph" w:styleId="ab">
    <w:name w:val="footer"/>
    <w:basedOn w:val="a"/>
    <w:autoRedefine/>
    <w:qFormat/>
    <w:pPr>
      <w:tabs>
        <w:tab w:val="center" w:pos="4153"/>
        <w:tab w:val="right" w:pos="8306"/>
      </w:tabs>
      <w:snapToGrid w:val="0"/>
    </w:pPr>
    <w:rPr>
      <w:sz w:val="18"/>
      <w:szCs w:val="18"/>
    </w:rPr>
  </w:style>
  <w:style w:type="paragraph" w:styleId="ac">
    <w:name w:val="header"/>
    <w:basedOn w:val="a"/>
    <w:next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autoRedefine/>
    <w:uiPriority w:val="39"/>
    <w:qFormat/>
  </w:style>
  <w:style w:type="paragraph" w:styleId="ad">
    <w:name w:val="index heading"/>
    <w:basedOn w:val="a"/>
    <w:next w:val="11"/>
    <w:autoRedefine/>
    <w:qFormat/>
    <w:pPr>
      <w:widowControl w:val="0"/>
      <w:pBdr>
        <w:top w:val="single" w:sz="12" w:space="0" w:color="auto"/>
      </w:pBdr>
      <w:spacing w:before="360" w:after="240"/>
      <w:jc w:val="both"/>
    </w:pPr>
    <w:rPr>
      <w:rFonts w:cs="Times New Roman"/>
      <w:b/>
      <w:i/>
      <w:kern w:val="2"/>
      <w:sz w:val="26"/>
      <w:szCs w:val="20"/>
    </w:rPr>
  </w:style>
  <w:style w:type="paragraph" w:styleId="11">
    <w:name w:val="index 1"/>
    <w:basedOn w:val="a"/>
    <w:next w:val="a"/>
    <w:autoRedefine/>
    <w:uiPriority w:val="99"/>
    <w:unhideWhenUsed/>
    <w:qFormat/>
    <w:pPr>
      <w:widowControl w:val="0"/>
      <w:jc w:val="both"/>
    </w:pPr>
    <w:rPr>
      <w:rFonts w:cs="Times New Roman"/>
      <w:b/>
      <w:kern w:val="2"/>
      <w:sz w:val="28"/>
      <w:szCs w:val="20"/>
    </w:rPr>
  </w:style>
  <w:style w:type="paragraph" w:styleId="ae">
    <w:name w:val="List"/>
    <w:basedOn w:val="a"/>
    <w:autoRedefine/>
    <w:qFormat/>
    <w:pPr>
      <w:spacing w:line="240" w:lineRule="exact"/>
      <w:ind w:firstLineChars="200" w:firstLine="200"/>
      <w:jc w:val="center"/>
    </w:pPr>
    <w:rPr>
      <w:rFonts w:ascii="Arial" w:hAnsi="Arial"/>
      <w:snapToGrid w:val="0"/>
    </w:rPr>
  </w:style>
  <w:style w:type="paragraph" w:styleId="31">
    <w:name w:val="Body Text Indent 3"/>
    <w:basedOn w:val="a"/>
    <w:autoRedefine/>
    <w:qFormat/>
    <w:pPr>
      <w:spacing w:after="120"/>
      <w:ind w:leftChars="200" w:left="420"/>
    </w:pPr>
    <w:rPr>
      <w:sz w:val="16"/>
      <w:szCs w:val="16"/>
    </w:rPr>
  </w:style>
  <w:style w:type="paragraph" w:styleId="af">
    <w:name w:val="table of figures"/>
    <w:basedOn w:val="a"/>
    <w:next w:val="a"/>
    <w:autoRedefine/>
    <w:qFormat/>
    <w:pPr>
      <w:jc w:val="center"/>
    </w:pPr>
    <w:rPr>
      <w:spacing w:val="-8"/>
    </w:rPr>
  </w:style>
  <w:style w:type="paragraph" w:styleId="22">
    <w:name w:val="toc 2"/>
    <w:basedOn w:val="a"/>
    <w:next w:val="a"/>
    <w:autoRedefine/>
    <w:uiPriority w:val="39"/>
    <w:qFormat/>
    <w:pPr>
      <w:ind w:leftChars="200" w:left="420"/>
    </w:pPr>
  </w:style>
  <w:style w:type="paragraph" w:styleId="23">
    <w:name w:val="Body Text 2"/>
    <w:basedOn w:val="a"/>
    <w:autoRedefine/>
    <w:qFormat/>
    <w:pPr>
      <w:spacing w:after="120" w:line="480" w:lineRule="auto"/>
      <w:ind w:firstLineChars="200" w:firstLine="200"/>
    </w:pPr>
    <w:rPr>
      <w:rFonts w:ascii="Calibri" w:hAnsi="Calibri" w:cs="Times New Roman"/>
      <w:szCs w:val="22"/>
    </w:rPr>
  </w:style>
  <w:style w:type="paragraph" w:styleId="af0">
    <w:name w:val="Normal (Web)"/>
    <w:basedOn w:val="a"/>
    <w:autoRedefine/>
    <w:uiPriority w:val="99"/>
    <w:unhideWhenUsed/>
    <w:qFormat/>
  </w:style>
  <w:style w:type="paragraph" w:styleId="af1">
    <w:name w:val="Title"/>
    <w:basedOn w:val="a"/>
    <w:next w:val="a"/>
    <w:autoRedefine/>
    <w:uiPriority w:val="10"/>
    <w:qFormat/>
    <w:pPr>
      <w:pageBreakBefore/>
      <w:spacing w:before="240" w:after="60" w:line="500" w:lineRule="exact"/>
      <w:jc w:val="center"/>
      <w:outlineLvl w:val="0"/>
    </w:pPr>
    <w:rPr>
      <w:b/>
      <w:bCs/>
      <w:sz w:val="32"/>
      <w:szCs w:val="32"/>
    </w:rPr>
  </w:style>
  <w:style w:type="paragraph" w:styleId="af2">
    <w:name w:val="Body Text First Indent"/>
    <w:basedOn w:val="a5"/>
    <w:next w:val="a"/>
    <w:autoRedefine/>
    <w:uiPriority w:val="99"/>
    <w:qFormat/>
    <w:pPr>
      <w:ind w:firstLineChars="200" w:firstLine="200"/>
      <w:jc w:val="both"/>
    </w:pPr>
    <w:rPr>
      <w:rFonts w:ascii="Times New Roman" w:hAnsi="Times New Roman"/>
    </w:rPr>
  </w:style>
  <w:style w:type="paragraph" w:styleId="24">
    <w:name w:val="Body Text First Indent 2"/>
    <w:basedOn w:val="a9"/>
    <w:next w:val="a"/>
    <w:autoRedefine/>
    <w:qFormat/>
    <w:pPr>
      <w:ind w:firstLineChars="200" w:firstLine="420"/>
    </w:pPr>
    <w:rPr>
      <w:b/>
      <w:kern w:val="44"/>
      <w:sz w:val="44"/>
    </w:rPr>
  </w:style>
  <w:style w:type="table" w:styleId="af3">
    <w:name w:val="Table Grid"/>
    <w:basedOn w:val="a2"/>
    <w:autoRedefine/>
    <w:unhideWhenUsed/>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autoRedefine/>
    <w:qFormat/>
    <w:rPr>
      <w:rFonts w:ascii="Times New Roman" w:hAnsi="Times New Roman"/>
      <w:b/>
      <w:sz w:val="21"/>
    </w:rPr>
  </w:style>
  <w:style w:type="character" w:styleId="af5">
    <w:name w:val="Hyperlink"/>
    <w:basedOn w:val="a1"/>
    <w:autoRedefine/>
    <w:uiPriority w:val="99"/>
    <w:qFormat/>
    <w:rPr>
      <w:rFonts w:eastAsia="宋体"/>
      <w:color w:val="0000FF"/>
      <w:kern w:val="2"/>
      <w:sz w:val="24"/>
      <w:u w:val="single"/>
      <w:lang w:val="en-US" w:eastAsia="zh-CN"/>
    </w:rPr>
  </w:style>
  <w:style w:type="paragraph" w:customStyle="1" w:styleId="TableText">
    <w:name w:val="Table Text"/>
    <w:basedOn w:val="a"/>
    <w:autoRedefine/>
    <w:semiHidden/>
    <w:qFormat/>
    <w:pPr>
      <w:jc w:val="center"/>
    </w:pPr>
    <w:rPr>
      <w:rFonts w:ascii="宋体" w:eastAsia="黑体" w:hAnsi="宋体"/>
      <w:sz w:val="21"/>
    </w:rPr>
  </w:style>
  <w:style w:type="paragraph" w:customStyle="1" w:styleId="af6">
    <w:name w:val="表格文字"/>
    <w:basedOn w:val="a5"/>
    <w:next w:val="a5"/>
    <w:autoRedefine/>
    <w:qFormat/>
    <w:pPr>
      <w:keepNext/>
      <w:keepLines/>
      <w:spacing w:line="240" w:lineRule="auto"/>
      <w:jc w:val="center"/>
      <w:outlineLvl w:val="4"/>
    </w:pPr>
    <w:rPr>
      <w:rFonts w:ascii="Arial" w:hAnsi="Arial"/>
      <w:sz w:val="21"/>
    </w:rPr>
  </w:style>
  <w:style w:type="paragraph" w:customStyle="1" w:styleId="af7">
    <w:name w:val="表、图名"/>
    <w:basedOn w:val="a"/>
    <w:autoRedefine/>
    <w:qFormat/>
    <w:pPr>
      <w:adjustRightInd w:val="0"/>
      <w:snapToGrid w:val="0"/>
      <w:jc w:val="center"/>
      <w:outlineLvl w:val="5"/>
    </w:pPr>
    <w:rPr>
      <w:rFonts w:eastAsia="黑体" w:cs="Times New Roman"/>
      <w:sz w:val="21"/>
    </w:rPr>
  </w:style>
  <w:style w:type="paragraph" w:customStyle="1" w:styleId="-">
    <w:name w:val="表、图名-"/>
    <w:basedOn w:val="a"/>
    <w:autoRedefine/>
    <w:qFormat/>
    <w:pPr>
      <w:adjustRightInd w:val="0"/>
      <w:snapToGrid w:val="0"/>
      <w:spacing w:line="360" w:lineRule="auto"/>
      <w:jc w:val="center"/>
      <w:textAlignment w:val="baseline"/>
    </w:pPr>
    <w:rPr>
      <w:rFonts w:ascii="Calibri" w:eastAsia="黑体" w:hAnsi="Calibri" w:cs="Times New Roman"/>
      <w:kern w:val="2"/>
      <w:sz w:val="21"/>
      <w:szCs w:val="22"/>
    </w:rPr>
  </w:style>
  <w:style w:type="paragraph" w:customStyle="1" w:styleId="-0">
    <w:name w:val="正文文本-"/>
    <w:basedOn w:val="a"/>
    <w:autoRedefine/>
    <w:qFormat/>
    <w:pPr>
      <w:spacing w:line="360" w:lineRule="auto"/>
    </w:pPr>
    <w:rPr>
      <w:rFonts w:cs="Times New Roman"/>
      <w:kern w:val="2"/>
    </w:rPr>
  </w:style>
  <w:style w:type="paragraph" w:customStyle="1" w:styleId="af8">
    <w:name w:val="文本"/>
    <w:basedOn w:val="a9"/>
    <w:autoRedefine/>
    <w:qFormat/>
    <w:pPr>
      <w:adjustRightInd w:val="0"/>
      <w:snapToGrid w:val="0"/>
      <w:spacing w:line="520" w:lineRule="exact"/>
      <w:ind w:firstLineChars="200" w:firstLine="200"/>
    </w:pPr>
    <w:rPr>
      <w:rFonts w:ascii="宋体" w:eastAsia="仿宋_GB2312"/>
      <w:szCs w:val="24"/>
    </w:rPr>
  </w:style>
  <w:style w:type="paragraph" w:customStyle="1" w:styleId="Default">
    <w:name w:val="Default"/>
    <w:basedOn w:val="A-"/>
    <w:autoRedefine/>
    <w:qFormat/>
    <w:pPr>
      <w:widowControl w:val="0"/>
    </w:pPr>
    <w:rPr>
      <w:rFonts w:ascii="Arial" w:hAnsi="Arial" w:cs="Arial"/>
      <w:color w:val="000000"/>
      <w:szCs w:val="24"/>
    </w:rPr>
  </w:style>
  <w:style w:type="paragraph" w:customStyle="1" w:styleId="A-">
    <w:name w:val="A-表格文字"/>
    <w:basedOn w:val="a"/>
    <w:next w:val="a"/>
    <w:autoRedefine/>
    <w:qFormat/>
    <w:pPr>
      <w:autoSpaceDE w:val="0"/>
      <w:autoSpaceDN w:val="0"/>
      <w:adjustRightInd w:val="0"/>
      <w:jc w:val="center"/>
      <w:textAlignment w:val="center"/>
    </w:pPr>
    <w:rPr>
      <w:szCs w:val="21"/>
    </w:rPr>
  </w:style>
  <w:style w:type="paragraph" w:customStyle="1" w:styleId="12">
    <w:name w:val="1 表头"/>
    <w:basedOn w:val="a"/>
    <w:autoRedefine/>
    <w:qFormat/>
    <w:pPr>
      <w:adjustRightInd w:val="0"/>
      <w:snapToGrid w:val="0"/>
      <w:jc w:val="center"/>
    </w:pPr>
    <w:rPr>
      <w:b/>
      <w:color w:val="000000"/>
      <w:sz w:val="21"/>
    </w:rPr>
  </w:style>
  <w:style w:type="paragraph" w:customStyle="1" w:styleId="25">
    <w:name w:val="标题2"/>
    <w:basedOn w:val="2"/>
    <w:autoRedefine/>
    <w:qFormat/>
    <w:rPr>
      <w:rFonts w:cs="Times New Roman"/>
      <w:color w:val="auto"/>
    </w:rPr>
  </w:style>
  <w:style w:type="paragraph" w:customStyle="1" w:styleId="32">
    <w:name w:val="标题3"/>
    <w:basedOn w:val="33"/>
    <w:autoRedefine/>
    <w:qFormat/>
    <w:pPr>
      <w:spacing w:line="360" w:lineRule="auto"/>
    </w:pPr>
    <w:rPr>
      <w:szCs w:val="22"/>
    </w:rPr>
  </w:style>
  <w:style w:type="paragraph" w:customStyle="1" w:styleId="33">
    <w:name w:val="标题 3新"/>
    <w:basedOn w:val="3"/>
    <w:autoRedefine/>
    <w:qFormat/>
    <w:pPr>
      <w:widowControl w:val="0"/>
    </w:pPr>
    <w:rPr>
      <w:rFonts w:ascii="Times New Roman" w:hAnsi="Times New Roman" w:cs="Times New Roman"/>
      <w:szCs w:val="28"/>
    </w:rPr>
  </w:style>
  <w:style w:type="paragraph" w:customStyle="1" w:styleId="af9">
    <w:name w:val="图表标题"/>
    <w:basedOn w:val="a"/>
    <w:autoRedefine/>
    <w:qFormat/>
    <w:pPr>
      <w:spacing w:line="360" w:lineRule="auto"/>
      <w:jc w:val="center"/>
    </w:pPr>
    <w:rPr>
      <w:rFonts w:cs="Times New Roman"/>
      <w:b/>
      <w:sz w:val="21"/>
      <w:szCs w:val="21"/>
    </w:rPr>
  </w:style>
  <w:style w:type="paragraph" w:customStyle="1" w:styleId="afa">
    <w:name w:val="表中内容"/>
    <w:basedOn w:val="a"/>
    <w:autoRedefine/>
    <w:qFormat/>
    <w:pPr>
      <w:shd w:val="clear" w:color="auto" w:fill="FFFFFF"/>
      <w:overflowPunct w:val="0"/>
      <w:autoSpaceDE w:val="0"/>
      <w:autoSpaceDN w:val="0"/>
      <w:adjustRightInd w:val="0"/>
      <w:snapToGrid w:val="0"/>
      <w:jc w:val="center"/>
      <w:textAlignment w:val="baseline"/>
    </w:pPr>
    <w:rPr>
      <w:rFonts w:cs="Times New Roman"/>
      <w:kern w:val="2"/>
      <w:sz w:val="21"/>
    </w:rPr>
  </w:style>
  <w:style w:type="paragraph" w:customStyle="1" w:styleId="afb">
    <w:name w:val="表格内容"/>
    <w:basedOn w:val="WW-"/>
    <w:autoRedefine/>
    <w:uiPriority w:val="6"/>
    <w:qFormat/>
    <w:pPr>
      <w:spacing w:line="280" w:lineRule="exact"/>
      <w:ind w:firstLine="0"/>
      <w:jc w:val="center"/>
    </w:pPr>
    <w:rPr>
      <w:rFonts w:cs="Times New Roman"/>
      <w:sz w:val="21"/>
      <w:szCs w:val="18"/>
    </w:rPr>
  </w:style>
  <w:style w:type="paragraph" w:customStyle="1" w:styleId="WW-">
    <w:name w:val="WW-正文缩进"/>
    <w:basedOn w:val="a"/>
    <w:autoRedefine/>
    <w:semiHidden/>
    <w:qFormat/>
    <w:pPr>
      <w:ind w:firstLine="420"/>
    </w:pPr>
    <w:rPr>
      <w:sz w:val="28"/>
      <w:szCs w:val="20"/>
    </w:rPr>
  </w:style>
  <w:style w:type="paragraph" w:customStyle="1" w:styleId="afc">
    <w:name w:val="表标题"/>
    <w:basedOn w:val="a"/>
    <w:autoRedefine/>
    <w:qFormat/>
    <w:pPr>
      <w:widowControl w:val="0"/>
      <w:jc w:val="center"/>
    </w:pPr>
    <w:rPr>
      <w:rFonts w:eastAsia="黑体" w:cs="Times New Roman"/>
      <w:b/>
      <w:kern w:val="2"/>
      <w:sz w:val="21"/>
      <w:szCs w:val="20"/>
    </w:rPr>
  </w:style>
  <w:style w:type="paragraph" w:customStyle="1" w:styleId="afd">
    <w:name w:val="标准正文"/>
    <w:basedOn w:val="a"/>
    <w:autoRedefine/>
    <w:qFormat/>
    <w:pPr>
      <w:widowControl w:val="0"/>
      <w:spacing w:line="360" w:lineRule="auto"/>
      <w:ind w:firstLineChars="200" w:firstLine="480"/>
    </w:pPr>
    <w:rPr>
      <w:rFonts w:cs="Times New Roman"/>
      <w:kern w:val="2"/>
      <w:sz w:val="28"/>
      <w:szCs w:val="22"/>
    </w:rPr>
  </w:style>
  <w:style w:type="paragraph" w:customStyle="1" w:styleId="afe">
    <w:name w:val="表格"/>
    <w:basedOn w:val="ae"/>
    <w:next w:val="a"/>
    <w:autoRedefine/>
    <w:qFormat/>
    <w:pPr>
      <w:adjustRightInd w:val="0"/>
      <w:spacing w:line="400" w:lineRule="atLeast"/>
      <w:textAlignment w:val="baseline"/>
    </w:pPr>
    <w:rPr>
      <w:rFonts w:ascii="Calibri" w:hAnsi="Calibri" w:cs="Times New Roman"/>
      <w:szCs w:val="22"/>
    </w:rPr>
  </w:style>
  <w:style w:type="paragraph" w:customStyle="1" w:styleId="aff">
    <w:name w:val="正文(首行缩进)"/>
    <w:basedOn w:val="a"/>
    <w:link w:val="CharChar"/>
    <w:autoRedefine/>
    <w:qFormat/>
    <w:pPr>
      <w:spacing w:line="360" w:lineRule="auto"/>
      <w:ind w:firstLineChars="225" w:firstLine="540"/>
    </w:pPr>
    <w:rPr>
      <w:snapToGrid w:val="0"/>
      <w:color w:val="000000"/>
    </w:rPr>
  </w:style>
  <w:style w:type="paragraph" w:customStyle="1" w:styleId="aff0">
    <w:name w:val="表头"/>
    <w:basedOn w:val="a"/>
    <w:autoRedefine/>
    <w:qFormat/>
    <w:pPr>
      <w:spacing w:line="500" w:lineRule="exact"/>
      <w:jc w:val="center"/>
    </w:pPr>
    <w:rPr>
      <w:rFonts w:ascii="黑体" w:eastAsia="黑体" w:hAnsi="Calibri" w:cs="Times New Roman"/>
      <w:sz w:val="28"/>
      <w:szCs w:val="22"/>
    </w:rPr>
  </w:style>
  <w:style w:type="paragraph" w:customStyle="1" w:styleId="GB231226">
    <w:name w:val="样式 样式 (中文) 楷体_GB2312 四号 行距: 固定值 26 磅 +"/>
    <w:basedOn w:val="a"/>
    <w:autoRedefine/>
    <w:qFormat/>
    <w:pPr>
      <w:spacing w:line="360" w:lineRule="auto"/>
      <w:ind w:firstLineChars="200" w:firstLine="480"/>
    </w:p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YJ">
    <w:name w:val="YJ正文*"/>
    <w:basedOn w:val="a"/>
    <w:autoRedefine/>
    <w:qFormat/>
    <w:pPr>
      <w:spacing w:line="500" w:lineRule="exact"/>
      <w:ind w:firstLineChars="200" w:firstLine="200"/>
    </w:pPr>
    <w:rPr>
      <w:rFonts w:ascii="宋体" w:hAnsi="宋体" w:cs="Times New Roman"/>
    </w:rPr>
  </w:style>
  <w:style w:type="paragraph" w:customStyle="1" w:styleId="13">
    <w:name w:val="正文1"/>
    <w:basedOn w:val="a"/>
    <w:autoRedefine/>
    <w:qFormat/>
    <w:pPr>
      <w:spacing w:line="480" w:lineRule="exact"/>
      <w:ind w:firstLineChars="200" w:firstLine="200"/>
    </w:pPr>
  </w:style>
  <w:style w:type="paragraph" w:customStyle="1" w:styleId="aff1">
    <w:name w:val="邵正文"/>
    <w:basedOn w:val="af2"/>
    <w:autoRedefine/>
    <w:qFormat/>
  </w:style>
  <w:style w:type="character" w:customStyle="1" w:styleId="Char">
    <w:name w:val="正文文本 Char"/>
    <w:link w:val="a5"/>
    <w:autoRedefine/>
    <w:qFormat/>
    <w:rPr>
      <w:rFonts w:ascii="宋体" w:eastAsia="宋体" w:hAnsi="宋体" w:cs="宋体"/>
    </w:rPr>
  </w:style>
  <w:style w:type="character" w:customStyle="1" w:styleId="1Char">
    <w:name w:val="标题 1 Char"/>
    <w:link w:val="1"/>
    <w:autoRedefine/>
    <w:qFormat/>
    <w:rPr>
      <w:rFonts w:ascii="Arial" w:hAnsi="Arial" w:cs="Arial"/>
      <w:b/>
      <w:snapToGrid w:val="0"/>
      <w:color w:val="000000"/>
      <w:kern w:val="44"/>
      <w:sz w:val="44"/>
      <w:szCs w:val="21"/>
      <w:lang w:eastAsia="en-US"/>
    </w:rPr>
  </w:style>
  <w:style w:type="paragraph" w:customStyle="1" w:styleId="14">
    <w:name w:val="无间隔1"/>
    <w:autoRedefine/>
    <w:qFormat/>
    <w:pPr>
      <w:jc w:val="center"/>
    </w:pPr>
    <w:rPr>
      <w:rFonts w:ascii="宋体" w:hAnsi="宋体" w:cs="宋体"/>
      <w:sz w:val="21"/>
      <w:szCs w:val="24"/>
    </w:rPr>
  </w:style>
  <w:style w:type="paragraph" w:customStyle="1" w:styleId="aff2">
    <w:name w:val="表格仔"/>
    <w:basedOn w:val="a"/>
    <w:next w:val="a"/>
    <w:autoRedefine/>
    <w:uiPriority w:val="99"/>
    <w:qFormat/>
    <w:pPr>
      <w:jc w:val="center"/>
    </w:pPr>
    <w:rPr>
      <w:sz w:val="21"/>
    </w:rPr>
  </w:style>
  <w:style w:type="paragraph" w:customStyle="1" w:styleId="aff3">
    <w:name w:val="a)"/>
    <w:basedOn w:val="a"/>
    <w:autoRedefine/>
    <w:qFormat/>
    <w:pPr>
      <w:tabs>
        <w:tab w:val="left" w:pos="1134"/>
      </w:tabs>
      <w:adjustRightInd w:val="0"/>
      <w:spacing w:line="360" w:lineRule="auto"/>
      <w:ind w:firstLine="567"/>
      <w:textAlignment w:val="baseline"/>
    </w:pPr>
    <w:rPr>
      <w:sz w:val="28"/>
      <w:szCs w:val="20"/>
    </w:rPr>
  </w:style>
  <w:style w:type="paragraph" w:customStyle="1" w:styleId="aff4">
    <w:name w:val="！正文"/>
    <w:basedOn w:val="a"/>
    <w:autoRedefine/>
    <w:qFormat/>
    <w:pPr>
      <w:ind w:firstLineChars="200" w:firstLine="480"/>
    </w:pPr>
  </w:style>
  <w:style w:type="paragraph" w:customStyle="1" w:styleId="aff5">
    <w:name w:val="表内容"/>
    <w:basedOn w:val="aff6"/>
    <w:next w:val="a"/>
    <w:autoRedefine/>
    <w:qFormat/>
    <w:pPr>
      <w:spacing w:line="280" w:lineRule="exact"/>
      <w:ind w:leftChars="-20" w:left="-20" w:rightChars="-20" w:right="-20"/>
    </w:pPr>
    <w:rPr>
      <w:sz w:val="18"/>
    </w:rPr>
  </w:style>
  <w:style w:type="paragraph" w:customStyle="1" w:styleId="aff6">
    <w:name w:val="我的表格"/>
    <w:basedOn w:val="a"/>
    <w:autoRedefine/>
    <w:qFormat/>
    <w:pPr>
      <w:adjustRightInd w:val="0"/>
      <w:spacing w:line="240" w:lineRule="atLeast"/>
      <w:jc w:val="center"/>
      <w:textAlignment w:val="baseline"/>
    </w:pPr>
    <w:rPr>
      <w:sz w:val="21"/>
    </w:rPr>
  </w:style>
  <w:style w:type="paragraph" w:customStyle="1" w:styleId="62">
    <w:name w:val="样式62"/>
    <w:basedOn w:val="a"/>
    <w:autoRedefine/>
    <w:qFormat/>
    <w:pPr>
      <w:spacing w:line="280" w:lineRule="exact"/>
      <w:jc w:val="center"/>
    </w:pPr>
    <w:rPr>
      <w:rFonts w:hAnsi="宋体"/>
      <w:sz w:val="18"/>
      <w:szCs w:val="18"/>
    </w:rPr>
  </w:style>
  <w:style w:type="paragraph" w:customStyle="1" w:styleId="Style529">
    <w:name w:val="_Style 529"/>
    <w:basedOn w:val="a9"/>
    <w:next w:val="24"/>
    <w:autoRedefine/>
    <w:qFormat/>
    <w:pPr>
      <w:ind w:firstLineChars="200" w:firstLine="420"/>
    </w:pPr>
    <w:rPr>
      <w:b/>
      <w:kern w:val="44"/>
      <w:sz w:val="44"/>
    </w:rPr>
  </w:style>
  <w:style w:type="paragraph" w:customStyle="1" w:styleId="2Char">
    <w:name w:val="报告正文 + 首行缩进:  2 字符 Char"/>
    <w:basedOn w:val="a"/>
    <w:autoRedefine/>
    <w:qFormat/>
    <w:pPr>
      <w:spacing w:line="360" w:lineRule="auto"/>
      <w:ind w:firstLine="480"/>
    </w:pPr>
    <w:rPr>
      <w:bCs/>
    </w:rPr>
  </w:style>
  <w:style w:type="paragraph" w:customStyle="1" w:styleId="00">
    <w:name w:val="00.正文格式"/>
    <w:basedOn w:val="a4"/>
    <w:autoRedefine/>
    <w:qFormat/>
    <w:pPr>
      <w:spacing w:line="360" w:lineRule="auto"/>
      <w:ind w:firstLineChars="200" w:firstLine="480"/>
    </w:pPr>
    <w:rPr>
      <w:rFonts w:ascii="Times New Roman" w:eastAsia="宋体" w:hAnsi="Times New Roman" w:cs="Times New Roman"/>
      <w:color w:val="000000"/>
      <w:kern w:val="2"/>
    </w:rPr>
  </w:style>
  <w:style w:type="paragraph" w:customStyle="1" w:styleId="aff7">
    <w:name w:val="正文.."/>
    <w:basedOn w:val="a"/>
    <w:autoRedefine/>
    <w:qFormat/>
    <w:pPr>
      <w:widowControl w:val="0"/>
      <w:wordWrap w:val="0"/>
      <w:spacing w:line="360" w:lineRule="auto"/>
      <w:ind w:firstLineChars="200" w:firstLine="480"/>
    </w:pPr>
    <w:rPr>
      <w:bCs/>
      <w:snapToGrid w:val="0"/>
      <w:kern w:val="2"/>
      <w:szCs w:val="22"/>
      <w:lang w:val="zh-CN"/>
    </w:rPr>
  </w:style>
  <w:style w:type="table" w:customStyle="1" w:styleId="18">
    <w:name w:val="网格型18"/>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表格标题"/>
    <w:basedOn w:val="a"/>
    <w:link w:val="Char0"/>
    <w:autoRedefine/>
    <w:qFormat/>
    <w:pPr>
      <w:ind w:firstLineChars="244" w:firstLine="514"/>
      <w:jc w:val="center"/>
    </w:pPr>
    <w:rPr>
      <w:b/>
    </w:rPr>
  </w:style>
  <w:style w:type="paragraph" w:customStyle="1" w:styleId="aff9">
    <w:name w:val="表格定"/>
    <w:basedOn w:val="afb"/>
    <w:autoRedefine/>
    <w:qFormat/>
    <w:pPr>
      <w:keepLines/>
      <w:widowControl w:val="0"/>
      <w:autoSpaceDE w:val="0"/>
      <w:autoSpaceDN w:val="0"/>
      <w:adjustRightInd w:val="0"/>
      <w:snapToGrid w:val="0"/>
      <w:spacing w:line="320" w:lineRule="exact"/>
      <w:textAlignment w:val="center"/>
    </w:pPr>
    <w:rPr>
      <w:color w:val="000000"/>
      <w:szCs w:val="21"/>
      <w:lang w:bidi="en-US"/>
    </w:rPr>
  </w:style>
  <w:style w:type="paragraph" w:customStyle="1" w:styleId="affa">
    <w:name w:val="报告书正文"/>
    <w:basedOn w:val="a"/>
    <w:autoRedefine/>
    <w:qFormat/>
    <w:pPr>
      <w:spacing w:beforeLines="25" w:afterLines="25" w:line="360" w:lineRule="auto"/>
      <w:ind w:firstLineChars="200" w:firstLine="480"/>
      <w:jc w:val="both"/>
    </w:pPr>
    <w:rPr>
      <w:color w:val="000000"/>
      <w:szCs w:val="21"/>
      <w:lang w:bidi="en-US"/>
    </w:rPr>
  </w:style>
  <w:style w:type="paragraph" w:customStyle="1" w:styleId="affb">
    <w:name w:val="报告书四级标题"/>
    <w:basedOn w:val="a"/>
    <w:autoRedefine/>
    <w:qFormat/>
    <w:pPr>
      <w:keepLines/>
      <w:adjustRightInd w:val="0"/>
      <w:snapToGrid w:val="0"/>
      <w:spacing w:line="360" w:lineRule="auto"/>
      <w:outlineLvl w:val="3"/>
    </w:pPr>
    <w:rPr>
      <w:b/>
      <w:szCs w:val="22"/>
    </w:rPr>
  </w:style>
  <w:style w:type="character" w:customStyle="1" w:styleId="Char2">
    <w:name w:val="纯文本 Char2"/>
    <w:autoRedefine/>
    <w:qFormat/>
    <w:rPr>
      <w:rFonts w:ascii="宋体" w:eastAsia="宋体" w:hAnsi="Courier New" w:cs="Courier New"/>
      <w:szCs w:val="21"/>
    </w:rPr>
  </w:style>
  <w:style w:type="paragraph" w:customStyle="1" w:styleId="affc">
    <w:name w:val="正文格式"/>
    <w:next w:val="Style5"/>
    <w:autoRedefine/>
    <w:qFormat/>
    <w:pPr>
      <w:adjustRightInd w:val="0"/>
      <w:snapToGrid w:val="0"/>
      <w:spacing w:line="360" w:lineRule="auto"/>
      <w:ind w:firstLine="560"/>
    </w:pPr>
    <w:rPr>
      <w:color w:val="000000"/>
      <w:sz w:val="24"/>
      <w:szCs w:val="24"/>
    </w:rPr>
  </w:style>
  <w:style w:type="paragraph" w:customStyle="1" w:styleId="Style5">
    <w:name w:val="_Style 5"/>
    <w:basedOn w:val="a"/>
    <w:autoRedefine/>
    <w:qFormat/>
    <w:pPr>
      <w:ind w:firstLine="420"/>
    </w:pPr>
    <w:rPr>
      <w:rFonts w:ascii="Calibri" w:hAnsi="Calibri"/>
      <w:szCs w:val="22"/>
    </w:rPr>
  </w:style>
  <w:style w:type="paragraph" w:customStyle="1" w:styleId="CharCharCharCharCharChar">
    <w:name w:val="正文首行缩进 Char Char Char Char Char Char"/>
    <w:basedOn w:val="a"/>
    <w:autoRedefine/>
    <w:qFormat/>
    <w:pPr>
      <w:spacing w:line="480" w:lineRule="exact"/>
      <w:ind w:firstLineChars="200" w:firstLine="200"/>
    </w:pPr>
    <w:rPr>
      <w:rFonts w:ascii="Calibri" w:hAnsi="Calibri"/>
      <w:sz w:val="21"/>
      <w:szCs w:val="21"/>
    </w:rPr>
  </w:style>
  <w:style w:type="paragraph" w:customStyle="1" w:styleId="affd">
    <w:name w:val="邵表头"/>
    <w:basedOn w:val="aff1"/>
    <w:next w:val="aff1"/>
    <w:autoRedefine/>
    <w:qFormat/>
    <w:pPr>
      <w:spacing w:line="240" w:lineRule="auto"/>
      <w:ind w:firstLineChars="0" w:firstLine="0"/>
      <w:jc w:val="center"/>
    </w:pPr>
    <w:rPr>
      <w:rFonts w:eastAsia="黑体"/>
      <w:b/>
      <w:sz w:val="21"/>
      <w:szCs w:val="22"/>
    </w:rPr>
  </w:style>
  <w:style w:type="paragraph" w:customStyle="1" w:styleId="affe">
    <w:name w:val="表格内"/>
    <w:basedOn w:val="a"/>
    <w:autoRedefine/>
    <w:qFormat/>
    <w:pPr>
      <w:adjustRightInd w:val="0"/>
      <w:jc w:val="center"/>
      <w:textAlignment w:val="baseline"/>
    </w:pPr>
  </w:style>
  <w:style w:type="paragraph" w:customStyle="1" w:styleId="afff">
    <w:name w:val="后评价正文"/>
    <w:basedOn w:val="aff"/>
    <w:autoRedefine/>
    <w:qFormat/>
  </w:style>
  <w:style w:type="paragraph" w:customStyle="1" w:styleId="03">
    <w:name w:val="03_正文"/>
    <w:basedOn w:val="a"/>
    <w:autoRedefine/>
    <w:qFormat/>
    <w:pPr>
      <w:adjustRightInd w:val="0"/>
      <w:snapToGrid w:val="0"/>
      <w:spacing w:line="360" w:lineRule="auto"/>
      <w:ind w:firstLineChars="200" w:firstLine="200"/>
    </w:pPr>
    <w:rPr>
      <w:rFonts w:ascii="宋体" w:hAnsi="Calibri"/>
      <w:color w:val="000000"/>
      <w:spacing w:val="5"/>
      <w:sz w:val="25"/>
      <w:szCs w:val="25"/>
    </w:rPr>
  </w:style>
  <w:style w:type="paragraph" w:customStyle="1" w:styleId="0">
    <w:name w:val="0正文"/>
    <w:basedOn w:val="a5"/>
    <w:autoRedefine/>
    <w:qFormat/>
    <w:pPr>
      <w:snapToGrid w:val="0"/>
      <w:ind w:firstLineChars="200" w:firstLine="480"/>
    </w:pPr>
    <w:rPr>
      <w:rFonts w:ascii="Times New Roman"/>
      <w:szCs w:val="21"/>
    </w:rPr>
  </w:style>
  <w:style w:type="paragraph" w:customStyle="1" w:styleId="28">
    <w:name w:val="样式 表内容 + 行距: 固定值 28 磅"/>
    <w:basedOn w:val="aff5"/>
    <w:autoRedefine/>
    <w:qFormat/>
    <w:rPr>
      <w:rFonts w:ascii="Calibri" w:hAnsi="宋体"/>
      <w:spacing w:val="5"/>
    </w:rPr>
  </w:style>
  <w:style w:type="paragraph" w:customStyle="1" w:styleId="LSJ">
    <w:name w:val="LSJ正文"/>
    <w:basedOn w:val="a4"/>
    <w:autoRedefine/>
    <w:qFormat/>
    <w:pPr>
      <w:spacing w:line="360" w:lineRule="auto"/>
      <w:ind w:firstLine="480"/>
    </w:pPr>
    <w:rPr>
      <w:color w:val="000000"/>
    </w:rPr>
  </w:style>
  <w:style w:type="paragraph" w:customStyle="1" w:styleId="afff0">
    <w:name w:val="表内文字"/>
    <w:basedOn w:val="afff1"/>
    <w:autoRedefine/>
    <w:qFormat/>
    <w:pPr>
      <w:adjustRightInd w:val="0"/>
    </w:pPr>
    <w:rPr>
      <w:szCs w:val="24"/>
    </w:rPr>
  </w:style>
  <w:style w:type="paragraph" w:customStyle="1" w:styleId="afff1">
    <w:name w:val="表内"/>
    <w:basedOn w:val="20"/>
    <w:autoRedefine/>
    <w:qFormat/>
    <w:pPr>
      <w:ind w:leftChars="0" w:left="0" w:firstLineChars="0" w:firstLine="0"/>
      <w:jc w:val="center"/>
    </w:pPr>
    <w:rPr>
      <w:rFonts w:ascii="宋体"/>
      <w:bCs/>
      <w:color w:val="000000"/>
      <w:szCs w:val="21"/>
    </w:rPr>
  </w:style>
  <w:style w:type="paragraph" w:customStyle="1" w:styleId="26">
    <w:name w:val="2"/>
    <w:basedOn w:val="a"/>
    <w:next w:val="31"/>
    <w:autoRedefine/>
    <w:qFormat/>
    <w:pPr>
      <w:ind w:firstLineChars="200" w:firstLine="527"/>
    </w:pPr>
    <w:rPr>
      <w:szCs w:val="25"/>
    </w:rPr>
  </w:style>
  <w:style w:type="character" w:customStyle="1" w:styleId="3Char">
    <w:name w:val="标题 3 Char"/>
    <w:link w:val="3"/>
    <w:autoRedefine/>
    <w:qFormat/>
    <w:rPr>
      <w:rFonts w:ascii="Arial" w:hAnsi="Arial" w:cs="Arial"/>
      <w:b/>
      <w:snapToGrid w:val="0"/>
      <w:color w:val="000000"/>
      <w:kern w:val="0"/>
      <w:sz w:val="28"/>
      <w:szCs w:val="21"/>
      <w:lang w:eastAsia="en-US"/>
    </w:rPr>
  </w:style>
  <w:style w:type="paragraph" w:customStyle="1" w:styleId="15">
    <w:name w:val="正文首行缩进1"/>
    <w:next w:val="a"/>
    <w:autoRedefine/>
    <w:qFormat/>
    <w:pPr>
      <w:widowControl w:val="0"/>
      <w:spacing w:after="120"/>
      <w:ind w:firstLine="420"/>
      <w:jc w:val="both"/>
    </w:pPr>
    <w:rPr>
      <w:sz w:val="21"/>
      <w:szCs w:val="22"/>
    </w:rPr>
  </w:style>
  <w:style w:type="paragraph" w:customStyle="1" w:styleId="27">
    <w:name w:val="表格文字2"/>
    <w:basedOn w:val="a"/>
    <w:autoRedefine/>
    <w:qFormat/>
    <w:pPr>
      <w:tabs>
        <w:tab w:val="left" w:pos="277"/>
        <w:tab w:val="left" w:pos="600"/>
        <w:tab w:val="left" w:pos="780"/>
        <w:tab w:val="left" w:pos="2517"/>
      </w:tabs>
      <w:adjustRightInd w:val="0"/>
      <w:spacing w:before="60" w:line="360" w:lineRule="auto"/>
      <w:ind w:firstLineChars="200" w:firstLine="480"/>
      <w:textAlignment w:val="baseline"/>
    </w:pPr>
  </w:style>
  <w:style w:type="paragraph" w:customStyle="1" w:styleId="Afff2">
    <w:name w:val="表头A"/>
    <w:basedOn w:val="a"/>
    <w:autoRedefine/>
    <w:qFormat/>
    <w:pPr>
      <w:spacing w:line="400" w:lineRule="exact"/>
      <w:jc w:val="center"/>
    </w:pPr>
    <w:rPr>
      <w:rFonts w:ascii="华文仿宋" w:eastAsia="华文仿宋" w:hAnsi="华文仿宋"/>
      <w:b/>
    </w:rPr>
  </w:style>
  <w:style w:type="paragraph" w:customStyle="1" w:styleId="29">
    <w:name w:val="正文文本2"/>
    <w:basedOn w:val="a"/>
    <w:autoRedefine/>
    <w:qFormat/>
    <w:pPr>
      <w:spacing w:line="360" w:lineRule="auto"/>
      <w:ind w:firstLineChars="200" w:firstLine="480"/>
    </w:pPr>
    <w:rPr>
      <w:rFonts w:ascii="宋体" w:hAnsi="宋体"/>
      <w:color w:val="000000"/>
    </w:rPr>
  </w:style>
  <w:style w:type="character" w:customStyle="1" w:styleId="CharChar">
    <w:name w:val="正文(首行缩进) Char Char"/>
    <w:link w:val="aff"/>
    <w:autoRedefine/>
    <w:qFormat/>
    <w:rPr>
      <w:snapToGrid w:val="0"/>
      <w:color w:val="000000"/>
    </w:rPr>
  </w:style>
  <w:style w:type="paragraph" w:customStyle="1" w:styleId="p0">
    <w:name w:val="p0"/>
    <w:basedOn w:val="a"/>
    <w:autoRedefine/>
    <w:qFormat/>
    <w:pPr>
      <w:spacing w:line="360" w:lineRule="auto"/>
      <w:ind w:firstLine="420"/>
    </w:pPr>
  </w:style>
  <w:style w:type="paragraph" w:customStyle="1" w:styleId="afff3">
    <w:name w:val="正文(首缩进)"/>
    <w:basedOn w:val="a"/>
    <w:autoRedefine/>
    <w:qFormat/>
    <w:pPr>
      <w:spacing w:beforeLines="25" w:before="78" w:afterLines="25" w:after="78" w:line="420" w:lineRule="auto"/>
      <w:ind w:firstLineChars="200" w:firstLine="200"/>
    </w:pPr>
    <w:rPr>
      <w:sz w:val="28"/>
    </w:rPr>
  </w:style>
  <w:style w:type="paragraph" w:customStyle="1" w:styleId="45">
    <w:name w:val="样式45"/>
    <w:basedOn w:val="a"/>
    <w:autoRedefine/>
    <w:qFormat/>
    <w:pPr>
      <w:spacing w:line="400" w:lineRule="exact"/>
      <w:ind w:firstLineChars="200" w:firstLine="200"/>
    </w:pPr>
    <w:rPr>
      <w:rFonts w:ascii="宋体" w:hAnsi="宋体"/>
      <w:bCs/>
      <w:lang w:val="zh-CN"/>
    </w:rPr>
  </w:style>
  <w:style w:type="paragraph" w:customStyle="1" w:styleId="afff4">
    <w:name w:val="表内容       .."/>
    <w:basedOn w:val="a"/>
    <w:autoRedefine/>
    <w:qFormat/>
    <w:pPr>
      <w:adjustRightInd w:val="0"/>
      <w:snapToGrid w:val="0"/>
      <w:spacing w:line="240" w:lineRule="exact"/>
      <w:jc w:val="center"/>
      <w:textAlignment w:val="baseline"/>
    </w:pPr>
    <w:rPr>
      <w:szCs w:val="18"/>
    </w:rPr>
  </w:style>
  <w:style w:type="table" w:customStyle="1" w:styleId="19">
    <w:name w:val="网格型19"/>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表格11.5居中"/>
    <w:basedOn w:val="a"/>
    <w:autoRedefine/>
    <w:qFormat/>
    <w:pPr>
      <w:keepLines/>
      <w:adjustRightInd w:val="0"/>
      <w:snapToGrid w:val="0"/>
      <w:jc w:val="center"/>
      <w:textAlignment w:val="center"/>
    </w:pPr>
    <w:rPr>
      <w:rFonts w:cs="Times New Roman"/>
      <w:sz w:val="20"/>
      <w:szCs w:val="21"/>
      <w:lang w:bidi="en-US"/>
    </w:rPr>
  </w:style>
  <w:style w:type="paragraph" w:customStyle="1" w:styleId="afff5">
    <w:name w:val="正式格式"/>
    <w:basedOn w:val="a"/>
    <w:autoRedefine/>
    <w:qFormat/>
    <w:pPr>
      <w:adjustRightInd w:val="0"/>
      <w:snapToGrid w:val="0"/>
      <w:spacing w:line="360" w:lineRule="auto"/>
      <w:ind w:firstLineChars="200" w:firstLine="200"/>
    </w:pPr>
    <w:rPr>
      <w:kern w:val="10"/>
    </w:rPr>
  </w:style>
  <w:style w:type="character" w:customStyle="1" w:styleId="Char1">
    <w:name w:val="表内文字 Char"/>
    <w:autoRedefine/>
    <w:qFormat/>
    <w:rPr>
      <w:snapToGrid w:val="0"/>
      <w:sz w:val="21"/>
    </w:rPr>
  </w:style>
  <w:style w:type="paragraph" w:customStyle="1" w:styleId="40">
    <w:name w:val="标题4"/>
    <w:basedOn w:val="a"/>
    <w:autoRedefine/>
    <w:qFormat/>
    <w:pPr>
      <w:widowControl w:val="0"/>
      <w:adjustRightInd w:val="0"/>
      <w:snapToGrid w:val="0"/>
      <w:spacing w:line="360" w:lineRule="auto"/>
      <w:jc w:val="both"/>
      <w:outlineLvl w:val="3"/>
    </w:pPr>
    <w:rPr>
      <w:rFonts w:eastAsia="黑体"/>
      <w:snapToGrid w:val="0"/>
    </w:rPr>
  </w:style>
  <w:style w:type="table" w:customStyle="1" w:styleId="200">
    <w:name w:val="网格型20"/>
    <w:basedOn w:val="a2"/>
    <w:autoRedefine/>
    <w:uiPriority w:val="5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y">
    <w:name w:val="表格内容yy"/>
    <w:basedOn w:val="a"/>
    <w:autoRedefine/>
    <w:qFormat/>
    <w:pPr>
      <w:jc w:val="center"/>
    </w:pPr>
    <w:rPr>
      <w:sz w:val="21"/>
      <w:szCs w:val="18"/>
    </w:rPr>
  </w:style>
  <w:style w:type="paragraph" w:customStyle="1" w:styleId="Style57">
    <w:name w:val="_Style 57"/>
    <w:basedOn w:val="a"/>
    <w:autoRedefine/>
    <w:unhideWhenUsed/>
    <w:qFormat/>
    <w:pPr>
      <w:widowControl w:val="0"/>
      <w:spacing w:after="160" w:line="240" w:lineRule="exact"/>
    </w:pPr>
    <w:rPr>
      <w:rFonts w:hint="eastAsia"/>
      <w:kern w:val="2"/>
      <w:sz w:val="21"/>
    </w:rPr>
  </w:style>
  <w:style w:type="paragraph" w:styleId="afff6">
    <w:name w:val="List Paragraph"/>
    <w:basedOn w:val="a"/>
    <w:autoRedefine/>
    <w:uiPriority w:val="1"/>
    <w:qFormat/>
    <w:pPr>
      <w:jc w:val="center"/>
    </w:pPr>
    <w:rPr>
      <w:rFonts w:hAnsi="宋体"/>
      <w:color w:val="000000"/>
    </w:rPr>
  </w:style>
  <w:style w:type="paragraph" w:customStyle="1" w:styleId="afff7">
    <w:name w:val="@表格"/>
    <w:basedOn w:val="a8"/>
    <w:autoRedefine/>
    <w:qFormat/>
    <w:pPr>
      <w:widowControl w:val="0"/>
      <w:adjustRightInd w:val="0"/>
      <w:snapToGrid w:val="0"/>
      <w:spacing w:line="240" w:lineRule="auto"/>
      <w:jc w:val="center"/>
    </w:pPr>
    <w:rPr>
      <w:sz w:val="21"/>
    </w:rPr>
  </w:style>
  <w:style w:type="paragraph" w:customStyle="1" w:styleId="16">
    <w:name w:val="表1"/>
    <w:basedOn w:val="a"/>
    <w:autoRedefine/>
    <w:qFormat/>
    <w:pPr>
      <w:widowControl w:val="0"/>
      <w:adjustRightInd w:val="0"/>
      <w:snapToGrid w:val="0"/>
      <w:jc w:val="center"/>
    </w:pPr>
    <w:rPr>
      <w:rFonts w:hAnsi="Arial Narrow"/>
      <w:kern w:val="24"/>
    </w:rPr>
  </w:style>
  <w:style w:type="paragraph" w:customStyle="1" w:styleId="BDO">
    <w:name w:val="美克BDO表格文字"/>
    <w:autoRedefine/>
    <w:qFormat/>
    <w:pPr>
      <w:jc w:val="center"/>
    </w:pPr>
    <w:rPr>
      <w:rFonts w:ascii="宋体" w:eastAsia="仿宋" w:hAnsi="宋体" w:cs="宋体"/>
      <w:sz w:val="21"/>
      <w:szCs w:val="21"/>
    </w:rPr>
  </w:style>
  <w:style w:type="paragraph" w:customStyle="1" w:styleId="-1">
    <w:name w:val="正文-首行缩进"/>
    <w:basedOn w:val="a"/>
    <w:autoRedefine/>
    <w:qFormat/>
    <w:pPr>
      <w:widowControl w:val="0"/>
      <w:adjustRightInd w:val="0"/>
      <w:snapToGrid w:val="0"/>
      <w:spacing w:line="360" w:lineRule="auto"/>
      <w:ind w:firstLineChars="200" w:firstLine="200"/>
      <w:jc w:val="both"/>
    </w:pPr>
    <w:rPr>
      <w:rFonts w:cs="Times New Roman"/>
      <w:bCs/>
      <w:kern w:val="2"/>
      <w:sz w:val="21"/>
      <w:szCs w:val="25"/>
    </w:rPr>
  </w:style>
  <w:style w:type="paragraph" w:customStyle="1" w:styleId="21222">
    <w:name w:val="样式 样式 样式 样式 首行缩进:  2 字符1 + 首行缩进:  2 字符 + 首行缩进:  2 字符 + 首行缩进:  2 ..."/>
    <w:basedOn w:val="a"/>
    <w:autoRedefine/>
    <w:qFormat/>
    <w:pPr>
      <w:ind w:firstLineChars="200" w:firstLine="500"/>
    </w:pPr>
  </w:style>
  <w:style w:type="paragraph" w:customStyle="1" w:styleId="afff8">
    <w:name w:val="表格两端对齐"/>
    <w:basedOn w:val="a"/>
    <w:autoRedefine/>
    <w:qFormat/>
    <w:pPr>
      <w:spacing w:line="360" w:lineRule="exact"/>
      <w:jc w:val="both"/>
    </w:pPr>
    <w:rPr>
      <w:rFonts w:cs="Times New Roman"/>
      <w:sz w:val="21"/>
      <w:szCs w:val="18"/>
    </w:rPr>
  </w:style>
  <w:style w:type="paragraph" w:customStyle="1" w:styleId="afff9">
    <w:name w:val="一级标题"/>
    <w:basedOn w:val="a"/>
    <w:next w:val="a"/>
    <w:autoRedefine/>
    <w:qFormat/>
    <w:pPr>
      <w:keepNext/>
      <w:keepLines/>
      <w:widowControl w:val="0"/>
      <w:adjustRightInd w:val="0"/>
      <w:snapToGrid w:val="0"/>
      <w:spacing w:line="360" w:lineRule="auto"/>
      <w:outlineLvl w:val="0"/>
    </w:pPr>
    <w:rPr>
      <w:rFonts w:cs="Times New Roman"/>
      <w:b/>
      <w:snapToGrid w:val="0"/>
      <w:kern w:val="44"/>
      <w:sz w:val="36"/>
      <w:szCs w:val="36"/>
      <w:lang w:eastAsia="en-US"/>
    </w:rPr>
  </w:style>
  <w:style w:type="paragraph" w:customStyle="1" w:styleId="afffa">
    <w:name w:val="二级标题"/>
    <w:basedOn w:val="a"/>
    <w:next w:val="a"/>
    <w:autoRedefine/>
    <w:qFormat/>
    <w:pPr>
      <w:keepNext/>
      <w:keepLines/>
      <w:widowControl w:val="0"/>
      <w:adjustRightInd w:val="0"/>
      <w:snapToGrid w:val="0"/>
      <w:spacing w:line="360" w:lineRule="auto"/>
      <w:outlineLvl w:val="1"/>
    </w:pPr>
    <w:rPr>
      <w:rFonts w:cs="Times New Roman"/>
      <w:b/>
      <w:snapToGrid w:val="0"/>
      <w:sz w:val="30"/>
      <w:szCs w:val="21"/>
      <w:lang w:eastAsia="en-US"/>
    </w:rPr>
  </w:style>
  <w:style w:type="paragraph" w:customStyle="1" w:styleId="afffb">
    <w:name w:val="三级标题"/>
    <w:basedOn w:val="a"/>
    <w:next w:val="a"/>
    <w:autoRedefine/>
    <w:qFormat/>
    <w:pPr>
      <w:keepNext/>
      <w:keepLines/>
      <w:widowControl w:val="0"/>
      <w:adjustRightInd w:val="0"/>
      <w:snapToGrid w:val="0"/>
      <w:spacing w:line="360" w:lineRule="auto"/>
      <w:outlineLvl w:val="2"/>
    </w:pPr>
    <w:rPr>
      <w:rFonts w:cs="Times New Roman"/>
      <w:b/>
      <w:snapToGrid w:val="0"/>
      <w:sz w:val="28"/>
      <w:szCs w:val="21"/>
      <w:lang w:eastAsia="en-US"/>
    </w:rPr>
  </w:style>
  <w:style w:type="paragraph" w:customStyle="1" w:styleId="afffc">
    <w:name w:val="表格正文"/>
    <w:basedOn w:val="aff8"/>
    <w:autoRedefine/>
    <w:qFormat/>
    <w:pPr>
      <w:spacing w:line="360" w:lineRule="exact"/>
      <w:ind w:firstLineChars="0" w:firstLine="0"/>
    </w:pPr>
    <w:rPr>
      <w:b w:val="0"/>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afffd">
    <w:name w:val="表格题目"/>
    <w:basedOn w:val="a"/>
    <w:autoRedefine/>
    <w:qFormat/>
    <w:pPr>
      <w:snapToGrid w:val="0"/>
      <w:spacing w:beforeLines="30" w:before="30" w:afterLines="20" w:after="20"/>
      <w:jc w:val="center"/>
    </w:pPr>
    <w:rPr>
      <w:b/>
      <w:bCs/>
      <w:sz w:val="21"/>
    </w:rPr>
  </w:style>
  <w:style w:type="paragraph" w:customStyle="1" w:styleId="afffe">
    <w:name w:val="表格五号居中"/>
    <w:basedOn w:val="a"/>
    <w:autoRedefine/>
    <w:qFormat/>
    <w:pPr>
      <w:keepLines/>
      <w:adjustRightInd w:val="0"/>
      <w:snapToGrid w:val="0"/>
      <w:jc w:val="center"/>
      <w:textAlignment w:val="center"/>
    </w:pPr>
    <w:rPr>
      <w:sz w:val="20"/>
      <w:szCs w:val="20"/>
      <w:lang w:bidi="en-US"/>
    </w:rPr>
  </w:style>
  <w:style w:type="paragraph" w:customStyle="1" w:styleId="affff">
    <w:name w:val="表格内两端对齐"/>
    <w:autoRedefine/>
    <w:qFormat/>
    <w:pPr>
      <w:kinsoku w:val="0"/>
      <w:wordWrap w:val="0"/>
      <w:overflowPunct w:val="0"/>
      <w:adjustRightInd w:val="0"/>
      <w:spacing w:line="300" w:lineRule="exact"/>
      <w:jc w:val="both"/>
      <w:textAlignment w:val="baseline"/>
    </w:pPr>
    <w:rPr>
      <w:spacing w:val="6"/>
      <w:kern w:val="21"/>
    </w:rPr>
  </w:style>
  <w:style w:type="paragraph" w:customStyle="1" w:styleId="05">
    <w:name w:val="正文段前0.5行"/>
    <w:basedOn w:val="a"/>
    <w:link w:val="05Char"/>
    <w:autoRedefine/>
    <w:qFormat/>
    <w:pPr>
      <w:spacing w:beforeLines="50" w:before="50"/>
      <w:ind w:firstLine="480"/>
    </w:pPr>
  </w:style>
  <w:style w:type="character" w:customStyle="1" w:styleId="05Char">
    <w:name w:val="正文段前0.5行 Char"/>
    <w:link w:val="05"/>
    <w:autoRedefine/>
    <w:qFormat/>
  </w:style>
  <w:style w:type="paragraph" w:customStyle="1" w:styleId="affff0">
    <w:name w:val="报告书三级标题"/>
    <w:autoRedefine/>
    <w:qFormat/>
    <w:pPr>
      <w:keepNext/>
      <w:keepLines/>
      <w:widowControl w:val="0"/>
      <w:spacing w:before="120" w:after="120" w:line="360" w:lineRule="auto"/>
      <w:jc w:val="both"/>
      <w:outlineLvl w:val="2"/>
    </w:pPr>
    <w:rPr>
      <w:b/>
      <w:kern w:val="2"/>
      <w:sz w:val="28"/>
      <w:szCs w:val="22"/>
    </w:rPr>
  </w:style>
  <w:style w:type="character" w:customStyle="1" w:styleId="font11">
    <w:name w:val="font11"/>
    <w:basedOn w:val="a1"/>
    <w:autoRedefine/>
    <w:qFormat/>
    <w:rPr>
      <w:rFonts w:ascii="宋体" w:eastAsia="宋体" w:hAnsi="宋体" w:cs="宋体" w:hint="eastAsia"/>
      <w:color w:val="000000"/>
      <w:sz w:val="21"/>
      <w:szCs w:val="21"/>
      <w:u w:val="none"/>
    </w:rPr>
  </w:style>
  <w:style w:type="paragraph" w:customStyle="1" w:styleId="affff1">
    <w:name w:val="邵表内容"/>
    <w:basedOn w:val="aff1"/>
    <w:autoRedefine/>
    <w:qFormat/>
    <w:pPr>
      <w:spacing w:line="240" w:lineRule="auto"/>
      <w:ind w:firstLineChars="0" w:firstLine="0"/>
      <w:jc w:val="center"/>
    </w:pPr>
    <w:rPr>
      <w:sz w:val="21"/>
    </w:rPr>
  </w:style>
  <w:style w:type="paragraph" w:customStyle="1" w:styleId="affff2">
    <w:name w:val="五号表内容"/>
    <w:basedOn w:val="a"/>
    <w:next w:val="a"/>
    <w:autoRedefine/>
    <w:qFormat/>
    <w:pPr>
      <w:spacing w:line="280" w:lineRule="exact"/>
    </w:pPr>
  </w:style>
  <w:style w:type="paragraph" w:customStyle="1" w:styleId="SSEC">
    <w:name w:val="SSEC 正文"/>
    <w:basedOn w:val="STC"/>
    <w:autoRedefine/>
    <w:qFormat/>
    <w:rPr>
      <w:szCs w:val="24"/>
    </w:rPr>
  </w:style>
  <w:style w:type="paragraph" w:customStyle="1" w:styleId="STC">
    <w:name w:val="STC 正文"/>
    <w:autoRedefine/>
    <w:qFormat/>
    <w:pPr>
      <w:widowControl w:val="0"/>
      <w:adjustRightInd w:val="0"/>
      <w:snapToGrid w:val="0"/>
      <w:spacing w:line="331" w:lineRule="auto"/>
      <w:ind w:firstLineChars="200" w:firstLine="200"/>
      <w:jc w:val="both"/>
    </w:pPr>
    <w:rPr>
      <w:rFonts w:ascii="宋体" w:hAnsi="宋体"/>
      <w:kern w:val="2"/>
      <w:sz w:val="24"/>
      <w:szCs w:val="21"/>
    </w:rPr>
  </w:style>
  <w:style w:type="paragraph" w:customStyle="1" w:styleId="affff3">
    <w:name w:val="表格居中"/>
    <w:next w:val="a"/>
    <w:autoRedefine/>
    <w:qFormat/>
    <w:pPr>
      <w:adjustRightInd w:val="0"/>
      <w:snapToGrid w:val="0"/>
      <w:jc w:val="center"/>
      <w:textAlignment w:val="baseline"/>
    </w:pPr>
    <w:rPr>
      <w:szCs w:val="21"/>
    </w:rPr>
  </w:style>
  <w:style w:type="paragraph" w:customStyle="1" w:styleId="000">
    <w:name w:val="00正文"/>
    <w:autoRedefine/>
    <w:qFormat/>
    <w:pPr>
      <w:spacing w:line="360" w:lineRule="auto"/>
      <w:ind w:firstLineChars="200" w:firstLine="480"/>
      <w:jc w:val="both"/>
    </w:pPr>
    <w:rPr>
      <w:rFonts w:ascii="Arial" w:eastAsia="Arial" w:hAnsi="宋体" w:cs="Arial"/>
      <w:bCs/>
      <w:sz w:val="24"/>
      <w:szCs w:val="24"/>
    </w:rPr>
  </w:style>
  <w:style w:type="paragraph" w:customStyle="1" w:styleId="MEL">
    <w:name w:val="MEL正文*"/>
    <w:autoRedefine/>
    <w:qFormat/>
    <w:pPr>
      <w:spacing w:line="500" w:lineRule="exact"/>
      <w:ind w:firstLineChars="200" w:firstLine="200"/>
    </w:pPr>
    <w:rPr>
      <w:rFonts w:ascii="宋体" w:hAnsi="宋体" w:cs="宋体"/>
      <w:sz w:val="24"/>
      <w:szCs w:val="24"/>
    </w:rPr>
  </w:style>
  <w:style w:type="paragraph" w:customStyle="1" w:styleId="YJ0">
    <w:name w:val="YJ题注"/>
    <w:basedOn w:val="a7"/>
    <w:autoRedefine/>
    <w:qFormat/>
    <w:pPr>
      <w:widowControl w:val="0"/>
      <w:tabs>
        <w:tab w:val="right" w:leader="middleDot" w:pos="8295"/>
      </w:tabs>
      <w:spacing w:line="500" w:lineRule="exact"/>
      <w:jc w:val="center"/>
    </w:pPr>
    <w:rPr>
      <w:rFonts w:ascii="宋体" w:eastAsia="宋体" w:hAnsi="宋体"/>
      <w:b/>
      <w:sz w:val="21"/>
    </w:rPr>
  </w:style>
  <w:style w:type="paragraph" w:customStyle="1" w:styleId="210">
    <w:name w:val="样式 首行缩进:  2 字符1"/>
    <w:basedOn w:val="a"/>
    <w:autoRedefine/>
    <w:qFormat/>
    <w:pPr>
      <w:spacing w:before="120" w:line="400" w:lineRule="exact"/>
      <w:ind w:firstLineChars="200" w:firstLine="200"/>
    </w:pPr>
    <w:rPr>
      <w:szCs w:val="20"/>
    </w:rPr>
  </w:style>
  <w:style w:type="paragraph" w:customStyle="1" w:styleId="WPSOffice3">
    <w:name w:val="WPSOffice手动目录 3"/>
    <w:autoRedefine/>
    <w:qFormat/>
    <w:pPr>
      <w:ind w:leftChars="400" w:left="400"/>
    </w:pPr>
  </w:style>
  <w:style w:type="paragraph" w:customStyle="1" w:styleId="AAP-">
    <w:name w:val="AAP-正文"/>
    <w:autoRedefine/>
    <w:qFormat/>
    <w:pPr>
      <w:widowControl w:val="0"/>
      <w:spacing w:line="360" w:lineRule="auto"/>
      <w:ind w:firstLineChars="200" w:firstLine="480"/>
      <w:jc w:val="both"/>
    </w:pPr>
    <w:rPr>
      <w:kern w:val="2"/>
      <w:sz w:val="24"/>
      <w:szCs w:val="24"/>
    </w:rPr>
  </w:style>
  <w:style w:type="character" w:customStyle="1" w:styleId="CharChar0">
    <w:name w:val="！正文 Char Char"/>
    <w:autoRedefine/>
    <w:qFormat/>
    <w:rPr>
      <w:kern w:val="2"/>
      <w:sz w:val="24"/>
    </w:rPr>
  </w:style>
  <w:style w:type="paragraph" w:customStyle="1" w:styleId="L">
    <w:name w:val="L表名"/>
    <w:basedOn w:val="a"/>
    <w:autoRedefine/>
    <w:qFormat/>
    <w:pPr>
      <w:adjustRightInd w:val="0"/>
      <w:snapToGrid w:val="0"/>
      <w:spacing w:before="240" w:after="120"/>
      <w:jc w:val="center"/>
    </w:pPr>
    <w:rPr>
      <w:rFonts w:eastAsia="黑体"/>
      <w:snapToGrid w:val="0"/>
    </w:rPr>
  </w:style>
  <w:style w:type="paragraph" w:customStyle="1" w:styleId="Char3">
    <w:name w:val="正文首行缩进 Char"/>
    <w:basedOn w:val="a"/>
    <w:next w:val="a"/>
    <w:autoRedefine/>
    <w:qFormat/>
    <w:pPr>
      <w:spacing w:line="460" w:lineRule="exact"/>
      <w:ind w:firstLineChars="200" w:firstLine="200"/>
    </w:pPr>
    <w:rPr>
      <w:spacing w:val="8"/>
      <w:kern w:val="24"/>
    </w:rPr>
  </w:style>
  <w:style w:type="paragraph" w:customStyle="1" w:styleId="affff4">
    <w:name w:val="报告正文"/>
    <w:basedOn w:val="a"/>
    <w:autoRedefine/>
    <w:qFormat/>
    <w:pPr>
      <w:widowControl w:val="0"/>
      <w:snapToGrid w:val="0"/>
      <w:spacing w:line="360" w:lineRule="auto"/>
      <w:ind w:firstLineChars="200" w:firstLine="200"/>
      <w:jc w:val="both"/>
    </w:pPr>
    <w:rPr>
      <w:sz w:val="20"/>
      <w:szCs w:val="28"/>
    </w:rPr>
  </w:style>
  <w:style w:type="paragraph" w:customStyle="1" w:styleId="AF-">
    <w:name w:val="AF-表中表"/>
    <w:basedOn w:val="a"/>
    <w:autoRedefine/>
    <w:qFormat/>
    <w:pPr>
      <w:adjustRightInd w:val="0"/>
      <w:snapToGrid w:val="0"/>
      <w:jc w:val="center"/>
    </w:pPr>
    <w:rPr>
      <w:rFonts w:cs="Times New Roman"/>
      <w:snapToGrid w:val="0"/>
      <w:sz w:val="21"/>
      <w:szCs w:val="21"/>
    </w:rPr>
  </w:style>
  <w:style w:type="paragraph" w:customStyle="1" w:styleId="affff5">
    <w:name w:val="【正文】"/>
    <w:basedOn w:val="a"/>
    <w:next w:val="a"/>
    <w:autoRedefine/>
    <w:qFormat/>
    <w:pPr>
      <w:spacing w:line="360" w:lineRule="auto"/>
      <w:ind w:firstLineChars="200" w:firstLine="200"/>
    </w:pPr>
    <w:rPr>
      <w:snapToGrid w:val="0"/>
      <w:szCs w:val="20"/>
    </w:rPr>
  </w:style>
  <w:style w:type="paragraph" w:customStyle="1" w:styleId="affff6">
    <w:name w:val="五号表格内的文字"/>
    <w:basedOn w:val="a"/>
    <w:autoRedefine/>
    <w:uiPriority w:val="99"/>
    <w:qFormat/>
    <w:pPr>
      <w:adjustRightInd w:val="0"/>
      <w:spacing w:line="360" w:lineRule="exact"/>
      <w:jc w:val="center"/>
      <w:textAlignment w:val="baseline"/>
    </w:pPr>
    <w:rPr>
      <w:sz w:val="21"/>
    </w:rPr>
  </w:style>
  <w:style w:type="character" w:customStyle="1" w:styleId="Char0">
    <w:name w:val="表格标题 Char"/>
    <w:link w:val="aff8"/>
    <w:autoRedefine/>
    <w:qFormat/>
    <w:rPr>
      <w:b/>
    </w:rPr>
  </w:style>
  <w:style w:type="paragraph" w:customStyle="1" w:styleId="affff7">
    <w:name w:val="图表名"/>
    <w:basedOn w:val="a"/>
    <w:next w:val="a"/>
    <w:autoRedefine/>
    <w:qFormat/>
    <w:pPr>
      <w:adjustRightInd w:val="0"/>
      <w:snapToGrid w:val="0"/>
      <w:spacing w:beforeLines="25" w:before="25" w:afterLines="25" w:after="25"/>
      <w:jc w:val="center"/>
    </w:pPr>
    <w:rPr>
      <w:b/>
      <w:color w:val="000000"/>
      <w:sz w:val="21"/>
      <w:lang w:val="zh-CN"/>
    </w:rPr>
  </w:style>
  <w:style w:type="character" w:customStyle="1" w:styleId="font21">
    <w:name w:val="font21"/>
    <w:basedOn w:val="a1"/>
    <w:autoRedefine/>
    <w:qFormat/>
    <w:rPr>
      <w:rFonts w:ascii="Times New Roman" w:hAnsi="Times New Roman" w:cs="Times New Roman" w:hint="default"/>
      <w:color w:val="FF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oleObject" Target="embeddings/oleObject10.bin"/><Relationship Id="rId68" Type="http://schemas.openxmlformats.org/officeDocument/2006/relationships/oleObject" Target="embeddings/oleObject13.bin"/><Relationship Id="rId84" Type="http://schemas.openxmlformats.org/officeDocument/2006/relationships/oleObject" Target="embeddings/oleObject24.bin"/><Relationship Id="rId89"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3.2.4.5" TargetMode="External"/><Relationship Id="rId11" Type="http://schemas.openxmlformats.org/officeDocument/2006/relationships/hyperlink" Target="http://www.waizi.org.cn/doc/65105.html" TargetMode="External"/><Relationship Id="rId24" Type="http://schemas.openxmlformats.org/officeDocument/2006/relationships/hyperlink" Target="../(&#23391;&#23195;)/TK788X&#65288;0905&#65289;/3.2.4.2" TargetMode="External"/><Relationship Id="rId32" Type="http://schemas.openxmlformats.org/officeDocument/2006/relationships/footer" Target="footer4.xml"/><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19.png"/><Relationship Id="rId53" Type="http://schemas.openxmlformats.org/officeDocument/2006/relationships/oleObject" Target="embeddings/oleObject5.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oleObject" Target="embeddings/oleObject18.bin"/><Relationship Id="rId79" Type="http://schemas.openxmlformats.org/officeDocument/2006/relationships/image" Target="media/image34.wmf"/><Relationship Id="rId87" Type="http://schemas.openxmlformats.org/officeDocument/2006/relationships/oleObject" Target="embeddings/oleObject26.bin"/><Relationship Id="rId102"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oleObject" Target="embeddings/oleObject23.bin"/><Relationship Id="rId90" Type="http://schemas.openxmlformats.org/officeDocument/2006/relationships/image" Target="media/image39.wmf"/><Relationship Id="rId95" Type="http://schemas.openxmlformats.org/officeDocument/2006/relationships/image" Target="media/image43.png"/><Relationship Id="rId19" Type="http://schemas.openxmlformats.org/officeDocument/2006/relationships/hyperlink" Target="3.1.1.1" TargetMode="External"/><Relationship Id="rId14" Type="http://schemas.openxmlformats.org/officeDocument/2006/relationships/hyperlink" Target="http://kjs.mep.gov.cn/hjbhbz/bzwb/other/pjjsdz/199806/t19980601_68415.htm" TargetMode="External"/><Relationship Id="rId22" Type="http://schemas.openxmlformats.org/officeDocument/2006/relationships/hyperlink" Target="3.1.5.1" TargetMode="External"/><Relationship Id="rId27" Type="http://schemas.openxmlformats.org/officeDocument/2006/relationships/image" Target="media/image4.png"/><Relationship Id="rId30" Type="http://schemas.openxmlformats.org/officeDocument/2006/relationships/image" Target="media/image6.wmf"/><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image" Target="media/image33.wmf"/><Relationship Id="rId100"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6.bin"/><Relationship Id="rId80" Type="http://schemas.openxmlformats.org/officeDocument/2006/relationships/oleObject" Target="embeddings/oleObject22.bin"/><Relationship Id="rId85" Type="http://schemas.openxmlformats.org/officeDocument/2006/relationships/oleObject" Target="embeddings/oleObject25.bin"/><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www.waizi.org.cn/doc/65105.html" TargetMode="External"/><Relationship Id="rId17" Type="http://schemas.openxmlformats.org/officeDocument/2006/relationships/image" Target="media/image1.jpeg"/><Relationship Id="rId25" Type="http://schemas.openxmlformats.org/officeDocument/2006/relationships/image" Target="media/image3.wmf"/><Relationship Id="rId33" Type="http://schemas.openxmlformats.org/officeDocument/2006/relationships/image" Target="media/image8.png"/><Relationship Id="rId38" Type="http://schemas.openxmlformats.org/officeDocument/2006/relationships/image" Target="media/image13.wmf"/><Relationship Id="rId46" Type="http://schemas.openxmlformats.org/officeDocument/2006/relationships/image" Target="media/image20.png"/><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oleObject" Target="embeddings/oleObject2.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14.bin"/><Relationship Id="rId75" Type="http://schemas.openxmlformats.org/officeDocument/2006/relationships/oleObject" Target="embeddings/oleObject19.bin"/><Relationship Id="rId83" Type="http://schemas.openxmlformats.org/officeDocument/2006/relationships/image" Target="media/image36.wmf"/><Relationship Id="rId88" Type="http://schemas.openxmlformats.org/officeDocument/2006/relationships/image" Target="media/image38.wmf"/><Relationship Id="rId91" Type="http://schemas.openxmlformats.org/officeDocument/2006/relationships/oleObject" Target="embeddings/oleObject28.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wmf"/><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hyperlink" Target="javascript:SLC(38905,0)" TargetMode="External"/><Relationship Id="rId31" Type="http://schemas.openxmlformats.org/officeDocument/2006/relationships/image" Target="media/image7.wmf"/><Relationship Id="rId44" Type="http://schemas.openxmlformats.org/officeDocument/2006/relationships/image" Target="media/image18.png"/><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11.bin"/><Relationship Id="rId73" Type="http://schemas.openxmlformats.org/officeDocument/2006/relationships/oleObject" Target="embeddings/oleObject17.bin"/><Relationship Id="rId78" Type="http://schemas.openxmlformats.org/officeDocument/2006/relationships/oleObject" Target="embeddings/oleObject21.bin"/><Relationship Id="rId81" Type="http://schemas.openxmlformats.org/officeDocument/2006/relationships/image" Target="media/image35.wmf"/><Relationship Id="rId86" Type="http://schemas.openxmlformats.org/officeDocument/2006/relationships/image" Target="media/image37.wmf"/><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kjs.mep.gov.cn/hjbhbz/bzwb/other/pjjsdz/201001/t20100107_183907.htm" TargetMode="External"/><Relationship Id="rId18" Type="http://schemas.openxmlformats.org/officeDocument/2006/relationships/image" Target="../../../../../../ADMINI~1.DES/AppData/Local/Temp/ksohtml/wps226.tmp.jpg"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3.wmf"/><Relationship Id="rId55" Type="http://schemas.openxmlformats.org/officeDocument/2006/relationships/oleObject" Target="embeddings/oleObject6.bin"/><Relationship Id="rId76" Type="http://schemas.openxmlformats.org/officeDocument/2006/relationships/oleObject" Target="embeddings/oleObject20.bin"/><Relationship Id="rId97" Type="http://schemas.openxmlformats.org/officeDocument/2006/relationships/image" Target="media/image45.png"/><Relationship Id="rId10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34311</Words>
  <Characters>195576</Characters>
  <Application>Microsoft Office Word</Application>
  <DocSecurity>0</DocSecurity>
  <Lines>1629</Lines>
  <Paragraphs>458</Paragraphs>
  <ScaleCrop>false</ScaleCrop>
  <Company>Microsoft</Company>
  <LinksUpToDate>false</LinksUpToDate>
  <CharactersWithSpaces>229429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2024-06-06T10:02:00Z</dcterms:created>
  <dcterms:modified xsi:type="dcterms:W3CDTF">2025-05-26T11:59:00Z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AB704B3659964C8C960F8A3068651855_13</vt:lpwstr>
  </property>
</Properties>
</file>